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3133">
      <w:pPr>
        <w:widowControl/>
        <w:jc w:val="left"/>
        <w:rPr>
          <w:rFonts w:ascii="仿宋" w:eastAsia="仿宋" w:hAnsi="仿宋"/>
          <w:b/>
          <w:sz w:val="40"/>
        </w:rPr>
      </w:pPr>
      <w:bookmarkStart w:id="0" w:name="_GoBack"/>
      <w:bookmarkEnd w:id="0"/>
    </w:p>
    <w:p w:rsidR="002B3133">
      <w:pPr>
        <w:widowControl/>
        <w:jc w:val="left"/>
        <w:rPr>
          <w:rFonts w:ascii="仿宋" w:eastAsia="仿宋" w:hAnsi="仿宋"/>
          <w:b/>
          <w:sz w:val="40"/>
        </w:rPr>
      </w:pPr>
    </w:p>
    <w:p w:rsidR="002B3133">
      <w:pPr>
        <w:widowControl/>
        <w:jc w:val="left"/>
        <w:rPr>
          <w:rFonts w:ascii="仿宋" w:eastAsia="仿宋" w:hAnsi="仿宋"/>
          <w:b/>
          <w:sz w:val="40"/>
        </w:rPr>
      </w:pPr>
    </w:p>
    <w:p w:rsidR="002B3133" w:rsidRPr="002B313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3133">
        <w:rPr>
          <w:rFonts w:ascii="宋体" w:eastAsia="宋体" w:hAnsi="宋体" w:hint="eastAsia"/>
          <w:b/>
          <w:sz w:val="60"/>
        </w:rPr>
        <w:t>特种油墨行业可行性报告</w:t>
      </w:r>
    </w:p>
    <w:p w:rsidR="002B3133" w:rsidP="002B3133">
      <w:pPr>
        <w:widowControl/>
        <w:jc w:val="center"/>
        <w:rPr>
          <w:rFonts w:ascii="仿宋" w:eastAsia="仿宋" w:hAnsi="仿宋" w:hint="eastAsia"/>
          <w:b/>
          <w:sz w:val="40"/>
        </w:rPr>
      </w:pPr>
      <w:r w:rsidRPr="002B3133">
        <w:rPr>
          <w:rFonts w:ascii="仿宋" w:eastAsia="仿宋" w:hAnsi="仿宋" w:hint="eastAsia"/>
          <w:b/>
          <w:sz w:val="40"/>
        </w:rPr>
        <w:t>目录</w:t>
      </w:r>
    </w:p>
    <w:p w:rsidR="002B3133">
      <w:pPr>
        <w:pStyle w:val="TOC1"/>
        <w:tabs>
          <w:tab w:val="right" w:leader="dot" w:pos="8296"/>
        </w:tabs>
        <w:rPr>
          <w:noProof/>
        </w:rPr>
      </w:pPr>
      <w:r>
        <w:fldChar w:fldCharType="begin"/>
      </w:r>
      <w:r>
        <w:instrText xml:space="preserve"> TOC \o "1-9" </w:instrText>
      </w:r>
      <w:r>
        <w:fldChar w:fldCharType="separate"/>
      </w:r>
      <w:r>
        <w:rPr>
          <w:rFonts w:hint="eastAsia"/>
          <w:noProof/>
        </w:rPr>
        <w:t>概述</w:t>
      </w:r>
      <w:r>
        <w:rPr>
          <w:noProof/>
        </w:rPr>
        <w:tab/>
      </w:r>
      <w:r>
        <w:rPr>
          <w:noProof/>
        </w:rPr>
        <w:fldChar w:fldCharType="begin"/>
      </w:r>
      <w:r>
        <w:rPr>
          <w:noProof/>
        </w:rPr>
        <w:instrText xml:space="preserve"> PAGEREF _Toc152518161 \h </w:instrText>
      </w:r>
      <w:r>
        <w:rPr>
          <w:noProof/>
        </w:rPr>
        <w:fldChar w:fldCharType="separate"/>
      </w:r>
      <w:r>
        <w:rPr>
          <w:noProof/>
        </w:rPr>
        <w:t>3</w:t>
      </w:r>
      <w:r>
        <w:rPr>
          <w:noProof/>
        </w:rPr>
        <w:fldChar w:fldCharType="end"/>
      </w:r>
    </w:p>
    <w:p w:rsidR="002B3133">
      <w:pPr>
        <w:pStyle w:val="TOC1"/>
        <w:tabs>
          <w:tab w:val="right" w:leader="dot" w:pos="8296"/>
        </w:tabs>
        <w:rPr>
          <w:noProof/>
        </w:rPr>
      </w:pPr>
      <w:r>
        <w:rPr>
          <w:rFonts w:hint="eastAsia"/>
          <w:noProof/>
        </w:rPr>
        <w:t>一、特种油墨项目投资估算与资金筹措</w:t>
      </w:r>
      <w:r>
        <w:rPr>
          <w:noProof/>
        </w:rPr>
        <w:tab/>
      </w:r>
      <w:r>
        <w:rPr>
          <w:noProof/>
        </w:rPr>
        <w:fldChar w:fldCharType="begin"/>
      </w:r>
      <w:r>
        <w:rPr>
          <w:noProof/>
        </w:rPr>
        <w:instrText xml:space="preserve"> PAGEREF _Toc152518162 \h </w:instrText>
      </w:r>
      <w:r>
        <w:rPr>
          <w:noProof/>
        </w:rPr>
        <w:fldChar w:fldCharType="separate"/>
      </w:r>
      <w:r>
        <w:rPr>
          <w:noProof/>
        </w:rPr>
        <w:t>3</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、投资估算依据和说明</w:t>
      </w:r>
      <w:r>
        <w:rPr>
          <w:noProof/>
        </w:rPr>
        <w:tab/>
      </w:r>
      <w:r>
        <w:rPr>
          <w:noProof/>
        </w:rPr>
        <w:fldChar w:fldCharType="begin"/>
      </w:r>
      <w:r>
        <w:rPr>
          <w:noProof/>
        </w:rPr>
        <w:instrText xml:space="preserve"> PAGEREF _Toc152518163 \h </w:instrText>
      </w:r>
      <w:r>
        <w:rPr>
          <w:noProof/>
        </w:rPr>
        <w:fldChar w:fldCharType="separate"/>
      </w:r>
      <w:r>
        <w:rPr>
          <w:noProof/>
        </w:rPr>
        <w:t>3</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、资金筹措</w:t>
      </w:r>
      <w:r>
        <w:rPr>
          <w:noProof/>
        </w:rPr>
        <w:tab/>
      </w:r>
      <w:r>
        <w:rPr>
          <w:noProof/>
        </w:rPr>
        <w:fldChar w:fldCharType="begin"/>
      </w:r>
      <w:r>
        <w:rPr>
          <w:noProof/>
        </w:rPr>
        <w:instrText xml:space="preserve"> PAGEREF _Toc152518164 \h </w:instrText>
      </w:r>
      <w:r>
        <w:rPr>
          <w:noProof/>
        </w:rPr>
        <w:fldChar w:fldCharType="separate"/>
      </w:r>
      <w:r>
        <w:rPr>
          <w:noProof/>
        </w:rPr>
        <w:t>4</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、资金使用计划</w:t>
      </w:r>
      <w:r>
        <w:rPr>
          <w:noProof/>
        </w:rPr>
        <w:tab/>
      </w:r>
      <w:r>
        <w:rPr>
          <w:noProof/>
        </w:rPr>
        <w:fldChar w:fldCharType="begin"/>
      </w:r>
      <w:r>
        <w:rPr>
          <w:noProof/>
        </w:rPr>
        <w:instrText xml:space="preserve"> PAGEREF _Toc152518165 \h </w:instrText>
      </w:r>
      <w:r>
        <w:rPr>
          <w:noProof/>
        </w:rPr>
        <w:fldChar w:fldCharType="separate"/>
      </w:r>
      <w:r>
        <w:rPr>
          <w:noProof/>
        </w:rPr>
        <w:t>4</w:t>
      </w:r>
      <w:r>
        <w:rPr>
          <w:noProof/>
        </w:rPr>
        <w:fldChar w:fldCharType="end"/>
      </w:r>
    </w:p>
    <w:p w:rsidR="002B3133">
      <w:pPr>
        <w:pStyle w:val="TOC2"/>
        <w:tabs>
          <w:tab w:val="right" w:leader="dot" w:pos="8296"/>
        </w:tabs>
        <w:rPr>
          <w:noProof/>
        </w:rPr>
      </w:pPr>
      <w:r>
        <w:rPr>
          <w:noProof/>
        </w:rPr>
        <w:t>(</w:t>
      </w:r>
      <w:r>
        <w:rPr>
          <w:rFonts w:hint="eastAsia"/>
          <w:noProof/>
        </w:rPr>
        <w:t>四</w:t>
      </w:r>
      <w:r>
        <w:rPr>
          <w:noProof/>
        </w:rPr>
        <w:t>)</w:t>
      </w:r>
      <w:r>
        <w:rPr>
          <w:rFonts w:hint="eastAsia"/>
          <w:noProof/>
        </w:rPr>
        <w:t>、特种油墨项目经济评价</w:t>
      </w:r>
      <w:r>
        <w:rPr>
          <w:noProof/>
        </w:rPr>
        <w:tab/>
      </w:r>
      <w:r>
        <w:rPr>
          <w:noProof/>
        </w:rPr>
        <w:fldChar w:fldCharType="begin"/>
      </w:r>
      <w:r>
        <w:rPr>
          <w:noProof/>
        </w:rPr>
        <w:instrText xml:space="preserve"> PAGEREF _Toc152518166 \h </w:instrText>
      </w:r>
      <w:r>
        <w:rPr>
          <w:noProof/>
        </w:rPr>
        <w:fldChar w:fldCharType="separate"/>
      </w:r>
      <w:r>
        <w:rPr>
          <w:noProof/>
        </w:rPr>
        <w:t>4</w:t>
      </w:r>
      <w:r>
        <w:rPr>
          <w:noProof/>
        </w:rPr>
        <w:fldChar w:fldCharType="end"/>
      </w:r>
    </w:p>
    <w:p w:rsidR="002B3133">
      <w:pPr>
        <w:pStyle w:val="TOC1"/>
        <w:tabs>
          <w:tab w:val="right" w:leader="dot" w:pos="8296"/>
        </w:tabs>
        <w:rPr>
          <w:noProof/>
        </w:rPr>
      </w:pPr>
      <w:r>
        <w:rPr>
          <w:rFonts w:hint="eastAsia"/>
          <w:noProof/>
        </w:rPr>
        <w:t>二、客户服务和消费者权益保护</w:t>
      </w:r>
      <w:r>
        <w:rPr>
          <w:noProof/>
        </w:rPr>
        <w:tab/>
      </w:r>
      <w:r>
        <w:rPr>
          <w:noProof/>
        </w:rPr>
        <w:fldChar w:fldCharType="begin"/>
      </w:r>
      <w:r>
        <w:rPr>
          <w:noProof/>
        </w:rPr>
        <w:instrText xml:space="preserve"> PAGEREF _Toc152518167 \h </w:instrText>
      </w:r>
      <w:r>
        <w:rPr>
          <w:noProof/>
        </w:rPr>
        <w:fldChar w:fldCharType="separate"/>
      </w:r>
      <w:r>
        <w:rPr>
          <w:noProof/>
        </w:rPr>
        <w:t>5</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_Toc152518168 \h </w:instrText>
      </w:r>
      <w:r>
        <w:rPr>
          <w:noProof/>
        </w:rPr>
        <w:fldChar w:fldCharType="separate"/>
      </w:r>
      <w:r>
        <w:rPr>
          <w:noProof/>
        </w:rPr>
        <w:t>5</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_Toc152518169 \h </w:instrText>
      </w:r>
      <w:r>
        <w:rPr>
          <w:noProof/>
        </w:rPr>
        <w:fldChar w:fldCharType="separate"/>
      </w:r>
      <w:r>
        <w:rPr>
          <w:noProof/>
        </w:rPr>
        <w:t>7</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_Toc152518170 \h </w:instrText>
      </w:r>
      <w:r>
        <w:rPr>
          <w:noProof/>
        </w:rPr>
        <w:fldChar w:fldCharType="separate"/>
      </w:r>
      <w:r>
        <w:rPr>
          <w:noProof/>
        </w:rPr>
        <w:t>8</w:t>
      </w:r>
      <w:r>
        <w:rPr>
          <w:noProof/>
        </w:rPr>
        <w:fldChar w:fldCharType="end"/>
      </w:r>
    </w:p>
    <w:p w:rsidR="002B3133">
      <w:pPr>
        <w:pStyle w:val="TOC1"/>
        <w:tabs>
          <w:tab w:val="right" w:leader="dot" w:pos="8296"/>
        </w:tabs>
        <w:rPr>
          <w:noProof/>
        </w:rPr>
      </w:pPr>
      <w:r>
        <w:rPr>
          <w:rFonts w:hint="eastAsia"/>
          <w:noProof/>
        </w:rPr>
        <w:t>三、物资采购和管理</w:t>
      </w:r>
      <w:r>
        <w:rPr>
          <w:noProof/>
        </w:rPr>
        <w:tab/>
      </w:r>
      <w:r>
        <w:rPr>
          <w:noProof/>
        </w:rPr>
        <w:fldChar w:fldCharType="begin"/>
      </w:r>
      <w:r>
        <w:rPr>
          <w:noProof/>
        </w:rPr>
        <w:instrText xml:space="preserve"> PAGEREF _Toc152518171 \h </w:instrText>
      </w:r>
      <w:r>
        <w:rPr>
          <w:noProof/>
        </w:rPr>
        <w:fldChar w:fldCharType="separate"/>
      </w:r>
      <w:r>
        <w:rPr>
          <w:noProof/>
        </w:rPr>
        <w:t>10</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、物资采购的程序和标准</w:t>
      </w:r>
      <w:r>
        <w:rPr>
          <w:noProof/>
        </w:rPr>
        <w:tab/>
      </w:r>
      <w:r>
        <w:rPr>
          <w:noProof/>
        </w:rPr>
        <w:fldChar w:fldCharType="begin"/>
      </w:r>
      <w:r>
        <w:rPr>
          <w:noProof/>
        </w:rPr>
        <w:instrText xml:space="preserve"> PAGEREF _Toc152518172 \h </w:instrText>
      </w:r>
      <w:r>
        <w:rPr>
          <w:noProof/>
        </w:rPr>
        <w:fldChar w:fldCharType="separate"/>
      </w:r>
      <w:r>
        <w:rPr>
          <w:noProof/>
        </w:rPr>
        <w:t>10</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、物资管理的措施和办法</w:t>
      </w:r>
      <w:r>
        <w:rPr>
          <w:noProof/>
        </w:rPr>
        <w:tab/>
      </w:r>
      <w:r>
        <w:rPr>
          <w:noProof/>
        </w:rPr>
        <w:fldChar w:fldCharType="begin"/>
      </w:r>
      <w:r>
        <w:rPr>
          <w:noProof/>
        </w:rPr>
        <w:instrText xml:space="preserve"> PAGEREF _Toc152518173 \h </w:instrText>
      </w:r>
      <w:r>
        <w:rPr>
          <w:noProof/>
        </w:rPr>
        <w:fldChar w:fldCharType="separate"/>
      </w:r>
      <w:r>
        <w:rPr>
          <w:noProof/>
        </w:rPr>
        <w:t>11</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、物资质量和库存的控制和监督</w:t>
      </w:r>
      <w:r>
        <w:rPr>
          <w:noProof/>
        </w:rPr>
        <w:tab/>
      </w:r>
      <w:r>
        <w:rPr>
          <w:noProof/>
        </w:rPr>
        <w:fldChar w:fldCharType="begin"/>
      </w:r>
      <w:r>
        <w:rPr>
          <w:noProof/>
        </w:rPr>
        <w:instrText xml:space="preserve"> PAGEREF _Toc152518174 \h </w:instrText>
      </w:r>
      <w:r>
        <w:rPr>
          <w:noProof/>
        </w:rPr>
        <w:fldChar w:fldCharType="separate"/>
      </w:r>
      <w:r>
        <w:rPr>
          <w:noProof/>
        </w:rPr>
        <w:t>13</w:t>
      </w:r>
      <w:r>
        <w:rPr>
          <w:noProof/>
        </w:rPr>
        <w:fldChar w:fldCharType="end"/>
      </w:r>
    </w:p>
    <w:p w:rsidR="002B3133">
      <w:pPr>
        <w:pStyle w:val="TOC1"/>
        <w:tabs>
          <w:tab w:val="right" w:leader="dot" w:pos="8296"/>
        </w:tabs>
        <w:rPr>
          <w:noProof/>
        </w:rPr>
      </w:pPr>
      <w:r>
        <w:rPr>
          <w:rFonts w:hint="eastAsia"/>
          <w:noProof/>
        </w:rPr>
        <w:t>四、创新商业模式和价值创造</w:t>
      </w:r>
      <w:r>
        <w:rPr>
          <w:noProof/>
        </w:rPr>
        <w:tab/>
      </w:r>
      <w:r>
        <w:rPr>
          <w:noProof/>
        </w:rPr>
        <w:fldChar w:fldCharType="begin"/>
      </w:r>
      <w:r>
        <w:rPr>
          <w:noProof/>
        </w:rPr>
        <w:instrText xml:space="preserve"> PAGEREF _Toc152518175 \h </w:instrText>
      </w:r>
      <w:r>
        <w:rPr>
          <w:noProof/>
        </w:rPr>
        <w:fldChar w:fldCharType="separate"/>
      </w:r>
      <w:r>
        <w:rPr>
          <w:noProof/>
        </w:rPr>
        <w:t>14</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、创新商业模式的介绍和实例分析</w:t>
      </w:r>
      <w:r>
        <w:rPr>
          <w:noProof/>
        </w:rPr>
        <w:tab/>
      </w:r>
      <w:r>
        <w:rPr>
          <w:noProof/>
        </w:rPr>
        <w:fldChar w:fldCharType="begin"/>
      </w:r>
      <w:r>
        <w:rPr>
          <w:noProof/>
        </w:rPr>
        <w:instrText xml:space="preserve"> PAGEREF _Toc152518176 \h </w:instrText>
      </w:r>
      <w:r>
        <w:rPr>
          <w:noProof/>
        </w:rPr>
        <w:fldChar w:fldCharType="separate"/>
      </w:r>
      <w:r>
        <w:rPr>
          <w:noProof/>
        </w:rPr>
        <w:t>14</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、商业模式创新对特种油墨项目价值的影响</w:t>
      </w:r>
      <w:r>
        <w:rPr>
          <w:noProof/>
        </w:rPr>
        <w:tab/>
      </w:r>
      <w:r>
        <w:rPr>
          <w:noProof/>
        </w:rPr>
        <w:fldChar w:fldCharType="begin"/>
      </w:r>
      <w:r>
        <w:rPr>
          <w:noProof/>
        </w:rPr>
        <w:instrText xml:space="preserve"> PAGEREF _Toc152518177 \h </w:instrText>
      </w:r>
      <w:r>
        <w:rPr>
          <w:noProof/>
        </w:rPr>
        <w:fldChar w:fldCharType="separate"/>
      </w:r>
      <w:r>
        <w:rPr>
          <w:noProof/>
        </w:rPr>
        <w:t>15</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、商业模式持续创新和迭代发展的策略</w:t>
      </w:r>
      <w:r>
        <w:rPr>
          <w:noProof/>
        </w:rPr>
        <w:tab/>
      </w:r>
      <w:r>
        <w:rPr>
          <w:noProof/>
        </w:rPr>
        <w:fldChar w:fldCharType="begin"/>
      </w:r>
      <w:r>
        <w:rPr>
          <w:noProof/>
        </w:rPr>
        <w:instrText xml:space="preserve"> PAGEREF _Toc152518178 \h </w:instrText>
      </w:r>
      <w:r>
        <w:rPr>
          <w:noProof/>
        </w:rPr>
        <w:fldChar w:fldCharType="separate"/>
      </w:r>
      <w:r>
        <w:rPr>
          <w:noProof/>
        </w:rPr>
        <w:t>16</w:t>
      </w:r>
      <w:r>
        <w:rPr>
          <w:noProof/>
        </w:rPr>
        <w:fldChar w:fldCharType="end"/>
      </w:r>
    </w:p>
    <w:p w:rsidR="002B3133">
      <w:pPr>
        <w:pStyle w:val="TOC1"/>
        <w:tabs>
          <w:tab w:val="right" w:leader="dot" w:pos="8296"/>
        </w:tabs>
        <w:rPr>
          <w:noProof/>
        </w:rPr>
      </w:pPr>
      <w:r>
        <w:rPr>
          <w:rFonts w:hint="eastAsia"/>
          <w:noProof/>
        </w:rPr>
        <w:t>五、产品定价和销售策略</w:t>
      </w:r>
      <w:r>
        <w:rPr>
          <w:noProof/>
        </w:rPr>
        <w:tab/>
      </w:r>
      <w:r>
        <w:rPr>
          <w:noProof/>
        </w:rPr>
        <w:fldChar w:fldCharType="begin"/>
      </w:r>
      <w:r>
        <w:rPr>
          <w:noProof/>
        </w:rPr>
        <w:instrText xml:space="preserve"> PAGEREF _Toc152518179 \h </w:instrText>
      </w:r>
      <w:r>
        <w:rPr>
          <w:noProof/>
        </w:rPr>
        <w:fldChar w:fldCharType="separate"/>
      </w:r>
      <w:r>
        <w:rPr>
          <w:noProof/>
        </w:rPr>
        <w:t>17</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、产品定价的原则和策略</w:t>
      </w:r>
      <w:r>
        <w:rPr>
          <w:noProof/>
        </w:rPr>
        <w:tab/>
      </w:r>
      <w:r>
        <w:rPr>
          <w:noProof/>
        </w:rPr>
        <w:fldChar w:fldCharType="begin"/>
      </w:r>
      <w:r>
        <w:rPr>
          <w:noProof/>
        </w:rPr>
        <w:instrText xml:space="preserve"> PAGEREF _Toc152518180 \h </w:instrText>
      </w:r>
      <w:r>
        <w:rPr>
          <w:noProof/>
        </w:rPr>
        <w:fldChar w:fldCharType="separate"/>
      </w:r>
      <w:r>
        <w:rPr>
          <w:noProof/>
        </w:rPr>
        <w:t>17</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、销售渠道的选择和拓展</w:t>
      </w:r>
      <w:r>
        <w:rPr>
          <w:noProof/>
        </w:rPr>
        <w:tab/>
      </w:r>
      <w:r>
        <w:rPr>
          <w:noProof/>
        </w:rPr>
        <w:fldChar w:fldCharType="begin"/>
      </w:r>
      <w:r>
        <w:rPr>
          <w:noProof/>
        </w:rPr>
        <w:instrText xml:space="preserve"> PAGEREF _Toc152518181 \h </w:instrText>
      </w:r>
      <w:r>
        <w:rPr>
          <w:noProof/>
        </w:rPr>
        <w:fldChar w:fldCharType="separate"/>
      </w:r>
      <w:r>
        <w:rPr>
          <w:noProof/>
        </w:rPr>
        <w:t>19</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、销售促进和营销活动的策划和实施</w:t>
      </w:r>
      <w:r>
        <w:rPr>
          <w:noProof/>
        </w:rPr>
        <w:tab/>
      </w:r>
      <w:r>
        <w:rPr>
          <w:noProof/>
        </w:rPr>
        <w:fldChar w:fldCharType="begin"/>
      </w:r>
      <w:r>
        <w:rPr>
          <w:noProof/>
        </w:rPr>
        <w:instrText xml:space="preserve"> PAGEREF _Toc152518182 \h </w:instrText>
      </w:r>
      <w:r>
        <w:rPr>
          <w:noProof/>
        </w:rPr>
        <w:fldChar w:fldCharType="separate"/>
      </w:r>
      <w:r>
        <w:rPr>
          <w:noProof/>
        </w:rPr>
        <w:t>20</w:t>
      </w:r>
      <w:r>
        <w:rPr>
          <w:noProof/>
        </w:rPr>
        <w:fldChar w:fldCharType="end"/>
      </w:r>
    </w:p>
    <w:p w:rsidR="002B3133">
      <w:pPr>
        <w:pStyle w:val="TOC1"/>
        <w:tabs>
          <w:tab w:val="right" w:leader="dot" w:pos="8296"/>
        </w:tabs>
        <w:rPr>
          <w:noProof/>
        </w:rPr>
      </w:pPr>
      <w:r>
        <w:rPr>
          <w:rFonts w:hint="eastAsia"/>
          <w:noProof/>
        </w:rPr>
        <w:t>六、可行性结论</w:t>
      </w:r>
      <w:r>
        <w:rPr>
          <w:noProof/>
        </w:rPr>
        <w:tab/>
      </w:r>
      <w:r>
        <w:rPr>
          <w:noProof/>
        </w:rPr>
        <w:fldChar w:fldCharType="begin"/>
      </w:r>
      <w:r>
        <w:rPr>
          <w:noProof/>
        </w:rPr>
        <w:instrText xml:space="preserve"> PAGEREF _Toc152518183 \h </w:instrText>
      </w:r>
      <w:r>
        <w:rPr>
          <w:noProof/>
        </w:rPr>
        <w:fldChar w:fldCharType="separate"/>
      </w:r>
      <w:r>
        <w:rPr>
          <w:noProof/>
        </w:rPr>
        <w:t>22</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、技术可行性总结</w:t>
      </w:r>
      <w:r>
        <w:rPr>
          <w:noProof/>
        </w:rPr>
        <w:tab/>
      </w:r>
      <w:r>
        <w:rPr>
          <w:noProof/>
        </w:rPr>
        <w:fldChar w:fldCharType="begin"/>
      </w:r>
      <w:r>
        <w:rPr>
          <w:noProof/>
        </w:rPr>
        <w:instrText xml:space="preserve"> PAGEREF _Toc152518184 \h </w:instrText>
      </w:r>
      <w:r>
        <w:rPr>
          <w:noProof/>
        </w:rPr>
        <w:fldChar w:fldCharType="separate"/>
      </w:r>
      <w:r>
        <w:rPr>
          <w:noProof/>
        </w:rPr>
        <w:t>22</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、经济可行性总结</w:t>
      </w:r>
      <w:r>
        <w:rPr>
          <w:noProof/>
        </w:rPr>
        <w:tab/>
      </w:r>
      <w:r>
        <w:rPr>
          <w:noProof/>
        </w:rPr>
        <w:fldChar w:fldCharType="begin"/>
      </w:r>
      <w:r>
        <w:rPr>
          <w:noProof/>
        </w:rPr>
        <w:instrText xml:space="preserve"> PAGEREF _Toc152518185 \h </w:instrText>
      </w:r>
      <w:r>
        <w:rPr>
          <w:noProof/>
        </w:rPr>
        <w:fldChar w:fldCharType="separate"/>
      </w:r>
      <w:r>
        <w:rPr>
          <w:noProof/>
        </w:rPr>
        <w:t>23</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、法律与政策可行性总结</w:t>
      </w:r>
      <w:r>
        <w:rPr>
          <w:noProof/>
        </w:rPr>
        <w:tab/>
      </w:r>
      <w:r>
        <w:rPr>
          <w:noProof/>
        </w:rPr>
        <w:fldChar w:fldCharType="begin"/>
      </w:r>
      <w:r>
        <w:rPr>
          <w:noProof/>
        </w:rPr>
        <w:instrText xml:space="preserve"> PAGEREF _Toc152518186 \h </w:instrText>
      </w:r>
      <w:r>
        <w:rPr>
          <w:noProof/>
        </w:rPr>
        <w:fldChar w:fldCharType="separate"/>
      </w:r>
      <w:r>
        <w:rPr>
          <w:noProof/>
        </w:rPr>
        <w:t>23</w:t>
      </w:r>
      <w:r>
        <w:rPr>
          <w:noProof/>
        </w:rPr>
        <w:fldChar w:fldCharType="end"/>
      </w:r>
    </w:p>
    <w:p w:rsidR="002B3133">
      <w:pPr>
        <w:pStyle w:val="TOC2"/>
        <w:tabs>
          <w:tab w:val="right" w:leader="dot" w:pos="8296"/>
        </w:tabs>
        <w:rPr>
          <w:noProof/>
        </w:rPr>
      </w:pPr>
      <w:r>
        <w:rPr>
          <w:noProof/>
        </w:rPr>
        <w:t>(</w:t>
      </w:r>
      <w:r>
        <w:rPr>
          <w:rFonts w:hint="eastAsia"/>
          <w:noProof/>
        </w:rPr>
        <w:t>四</w:t>
      </w:r>
      <w:r>
        <w:rPr>
          <w:noProof/>
        </w:rPr>
        <w:t>)</w:t>
      </w:r>
      <w:r>
        <w:rPr>
          <w:rFonts w:hint="eastAsia"/>
          <w:noProof/>
        </w:rPr>
        <w:t>、风险评估总结</w:t>
      </w:r>
      <w:r>
        <w:rPr>
          <w:noProof/>
        </w:rPr>
        <w:tab/>
      </w:r>
      <w:r>
        <w:rPr>
          <w:noProof/>
        </w:rPr>
        <w:fldChar w:fldCharType="begin"/>
      </w:r>
      <w:r>
        <w:rPr>
          <w:noProof/>
        </w:rPr>
        <w:instrText xml:space="preserve"> PAGEREF _Toc152518187 \h </w:instrText>
      </w:r>
      <w:r>
        <w:rPr>
          <w:noProof/>
        </w:rPr>
        <w:fldChar w:fldCharType="separate"/>
      </w:r>
      <w:r>
        <w:rPr>
          <w:noProof/>
        </w:rPr>
        <w:t>24</w:t>
      </w:r>
      <w:r>
        <w:rPr>
          <w:noProof/>
        </w:rPr>
        <w:fldChar w:fldCharType="end"/>
      </w:r>
    </w:p>
    <w:p w:rsidR="002B3133">
      <w:pPr>
        <w:pStyle w:val="TOC1"/>
        <w:tabs>
          <w:tab w:val="right" w:leader="dot" w:pos="8296"/>
        </w:tabs>
        <w:rPr>
          <w:noProof/>
        </w:rPr>
      </w:pPr>
      <w:r>
        <w:rPr>
          <w:rFonts w:hint="eastAsia"/>
          <w:noProof/>
        </w:rPr>
        <w:t>七、数字化转型和智能化升级</w:t>
      </w:r>
      <w:r>
        <w:rPr>
          <w:noProof/>
        </w:rPr>
        <w:tab/>
      </w:r>
      <w:r>
        <w:rPr>
          <w:noProof/>
        </w:rPr>
        <w:fldChar w:fldCharType="begin"/>
      </w:r>
      <w:r>
        <w:rPr>
          <w:noProof/>
        </w:rPr>
        <w:instrText xml:space="preserve"> PAGEREF _Toc152518188 \h </w:instrText>
      </w:r>
      <w:r>
        <w:rPr>
          <w:noProof/>
        </w:rPr>
        <w:fldChar w:fldCharType="separate"/>
      </w:r>
      <w:r>
        <w:rPr>
          <w:noProof/>
        </w:rPr>
        <w:t>25</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、数字化转型和智能化升级的概念和实践</w:t>
      </w:r>
      <w:r>
        <w:rPr>
          <w:noProof/>
        </w:rPr>
        <w:tab/>
      </w:r>
      <w:r>
        <w:rPr>
          <w:noProof/>
        </w:rPr>
        <w:fldChar w:fldCharType="begin"/>
      </w:r>
      <w:r>
        <w:rPr>
          <w:noProof/>
        </w:rPr>
        <w:instrText xml:space="preserve"> PAGEREF _Toc152518189 \h </w:instrText>
      </w:r>
      <w:r>
        <w:rPr>
          <w:noProof/>
        </w:rPr>
        <w:fldChar w:fldCharType="separate"/>
      </w:r>
      <w:r>
        <w:rPr>
          <w:noProof/>
        </w:rPr>
        <w:t>25</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、数字化和智能化对特种油墨项目发展的影响和前景</w:t>
      </w:r>
      <w:r>
        <w:rPr>
          <w:noProof/>
        </w:rPr>
        <w:tab/>
      </w:r>
      <w:r>
        <w:rPr>
          <w:noProof/>
        </w:rPr>
        <w:fldChar w:fldCharType="begin"/>
      </w:r>
      <w:r>
        <w:rPr>
          <w:noProof/>
        </w:rPr>
        <w:instrText xml:space="preserve"> PAGEREF _Toc152518190 \h </w:instrText>
      </w:r>
      <w:r>
        <w:rPr>
          <w:noProof/>
        </w:rPr>
        <w:fldChar w:fldCharType="separate"/>
      </w:r>
      <w:r>
        <w:rPr>
          <w:noProof/>
        </w:rPr>
        <w:t>26</w:t>
      </w:r>
      <w:r>
        <w:rPr>
          <w:noProof/>
        </w:rPr>
        <w:fldChar w:fldCharType="end"/>
      </w:r>
    </w:p>
    <w:p w:rsidR="002B3133">
      <w:pPr>
        <w:pStyle w:val="TOC1"/>
        <w:tabs>
          <w:tab w:val="right" w:leader="dot" w:pos="8296"/>
        </w:tabs>
        <w:rPr>
          <w:noProof/>
        </w:rPr>
      </w:pPr>
      <w:r>
        <w:rPr>
          <w:rFonts w:hint="eastAsia"/>
          <w:noProof/>
        </w:rPr>
        <w:t>八、未来发展趋势和战略规划</w:t>
      </w:r>
      <w:r>
        <w:rPr>
          <w:noProof/>
        </w:rPr>
        <w:tab/>
      </w:r>
      <w:r>
        <w:rPr>
          <w:noProof/>
        </w:rPr>
        <w:fldChar w:fldCharType="begin"/>
      </w:r>
      <w:r>
        <w:rPr>
          <w:noProof/>
        </w:rPr>
        <w:instrText xml:space="preserve"> PAGEREF _Toc152518191 \h </w:instrText>
      </w:r>
      <w:r>
        <w:rPr>
          <w:noProof/>
        </w:rPr>
        <w:fldChar w:fldCharType="separate"/>
      </w:r>
      <w:r>
        <w:rPr>
          <w:noProof/>
        </w:rPr>
        <w:t>27</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、特种油墨行业未来发展趋势的预测</w:t>
      </w:r>
      <w:r>
        <w:rPr>
          <w:noProof/>
        </w:rPr>
        <w:tab/>
      </w:r>
      <w:r>
        <w:rPr>
          <w:noProof/>
        </w:rPr>
        <w:fldChar w:fldCharType="begin"/>
      </w:r>
      <w:r>
        <w:rPr>
          <w:noProof/>
        </w:rPr>
        <w:instrText xml:space="preserve"> PAGEREF _Toc152518192 \h </w:instrText>
      </w:r>
      <w:r>
        <w:rPr>
          <w:noProof/>
        </w:rPr>
        <w:fldChar w:fldCharType="separate"/>
      </w:r>
      <w:r>
        <w:rPr>
          <w:noProof/>
        </w:rPr>
        <w:t>27</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、特种油墨项目产品在未来的发展和规划</w:t>
      </w:r>
      <w:r>
        <w:rPr>
          <w:noProof/>
        </w:rPr>
        <w:tab/>
      </w:r>
      <w:r>
        <w:rPr>
          <w:noProof/>
        </w:rPr>
        <w:fldChar w:fldCharType="begin"/>
      </w:r>
      <w:r>
        <w:rPr>
          <w:noProof/>
        </w:rPr>
        <w:instrText xml:space="preserve"> PAGEREF _Toc152518193 \h </w:instrText>
      </w:r>
      <w:r>
        <w:rPr>
          <w:noProof/>
        </w:rPr>
        <w:fldChar w:fldCharType="separate"/>
      </w:r>
      <w:r>
        <w:rPr>
          <w:noProof/>
        </w:rPr>
        <w:t>28</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、特种油墨项目的战略规划和实施方案</w:t>
      </w:r>
      <w:r>
        <w:rPr>
          <w:noProof/>
        </w:rPr>
        <w:tab/>
      </w:r>
      <w:r>
        <w:rPr>
          <w:noProof/>
        </w:rPr>
        <w:fldChar w:fldCharType="begin"/>
      </w:r>
      <w:r>
        <w:rPr>
          <w:noProof/>
        </w:rPr>
        <w:instrText xml:space="preserve"> PAGEREF _Toc152518194 \h </w:instrText>
      </w:r>
      <w:r>
        <w:rPr>
          <w:noProof/>
        </w:rPr>
        <w:fldChar w:fldCharType="separate"/>
      </w:r>
      <w:r>
        <w:rPr>
          <w:noProof/>
        </w:rPr>
        <w:t>30</w:t>
      </w:r>
      <w:r>
        <w:rPr>
          <w:noProof/>
        </w:rPr>
        <w:fldChar w:fldCharType="end"/>
      </w:r>
    </w:p>
    <w:p w:rsidR="002B3133">
      <w:pPr>
        <w:pStyle w:val="TOC1"/>
        <w:tabs>
          <w:tab w:val="right" w:leader="dot" w:pos="8296"/>
        </w:tabs>
        <w:rPr>
          <w:noProof/>
        </w:rPr>
      </w:pPr>
      <w:r>
        <w:rPr>
          <w:rFonts w:hint="eastAsia"/>
          <w:noProof/>
        </w:rPr>
        <w:t>九、特种油墨在可持续发展中的角色</w:t>
      </w:r>
      <w:r>
        <w:rPr>
          <w:noProof/>
        </w:rPr>
        <w:tab/>
      </w:r>
      <w:r>
        <w:rPr>
          <w:noProof/>
        </w:rPr>
        <w:fldChar w:fldCharType="begin"/>
      </w:r>
      <w:r>
        <w:rPr>
          <w:noProof/>
        </w:rPr>
        <w:instrText xml:space="preserve"> PAGEREF _Toc152518195 \h </w:instrText>
      </w:r>
      <w:r>
        <w:rPr>
          <w:noProof/>
        </w:rPr>
        <w:fldChar w:fldCharType="separate"/>
      </w:r>
      <w:r>
        <w:rPr>
          <w:noProof/>
        </w:rPr>
        <w:t>31</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、特种油墨对可持续发展目标的贡献</w:t>
      </w:r>
      <w:r>
        <w:rPr>
          <w:noProof/>
        </w:rPr>
        <w:tab/>
      </w:r>
      <w:r>
        <w:rPr>
          <w:noProof/>
        </w:rPr>
        <w:fldChar w:fldCharType="begin"/>
      </w:r>
      <w:r>
        <w:rPr>
          <w:noProof/>
        </w:rPr>
        <w:instrText xml:space="preserve"> PAGEREF _Toc152518196 \h </w:instrText>
      </w:r>
      <w:r>
        <w:rPr>
          <w:noProof/>
        </w:rPr>
        <w:fldChar w:fldCharType="separate"/>
      </w:r>
      <w:r>
        <w:rPr>
          <w:noProof/>
        </w:rPr>
        <w:t>31</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、特种油墨可持续性创新的潜力</w:t>
      </w:r>
      <w:r>
        <w:rPr>
          <w:noProof/>
        </w:rPr>
        <w:tab/>
      </w:r>
      <w:r>
        <w:rPr>
          <w:noProof/>
        </w:rPr>
        <w:fldChar w:fldCharType="begin"/>
      </w:r>
      <w:r>
        <w:rPr>
          <w:noProof/>
        </w:rPr>
        <w:instrText xml:space="preserve"> PAGEREF _Toc152518197 \h </w:instrText>
      </w:r>
      <w:r>
        <w:rPr>
          <w:noProof/>
        </w:rPr>
        <w:fldChar w:fldCharType="separate"/>
      </w:r>
      <w:r>
        <w:rPr>
          <w:noProof/>
        </w:rPr>
        <w:t>32</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、特种油墨可持续性实践的社会影响</w:t>
      </w:r>
      <w:r>
        <w:rPr>
          <w:noProof/>
        </w:rPr>
        <w:tab/>
      </w:r>
      <w:r>
        <w:rPr>
          <w:noProof/>
        </w:rPr>
        <w:fldChar w:fldCharType="begin"/>
      </w:r>
      <w:r>
        <w:rPr>
          <w:noProof/>
        </w:rPr>
        <w:instrText xml:space="preserve"> PAGEREF _Toc152518198 \h </w:instrText>
      </w:r>
      <w:r>
        <w:rPr>
          <w:noProof/>
        </w:rPr>
        <w:fldChar w:fldCharType="separate"/>
      </w:r>
      <w:r>
        <w:rPr>
          <w:noProof/>
        </w:rPr>
        <w:t>33</w:t>
      </w:r>
      <w:r>
        <w:rPr>
          <w:noProof/>
        </w:rPr>
        <w:fldChar w:fldCharType="end"/>
      </w:r>
    </w:p>
    <w:p w:rsidR="002B3133">
      <w:pPr>
        <w:pStyle w:val="TOC1"/>
        <w:tabs>
          <w:tab w:val="right" w:leader="dot" w:pos="8296"/>
        </w:tabs>
        <w:rPr>
          <w:noProof/>
        </w:rPr>
      </w:pPr>
      <w:r>
        <w:rPr>
          <w:rFonts w:hint="eastAsia"/>
          <w:noProof/>
        </w:rPr>
        <w:t>十、社会技术影响评估</w:t>
      </w:r>
      <w:r>
        <w:rPr>
          <w:noProof/>
        </w:rPr>
        <w:tab/>
      </w:r>
      <w:r>
        <w:rPr>
          <w:noProof/>
        </w:rPr>
        <w:fldChar w:fldCharType="begin"/>
      </w:r>
      <w:r>
        <w:rPr>
          <w:noProof/>
        </w:rPr>
        <w:instrText xml:space="preserve"> PAGEREF _Toc152518199 \h </w:instrText>
      </w:r>
      <w:r>
        <w:rPr>
          <w:noProof/>
        </w:rPr>
        <w:fldChar w:fldCharType="separate"/>
      </w:r>
      <w:r>
        <w:rPr>
          <w:noProof/>
        </w:rPr>
        <w:t>34</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、特种油墨在社会技术系统中的角色</w:t>
      </w:r>
      <w:r>
        <w:rPr>
          <w:noProof/>
        </w:rPr>
        <w:tab/>
      </w:r>
      <w:r>
        <w:rPr>
          <w:noProof/>
        </w:rPr>
        <w:fldChar w:fldCharType="begin"/>
      </w:r>
      <w:r>
        <w:rPr>
          <w:noProof/>
        </w:rPr>
        <w:instrText xml:space="preserve"> PAGEREF _Toc152518200 \h </w:instrText>
      </w:r>
      <w:r>
        <w:rPr>
          <w:noProof/>
        </w:rPr>
        <w:fldChar w:fldCharType="separate"/>
      </w:r>
      <w:r>
        <w:rPr>
          <w:noProof/>
        </w:rPr>
        <w:t>34</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、技术对特种油墨使用和市场的影响</w:t>
      </w:r>
      <w:r>
        <w:rPr>
          <w:noProof/>
        </w:rPr>
        <w:tab/>
      </w:r>
      <w:r>
        <w:rPr>
          <w:noProof/>
        </w:rPr>
        <w:fldChar w:fldCharType="begin"/>
      </w:r>
      <w:r>
        <w:rPr>
          <w:noProof/>
        </w:rPr>
        <w:instrText xml:space="preserve"> PAGEREF _Toc152518201 \h </w:instrText>
      </w:r>
      <w:r>
        <w:rPr>
          <w:noProof/>
        </w:rPr>
        <w:fldChar w:fldCharType="separate"/>
      </w:r>
      <w:r>
        <w:rPr>
          <w:noProof/>
        </w:rPr>
        <w:t>35</w:t>
      </w:r>
      <w:r>
        <w:rPr>
          <w:noProof/>
        </w:rPr>
        <w:fldChar w:fldCharType="end"/>
      </w:r>
    </w:p>
    <w:p w:rsidR="002B313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、社会技术趋势对可行性的影响</w:t>
      </w:r>
      <w:r>
        <w:rPr>
          <w:noProof/>
        </w:rPr>
        <w:tab/>
      </w:r>
      <w:r>
        <w:rPr>
          <w:noProof/>
        </w:rPr>
        <w:fldChar w:fldCharType="begin"/>
      </w:r>
      <w:r>
        <w:rPr>
          <w:noProof/>
        </w:rPr>
        <w:instrText xml:space="preserve"> PAGEREF _Toc152518202 \h </w:instrText>
      </w:r>
      <w:r>
        <w:rPr>
          <w:noProof/>
        </w:rPr>
        <w:fldChar w:fldCharType="separate"/>
      </w:r>
      <w:r>
        <w:rPr>
          <w:noProof/>
        </w:rPr>
        <w:t>36</w:t>
      </w:r>
      <w:r>
        <w:rPr>
          <w:noProof/>
        </w:rPr>
        <w:fldChar w:fldCharType="end"/>
      </w:r>
    </w:p>
    <w:p w:rsidR="002B3133">
      <w:pPr>
        <w:pStyle w:val="TOC1"/>
        <w:tabs>
          <w:tab w:val="right" w:leader="dot" w:pos="8296"/>
        </w:tabs>
        <w:rPr>
          <w:noProof/>
        </w:rPr>
      </w:pPr>
      <w:r>
        <w:rPr>
          <w:rFonts w:hint="eastAsia"/>
          <w:noProof/>
        </w:rPr>
        <w:t>十一、特种油墨项目合作协议和合同</w:t>
      </w:r>
      <w:r>
        <w:rPr>
          <w:noProof/>
        </w:rPr>
        <w:tab/>
      </w:r>
      <w:r>
        <w:rPr>
          <w:noProof/>
        </w:rPr>
        <w:fldChar w:fldCharType="begin"/>
      </w:r>
      <w:r>
        <w:rPr>
          <w:noProof/>
        </w:rPr>
        <w:instrText xml:space="preserve"> PAGEREF _Toc152518203 \h </w:instrText>
      </w:r>
      <w:r>
        <w:rPr>
          <w:noProof/>
        </w:rPr>
        <w:fldChar w:fldCharType="separate"/>
      </w:r>
      <w:r>
        <w:rPr>
          <w:noProof/>
        </w:rPr>
        <w:t>37</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、特种油墨项目合作协议的主要内容和条款</w:t>
      </w:r>
      <w:r>
        <w:rPr>
          <w:noProof/>
        </w:rPr>
        <w:tab/>
      </w:r>
      <w:r>
        <w:rPr>
          <w:noProof/>
        </w:rPr>
        <w:fldChar w:fldCharType="begin"/>
      </w:r>
      <w:r>
        <w:rPr>
          <w:noProof/>
        </w:rPr>
        <w:instrText xml:space="preserve"> PAGEREF _Toc152518204 \h </w:instrText>
      </w:r>
      <w:r>
        <w:rPr>
          <w:noProof/>
        </w:rPr>
        <w:fldChar w:fldCharType="separate"/>
      </w:r>
      <w:r>
        <w:rPr>
          <w:noProof/>
        </w:rPr>
        <w:t>37</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、特种油墨项目合同的主要内容和条款</w:t>
      </w:r>
      <w:r>
        <w:rPr>
          <w:noProof/>
        </w:rPr>
        <w:tab/>
      </w:r>
      <w:r>
        <w:rPr>
          <w:noProof/>
        </w:rPr>
        <w:fldChar w:fldCharType="begin"/>
      </w:r>
      <w:r>
        <w:rPr>
          <w:noProof/>
        </w:rPr>
        <w:instrText xml:space="preserve"> PAGEREF _Toc152518205 \h </w:instrText>
      </w:r>
      <w:r>
        <w:rPr>
          <w:noProof/>
        </w:rPr>
        <w:fldChar w:fldCharType="separate"/>
      </w:r>
      <w:r>
        <w:rPr>
          <w:noProof/>
        </w:rPr>
        <w:t>38</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、合作方之间的关系和权益保障</w:t>
      </w:r>
      <w:r>
        <w:rPr>
          <w:noProof/>
        </w:rPr>
        <w:tab/>
      </w:r>
      <w:r>
        <w:rPr>
          <w:noProof/>
        </w:rPr>
        <w:fldChar w:fldCharType="begin"/>
      </w:r>
      <w:r>
        <w:rPr>
          <w:noProof/>
        </w:rPr>
        <w:instrText xml:space="preserve"> PAGEREF _Toc152518206 \h </w:instrText>
      </w:r>
      <w:r>
        <w:rPr>
          <w:noProof/>
        </w:rPr>
        <w:fldChar w:fldCharType="separate"/>
      </w:r>
      <w:r>
        <w:rPr>
          <w:noProof/>
        </w:rPr>
        <w:t>39</w:t>
      </w:r>
      <w:r>
        <w:rPr>
          <w:noProof/>
        </w:rPr>
        <w:fldChar w:fldCharType="end"/>
      </w:r>
    </w:p>
    <w:p w:rsidR="002B3133">
      <w:pPr>
        <w:pStyle w:val="TOC1"/>
        <w:tabs>
          <w:tab w:val="right" w:leader="dot" w:pos="8296"/>
        </w:tabs>
        <w:rPr>
          <w:noProof/>
        </w:rPr>
      </w:pPr>
      <w:r>
        <w:rPr>
          <w:rFonts w:hint="eastAsia"/>
          <w:noProof/>
        </w:rPr>
        <w:t>十二、公司章程和规章制度</w:t>
      </w:r>
      <w:r>
        <w:rPr>
          <w:noProof/>
        </w:rPr>
        <w:tab/>
      </w:r>
      <w:r>
        <w:rPr>
          <w:noProof/>
        </w:rPr>
        <w:fldChar w:fldCharType="begin"/>
      </w:r>
      <w:r>
        <w:rPr>
          <w:noProof/>
        </w:rPr>
        <w:instrText xml:space="preserve"> PAGEREF _Toc152518207 \h </w:instrText>
      </w:r>
      <w:r>
        <w:rPr>
          <w:noProof/>
        </w:rPr>
        <w:fldChar w:fldCharType="separate"/>
      </w:r>
      <w:r>
        <w:rPr>
          <w:noProof/>
        </w:rPr>
        <w:t>40</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、公司章程的主要内容和规定</w:t>
      </w:r>
      <w:r>
        <w:rPr>
          <w:noProof/>
        </w:rPr>
        <w:tab/>
      </w:r>
      <w:r>
        <w:rPr>
          <w:noProof/>
        </w:rPr>
        <w:fldChar w:fldCharType="begin"/>
      </w:r>
      <w:r>
        <w:rPr>
          <w:noProof/>
        </w:rPr>
        <w:instrText xml:space="preserve"> PAGEREF _Toc152518208 \h </w:instrText>
      </w:r>
      <w:r>
        <w:rPr>
          <w:noProof/>
        </w:rPr>
        <w:fldChar w:fldCharType="separate"/>
      </w:r>
      <w:r>
        <w:rPr>
          <w:noProof/>
        </w:rPr>
        <w:t>40</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、公司内部规章制度的主要内容和规定</w:t>
      </w:r>
      <w:r>
        <w:rPr>
          <w:noProof/>
        </w:rPr>
        <w:tab/>
      </w:r>
      <w:r>
        <w:rPr>
          <w:noProof/>
        </w:rPr>
        <w:fldChar w:fldCharType="begin"/>
      </w:r>
      <w:r>
        <w:rPr>
          <w:noProof/>
        </w:rPr>
        <w:instrText xml:space="preserve"> PAGEREF _Toc152518209 \h </w:instrText>
      </w:r>
      <w:r>
        <w:rPr>
          <w:noProof/>
        </w:rPr>
        <w:fldChar w:fldCharType="separate"/>
      </w:r>
      <w:r>
        <w:rPr>
          <w:noProof/>
        </w:rPr>
        <w:t>42</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、公司治理结构的优化和完善</w:t>
      </w:r>
      <w:r>
        <w:rPr>
          <w:noProof/>
        </w:rPr>
        <w:tab/>
      </w:r>
      <w:r>
        <w:rPr>
          <w:noProof/>
        </w:rPr>
        <w:fldChar w:fldCharType="begin"/>
      </w:r>
      <w:r>
        <w:rPr>
          <w:noProof/>
        </w:rPr>
        <w:instrText xml:space="preserve"> PAGEREF _Toc152518210 \h </w:instrText>
      </w:r>
      <w:r>
        <w:rPr>
          <w:noProof/>
        </w:rPr>
        <w:fldChar w:fldCharType="separate"/>
      </w:r>
      <w:r>
        <w:rPr>
          <w:noProof/>
        </w:rPr>
        <w:t>43</w:t>
      </w:r>
      <w:r>
        <w:rPr>
          <w:noProof/>
        </w:rPr>
        <w:fldChar w:fldCharType="end"/>
      </w:r>
    </w:p>
    <w:p w:rsidR="002B3133">
      <w:pPr>
        <w:pStyle w:val="TOC1"/>
        <w:tabs>
          <w:tab w:val="right" w:leader="dot" w:pos="8296"/>
        </w:tabs>
        <w:rPr>
          <w:noProof/>
        </w:rPr>
      </w:pPr>
      <w:r>
        <w:rPr>
          <w:rFonts w:hint="eastAsia"/>
          <w:noProof/>
        </w:rPr>
        <w:t>十三、组织架构和人力资源配置</w:t>
      </w:r>
      <w:r>
        <w:rPr>
          <w:noProof/>
        </w:rPr>
        <w:tab/>
      </w:r>
      <w:r>
        <w:rPr>
          <w:noProof/>
        </w:rPr>
        <w:fldChar w:fldCharType="begin"/>
      </w:r>
      <w:r>
        <w:rPr>
          <w:noProof/>
        </w:rPr>
        <w:instrText xml:space="preserve"> PAGEREF _Toc152518211 \h </w:instrText>
      </w:r>
      <w:r>
        <w:rPr>
          <w:noProof/>
        </w:rPr>
        <w:fldChar w:fldCharType="separate"/>
      </w:r>
      <w:r>
        <w:rPr>
          <w:noProof/>
        </w:rPr>
        <w:t>44</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、特种油墨项目组织架构和运行机制设计</w:t>
      </w:r>
      <w:r>
        <w:rPr>
          <w:noProof/>
        </w:rPr>
        <w:tab/>
      </w:r>
      <w:r>
        <w:rPr>
          <w:noProof/>
        </w:rPr>
        <w:fldChar w:fldCharType="begin"/>
      </w:r>
      <w:r>
        <w:rPr>
          <w:noProof/>
        </w:rPr>
        <w:instrText xml:space="preserve"> PAGEREF _Toc152518212 \h </w:instrText>
      </w:r>
      <w:r>
        <w:rPr>
          <w:noProof/>
        </w:rPr>
        <w:fldChar w:fldCharType="separate"/>
      </w:r>
      <w:r>
        <w:rPr>
          <w:noProof/>
        </w:rPr>
        <w:t>44</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、人力资源配置和岗位责任划分</w:t>
      </w:r>
      <w:r>
        <w:rPr>
          <w:noProof/>
        </w:rPr>
        <w:tab/>
      </w:r>
      <w:r>
        <w:rPr>
          <w:noProof/>
        </w:rPr>
        <w:fldChar w:fldCharType="begin"/>
      </w:r>
      <w:r>
        <w:rPr>
          <w:noProof/>
        </w:rPr>
        <w:instrText xml:space="preserve"> PAGEREF _Toc152518213 \h </w:instrText>
      </w:r>
      <w:r>
        <w:rPr>
          <w:noProof/>
        </w:rPr>
        <w:fldChar w:fldCharType="separate"/>
      </w:r>
      <w:r>
        <w:rPr>
          <w:noProof/>
        </w:rPr>
        <w:t>45</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、人员培训计划和绩效考核方案</w:t>
      </w:r>
      <w:r>
        <w:rPr>
          <w:noProof/>
        </w:rPr>
        <w:tab/>
      </w:r>
      <w:r>
        <w:rPr>
          <w:noProof/>
        </w:rPr>
        <w:fldChar w:fldCharType="begin"/>
      </w:r>
      <w:r>
        <w:rPr>
          <w:noProof/>
        </w:rPr>
        <w:instrText xml:space="preserve"> PAGEREF _Toc152518214 \h </w:instrText>
      </w:r>
      <w:r>
        <w:rPr>
          <w:noProof/>
        </w:rPr>
        <w:fldChar w:fldCharType="separate"/>
      </w:r>
      <w:r>
        <w:rPr>
          <w:noProof/>
        </w:rPr>
        <w:t>46</w:t>
      </w:r>
      <w:r>
        <w:rPr>
          <w:noProof/>
        </w:rPr>
        <w:fldChar w:fldCharType="end"/>
      </w:r>
    </w:p>
    <w:p w:rsidR="002B3133">
      <w:pPr>
        <w:pStyle w:val="TOC1"/>
        <w:tabs>
          <w:tab w:val="right" w:leader="dot" w:pos="8296"/>
        </w:tabs>
        <w:rPr>
          <w:noProof/>
        </w:rPr>
      </w:pPr>
      <w:r>
        <w:rPr>
          <w:rFonts w:hint="eastAsia"/>
          <w:noProof/>
        </w:rPr>
        <w:t>十四、技术创新和研发能力</w:t>
      </w:r>
      <w:r>
        <w:rPr>
          <w:noProof/>
        </w:rPr>
        <w:tab/>
      </w:r>
      <w:r>
        <w:rPr>
          <w:noProof/>
        </w:rPr>
        <w:fldChar w:fldCharType="begin"/>
      </w:r>
      <w:r>
        <w:rPr>
          <w:noProof/>
        </w:rPr>
        <w:instrText xml:space="preserve"> PAGEREF _Toc152518215 \h </w:instrText>
      </w:r>
      <w:r>
        <w:rPr>
          <w:noProof/>
        </w:rPr>
        <w:fldChar w:fldCharType="separate"/>
      </w:r>
      <w:r>
        <w:rPr>
          <w:noProof/>
        </w:rPr>
        <w:t>48</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、特种油墨项目采用的技术创新点和优势</w:t>
      </w:r>
      <w:r>
        <w:rPr>
          <w:noProof/>
        </w:rPr>
        <w:tab/>
      </w:r>
      <w:r>
        <w:rPr>
          <w:noProof/>
        </w:rPr>
        <w:fldChar w:fldCharType="begin"/>
      </w:r>
      <w:r>
        <w:rPr>
          <w:noProof/>
        </w:rPr>
        <w:instrText xml:space="preserve"> PAGEREF _Toc152518216 \h </w:instrText>
      </w:r>
      <w:r>
        <w:rPr>
          <w:noProof/>
        </w:rPr>
        <w:fldChar w:fldCharType="separate"/>
      </w:r>
      <w:r>
        <w:rPr>
          <w:noProof/>
        </w:rPr>
        <w:t>48</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、技术研发能力和技术转化能力评估</w:t>
      </w:r>
      <w:r>
        <w:rPr>
          <w:noProof/>
        </w:rPr>
        <w:tab/>
      </w:r>
      <w:r>
        <w:rPr>
          <w:noProof/>
        </w:rPr>
        <w:fldChar w:fldCharType="begin"/>
      </w:r>
      <w:r>
        <w:rPr>
          <w:noProof/>
        </w:rPr>
        <w:instrText xml:space="preserve"> PAGEREF _Toc152518217 \h </w:instrText>
      </w:r>
      <w:r>
        <w:rPr>
          <w:noProof/>
        </w:rPr>
        <w:fldChar w:fldCharType="separate"/>
      </w:r>
      <w:r>
        <w:rPr>
          <w:noProof/>
        </w:rPr>
        <w:t>49</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、技术创新与市场需求的结合方式</w:t>
      </w:r>
      <w:r>
        <w:rPr>
          <w:noProof/>
        </w:rPr>
        <w:tab/>
      </w:r>
      <w:r>
        <w:rPr>
          <w:noProof/>
        </w:rPr>
        <w:fldChar w:fldCharType="begin"/>
      </w:r>
      <w:r>
        <w:rPr>
          <w:noProof/>
        </w:rPr>
        <w:instrText xml:space="preserve"> PAGEREF _Toc152518218 \h </w:instrText>
      </w:r>
      <w:r>
        <w:rPr>
          <w:noProof/>
        </w:rPr>
        <w:fldChar w:fldCharType="separate"/>
      </w:r>
      <w:r>
        <w:rPr>
          <w:noProof/>
        </w:rPr>
        <w:t>50</w:t>
      </w:r>
      <w:r>
        <w:rPr>
          <w:noProof/>
        </w:rPr>
        <w:fldChar w:fldCharType="end"/>
      </w:r>
    </w:p>
    <w:p w:rsidR="002B3133">
      <w:pPr>
        <w:pStyle w:val="TOC1"/>
        <w:tabs>
          <w:tab w:val="right" w:leader="dot" w:pos="8296"/>
        </w:tabs>
        <w:rPr>
          <w:noProof/>
        </w:rPr>
      </w:pPr>
      <w:r>
        <w:rPr>
          <w:rFonts w:hint="eastAsia"/>
          <w:noProof/>
        </w:rPr>
        <w:t>十五、产品定价和销售策略</w:t>
      </w:r>
      <w:r>
        <w:rPr>
          <w:noProof/>
        </w:rPr>
        <w:tab/>
      </w:r>
      <w:r>
        <w:rPr>
          <w:noProof/>
        </w:rPr>
        <w:fldChar w:fldCharType="begin"/>
      </w:r>
      <w:r>
        <w:rPr>
          <w:noProof/>
        </w:rPr>
        <w:instrText xml:space="preserve"> PAGEREF _Toc152518219 \h </w:instrText>
      </w:r>
      <w:r>
        <w:rPr>
          <w:noProof/>
        </w:rPr>
        <w:fldChar w:fldCharType="separate"/>
      </w:r>
      <w:r>
        <w:rPr>
          <w:noProof/>
        </w:rPr>
        <w:t>51</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、产品定价的原则和策略</w:t>
      </w:r>
      <w:r>
        <w:rPr>
          <w:noProof/>
        </w:rPr>
        <w:tab/>
      </w:r>
      <w:r>
        <w:rPr>
          <w:noProof/>
        </w:rPr>
        <w:fldChar w:fldCharType="begin"/>
      </w:r>
      <w:r>
        <w:rPr>
          <w:noProof/>
        </w:rPr>
        <w:instrText xml:space="preserve"> PAGEREF _Toc152518220 \h </w:instrText>
      </w:r>
      <w:r>
        <w:rPr>
          <w:noProof/>
        </w:rPr>
        <w:fldChar w:fldCharType="separate"/>
      </w:r>
      <w:r>
        <w:rPr>
          <w:noProof/>
        </w:rPr>
        <w:t>51</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、销售渠道的选择和拓展</w:t>
      </w:r>
      <w:r>
        <w:rPr>
          <w:noProof/>
        </w:rPr>
        <w:tab/>
      </w:r>
      <w:r>
        <w:rPr>
          <w:noProof/>
        </w:rPr>
        <w:fldChar w:fldCharType="begin"/>
      </w:r>
      <w:r>
        <w:rPr>
          <w:noProof/>
        </w:rPr>
        <w:instrText xml:space="preserve"> PAGEREF _Toc152518221 \h </w:instrText>
      </w:r>
      <w:r>
        <w:rPr>
          <w:noProof/>
        </w:rPr>
        <w:fldChar w:fldCharType="separate"/>
      </w:r>
      <w:r>
        <w:rPr>
          <w:noProof/>
        </w:rPr>
        <w:t>53</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、销售促进和营销活动的策划和实施</w:t>
      </w:r>
      <w:r>
        <w:rPr>
          <w:noProof/>
        </w:rPr>
        <w:tab/>
      </w:r>
      <w:r>
        <w:rPr>
          <w:noProof/>
        </w:rPr>
        <w:fldChar w:fldCharType="begin"/>
      </w:r>
      <w:r>
        <w:rPr>
          <w:noProof/>
        </w:rPr>
        <w:instrText xml:space="preserve"> PAGEREF _Toc152518222 \h </w:instrText>
      </w:r>
      <w:r>
        <w:rPr>
          <w:noProof/>
        </w:rPr>
        <w:fldChar w:fldCharType="separate"/>
      </w:r>
      <w:r>
        <w:rPr>
          <w:noProof/>
        </w:rPr>
        <w:t>55</w:t>
      </w:r>
      <w:r>
        <w:rPr>
          <w:noProof/>
        </w:rPr>
        <w:fldChar w:fldCharType="end"/>
      </w:r>
    </w:p>
    <w:p w:rsidR="002B3133">
      <w:pPr>
        <w:pStyle w:val="TOC1"/>
        <w:tabs>
          <w:tab w:val="right" w:leader="dot" w:pos="8296"/>
        </w:tabs>
        <w:rPr>
          <w:noProof/>
        </w:rPr>
      </w:pPr>
      <w:r>
        <w:rPr>
          <w:rFonts w:hint="eastAsia"/>
          <w:noProof/>
        </w:rPr>
        <w:t>十六、绿色建筑和生态环保设计</w:t>
      </w:r>
      <w:r>
        <w:rPr>
          <w:noProof/>
        </w:rPr>
        <w:tab/>
      </w:r>
      <w:r>
        <w:rPr>
          <w:noProof/>
        </w:rPr>
        <w:fldChar w:fldCharType="begin"/>
      </w:r>
      <w:r>
        <w:rPr>
          <w:noProof/>
        </w:rPr>
        <w:instrText xml:space="preserve"> PAGEREF _Toc152518223 \h </w:instrText>
      </w:r>
      <w:r>
        <w:rPr>
          <w:noProof/>
        </w:rPr>
        <w:fldChar w:fldCharType="separate"/>
      </w:r>
      <w:r>
        <w:rPr>
          <w:noProof/>
        </w:rPr>
        <w:t>56</w:t>
      </w:r>
      <w:r>
        <w:rPr>
          <w:noProof/>
        </w:rPr>
        <w:fldChar w:fldCharType="end"/>
      </w:r>
    </w:p>
    <w:p w:rsidR="002B3133">
      <w:pPr>
        <w:pStyle w:val="TOC2"/>
        <w:tabs>
          <w:tab w:val="right" w:leader="dot" w:pos="8296"/>
        </w:tabs>
        <w:rPr>
          <w:noProof/>
        </w:rPr>
      </w:pPr>
      <w:r>
        <w:rPr>
          <w:noProof/>
        </w:rPr>
        <w:t>(</w:t>
      </w:r>
      <w:r>
        <w:rPr>
          <w:rFonts w:hint="eastAsia"/>
          <w:noProof/>
        </w:rPr>
        <w:t>一</w:t>
      </w:r>
      <w:r>
        <w:rPr>
          <w:noProof/>
        </w:rPr>
        <w:t>)</w:t>
      </w:r>
      <w:r>
        <w:rPr>
          <w:rFonts w:hint="eastAsia"/>
          <w:noProof/>
        </w:rPr>
        <w:t>、绿色建筑和生态环保设计的理念和实践</w:t>
      </w:r>
      <w:r>
        <w:rPr>
          <w:noProof/>
        </w:rPr>
        <w:tab/>
      </w:r>
      <w:r>
        <w:rPr>
          <w:noProof/>
        </w:rPr>
        <w:fldChar w:fldCharType="begin"/>
      </w:r>
      <w:r>
        <w:rPr>
          <w:noProof/>
        </w:rPr>
        <w:instrText xml:space="preserve"> PAGEREF _Toc152518224 \h </w:instrText>
      </w:r>
      <w:r>
        <w:rPr>
          <w:noProof/>
        </w:rPr>
        <w:fldChar w:fldCharType="separate"/>
      </w:r>
      <w:r>
        <w:rPr>
          <w:noProof/>
        </w:rPr>
        <w:t>56</w:t>
      </w:r>
      <w:r>
        <w:rPr>
          <w:noProof/>
        </w:rPr>
        <w:fldChar w:fldCharType="end"/>
      </w:r>
    </w:p>
    <w:p w:rsidR="002B3133">
      <w:pPr>
        <w:pStyle w:val="TOC2"/>
        <w:tabs>
          <w:tab w:val="right" w:leader="dot" w:pos="8296"/>
        </w:tabs>
        <w:rPr>
          <w:noProof/>
        </w:rPr>
      </w:pPr>
      <w:r>
        <w:rPr>
          <w:noProof/>
        </w:rPr>
        <w:t>(</w:t>
      </w:r>
      <w:r>
        <w:rPr>
          <w:rFonts w:hint="eastAsia"/>
          <w:noProof/>
        </w:rPr>
        <w:t>二</w:t>
      </w:r>
      <w:r>
        <w:rPr>
          <w:noProof/>
        </w:rPr>
        <w:t>)</w:t>
      </w:r>
      <w:r>
        <w:rPr>
          <w:rFonts w:hint="eastAsia"/>
          <w:noProof/>
        </w:rPr>
        <w:t>、特种油墨项目如何应用绿色建筑和生态环保设计</w:t>
      </w:r>
      <w:r>
        <w:rPr>
          <w:noProof/>
        </w:rPr>
        <w:tab/>
      </w:r>
      <w:r>
        <w:rPr>
          <w:noProof/>
        </w:rPr>
        <w:fldChar w:fldCharType="begin"/>
      </w:r>
      <w:r>
        <w:rPr>
          <w:noProof/>
        </w:rPr>
        <w:instrText xml:space="preserve"> PAGEREF _Toc152518225 \h </w:instrText>
      </w:r>
      <w:r>
        <w:rPr>
          <w:noProof/>
        </w:rPr>
        <w:fldChar w:fldCharType="separate"/>
      </w:r>
      <w:r>
        <w:rPr>
          <w:noProof/>
        </w:rPr>
        <w:t>58</w:t>
      </w:r>
      <w:r>
        <w:rPr>
          <w:noProof/>
        </w:rPr>
        <w:fldChar w:fldCharType="end"/>
      </w:r>
    </w:p>
    <w:p w:rsidR="002B3133">
      <w:pPr>
        <w:pStyle w:val="TOC2"/>
        <w:tabs>
          <w:tab w:val="right" w:leader="dot" w:pos="8296"/>
        </w:tabs>
        <w:rPr>
          <w:noProof/>
        </w:rPr>
      </w:pPr>
      <w:r>
        <w:rPr>
          <w:noProof/>
        </w:rPr>
        <w:t>(</w:t>
      </w:r>
      <w:r>
        <w:rPr>
          <w:rFonts w:hint="eastAsia"/>
          <w:noProof/>
        </w:rPr>
        <w:t>三</w:t>
      </w:r>
      <w:r>
        <w:rPr>
          <w:noProof/>
        </w:rPr>
        <w:t>)</w:t>
      </w:r>
      <w:r>
        <w:rPr>
          <w:rFonts w:hint="eastAsia"/>
          <w:noProof/>
        </w:rPr>
        <w:t>、绿色建筑和生态环保设计对特种油墨项目的影响和价值</w:t>
      </w:r>
      <w:r>
        <w:rPr>
          <w:noProof/>
        </w:rPr>
        <w:tab/>
      </w:r>
      <w:r>
        <w:rPr>
          <w:noProof/>
        </w:rPr>
        <w:fldChar w:fldCharType="begin"/>
      </w:r>
      <w:r>
        <w:rPr>
          <w:noProof/>
        </w:rPr>
        <w:instrText xml:space="preserve"> PAGEREF _Toc152518226 \h </w:instrText>
      </w:r>
      <w:r>
        <w:rPr>
          <w:noProof/>
        </w:rPr>
        <w:fldChar w:fldCharType="separate"/>
      </w:r>
      <w:r>
        <w:rPr>
          <w:noProof/>
        </w:rPr>
        <w:t>59</w:t>
      </w:r>
      <w:r>
        <w:rPr>
          <w:noProof/>
        </w:rPr>
        <w:fldChar w:fldCharType="end"/>
      </w:r>
    </w:p>
    <w:p w:rsidR="002B3133" w:rsidP="002B313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B3133" w:rsidP="002B3133">
      <w:pPr>
        <w:pStyle w:val="Heading1"/>
        <w:jc w:val="center"/>
        <w:rPr>
          <w:rFonts w:hint="eastAsia"/>
        </w:rPr>
      </w:pPr>
      <w:bookmarkStart w:id="1" w:name="_Toc152518161"/>
      <w:r w:rsidRPr="002B3133">
        <w:rPr>
          <w:rFonts w:hint="eastAsia"/>
        </w:rPr>
        <w:t>概述</w:t>
      </w:r>
      <w:bookmarkEnd w:id="1"/>
    </w:p>
    <w:p w:rsidR="002B3133" w:rsidP="002B3133">
      <w:pPr>
        <w:ind w:firstLine="560" w:firstLineChars="200"/>
        <w:rPr>
          <w:rFonts w:ascii="仿宋" w:eastAsia="仿宋" w:hAnsi="仿宋" w:hint="eastAsia"/>
          <w:sz w:val="28"/>
        </w:rPr>
      </w:pPr>
      <w:r w:rsidRPr="002B3133">
        <w:rPr>
          <w:rFonts w:ascii="仿宋" w:eastAsia="仿宋" w:hAnsi="仿宋" w:hint="eastAsia"/>
          <w:sz w:val="28"/>
        </w:rPr>
        <w:t>本研究的主要目的是评估特种油墨行业的可行性，深入了解该行业的各个方面，并提供有关如何应对当前和未来挑战的建议。我们将对特种油墨生产过程、市场需求、竞争格局、环境影响、技术趋势以及法规合规性等多个方面进行全面研究和分析。</w:t>
      </w:r>
    </w:p>
    <w:p w:rsidR="002B3133" w:rsidP="002B3133">
      <w:pPr>
        <w:pStyle w:val="Heading1"/>
        <w:rPr>
          <w:rFonts w:hint="eastAsia"/>
        </w:rPr>
      </w:pPr>
      <w:bookmarkStart w:id="2" w:name="_Toc152518162"/>
      <w:r w:rsidRPr="002B3133">
        <w:rPr>
          <w:rFonts w:hint="eastAsia"/>
        </w:rPr>
        <w:t>一、特种油墨项目投资估算与资金筹措</w:t>
      </w:r>
      <w:bookmarkEnd w:id="2"/>
    </w:p>
    <w:p w:rsidR="002B3133" w:rsidP="002B3133">
      <w:pPr>
        <w:pStyle w:val="Heading2"/>
        <w:rPr>
          <w:rFonts w:hint="eastAsia"/>
        </w:rPr>
      </w:pPr>
      <w:bookmarkStart w:id="3" w:name="_Toc152518163"/>
      <w:r w:rsidRPr="002B3133">
        <w:rPr>
          <w:rFonts w:hint="eastAsia"/>
        </w:rPr>
        <w:t>(</w:t>
      </w:r>
      <w:r w:rsidRPr="002B3133">
        <w:rPr>
          <w:rFonts w:hint="eastAsia"/>
        </w:rPr>
        <w:t>一</w:t>
      </w:r>
      <w:r w:rsidRPr="002B3133">
        <w:rPr>
          <w:rFonts w:hint="eastAsia"/>
        </w:rPr>
        <w:t>)</w:t>
      </w:r>
      <w:r w:rsidRPr="002B3133">
        <w:rPr>
          <w:rFonts w:hint="eastAsia"/>
        </w:rPr>
        <w:t>、投资估算依据和说明</w:t>
      </w:r>
      <w:bookmarkEnd w:id="3"/>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本项目为特种油墨项目，其投资估算范围包括固定资产投资估算、流动资金、总投资以及报批投资的估算。固定资产投资估算主要涵盖主要生产特种油墨项目、辅助生产特种油墨项目、公用工程特种油墨项目、服务性工程、配套费用和其他费用。在编制投资估算时，我们依据了一系列标准和规范，包括《建设特种油墨项目投资估算编审规程》、《工程经济与财务评价实用手册》、《投资特种油墨项目可行性研究指南》、《建设特种油墨项目经济评价方法与参数》（第三版）、《基本建设设计概算编制办法》、各专业工程设计规范、市场价格信息及相关政策法规以及类似特种油墨项目的历史成本数据。</w:t>
      </w:r>
    </w:p>
    <w:p w:rsidR="002B3133" w:rsidP="002B313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B3133">
        <w:rPr>
          <w:rFonts w:ascii="仿宋" w:eastAsia="仿宋" w:hAnsi="仿宋" w:hint="eastAsia"/>
          <w:sz w:val="28"/>
        </w:rPr>
        <w:t>投资费用分析中，我们对固定资产投资估算和流动资金、总投资以及报批投资进行了估算。固定资产投资估算包括了主要生产特种油墨项目、辅助生产特种油墨项目、公用工程特种油墨项目、服务性工程、配套费用和其他费用。通过市场调研和技术评估，我们预测了各</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项费用的合理值，并进行了精确计算和全面分析。此外，我们还考虑了可能的物价上涨、汇率变动等因素，以确保投资估算的合理性和准确性。</w:t>
      </w:r>
    </w:p>
    <w:p w:rsidR="002B3133" w:rsidP="002B3133">
      <w:pPr>
        <w:pStyle w:val="Heading2"/>
      </w:pPr>
      <w:bookmarkStart w:id="4" w:name="_Toc152518164"/>
      <w:r w:rsidRPr="002B3133">
        <w:t>(</w:t>
      </w:r>
      <w:r w:rsidRPr="002B3133">
        <w:t>二</w:t>
      </w:r>
      <w:r w:rsidRPr="002B3133">
        <w:t>)</w:t>
      </w:r>
      <w:r w:rsidRPr="002B3133">
        <w:t>、资金筹措</w:t>
      </w:r>
      <w:bookmarkEnd w:id="4"/>
    </w:p>
    <w:p w:rsidR="002B3133" w:rsidP="002B3133">
      <w:pPr>
        <w:ind w:firstLine="560" w:firstLineChars="200"/>
        <w:rPr>
          <w:rFonts w:ascii="仿宋" w:eastAsia="仿宋" w:hAnsi="仿宋" w:hint="eastAsia"/>
          <w:sz w:val="28"/>
        </w:rPr>
      </w:pPr>
      <w:r w:rsidRPr="002B3133">
        <w:rPr>
          <w:rFonts w:ascii="仿宋" w:eastAsia="仿宋" w:hAnsi="仿宋" w:hint="eastAsia"/>
          <w:sz w:val="28"/>
        </w:rPr>
        <w:t>总投资额为XXX万元。</w:t>
      </w:r>
    </w:p>
    <w:p w:rsidR="002B3133" w:rsidP="002B3133">
      <w:pPr>
        <w:pStyle w:val="Heading2"/>
      </w:pPr>
      <w:bookmarkStart w:id="5" w:name="_Toc152518165"/>
      <w:r w:rsidRPr="002B3133">
        <w:t>(</w:t>
      </w:r>
      <w:r w:rsidRPr="002B3133">
        <w:t>三</w:t>
      </w:r>
      <w:r w:rsidRPr="002B3133">
        <w:t>)</w:t>
      </w:r>
      <w:r w:rsidRPr="002B3133">
        <w:t>、资金使用计划</w:t>
      </w:r>
      <w:bookmarkEnd w:id="5"/>
    </w:p>
    <w:p w:rsidR="002B3133" w:rsidP="002B3133">
      <w:pPr>
        <w:ind w:firstLine="560" w:firstLineChars="200"/>
        <w:rPr>
          <w:rFonts w:ascii="仿宋" w:eastAsia="仿宋" w:hAnsi="仿宋" w:hint="eastAsia"/>
          <w:sz w:val="28"/>
        </w:rPr>
      </w:pPr>
      <w:r w:rsidRPr="002B3133">
        <w:rPr>
          <w:rFonts w:ascii="仿宋" w:eastAsia="仿宋" w:hAnsi="仿宋" w:hint="eastAsia"/>
          <w:sz w:val="28"/>
        </w:rPr>
        <w:t>本特种油墨项目的固定资产投资金额为XXXX万元。</w:t>
      </w:r>
    </w:p>
    <w:p w:rsidR="002B3133" w:rsidP="002B3133">
      <w:pPr>
        <w:pStyle w:val="Heading2"/>
      </w:pPr>
      <w:bookmarkStart w:id="6" w:name="_Toc152518166"/>
      <w:r w:rsidRPr="002B3133">
        <w:t>(</w:t>
      </w:r>
      <w:r w:rsidRPr="002B3133">
        <w:t>四</w:t>
      </w:r>
      <w:r w:rsidRPr="002B3133">
        <w:t>)</w:t>
      </w:r>
      <w:r w:rsidRPr="002B3133">
        <w:t>、特种油墨项目经济评价</w:t>
      </w:r>
      <w:bookmarkEnd w:id="6"/>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特种油墨项目经济评价、投入、产出、国家现行财税制度、市场价格体系、企业财务角度、各项费用、经济效益、财务评价预期指标、盈利能力、清偿能力、经济可行性。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特种油墨项目经济评价是关键词中一个重要的工作内容，它基于投入、产出相一致的原则，以国家现行财税制度和市场价格体系为依据，旨在从企业财务角度分析、测算特种油墨项目的各项费用和经济效益。为此，关键词需要计算财务评价预期指标，以便评估拟建特种油墨项目的盈利能力、清偿能力，并最终判断特种油墨项目的经济可行性。</w:t>
      </w:r>
    </w:p>
    <w:p w:rsidR="002B3133" w:rsidRPr="002B3133" w:rsidP="002B313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3133">
        <w:rPr>
          <w:rFonts w:ascii="仿宋" w:eastAsia="仿宋" w:hAnsi="仿宋" w:hint="eastAsia"/>
          <w:sz w:val="28"/>
        </w:rPr>
        <w:t>关键词的特种油墨项目经济评价采用了严谨的逻辑推理和精确的测算方法。它不仅能理解自然语言，还能生成回复，回复思路清晰，逻辑严密。能够利用先进的人工智能技术，对特种油墨项目进行全面</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的财务分析，包括对各项费用的详细测算和经济效益的精确计算。</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在评估特种油墨项目的盈利能力方面，会根据市场价格体系进行测算，以真实反映特种油墨项目的盈利水平。同时，还会考虑财税制度对特种油墨项目的影响，以确保评价结果的准确性。</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在判断特种油墨项目的清偿能力方面，会根据特种油墨项目的投资计划和资金筹措情况，进行细致的现金流分析。通过计算特种油墨项目的净现金流量和投资回收期等指标，能够评估特种油墨项目的长期偿债能力。</w:t>
      </w:r>
    </w:p>
    <w:p w:rsidR="002B3133" w:rsidP="002B3133">
      <w:pPr>
        <w:pStyle w:val="Heading1"/>
        <w:rPr>
          <w:rFonts w:hint="eastAsia"/>
        </w:rPr>
      </w:pPr>
      <w:bookmarkStart w:id="7" w:name="_Toc152518167"/>
      <w:r w:rsidRPr="002B3133">
        <w:rPr>
          <w:rFonts w:hint="eastAsia"/>
        </w:rPr>
        <w:t>二、客户服务和消费者权益保护</w:t>
      </w:r>
      <w:bookmarkEnd w:id="7"/>
    </w:p>
    <w:p w:rsidR="002B3133" w:rsidP="002B3133">
      <w:pPr>
        <w:pStyle w:val="Heading2"/>
        <w:rPr>
          <w:rFonts w:hint="eastAsia"/>
        </w:rPr>
      </w:pPr>
      <w:bookmarkStart w:id="8" w:name="_Toc152518168"/>
      <w:r w:rsidRPr="002B3133">
        <w:rPr>
          <w:rFonts w:hint="eastAsia"/>
        </w:rPr>
        <w:t>(</w:t>
      </w:r>
      <w:r w:rsidRPr="002B3133">
        <w:rPr>
          <w:rFonts w:hint="eastAsia"/>
        </w:rPr>
        <w:t>一</w:t>
      </w:r>
      <w:r w:rsidRPr="002B3133">
        <w:rPr>
          <w:rFonts w:hint="eastAsia"/>
        </w:rPr>
        <w:t>)</w:t>
      </w:r>
      <w:r w:rsidRPr="002B3133">
        <w:rPr>
          <w:rFonts w:hint="eastAsia"/>
        </w:rPr>
        <w:t>、客户服务的标准和流程</w:t>
      </w:r>
      <w:bookmarkEnd w:id="8"/>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客户服务标准的制定：</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服务定位：明确特种油墨项目产品的服务定位和目标客户群体，确定服务的核心价值和差异化特点。</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服务质量标准：制定客户服务的质量标准，包括响应时间、问题解决率、客户满意度等指标，以确保服务质量的稳定和提升。</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沟通和礼仪准则：制定客户沟通和互动的准则，包括礼貌待客、积极倾听、专业回应等，以提升客户体验和建立良好的客户关系。</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售后支持：确定售后支持的范围和方式，包括技术支持、维修保养、产品更新等，以满足客户的售后需求。</w:t>
      </w:r>
    </w:p>
    <w:p w:rsidR="002B3133" w:rsidRPr="002B3133" w:rsidP="002B313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3133">
        <w:rPr>
          <w:rFonts w:ascii="仿宋" w:eastAsia="仿宋" w:hAnsi="仿宋" w:hint="eastAsia"/>
          <w:sz w:val="28"/>
        </w:rPr>
        <w:t>客户服务流程的建立：</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客户接触点识别：识别特种油墨项目产品与客户接触的各个环节和渠道，包括电话、邮件、在线聊天、社交媒体等，以确保全面的客户服务覆盖。</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服务请求管理：建立客户服务请求的管理流程，包括服务请求的接收、记录、分配和跟踪，以确保及时响应和问题解决。</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技术支持和培训：建立技术支持和培训的流程，包括技术人员的安排和培训计划，以提供专业的技术支持和培训服务。</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投诉处理和反馈机制：建立客户投诉处理和反馈机制，包括投诉接收、调查、解决和反馈，以及持续改进的措施，以提高客户满意度和忠诚度。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数据分析和改进：建立客户服务数据的收集和分析机制，评估客户服务的绩效和问题点，及时调整和改进客户服务流程和标准。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培训和人员管理：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培训计划：制定客户服务人员的培训计划，包括产品知识、沟通技巧、问题解决能力等方面的培训，以提升客户服务的专业水平。</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人员配置：合理配置客户服务人员的数量和结构，确保客户服务团队的有效运作和资源利用。</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绩效评估和激励：建立客户服务人员的绩效评估机制，设定相关指标和激励措施，激发客户服务团队的积极性和动力。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技术支持和工具：</w:t>
      </w:r>
    </w:p>
    <w:p w:rsidR="002B3133" w:rsidRPr="002B3133" w:rsidP="002B313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3133">
        <w:rPr>
          <w:rFonts w:ascii="仿宋" w:eastAsia="仿宋" w:hAnsi="仿宋" w:hint="eastAsia"/>
          <w:sz w:val="28"/>
        </w:rPr>
        <w:t>技术支持系统：建立技术支持系统，包括知识库、故障排除工具、远程支持等，以提供高效的技术支持服务。</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CRM系统：使用客户关系管理系统，记录客户信息、服务记录和反馈，以实现客户信息的集中管理和个性化服务的提供。</w:t>
      </w:r>
    </w:p>
    <w:p w:rsidR="002B3133" w:rsidP="002B3133">
      <w:pPr>
        <w:pStyle w:val="Heading2"/>
      </w:pPr>
      <w:bookmarkStart w:id="9" w:name="_Toc152518169"/>
      <w:r w:rsidRPr="002B3133">
        <w:t>(</w:t>
      </w:r>
      <w:r w:rsidRPr="002B3133">
        <w:t>二</w:t>
      </w:r>
      <w:r w:rsidRPr="002B3133">
        <w:t>)</w:t>
      </w:r>
      <w:r w:rsidRPr="002B3133">
        <w:t>、消费者权益保护的措施和办法</w:t>
      </w:r>
      <w:bookmarkEnd w:id="9"/>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法律法规遵守：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了解相关法律法规：研究特种油墨项目产品所涉及的消费者权益保护相关法律法规，如消费者权益保护法、产品质量法等，确保特种油墨项目产品的合规性。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严格遵守法律法规：确保特种油墨项目产品在生产、销售和售后服务过程中严格遵守相关法律法规，包括产品质量、产品安全、产品标识等方面的要求。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产品质量保证：</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质量控制体系：建立完善的质量控制体系，包括原材料采购、生产工艺、产品检验等环节，确保产品质量符合标准和规定。</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售后服务保障：建立健全的售后服务体系，包括产品质量问题的投诉处理、退换货政策、维修保养等，确保消费者在购买后能够得到及时的支持和解决方案。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信息透明和宣传：</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产品信息披露：提供准确、清晰、完整的产品信息，包括产品特性、使用说明、质量标准等，确保消费者能够全面了解产品。</w:t>
      </w:r>
    </w:p>
    <w:p w:rsidR="002B3133" w:rsidRPr="002B3133" w:rsidP="002B313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B3133">
        <w:rPr>
          <w:rFonts w:ascii="仿宋" w:eastAsia="仿宋" w:hAnsi="仿宋" w:hint="eastAsia"/>
          <w:sz w:val="28"/>
        </w:rPr>
        <w:t>宣传真实性：确保产品宣传和广告内容真实、准确，不夸大产品的性能和效果，避免误导消费者。</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投诉处理和争议解决：</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投诉渠道设立：建立便捷的投诉渠道，包括客服热线、在线投诉平台等，方便消费者提出投诉和意见反馈。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投诉处理流程：建立投诉处理流程，包括投诉受理、调查核实、问题解决和反馈等环节，确保及时、公正地处理消费者投诉。</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争议解决机制：提供争议解决的途径，如调解、仲裁、法律诉讼等，为消费者提供公正、有效的解决途径。</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消费者教育和宣传：</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消费者权益宣传：开展消费者权益保护的宣传活动，提高消费者对权益保护的认知和意识，增强消费者的知识和能力。</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消费者教育：开展消费者教育活动，提供消费指导、产品知识等培训，帮助消费者做出明智的购买决策。</w:t>
      </w:r>
    </w:p>
    <w:p w:rsidR="002B3133" w:rsidP="002B3133">
      <w:pPr>
        <w:pStyle w:val="Heading2"/>
      </w:pPr>
      <w:bookmarkStart w:id="10" w:name="_Toc152518170"/>
      <w:r w:rsidRPr="002B3133">
        <w:t>(</w:t>
      </w:r>
      <w:r w:rsidRPr="002B3133">
        <w:t>三</w:t>
      </w:r>
      <w:r w:rsidRPr="002B3133">
        <w:t>)</w:t>
      </w:r>
      <w:r w:rsidRPr="002B3133">
        <w:t>、客户反馈和投诉处理的机制建设</w:t>
      </w:r>
      <w:bookmarkEnd w:id="10"/>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反馈渠道的建立：</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多样化的反馈渠道：建立多种途径供客户提供反馈，包括在线反馈表单、客服热线、电子邮件、社交媒体等，以方便客户随时表达意见和反馈。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反馈渠道的宣传：积极宣传反馈渠道，提高客户对反馈渠道的知晓度和使用率。</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反馈收集和整理：</w:t>
      </w:r>
    </w:p>
    <w:p w:rsidR="002B3133" w:rsidRPr="002B3133" w:rsidP="002B313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3133">
        <w:rPr>
          <w:rFonts w:ascii="仿宋" w:eastAsia="仿宋" w:hAnsi="仿宋" w:hint="eastAsia"/>
          <w:sz w:val="28"/>
        </w:rPr>
        <w:t>反馈信息的记录和分类：建立反馈信息的记录系统，对收集到的</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反馈进行分类和整理，以便后续的分析和处理。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数据分析和洞察：对反馈信息进行数据分析，挖掘客户需求和问题的共性和趋势，为后续的改进措施提供依据。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投诉处理流程的建立：</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投诉受理和登记：建立投诉受理的流程和机制，确保投诉信息的准确记录和登记，包括投诉内容、投诉人信息、投诉时间等。</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调查和核实：对投诉进行调查和核实，了解问题的具体情况和原因，确保投诉处理的公正性和客观性。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问题解决和反馈：制定问题解决的方案，并及时与客户沟通和解释，解决客户的问题，并向客户反馈处理结果。</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投诉处理人员的培训和能力提升：</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培训计划和培训内容：制定投诉处理人员的培训计划，包括投诉处理流程、沟通技巧、问题解决能力等方面的培训，提升投诉处理人员的专业水平。</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持续学习和知识更新：建立持续学习和知识更新的机制，使投诉处理人员能够及时了解最新的产品信息、服务标准和投诉处理技巧。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投诉处理结果的监测和改进：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监测指标的设定：建立投诉处理结果的监测指标，包括投诉处理时效、问题解决率、客户满意度等，评估投诉处理的效果。</w:t>
      </w:r>
    </w:p>
    <w:p w:rsidR="002B3133" w:rsidP="002B313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3133">
        <w:rPr>
          <w:rFonts w:ascii="仿宋" w:eastAsia="仿宋" w:hAnsi="仿宋" w:hint="eastAsia"/>
          <w:sz w:val="28"/>
        </w:rPr>
        <w:t>持续改进措施：根据投诉处理结果和客户反馈，及时调整和改进投诉处理流程和标准，提高投诉处理的效率和质量。</w:t>
      </w:r>
    </w:p>
    <w:p w:rsidR="002B3133" w:rsidP="002B3133">
      <w:pPr>
        <w:pStyle w:val="Heading1"/>
        <w:rPr>
          <w:rFonts w:hint="eastAsia"/>
        </w:rPr>
      </w:pPr>
      <w:bookmarkStart w:id="11" w:name="_Toc152518171"/>
      <w:r w:rsidRPr="002B3133">
        <w:rPr>
          <w:rFonts w:hint="eastAsia"/>
        </w:rPr>
        <w:t>三、物资采购和管理</w:t>
      </w:r>
      <w:bookmarkEnd w:id="11"/>
    </w:p>
    <w:p w:rsidR="002B3133" w:rsidP="002B3133">
      <w:pPr>
        <w:pStyle w:val="Heading2"/>
        <w:rPr>
          <w:rFonts w:hint="eastAsia"/>
        </w:rPr>
      </w:pPr>
      <w:bookmarkStart w:id="12" w:name="_Toc152518172"/>
      <w:r w:rsidRPr="002B3133">
        <w:rPr>
          <w:rFonts w:hint="eastAsia"/>
        </w:rPr>
        <w:t>(</w:t>
      </w:r>
      <w:r w:rsidRPr="002B3133">
        <w:rPr>
          <w:rFonts w:hint="eastAsia"/>
        </w:rPr>
        <w:t>一</w:t>
      </w:r>
      <w:r w:rsidRPr="002B3133">
        <w:rPr>
          <w:rFonts w:hint="eastAsia"/>
        </w:rPr>
        <w:t>)</w:t>
      </w:r>
      <w:r w:rsidRPr="002B3133">
        <w:rPr>
          <w:rFonts w:hint="eastAsia"/>
        </w:rPr>
        <w:t>、物资采购的程序和标准</w:t>
      </w:r>
      <w:bookmarkEnd w:id="12"/>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采购程序：</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需求确认：明确物资采购的需求，包括数量、规格、质量要求等，与相关部门和人员进行沟通和确认，确保采购的准确性和满足性。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供应商选择：根据采购需求，进行供应商的筛选和评估，考虑供应商的信誉、价格、交货能力等因素，选择合适的供应商进行采购。</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报价和谈判：向供应商索取报价，进行价格谈判和合同条款的商议，确保采购的价格合理和合同条款明确。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订单确认：根据谈判结果，与供应商签订采购订单，明确物资的数量、价格、交货时间等，确保采购的准确性和合法性。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交货和验收：监督供应商按照订单要求进行物资的交货，进行验收和质量检查，确保物资的质量和符合要求。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结算和支付：根据供应商提供的发票和交货单据，进行结算和支付，确保采购的合规性和及时性。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采购标准：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质量标准：明确物资采购的质量标准和要求，包括产品的质量认证、检验标准、合规要求等，确保采购的物资符合质量标准。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价格标准：根据市场行情和供需情况，制定合理的价格标准，确保采购的价格合理和公平。</w:t>
      </w:r>
    </w:p>
    <w:p w:rsidR="002B3133" w:rsidRPr="002B3133" w:rsidP="002B313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3133">
        <w:rPr>
          <w:rFonts w:ascii="仿宋" w:eastAsia="仿宋" w:hAnsi="仿宋" w:hint="eastAsia"/>
          <w:sz w:val="28"/>
        </w:rPr>
        <w:t>交货期标准：明确物资采购的交货期要求，与供应商协商确定合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理的交货时间，确保采购的及时性和供应链的顺畅性。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合规标准：遵守相关法律法规和政策要求，包括环境保护、劳工权益、知识产权等方面的合规标准，确保采购的合法性和道德性。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注意事项和建议：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供应商评估：建立供应商评估机制，定期对供应商进行评估和监督，确保供应商的稳定性和可靠性。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合同管理：建立健全的合同管理制度，明确合同条款和责任，加强对合同履行的监督和管理。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风险管理：识别和评估采购过程中的风险，制定相应的风险管理措施，减少采购风险对特种油墨项目的影响。</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信息化支持：利用信息化技术，建立物资采购的信息管理系统，提高采购流程的效率和透明度。</w:t>
      </w:r>
    </w:p>
    <w:p w:rsidR="002B3133" w:rsidP="002B3133">
      <w:pPr>
        <w:pStyle w:val="Heading2"/>
      </w:pPr>
      <w:bookmarkStart w:id="13" w:name="_Toc152518173"/>
      <w:r w:rsidRPr="002B3133">
        <w:t>(</w:t>
      </w:r>
      <w:r w:rsidRPr="002B3133">
        <w:t>二</w:t>
      </w:r>
      <w:r w:rsidRPr="002B3133">
        <w:t>)</w:t>
      </w:r>
      <w:r w:rsidRPr="002B3133">
        <w:t>、物资管理的措施和办法</w:t>
      </w:r>
      <w:bookmarkEnd w:id="13"/>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物资分类和编码：</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分类体系：建立适合特种油墨项目需求的物资分类体系，根据物资的属性、用途、特性等进行分类，便于管理和查询。</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编码系统：制定统一的物资编码系统，为每种物资分配唯一的编码，方便识别、追踪和管理。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库存管理：</w:t>
      </w:r>
    </w:p>
    <w:p w:rsidR="002B3133" w:rsidRPr="002B3133" w:rsidP="002B313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3133">
        <w:rPr>
          <w:rFonts w:ascii="仿宋" w:eastAsia="仿宋" w:hAnsi="仿宋" w:hint="eastAsia"/>
          <w:sz w:val="28"/>
        </w:rPr>
        <w:t>定期盘点：制定定期盘点计划，对库存物资进行周期性盘点，确保库存数据的准确性和及时性。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安全库存：根据需求和供应链情况，确定合理的安全库存水平，以应对突发情况和供应不确定性。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物资跟踪：建立物资跟踪系统，追踪物资的入库、出库和流转情况，及时了解库存状况和物资使用情况。</w:t>
      </w:r>
    </w:p>
    <w:p w:rsidR="002B3133" w:rsidRPr="002B3133" w:rsidP="002B3133">
      <w:pPr>
        <w:ind w:firstLine="560" w:firstLineChars="200"/>
        <w:rPr>
          <w:rFonts w:ascii="仿宋" w:eastAsia="仿宋" w:hAnsi="仿宋"/>
          <w:sz w:val="28"/>
        </w:rPr>
      </w:pPr>
      <w:r w:rsidRPr="002B3133">
        <w:rPr>
          <w:rFonts w:ascii="仿宋" w:eastAsia="仿宋" w:hAnsi="仿宋" w:hint="eastAsia"/>
          <w:sz w:val="28"/>
        </w:rPr>
        <w:t>采购计划和供应链管理：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采购计划：制定合理的采购计划，根据特种油墨项目需求和库存情况，合理安排物资的采购时间和数量。</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供应链合作：与供应商建立良好的合作关系，加强沟通和协调，确保物资供应的及时性和稳定性。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质量控制：建立质量控制体系，包括物资的质量检验、抽样检测等，确保物资的质量符合要求。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不合格品处理：建立不合格品处理流程，对不合格品进行分类、记录和处理，防止不合格品流入使用环节。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报废和处置：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报废管理：建立报废物资的管理程序，对过期、损坏或无法使用的物资进行及时报废处理，避免资源浪费和库存积压。</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环境友好处置：根据物资的性质和特点，选择合适的环境友好的处置方式，如回收利用、再利用等，降低对环境的影响。</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技术支持和信息化：</w:t>
      </w:r>
    </w:p>
    <w:p w:rsidR="002B3133" w:rsidRPr="002B3133" w:rsidP="002B313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3133">
        <w:rPr>
          <w:rFonts w:ascii="仿宋" w:eastAsia="仿宋" w:hAnsi="仿宋" w:hint="eastAsia"/>
          <w:sz w:val="28"/>
        </w:rPr>
        <w:t>技术支持：引入适当的物资管理技术和工具，如条码识别、RFID等，提高物资管理的效率和准确性。</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信息化系统：建立物资管理的信息化系统，实现物资信息的集中管理、查询和分析，提升管理的智能化和科学化。</w:t>
      </w:r>
    </w:p>
    <w:p w:rsidR="002B3133" w:rsidP="002B3133">
      <w:pPr>
        <w:pStyle w:val="Heading2"/>
      </w:pPr>
      <w:bookmarkStart w:id="14" w:name="_Toc152518174"/>
      <w:r w:rsidRPr="002B3133">
        <w:t>(</w:t>
      </w:r>
      <w:r w:rsidRPr="002B3133">
        <w:t>三</w:t>
      </w:r>
      <w:r w:rsidRPr="002B3133">
        <w:t>)</w:t>
      </w:r>
      <w:r w:rsidRPr="002B3133">
        <w:t>、物资质量和库存的控制和监督</w:t>
      </w:r>
      <w:bookmarkEnd w:id="14"/>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质量控制和监督：</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质量标准：明确物资的质量标准和要求，包括产品的质量认证、检验标准、合规要求等，确保物资的质量符合标准。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质量检验：建立质量检验程序和流程，对进货物资进行抽样检测、实验室测试等，确保物资的质量符合要求。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不合格品处理：建立不合格品处理流程，对不符合质量标准的物资进行分类、记录和处理，防止不合格品流入使用环节。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供应商评估：建立供应商质量评估机制，对供应商的质量管理能力进行评估和监督，确保供应商提供的物资符合质量标准。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库存控制和监督：</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定期盘点：制定定期盘点计划，对库存物资进行周期性盘点，确保库存数据的准确性和及时性。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安全库存：根据需求和供应链情况，确定合理的安全库存水平，以应对突发情况和供应不确定性。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物资跟踪：建立物资跟踪系统，追踪物资的入库、出库和流转情况，及时了解库存状况和物资使用情况。</w:t>
      </w:r>
    </w:p>
    <w:p w:rsidR="002B3133" w:rsidRPr="002B3133" w:rsidP="002B313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B3133">
        <w:rPr>
          <w:rFonts w:ascii="仿宋" w:eastAsia="仿宋" w:hAnsi="仿宋" w:hint="eastAsia"/>
          <w:sz w:val="28"/>
        </w:rPr>
        <w:t>库存优化：通过优化库存管理策略，如采用先进的库存管理模型和技术，合理控制物资的进货、出货和补货，降低库存成本和风险。</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监督措施和建议：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内部监督机制：建立内部监督机制，包括设立专门的物资管理部门或岗位，明确责任和权限，加强对物资质量和库存的监督和管理。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外部监督和认证：与第三方机构合作，进行物资质量的外部监督和认证，确保物资符合国家标准和法规要求。</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数据分析和报告：利用数据分析工具和技术，对物资质量和库存数据进行分析和报告，发现问题和改进机会，提高管理决策的科学性和准确性。</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培训和培养：</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培训计划：制定物资质量和库存管理的培训计划，对相关人员进行培训，提升其质量控制和库存管理的专业能力。</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培养团队文化：建立积极的团队文化，强调质量意识和库存管理的重要性，激发团队成员的积极性和责任感。</w:t>
      </w:r>
    </w:p>
    <w:p w:rsidR="002B3133" w:rsidP="002B3133">
      <w:pPr>
        <w:pStyle w:val="Heading1"/>
        <w:rPr>
          <w:rFonts w:hint="eastAsia"/>
        </w:rPr>
      </w:pPr>
      <w:bookmarkStart w:id="15" w:name="_Toc152518175"/>
      <w:r w:rsidRPr="002B3133">
        <w:rPr>
          <w:rFonts w:hint="eastAsia"/>
        </w:rPr>
        <w:t>四、创新商业模式和价值创造</w:t>
      </w:r>
      <w:bookmarkEnd w:id="15"/>
    </w:p>
    <w:p w:rsidR="002B3133" w:rsidP="002B3133">
      <w:pPr>
        <w:pStyle w:val="Heading2"/>
        <w:rPr>
          <w:rFonts w:hint="eastAsia"/>
        </w:rPr>
      </w:pPr>
      <w:bookmarkStart w:id="16" w:name="_Toc152518176"/>
      <w:r w:rsidRPr="002B3133">
        <w:rPr>
          <w:rFonts w:hint="eastAsia"/>
        </w:rPr>
        <w:t>(</w:t>
      </w:r>
      <w:r w:rsidRPr="002B3133">
        <w:rPr>
          <w:rFonts w:hint="eastAsia"/>
        </w:rPr>
        <w:t>一</w:t>
      </w:r>
      <w:r w:rsidRPr="002B3133">
        <w:rPr>
          <w:rFonts w:hint="eastAsia"/>
        </w:rPr>
        <w:t>)</w:t>
      </w:r>
      <w:r w:rsidRPr="002B3133">
        <w:rPr>
          <w:rFonts w:hint="eastAsia"/>
        </w:rPr>
        <w:t>、创新商业模式的介绍和实例分析</w:t>
      </w:r>
      <w:bookmarkEnd w:id="16"/>
    </w:p>
    <w:p w:rsidR="002B3133" w:rsidRPr="002B3133" w:rsidP="002B313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3133">
        <w:rPr>
          <w:rFonts w:ascii="仿宋" w:eastAsia="仿宋" w:hAnsi="仿宋" w:hint="eastAsia"/>
          <w:sz w:val="28"/>
        </w:rPr>
        <w:t>创新商业模式的介绍：创新商业模式是指在现有市场和资源的基础上，通过创新和变革，开创新的商业模式，实现商业目标和可持续发展。创新商业模式包括产品或服务的创新、市场营销的创新、收入模式的创新、供应链的创新等方面。创新商业模式能够带来新的商业机会、增加企业的竞争力、提高客户价值、降低成本和风险等多重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益。</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实例分析：以共享经济模式为例，共享经济是一种基于互联网和移动互联网的创新商业模式，通过共享资源、共享服务和共享平台，实现资源的最大化利用和效率提升。共享经济模式的实现，需要解决资源共享、信任机制、平台建设等多个问题。例如，共享单车企业可以通过建立智能锁和移动支付系统，实现自助租借和归还，降低管理成本和提高用户体验；共享住宿企业可以通过建立信任评价机制和保险机制，提高用户信任度和安全性；共享办公企业可以通过提供灵活的租赁方式和共享办公设施，降低企业成本和提高工作效率。</w:t>
      </w:r>
    </w:p>
    <w:p w:rsidR="002B3133" w:rsidP="002B3133">
      <w:pPr>
        <w:pStyle w:val="Heading2"/>
      </w:pPr>
      <w:bookmarkStart w:id="17" w:name="_Toc152518177"/>
      <w:r w:rsidRPr="002B3133">
        <w:t>(</w:t>
      </w:r>
      <w:r w:rsidRPr="002B3133">
        <w:t>二</w:t>
      </w:r>
      <w:r w:rsidRPr="002B3133">
        <w:t>)</w:t>
      </w:r>
      <w:r w:rsidRPr="002B3133">
        <w:t>、商业模式创新对特种油墨项目价值的影响</w:t>
      </w:r>
      <w:bookmarkEnd w:id="17"/>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价值提升：商业模式创新可以带来新的商业机会和增值服务，提高产品或服务的附加值和差异化竞争力，从而提升特种油墨项目的市场价值和商业价值。例如，通过采用订阅制或付费会员制等收入模式创新，可以增加特种油墨项目的收入来源和稳定性；通过采用共享经济模式或区块链技术等供应链创新，可以降低成本和风险，提高效率和可靠性。</w:t>
      </w:r>
    </w:p>
    <w:p w:rsidR="002B3133" w:rsidRPr="002B3133" w:rsidP="002B313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3133">
        <w:rPr>
          <w:rFonts w:ascii="仿宋" w:eastAsia="仿宋" w:hAnsi="仿宋" w:hint="eastAsia"/>
          <w:sz w:val="28"/>
        </w:rPr>
        <w:t>竞争优势：商业模式创新可以带来新的商业模式和商业生态，打破传统的竞争格局，创造新的竞争优势。例如，通过采用平台经济模式或社交化营销模式等市场营销创新，可以拓展特种油墨项目的市场份额和用户群体；通过采用云计算或物联网技术等技术创新，可以提高特种油墨项目的技术水平和创新能力。</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可持续发展：商业模式创新可以带来新的商业模式和商业生态，促进特种油墨项目的可持续发展。例如，通过采用循环经济模式或绿色供应链模式等可持续发展创新，可以降低特种油墨项目的环境影响和社会风险，提高特种油墨项目的社会责任和企业形象。</w:t>
      </w:r>
    </w:p>
    <w:p w:rsidR="002B3133" w:rsidP="002B3133">
      <w:pPr>
        <w:pStyle w:val="Heading2"/>
      </w:pPr>
      <w:bookmarkStart w:id="18" w:name="_Toc152518178"/>
      <w:r w:rsidRPr="002B3133">
        <w:t>(</w:t>
      </w:r>
      <w:r w:rsidRPr="002B3133">
        <w:t>三</w:t>
      </w:r>
      <w:r w:rsidRPr="002B3133">
        <w:t>)</w:t>
      </w:r>
      <w:r w:rsidRPr="002B3133">
        <w:t>、商业模式持续创新和迭代发展的策略</w:t>
      </w:r>
      <w:bookmarkEnd w:id="18"/>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持续创新：商业模式持续创新是指不断地寻找新的商业机会和创新点，通过创新和变革，实现商业目标和可持续发展。持续创新需要建立创新机制和创新文化，鼓励团队成员提出新的创意和建议，同时需要建立创新评估和实施机制，对创新点进行评估和筛选，制定创新计划和实施方案。</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迭代发展：商业模式迭代发展是指不断地对商业模式进行调整和优化，通过实践和反馈，不断地改进和完善商业模式，实现商业目标和可持续发展。迭代发展需要建立反馈机制和数据分析机制，及时了解用户反馈和市场信息，对商业模式进行调整和优化，同时需要建立迭代管理和实施机制，对商业模式的改进进行跟踪和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策略建议：为了实现商业模式的持续创新和迭代发展，我们需要建立以下策略建议：</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建立创新和迭代的文化和机制，鼓励团队成员提出新的创意和建议，同时建立创新评估和实施机制，对创新点进行评估和筛选，制定创新计划和实施方案。</w:t>
      </w:r>
    </w:p>
    <w:p w:rsidR="002B3133" w:rsidRPr="002B3133" w:rsidP="002B313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B3133">
        <w:rPr>
          <w:rFonts w:ascii="仿宋" w:eastAsia="仿宋" w:hAnsi="仿宋" w:hint="eastAsia"/>
          <w:sz w:val="28"/>
        </w:rPr>
        <w:t>建立反馈和数据分析机制，及时了解用户反馈和市场信息，对商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业模式进行调整和优化，同时建立迭代管理和实施机制，对商业模式的改进进行跟踪和管理。</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注重社会责任和可持续发展，将商业模式的持续创新和迭代发展与社会责任和可持续发展相结合，实现商业目标和社会效益的双赢。</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建立有效的沟通机制和团队协作机制，明确团队成员的角色和职责，注重团队文化的建立和维护，确保商业模式的持续创新和迭代发展的顺利实施。</w:t>
      </w:r>
    </w:p>
    <w:p w:rsidR="002B3133" w:rsidP="002B3133">
      <w:pPr>
        <w:pStyle w:val="Heading1"/>
        <w:rPr>
          <w:rFonts w:hint="eastAsia"/>
        </w:rPr>
      </w:pPr>
      <w:bookmarkStart w:id="19" w:name="_Toc152518179"/>
      <w:r w:rsidRPr="002B3133">
        <w:rPr>
          <w:rFonts w:hint="eastAsia"/>
        </w:rPr>
        <w:t>五、产品定价和销售策略</w:t>
      </w:r>
      <w:bookmarkEnd w:id="19"/>
    </w:p>
    <w:p w:rsidR="002B3133" w:rsidP="002B3133">
      <w:pPr>
        <w:pStyle w:val="Heading2"/>
        <w:rPr>
          <w:rFonts w:hint="eastAsia"/>
        </w:rPr>
      </w:pPr>
      <w:bookmarkStart w:id="20" w:name="_Toc152518180"/>
      <w:r w:rsidRPr="002B3133">
        <w:rPr>
          <w:rFonts w:hint="eastAsia"/>
        </w:rPr>
        <w:t>(</w:t>
      </w:r>
      <w:r w:rsidRPr="002B3133">
        <w:rPr>
          <w:rFonts w:hint="eastAsia"/>
        </w:rPr>
        <w:t>一</w:t>
      </w:r>
      <w:r w:rsidRPr="002B3133">
        <w:rPr>
          <w:rFonts w:hint="eastAsia"/>
        </w:rPr>
        <w:t>)</w:t>
      </w:r>
      <w:r w:rsidRPr="002B3133">
        <w:rPr>
          <w:rFonts w:hint="eastAsia"/>
        </w:rPr>
        <w:t>、产品定价的原则和策略</w:t>
      </w:r>
      <w:bookmarkEnd w:id="20"/>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定价原则：</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成本导向：考虑产品的生产成本、运营成本以及相关费用，确保定价能够覆盖成本并获得合理的利润。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市场导向：研究目标市场的需求和竞争情况，确定定价策略以满足市场需求并保持竞争力。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价值导向：基于产品的独特价值和优势，确定合理的定价水平，使顾客认可产品的价值并愿意支付相应价格。</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市场定价：根据市场需求和竞争情况，采用市场定价策略，即根据市场价格水平来定价，以保持竞争力。</w:t>
      </w:r>
    </w:p>
    <w:p w:rsidR="002B3133" w:rsidRPr="002B3133" w:rsidP="002B313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B3133">
        <w:rPr>
          <w:rFonts w:ascii="仿宋" w:eastAsia="仿宋" w:hAnsi="仿宋" w:hint="eastAsia"/>
          <w:sz w:val="28"/>
        </w:rPr>
        <w:t>差异化定价：根据产品的独特特性和附加价值，采用差异化定价</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策略，即根据不同产品版本或包装形式设定不同价格。</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价值定价：基于产品的独特价值和顾客的感知，采用价值定价策略，即根据产品所提供的价值设定相应的价格。</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市场份额定价：如果目标是快速扩大市场份额，可以采用市场份额定价策略，即通过低价定价来吸引更多的顾客。</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定价策略的考虑因素：</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目标市场：了解目标市场的消费者行为、购买力和价格敏感度，以确定适合的定价策略。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竞争情况：研究竞争对手的定价策略和价格水平，制定相应的定价战略以保持竞争力。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产品定位：根据产品的定位策略（高端、中端、低端），确定相应的定价策略以与产品定位相匹配。</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市场前景：考虑市场发展趋势、预期需求变化和竞争态势，制定长期可持续的定价策略。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定价策略的调整和优化：</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定价弹性分析：评估产品的价格弹性，根据需求变化和市场反馈，灵活调整定价策略以实现最佳定价。</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定价实验：通过定价实验和市场反馈，测试不同定价策略的效果，优化定价策略并提升市场竞争力。</w:t>
      </w:r>
    </w:p>
    <w:p w:rsidR="002B3133" w:rsidP="002B313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3133">
        <w:rPr>
          <w:rFonts w:ascii="仿宋" w:eastAsia="仿宋" w:hAnsi="仿宋" w:hint="eastAsia"/>
          <w:sz w:val="28"/>
        </w:rPr>
        <w:t>定价与价值匹配：持续关注产品的市场表现和顾客反馈，确保产品的定价与所提供的价值相匹配。</w:t>
      </w:r>
    </w:p>
    <w:p w:rsidR="002B3133" w:rsidP="002B3133">
      <w:pPr>
        <w:pStyle w:val="Heading2"/>
      </w:pPr>
      <w:bookmarkStart w:id="21" w:name="_Toc152518181"/>
      <w:r w:rsidRPr="002B3133">
        <w:t>(</w:t>
      </w:r>
      <w:r w:rsidRPr="002B3133">
        <w:t>二</w:t>
      </w:r>
      <w:r w:rsidRPr="002B3133">
        <w:t>)</w:t>
      </w:r>
      <w:r w:rsidRPr="002B3133">
        <w:t>、销售渠道的选择和拓展</w:t>
      </w:r>
      <w:bookmarkEnd w:id="21"/>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渠道选择原则：</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目标市场：了解目标市场的特点、消费者行为和购买偏好，选择适合的销售渠道以覆盖目标市场。</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产品属性：考虑产品的性质、复杂度和售后服务需求，选择适合产品特点的销售渠道。</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成本效益：评估不同销售渠道的成本和效益，选择能够提供良好回报的销售渠道。</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竞争环境：研究竞争对手的销售渠道策略和市场份额，选择能够与竞争对手竞争的销售渠道。</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销售渠道策略：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直销：通过自有销售团队或在线平台直接向客户销售产品，具有更高的控制权和利润潜力。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经销商：与经销商建立合作关系，将产品批发给经销商，由其负责渠道拓展和销售，适用于大规模市场覆盖。</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零售商：与零售商合作，在其门店销售产品，可以提高产品的可见性和销售渠道的广度。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在线销售：通过电子商务平台、社交媒体等在线渠道销售产品，能够迅速触达全球市场并降低销售成本。</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合作伙伴关系：与相关行业的合作伙伴建立合作关系，共同推广和销售产品，实现互利共赢。</w:t>
      </w:r>
    </w:p>
    <w:p w:rsidR="002B3133" w:rsidRPr="002B3133" w:rsidP="002B313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B3133">
        <w:rPr>
          <w:rFonts w:ascii="仿宋" w:eastAsia="仿宋" w:hAnsi="仿宋" w:hint="eastAsia"/>
          <w:sz w:val="28"/>
        </w:rPr>
        <w:t>渠道拓展策略：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地理拓展：根据目标市场的地理分布，选择合适的销售渠道进行地理拓展，覆盖更广泛的区域。</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多渠道策略：结合不同销售渠道的优势，采用多渠道销售策略，提供更多选择和便利性给消费者。</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合作伙伴拓展：与其他企业建立合作伙伴关系，共同拓展销售渠道，利用其现有的客户资源和渠道网络。</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线上线下结合：将线上和线下销售渠道结合起来，通过线上引流和线下体验，提供全方位的购物体验。</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渠道管理和优化：</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渠道合作：与销售渠道的合作伙伴建立良好的合作关系，共同制定销售目标、协调市场推广和售后服务等。</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渠道培训：为销售渠道的销售人员提供培训和支持，提高其产品知识和销售能力，增强渠道合作效果。</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渠道绩效评估：建立监测和评估机制，定期评估销售渠道的绩效和市场反馈，及时调整和优化渠道策略。</w:t>
      </w:r>
    </w:p>
    <w:p w:rsidR="002B3133" w:rsidP="002B3133">
      <w:pPr>
        <w:pStyle w:val="Heading2"/>
      </w:pPr>
      <w:bookmarkStart w:id="22" w:name="_Toc152518182"/>
      <w:r w:rsidRPr="002B3133">
        <w:t>(</w:t>
      </w:r>
      <w:r w:rsidRPr="002B3133">
        <w:t>三</w:t>
      </w:r>
      <w:r w:rsidRPr="002B3133">
        <w:t>)</w:t>
      </w:r>
      <w:r w:rsidRPr="002B3133">
        <w:t>、销售促进和营销活动的策划和实施</w:t>
      </w:r>
      <w:bookmarkEnd w:id="22"/>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销售促进和营销活动的目的：</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增加销售量：通过促销和营销活动，吸引更多的顾客购买产品，提高销售量。</w:t>
      </w:r>
    </w:p>
    <w:p w:rsidR="002B3133" w:rsidRPr="002B3133" w:rsidP="002B313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B3133">
        <w:rPr>
          <w:rFonts w:ascii="仿宋" w:eastAsia="仿宋" w:hAnsi="仿宋" w:hint="eastAsia"/>
          <w:sz w:val="28"/>
        </w:rPr>
        <w:t>增强品牌形象：通过营销活动，提升品牌知名度和形象，增强消费者对产品的信任和忠诚度。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建立客户关系：通过促销和营销活动，建立与顾客的良好关系，提供更好的售后服务和支持，增强客户满意度和忠诚度。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销售促进和营销活动的策划：</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目标市场：确定目标市场和目标消费者，了解其需求和偏好，制定相应的促销和营销策略。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促销方式：选择适合产品特点和目标市场的促销方式，包括打折、满减、赠品等。</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营销活动：制定具有吸引力和创新性的营销活动，包括线上线下活动、社交媒体推广、赛事赞助等。</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预算和时间：根据销售目标和市场需求，制定合理的促销预算和时间安排。</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销售促进和营销活动的实施：</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推广渠道：选择适合产品和目标市场的推广渠道，包括线上和线下渠道，通过多种方式扩大产品的曝光度。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营销内容：制定优质的营销内容，包括宣传文案、广告视频、海报等，提高产品的吸引力和竞争力。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活动执行：确保活动执行的顺利进行，包括活动策划、执行、监测和评估，及时调整和优化活动效果。</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客户服务：提供优质的客户服务和售后支持，建立良好的客户关系，增强客户满意度和忠诚度。</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销售促进和营销活动的效果评估：</w:t>
      </w:r>
    </w:p>
    <w:p w:rsidR="002B3133" w:rsidRPr="002B3133" w:rsidP="002B313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B3133">
        <w:rPr>
          <w:rFonts w:ascii="仿宋" w:eastAsia="仿宋" w:hAnsi="仿宋" w:hint="eastAsia"/>
          <w:sz w:val="28"/>
        </w:rPr>
        <w:t>销售数据分析：通过销售数据分析，评估促销和营销活动的效果</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和销售贡献，及时调整和优化活动策略。</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消费者反馈：关注消费者的反馈和评价，了解其满意度和需求变化，及时调整和优化产品和营销策略。</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市场竞争：研究市场竞争情况和竞争对手的营销策略，提高产品的竞争力和市场份额。</w:t>
      </w:r>
    </w:p>
    <w:p w:rsidR="002B3133" w:rsidP="002B3133">
      <w:pPr>
        <w:pStyle w:val="Heading1"/>
        <w:rPr>
          <w:rFonts w:hint="eastAsia"/>
        </w:rPr>
      </w:pPr>
      <w:bookmarkStart w:id="23" w:name="_Toc152518183"/>
      <w:r w:rsidRPr="002B3133">
        <w:rPr>
          <w:rFonts w:hint="eastAsia"/>
        </w:rPr>
        <w:t>六、可行性结论</w:t>
      </w:r>
      <w:bookmarkEnd w:id="23"/>
    </w:p>
    <w:p w:rsidR="002B3133" w:rsidP="002B3133">
      <w:pPr>
        <w:pStyle w:val="Heading2"/>
        <w:rPr>
          <w:rFonts w:hint="eastAsia"/>
        </w:rPr>
      </w:pPr>
      <w:bookmarkStart w:id="24" w:name="_Toc152518184"/>
      <w:r w:rsidRPr="002B3133">
        <w:rPr>
          <w:rFonts w:hint="eastAsia"/>
        </w:rPr>
        <w:t>(</w:t>
      </w:r>
      <w:r w:rsidRPr="002B3133">
        <w:rPr>
          <w:rFonts w:hint="eastAsia"/>
        </w:rPr>
        <w:t>一</w:t>
      </w:r>
      <w:r w:rsidRPr="002B3133">
        <w:rPr>
          <w:rFonts w:hint="eastAsia"/>
        </w:rPr>
        <w:t>)</w:t>
      </w:r>
      <w:r w:rsidRPr="002B3133">
        <w:rPr>
          <w:rFonts w:hint="eastAsia"/>
        </w:rPr>
        <w:t>、技术可行性总结</w:t>
      </w:r>
      <w:bookmarkEnd w:id="24"/>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我们首先对现有技术方案进行了广泛的调研和比较。我们评估了这些技术方案的成熟度、可靠性、安全性、可维护性和可扩展性等方面，并与特种油墨项目需求进行了比较和匹配。我们还对技术方案的可行性进行了评估和分析，包括技术实现的难度、时间、成本和风险等方面。我们评估了技术实现所需的资源和人员，以确保特种油墨项目的技术实现能够按时、按质、按量完成。</w:t>
      </w:r>
    </w:p>
    <w:p w:rsidR="002B3133" w:rsidP="002B313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B3133">
        <w:rPr>
          <w:rFonts w:ascii="仿宋" w:eastAsia="仿宋" w:hAnsi="仿宋" w:hint="eastAsia"/>
          <w:sz w:val="28"/>
        </w:rPr>
        <w:t>在技术方案的未来发展方面，我们对技术的更新换代、市场需求的变化和竞争环境的变化等方面进行了分析和展望。我们提出了相应的建议和措施，以确保特种油墨项目的技术方案能够持续满足市场需求和特种油墨项目需求。在技术可行性的总结中，我们认为特种油墨项目所涉及的技术方案是成熟、可靠且满足特种油墨项目需求的。我们相信，在技术方案的支持下，特种油墨项目能够实现成功和可持续发展。</w:t>
      </w:r>
    </w:p>
    <w:p w:rsidR="002B3133" w:rsidP="002B3133">
      <w:pPr>
        <w:pStyle w:val="Heading2"/>
      </w:pPr>
      <w:bookmarkStart w:id="25" w:name="_Toc152518185"/>
      <w:r w:rsidRPr="002B3133">
        <w:t>(</w:t>
      </w:r>
      <w:r w:rsidRPr="002B3133">
        <w:t>二</w:t>
      </w:r>
      <w:r w:rsidRPr="002B3133">
        <w:t>)</w:t>
      </w:r>
      <w:r w:rsidRPr="002B3133">
        <w:t>、经济可行性总结</w:t>
      </w:r>
      <w:bookmarkEnd w:id="25"/>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我们首先对特种油墨项目的成本进行了评估，包括开发成本、运营成本、维护成本和升级成本等方面。我们考虑了不同场景下的成本变化，以确保特种油墨项目能够在不同的市场环境下保持经济可行性。其次，我们对特种油墨项目的收益进行了评估，包括市场需求、用户数量、用户付费意愿和竞争情况等方面。我们考虑了不同市场环境下的收益变化，以确保特种油墨项目能够在不同的市场环境下保持经济可行性。最后，我们对特种油墨项目的盈利能力进行了评估，考虑了特种油墨项目的成本和收益之间的关系，以及特种油墨项目的盈利能力和市场份额之间的关系。我们还考虑了特种油墨项目的长期发展和可持续性，以确保特种油墨项目能够长期保持盈利能力和市场竞争力。</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在经济可行性总结中，我们认为经济可行性是特种油墨项目成功的关键之一。我们相信，通过对特种油墨项目的成本、收益和盈利能力进行全面评估和分析，并采取相应的措施和策略，我们能够确保特种油墨项目的经济可行性和长期发展。我们建议在特种油墨项目的不同阶段进行经济可行性评估，并根据评估结果调整特种油墨项目的策略和方向，以确保特种油墨项目的经济可行性和市场竞争力。</w:t>
      </w:r>
    </w:p>
    <w:p w:rsidR="002B3133" w:rsidP="002B3133">
      <w:pPr>
        <w:pStyle w:val="Heading2"/>
      </w:pPr>
      <w:bookmarkStart w:id="26" w:name="_Toc152518186"/>
      <w:r w:rsidRPr="002B3133">
        <w:t>(</w:t>
      </w:r>
      <w:r w:rsidRPr="002B3133">
        <w:t>三</w:t>
      </w:r>
      <w:r w:rsidRPr="002B3133">
        <w:t>)</w:t>
      </w:r>
      <w:r w:rsidRPr="002B3133">
        <w:t>、法律与政策可行性总结</w:t>
      </w:r>
      <w:bookmarkEnd w:id="26"/>
    </w:p>
    <w:p w:rsidR="002B3133" w:rsidRPr="002B3133" w:rsidP="002B313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B3133">
        <w:rPr>
          <w:rFonts w:ascii="仿宋" w:eastAsia="仿宋" w:hAnsi="仿宋" w:hint="eastAsia"/>
          <w:sz w:val="28"/>
        </w:rPr>
        <w:t>我们对特种油墨项目所涉及的法律法规进行了评估，考虑了特种油墨项目所在地的国家和地区的法律法规，以及特种油墨项目所涉及的行业标准和规范。我们还考虑了特种油墨项目的合规性和风险因素，</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以确保特种油墨项目能够在法律法规的框架内合法运营。同时，我们对特种油墨项目所涉及的政策进行了评估，考虑了政府的政策导向和政策支持，以及政策变化对特种油墨项目的影响。我们还考虑了政策风险和政策不确定性，以确保特种油墨项目能够在政策环境的变化中保持稳定和可持续发展。</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在法律与政策可行性总结中，我们认为法律和政策可行性是特种油墨项目成功的关键之一。我们建议在特种油墨项目的不同阶段进行法律和政策可行性评估，并根据评估结果调整特种油墨项目的策略和方向，以确保特种油墨项目的法律和政策可行性和市场竞争力。同时，我们强调特种油墨项目的社会责任，考虑了特种油墨项目对社会的影响，包括环境保护、公共安全和社会稳定等方面。我们还考虑了特种油墨项目的社会责任和企业形象之间的关系，以确保特种油墨项目能够在社会责任的框架内合法运营。</w:t>
      </w:r>
    </w:p>
    <w:p w:rsidR="002B3133" w:rsidP="002B3133">
      <w:pPr>
        <w:pStyle w:val="Heading2"/>
      </w:pPr>
      <w:bookmarkStart w:id="27" w:name="_Toc152518187"/>
      <w:r w:rsidRPr="002B3133">
        <w:t>(</w:t>
      </w:r>
      <w:r w:rsidRPr="002B3133">
        <w:t>四</w:t>
      </w:r>
      <w:r w:rsidRPr="002B3133">
        <w:t>)</w:t>
      </w:r>
      <w:r w:rsidRPr="002B3133">
        <w:t>、风险评估总结</w:t>
      </w:r>
      <w:bookmarkEnd w:id="27"/>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我们对特种油墨项目可能面临的风险进行了分类和分析。我们考虑了技术风险、市场风险、政策风险、财务风险、法律风险、环境风险和安全风险等方面。我们对每种风险进行了评估和分析，包括风险的概率、影响和后果等方面，以确定风险的严重程度和优先级。</w:t>
      </w:r>
    </w:p>
    <w:p w:rsidR="002B3133" w:rsidP="002B3133">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B3133">
        <w:rPr>
          <w:rFonts w:ascii="仿宋" w:eastAsia="仿宋" w:hAnsi="仿宋" w:hint="eastAsia"/>
          <w:sz w:val="28"/>
        </w:rPr>
        <w:t>在风险评估总结中，我们提出了相应的风险管理策略和措施。我们建议采取多种风险管理策略，包括风险规避、风险转移、风险缓解和风险承担等方面。我们还建议建立风险管理机制和体系，确保风险</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管理措施的实施和效果。同时，我们强调了风险管理的重要性，并建议在特种油墨项目的不同阶段进行风险评估和管理，以确保特种油墨项目的稳定和可持续发展。</w:t>
      </w:r>
    </w:p>
    <w:p w:rsidR="002B3133" w:rsidP="002B3133">
      <w:pPr>
        <w:pStyle w:val="Heading1"/>
        <w:rPr>
          <w:rFonts w:hint="eastAsia"/>
        </w:rPr>
      </w:pPr>
      <w:bookmarkStart w:id="28" w:name="_Toc152518188"/>
      <w:r w:rsidRPr="002B3133">
        <w:rPr>
          <w:rFonts w:hint="eastAsia"/>
        </w:rPr>
        <w:t>七、数字化转型和智能化升级</w:t>
      </w:r>
      <w:bookmarkEnd w:id="28"/>
    </w:p>
    <w:p w:rsidR="002B3133" w:rsidP="002B3133">
      <w:pPr>
        <w:pStyle w:val="Heading2"/>
        <w:rPr>
          <w:rFonts w:hint="eastAsia"/>
        </w:rPr>
      </w:pPr>
      <w:bookmarkStart w:id="29" w:name="_Toc152518189"/>
      <w:r w:rsidRPr="002B3133">
        <w:rPr>
          <w:rFonts w:hint="eastAsia"/>
        </w:rPr>
        <w:t>(</w:t>
      </w:r>
      <w:r w:rsidRPr="002B3133">
        <w:rPr>
          <w:rFonts w:hint="eastAsia"/>
        </w:rPr>
        <w:t>一</w:t>
      </w:r>
      <w:r w:rsidRPr="002B3133">
        <w:rPr>
          <w:rFonts w:hint="eastAsia"/>
        </w:rPr>
        <w:t>)</w:t>
      </w:r>
      <w:r w:rsidRPr="002B3133">
        <w:rPr>
          <w:rFonts w:hint="eastAsia"/>
        </w:rPr>
        <w:t>、数字化转型和智能化升级的概念和实践</w:t>
      </w:r>
      <w:bookmarkEnd w:id="29"/>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概念：数字化转型是指将传统业务模式和业务流程转变为数字化模式和数字化流程，通过数字技术和信息化手段，提高业务效率和创新能力，实现商业目标和可持续发展。智能化升级是指将数字化转型进一步升级为智能化模式，通过人工智能、大数据、物联网等技术，实现业务自动化、智能化和个性化，提高商业价值和用户体验。</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实践：数字化转型和智能化升级的实践需要从以下几个方面入手：</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技术应用：采用先进的数字技术和信息化手段，如云计算、大数据、人工智能、物联网等，实现数字化转型和智能化升级，提高业务效率和创新能力，降低成本和风险。</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数据管理：建立完善的数据管理体系，包括数据采集、数据存储、数据处理和数据分析等环节，实现数据的高效管理和价值挖掘，为数字化转型和智能化升级提供数据支撑和决策依据。</w:t>
      </w:r>
    </w:p>
    <w:p w:rsidR="002B3133" w:rsidRPr="002B3133" w:rsidP="002B313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B3133">
        <w:rPr>
          <w:rFonts w:ascii="仿宋" w:eastAsia="仿宋" w:hAnsi="仿宋" w:hint="eastAsia"/>
          <w:sz w:val="28"/>
        </w:rPr>
        <w:t>业务流程优化：通过数字化转型和智能化升级，对传统业务流程进行优化和升级，实现业务的自动化、智能化和个性化，提高业务效率和用户体验，同时降低成本和风险。</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组织变革：数字化转型和智能化升级需要进行组织变革，包括建立数字化文化和智能化文化，调整组织架构和人员配置，培养数字化和智能化人才，实现数字化转型和智能化升级的有序推进。</w:t>
      </w:r>
    </w:p>
    <w:p w:rsidR="002B3133" w:rsidP="002B3133">
      <w:pPr>
        <w:pStyle w:val="Heading2"/>
      </w:pPr>
      <w:bookmarkStart w:id="30" w:name="_Toc152518190"/>
      <w:r w:rsidRPr="002B3133">
        <w:t>(</w:t>
      </w:r>
      <w:r w:rsidRPr="002B3133">
        <w:t>二</w:t>
      </w:r>
      <w:r w:rsidRPr="002B3133">
        <w:t>)</w:t>
      </w:r>
      <w:r w:rsidRPr="002B3133">
        <w:t>、数字化和智能化对特种油墨项目发展的影响和前景</w:t>
      </w:r>
      <w:bookmarkEnd w:id="30"/>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影响：数字化和智能化对特种油墨项目发展的影响主要体现在以下几个方面：</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业务模式创新：数字化和智能化为特种油墨项目带来了全新的业务模式和商业机会，如数字化营销、智能化客户服务、智能化生产制造等，为特种油墨项目带来了更多的商业价值和市场竞争力。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业务效率提升：数字化和智能化可以实现业务的自动化、智能化和个性化，提高业务效率和用户体验，同时降低成本和风险，为特种油墨项目带来了更高的效益和可持续发展。</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数据管理和分析：数字化和智能化需要建立完善的数据管理和分析体系，通过数据挖掘和分析，实现业务的精细化管理和决策支持，为特种油墨项目带来更多的商业价值和市场竞争力。</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组织变革和人才培养：数字化和智能化需要进行组织变革和人才培养，建立数字化和智能化文化，调整组织架构和人员配置，培养数字化和智能化人才，为特种油墨项目带来更好的发展前景和可持续发展。</w:t>
      </w:r>
    </w:p>
    <w:p w:rsidR="002B3133" w:rsidRPr="002B3133" w:rsidP="002B3133">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B3133">
        <w:rPr>
          <w:rFonts w:ascii="仿宋" w:eastAsia="仿宋" w:hAnsi="仿宋" w:hint="eastAsia"/>
          <w:sz w:val="28"/>
        </w:rPr>
        <w:t>前景：数字化和智能化对特种油墨项目的发展前景非常广阔，主要体现在以下几个方面：</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市场竞争力提升：数字化和智能化可以提高特种油墨项目的市场竞争力，通过创新业务模式和提高业务效率，实现更好的商业价值和用户体验，赢得更多的市场份额和用户口碑。</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可持续发展：数字化和智能化可以提高特种油墨项目的效益和可持续发展能力，通过降低成本和风险，实现更好的商业效益和社会效益，为特种油墨项目的长期发展奠定坚实的基础。</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技术创新：数字化和智能化可以带来更多的技术创新和商业创新，通过不断地创新和变革，实现特种油墨项目的可持续发展和市场领先。</w:t>
      </w:r>
    </w:p>
    <w:p w:rsidR="002B3133" w:rsidP="002B3133">
      <w:pPr>
        <w:ind w:firstLine="560" w:firstLineChars="200"/>
        <w:rPr>
          <w:rFonts w:ascii="仿宋" w:eastAsia="仿宋" w:hAnsi="仿宋" w:hint="eastAsia"/>
          <w:sz w:val="28"/>
        </w:rPr>
      </w:pPr>
      <w:r w:rsidRPr="002B3133">
        <w:rPr>
          <w:rFonts w:ascii="仿宋" w:eastAsia="仿宋" w:hAnsi="仿宋" w:hint="eastAsia"/>
          <w:sz w:val="28"/>
        </w:rPr>
        <w:t>人才培养：数字化和智能化需要培养更多的数字化和智能化人才，为特种油墨项目提供更好的人才保障和人才支持，为特种油墨项目的可持续发展和市场领先提供更好的保障和支持。</w:t>
      </w:r>
    </w:p>
    <w:p w:rsidR="002B3133" w:rsidP="002B3133">
      <w:pPr>
        <w:pStyle w:val="Heading1"/>
        <w:rPr>
          <w:rFonts w:hint="eastAsia"/>
        </w:rPr>
      </w:pPr>
      <w:bookmarkStart w:id="31" w:name="_Toc152518191"/>
      <w:r w:rsidRPr="002B3133">
        <w:rPr>
          <w:rFonts w:hint="eastAsia"/>
        </w:rPr>
        <w:t>八、未来发展趋势和战略规划</w:t>
      </w:r>
      <w:bookmarkEnd w:id="31"/>
    </w:p>
    <w:p w:rsidR="002B3133" w:rsidP="002B3133">
      <w:pPr>
        <w:pStyle w:val="Heading2"/>
        <w:rPr>
          <w:rFonts w:hint="eastAsia"/>
        </w:rPr>
      </w:pPr>
      <w:bookmarkStart w:id="32" w:name="_Toc152518192"/>
      <w:r w:rsidRPr="002B3133">
        <w:rPr>
          <w:rFonts w:hint="eastAsia"/>
        </w:rPr>
        <w:t>(</w:t>
      </w:r>
      <w:r w:rsidRPr="002B3133">
        <w:rPr>
          <w:rFonts w:hint="eastAsia"/>
        </w:rPr>
        <w:t>一</w:t>
      </w:r>
      <w:r w:rsidRPr="002B3133">
        <w:rPr>
          <w:rFonts w:hint="eastAsia"/>
        </w:rPr>
        <w:t>)</w:t>
      </w:r>
      <w:r w:rsidRPr="002B3133">
        <w:rPr>
          <w:rFonts w:hint="eastAsia"/>
        </w:rPr>
        <w:t>、特种油墨行业未来发展趋势的预测</w:t>
      </w:r>
      <w:bookmarkEnd w:id="32"/>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技术创新与数字化转型：特种油墨行业将继续受益于技术创新和数字化转型的推动。随着人工智能、大数据分析、物联网和区块链等技术的不断成熟和应用，特种油墨行业将迎来更高效、智能化的生产和运营模式。这将带来更多的自动化和智能化设备，提高生产效率和产品质量。</w:t>
      </w:r>
    </w:p>
    <w:p w:rsidR="002B3133" w:rsidRPr="002B3133" w:rsidP="002B3133">
      <w:pPr>
        <w:ind w:firstLine="560" w:firstLineChars="200"/>
        <w:rPr>
          <w:rFonts w:ascii="仿宋" w:eastAsia="仿宋" w:hAnsi="仿宋" w:hint="eastAsia"/>
          <w:sz w:val="28"/>
        </w:rPr>
      </w:pPr>
      <w:r w:rsidRPr="002B3133">
        <w:rPr>
          <w:rFonts w:ascii="仿宋" w:eastAsia="仿宋" w:hAnsi="仿宋" w:hint="eastAsia"/>
          <w:sz w:val="28"/>
        </w:rPr>
        <w:t>可持续发展和环保意识：在全球范围内，可持续发展和环保意识的提高将对特种油墨行业产生深远的影响。消费者对环境友好和可持</w:t>
      </w:r>
      <w:r w:rsidRPr="002B3133">
        <w:rPr>
          <w:rFonts w:ascii="仿宋" w:eastAsia="仿宋" w:hAnsi="仿宋" w:hint="eastAsia"/>
          <w:sz w:val="28"/>
        </w:rPr>
        <w:br/>
      </w:r>
      <w:r w:rsidRPr="002B313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rPr>
          <w:t>https://d.book118.com/077003115001006031</w:t>
        </w:r>
      </w:hyperlink>
    </w:p>
    <w:p w:rsidR="002B3133" w:rsidRPr="002B3133" w:rsidP="002B3133">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31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31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31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313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313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313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313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313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313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313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313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313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313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313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B313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313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313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313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B313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313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313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313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B313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313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313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2B3133">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2B3133">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313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P="00D85F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2B3133">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rsidRPr="002B3133" w:rsidP="002B3133">
    <w:pPr>
      <w:pStyle w:val="Header"/>
      <w:rPr>
        <w:rFonts w:ascii="仿宋" w:eastAsia="仿宋" w:hAnsi="仿宋"/>
      </w:rPr>
    </w:pPr>
    <w:r w:rsidRPr="002B3133">
      <w:rPr>
        <w:rFonts w:ascii="仿宋" w:eastAsia="仿宋" w:hAnsi="仿宋" w:hint="eastAsia"/>
      </w:rPr>
      <w:t>特种油墨可行性报告/专业报告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133"/>
    <w:rsid w:val="000F1F93"/>
    <w:rsid w:val="002B3133"/>
    <w:rsid w:val="00D85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48DC9903-5533-475A-8DB4-D6AFA82C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B313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B31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B3133"/>
    <w:rPr>
      <w:b/>
      <w:bCs/>
      <w:kern w:val="44"/>
      <w:sz w:val="44"/>
      <w:szCs w:val="44"/>
    </w:rPr>
  </w:style>
  <w:style w:type="character" w:customStyle="1" w:styleId="2Char">
    <w:name w:val="标题 2 Char"/>
    <w:basedOn w:val="DefaultParagraphFont"/>
    <w:link w:val="Heading2"/>
    <w:uiPriority w:val="9"/>
    <w:rsid w:val="002B313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B31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B3133"/>
    <w:rPr>
      <w:sz w:val="18"/>
      <w:szCs w:val="18"/>
    </w:rPr>
  </w:style>
  <w:style w:type="paragraph" w:styleId="Footer">
    <w:name w:val="footer"/>
    <w:basedOn w:val="Normal"/>
    <w:link w:val="Char0"/>
    <w:uiPriority w:val="99"/>
    <w:unhideWhenUsed/>
    <w:rsid w:val="002B313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B3133"/>
    <w:rPr>
      <w:sz w:val="18"/>
      <w:szCs w:val="18"/>
    </w:rPr>
  </w:style>
  <w:style w:type="character" w:styleId="PageNumber">
    <w:name w:val="page number"/>
    <w:basedOn w:val="DefaultParagraphFont"/>
    <w:uiPriority w:val="99"/>
    <w:semiHidden/>
    <w:unhideWhenUsed/>
    <w:rsid w:val="002B3133"/>
  </w:style>
  <w:style w:type="paragraph" w:styleId="TOC1">
    <w:name w:val="toc 1"/>
    <w:basedOn w:val="Normal"/>
    <w:next w:val="Normal"/>
    <w:autoRedefine/>
    <w:uiPriority w:val="39"/>
    <w:unhideWhenUsed/>
    <w:rsid w:val="002B3133"/>
  </w:style>
  <w:style w:type="paragraph" w:styleId="TOC2">
    <w:name w:val="toc 2"/>
    <w:basedOn w:val="Normal"/>
    <w:next w:val="Normal"/>
    <w:autoRedefine/>
    <w:uiPriority w:val="39"/>
    <w:unhideWhenUsed/>
    <w:rsid w:val="002B31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77003115001006031"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4733</Words>
  <Characters>26984</Characters>
  <Application>Microsoft Office Word</Application>
  <DocSecurity>0</DocSecurity>
  <Lines>224</Lines>
  <Paragraphs>63</Paragraphs>
  <ScaleCrop>false</ScaleCrop>
  <Company/>
  <LinksUpToDate>false</LinksUpToDate>
  <CharactersWithSpaces>31654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2023-12-03T09:48:00Z</dcterms:created>
  <dcterms:modified xsi:type="dcterms:W3CDTF">2023-12-03T09:49:00Z</dcterms:modified>
</cp:coreProperties>
</file>