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pStyle w:val="a4"/>
        <w:keepNext w:val="0"/>
        <w:keepLines w:val="0"/>
        <w:widowControl w:val="0"/>
        <w:shd w:val="clear" w:color="auto" w:fill="auto"/>
        <w:tabs>
          <w:tab w:val="right" w:leader="dot" w:pos="12093"/>
          <w:tab w:val="right" w:pos="12445"/>
        </w:tabs>
        <w:bidi w:val="0"/>
        <w:spacing w:before="2040" w:after="100" w:line="240" w:lineRule="auto"/>
        <w:ind w:left="0" w:right="0" w:firstLine="860"/>
        <w:jc w:val="both"/>
      </w:pPr>
      <w:r>
        <w:fldChar w:fldCharType="begin"/>
      </w:r>
      <w:r>
        <w:instrText xml:space="preserve"> TOC \o "1-5" \h \z </w:instrText>
      </w:r>
      <w:r>
        <w:fldChar w:fldCharType="separate"/>
      </w:r>
      <w:hyperlink w:anchor="bookmark1" w:tooltip="Current Document" w:history="1">
        <w:r>
          <w:rPr>
            <w:color w:val="000000"/>
            <w:spacing w:val="0"/>
            <w:w w:val="100"/>
            <w:position w:val="0"/>
          </w:rPr>
          <w:t>第一章工程概况</w:t>
        </w:r>
        <w:r>
          <w:rPr>
            <w:color w:val="000000"/>
            <w:spacing w:val="0"/>
            <w:w w:val="100"/>
            <w:position w:val="0"/>
          </w:rPr>
          <w:tab/>
        </w:r>
        <w:r>
          <w:rPr>
            <w:color w:val="000000"/>
            <w:spacing w:val="0"/>
            <w:w w:val="100"/>
            <w:position w:val="0"/>
          </w:rPr>
          <w:t>-</w:t>
        </w:r>
        <w:r>
          <w:rPr>
            <w:color w:val="000000"/>
            <w:spacing w:val="0"/>
            <w:w w:val="100"/>
            <w:position w:val="0"/>
            <w:sz w:val="42"/>
            <w:szCs w:val="42"/>
          </w:rPr>
          <w:t>0</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4" w:tooltip="Current Document" w:history="1">
        <w:r>
          <w:rPr>
            <w:color w:val="000000"/>
            <w:spacing w:val="0"/>
            <w:w w:val="100"/>
            <w:position w:val="0"/>
            <w:sz w:val="42"/>
            <w:szCs w:val="42"/>
          </w:rPr>
          <w:t>1.1</w:t>
        </w:r>
        <w:r>
          <w:rPr>
            <w:color w:val="000000"/>
            <w:spacing w:val="0"/>
            <w:w w:val="100"/>
            <w:position w:val="0"/>
          </w:rPr>
          <w:t>编制依据</w:t>
        </w:r>
        <w:r>
          <w:rPr>
            <w:color w:val="000000"/>
            <w:spacing w:val="0"/>
            <w:w w:val="100"/>
            <w:position w:val="0"/>
          </w:rPr>
          <w:tab/>
        </w:r>
        <w:r>
          <w:rPr>
            <w:color w:val="000000"/>
            <w:spacing w:val="0"/>
            <w:w w:val="100"/>
            <w:position w:val="0"/>
            <w:sz w:val="42"/>
            <w:szCs w:val="42"/>
          </w:rPr>
          <w:t>-1</w:t>
          <w:tab/>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r>
        <w:rPr>
          <w:color w:val="000000"/>
          <w:spacing w:val="0"/>
          <w:w w:val="100"/>
          <w:position w:val="0"/>
          <w:sz w:val="42"/>
          <w:szCs w:val="42"/>
        </w:rPr>
        <w:t xml:space="preserve">1.2 </w:t>
      </w:r>
      <w:r>
        <w:rPr>
          <w:color w:val="000000"/>
          <w:spacing w:val="0"/>
          <w:w w:val="100"/>
          <w:position w:val="0"/>
        </w:rPr>
        <w:t>编制原则</w:t>
      </w:r>
      <w:r>
        <w:rPr>
          <w:color w:val="000000"/>
          <w:spacing w:val="0"/>
          <w:w w:val="100"/>
          <w:position w:val="0"/>
        </w:rPr>
        <w:tab/>
        <w:t xml:space="preserve"> </w:t>
      </w:r>
      <w:r>
        <w:rPr>
          <w:color w:val="000000"/>
          <w:spacing w:val="0"/>
          <w:w w:val="100"/>
          <w:position w:val="0"/>
        </w:rPr>
        <w:t>-</w:t>
      </w:r>
      <w:r>
        <w:rPr>
          <w:color w:val="000000"/>
          <w:spacing w:val="0"/>
          <w:w w:val="100"/>
          <w:position w:val="0"/>
          <w:sz w:val="42"/>
          <w:szCs w:val="42"/>
        </w:rPr>
        <w:t>1</w:t>
        <w:tab/>
      </w:r>
      <w:r>
        <w:rPr>
          <w:color w:val="000000"/>
          <w:spacing w:val="0"/>
          <w:w w:val="100"/>
          <w:position w:val="0"/>
        </w:rPr>
        <w:t>-</w:t>
      </w:r>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10" w:tooltip="Current Document" w:history="1">
        <w:r>
          <w:rPr>
            <w:color w:val="000000"/>
            <w:spacing w:val="0"/>
            <w:w w:val="100"/>
            <w:position w:val="0"/>
            <w:sz w:val="42"/>
            <w:szCs w:val="42"/>
          </w:rPr>
          <w:t>1.3</w:t>
        </w:r>
        <w:r>
          <w:rPr>
            <w:color w:val="000000"/>
            <w:spacing w:val="0"/>
            <w:w w:val="100"/>
            <w:position w:val="0"/>
          </w:rPr>
          <w:t>工程简介</w:t>
        </w:r>
        <w:r>
          <w:rPr>
            <w:color w:val="000000"/>
            <w:spacing w:val="0"/>
            <w:w w:val="100"/>
            <w:position w:val="0"/>
          </w:rPr>
          <w:tab/>
        </w:r>
        <w:r>
          <w:rPr>
            <w:color w:val="000000"/>
            <w:spacing w:val="0"/>
            <w:w w:val="100"/>
            <w:position w:val="0"/>
          </w:rPr>
          <w:t>-</w:t>
        </w:r>
        <w:r>
          <w:rPr>
            <w:color w:val="000000"/>
            <w:spacing w:val="0"/>
            <w:w w:val="100"/>
            <w:position w:val="0"/>
            <w:sz w:val="42"/>
            <w:szCs w:val="42"/>
          </w:rPr>
          <w:t>1</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13" w:tooltip="Current Document" w:history="1">
        <w:r>
          <w:rPr>
            <w:color w:val="000000"/>
            <w:spacing w:val="0"/>
            <w:w w:val="100"/>
            <w:position w:val="0"/>
            <w:sz w:val="42"/>
            <w:szCs w:val="42"/>
          </w:rPr>
          <w:t>1.4</w:t>
        </w:r>
        <w:r>
          <w:rPr>
            <w:color w:val="000000"/>
            <w:spacing w:val="0"/>
            <w:w w:val="100"/>
            <w:position w:val="0"/>
          </w:rPr>
          <w:t>施工条件</w:t>
        </w:r>
        <w:r>
          <w:rPr>
            <w:color w:val="000000"/>
            <w:spacing w:val="0"/>
            <w:w w:val="100"/>
            <w:position w:val="0"/>
          </w:rPr>
          <w:tab/>
        </w:r>
        <w:r>
          <w:rPr>
            <w:color w:val="000000"/>
            <w:spacing w:val="0"/>
            <w:w w:val="100"/>
            <w:position w:val="0"/>
            <w:sz w:val="42"/>
            <w:szCs w:val="42"/>
          </w:rPr>
          <w:t>-2</w:t>
          <w:tab/>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r>
        <w:rPr>
          <w:color w:val="000000"/>
          <w:spacing w:val="0"/>
          <w:w w:val="100"/>
          <w:position w:val="0"/>
          <w:sz w:val="42"/>
          <w:szCs w:val="42"/>
        </w:rPr>
        <w:t>1.5</w:t>
      </w:r>
      <w:r>
        <w:rPr>
          <w:color w:val="000000"/>
          <w:spacing w:val="0"/>
          <w:w w:val="100"/>
          <w:position w:val="0"/>
        </w:rPr>
        <w:t>主要施工内容</w:t>
      </w:r>
      <w:r>
        <w:rPr>
          <w:color w:val="000000"/>
          <w:spacing w:val="0"/>
          <w:w w:val="100"/>
          <w:position w:val="0"/>
        </w:rPr>
        <w:tab/>
      </w:r>
      <w:r>
        <w:rPr>
          <w:color w:val="000000"/>
          <w:spacing w:val="0"/>
          <w:w w:val="100"/>
          <w:position w:val="0"/>
          <w:sz w:val="42"/>
          <w:szCs w:val="42"/>
        </w:rPr>
        <w:t>-3</w:t>
        <w:tab/>
        <w:t>-</w:t>
      </w:r>
    </w:p>
    <w:p>
      <w:pPr>
        <w:pStyle w:val="a4"/>
        <w:keepNext w:val="0"/>
        <w:keepLines w:val="0"/>
        <w:widowControl w:val="0"/>
        <w:shd w:val="clear" w:color="auto" w:fill="auto"/>
        <w:tabs>
          <w:tab w:val="right" w:leader="dot" w:pos="12093"/>
          <w:tab w:val="right" w:pos="12445"/>
        </w:tabs>
        <w:bidi w:val="0"/>
        <w:spacing w:before="0" w:line="240" w:lineRule="auto"/>
        <w:ind w:left="0" w:right="0" w:firstLine="860"/>
        <w:jc w:val="both"/>
      </w:pPr>
      <w:hyperlink w:anchor="bookmark16" w:tooltip="Current Document" w:history="1">
        <w:r>
          <w:rPr>
            <w:color w:val="000000"/>
            <w:spacing w:val="0"/>
            <w:w w:val="100"/>
            <w:position w:val="0"/>
          </w:rPr>
          <w:t>第二章施工部署</w:t>
        </w:r>
        <w:r>
          <w:rPr>
            <w:color w:val="000000"/>
            <w:spacing w:val="0"/>
            <w:w w:val="100"/>
            <w:position w:val="0"/>
          </w:rPr>
          <w:tab/>
        </w:r>
        <w:r>
          <w:rPr>
            <w:color w:val="000000"/>
            <w:spacing w:val="0"/>
            <w:w w:val="100"/>
            <w:position w:val="0"/>
          </w:rPr>
          <w:t>-</w:t>
        </w:r>
        <w:r>
          <w:rPr>
            <w:color w:val="000000"/>
            <w:spacing w:val="0"/>
            <w:w w:val="100"/>
            <w:position w:val="0"/>
            <w:sz w:val="42"/>
            <w:szCs w:val="42"/>
          </w:rPr>
          <w:t>4</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19" w:tooltip="Current Document" w:history="1">
        <w:r>
          <w:rPr>
            <w:color w:val="000000"/>
            <w:spacing w:val="0"/>
            <w:w w:val="100"/>
            <w:position w:val="0"/>
            <w:sz w:val="42"/>
            <w:szCs w:val="42"/>
          </w:rPr>
          <w:t>2.1</w:t>
        </w:r>
        <w:r>
          <w:rPr>
            <w:color w:val="000000"/>
            <w:spacing w:val="0"/>
            <w:w w:val="100"/>
            <w:position w:val="0"/>
          </w:rPr>
          <w:t>组织机构设置</w:t>
        </w:r>
        <w:r>
          <w:rPr>
            <w:color w:val="000000"/>
            <w:spacing w:val="0"/>
            <w:w w:val="100"/>
            <w:position w:val="0"/>
          </w:rPr>
          <w:tab/>
        </w:r>
        <w:r>
          <w:rPr>
            <w:color w:val="000000"/>
            <w:spacing w:val="0"/>
            <w:w w:val="100"/>
            <w:position w:val="0"/>
          </w:rPr>
          <w:t>-</w:t>
        </w:r>
        <w:r>
          <w:rPr>
            <w:color w:val="000000"/>
            <w:spacing w:val="0"/>
            <w:w w:val="100"/>
            <w:position w:val="0"/>
            <w:sz w:val="42"/>
            <w:szCs w:val="42"/>
          </w:rPr>
          <w:t>4</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r>
        <w:rPr>
          <w:color w:val="000000"/>
          <w:spacing w:val="0"/>
          <w:w w:val="100"/>
          <w:position w:val="0"/>
          <w:sz w:val="42"/>
          <w:szCs w:val="42"/>
        </w:rPr>
        <w:t>2.2</w:t>
      </w:r>
      <w:r>
        <w:rPr>
          <w:color w:val="000000"/>
          <w:spacing w:val="0"/>
          <w:w w:val="100"/>
          <w:position w:val="0"/>
        </w:rPr>
        <w:t>施工计划</w:t>
      </w:r>
      <w:r>
        <w:rPr>
          <w:color w:val="000000"/>
          <w:spacing w:val="0"/>
          <w:w w:val="100"/>
          <w:position w:val="0"/>
        </w:rPr>
        <w:tab/>
      </w:r>
      <w:r>
        <w:rPr>
          <w:color w:val="000000"/>
          <w:spacing w:val="0"/>
          <w:w w:val="100"/>
          <w:position w:val="0"/>
          <w:sz w:val="42"/>
          <w:szCs w:val="42"/>
        </w:rPr>
        <w:t>-4</w:t>
        <w:tab/>
        <w:t>-</w:t>
      </w:r>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26" w:tooltip="Current Document" w:history="1">
        <w:r>
          <w:rPr>
            <w:color w:val="000000"/>
            <w:spacing w:val="0"/>
            <w:w w:val="100"/>
            <w:position w:val="0"/>
            <w:sz w:val="42"/>
            <w:szCs w:val="42"/>
          </w:rPr>
          <w:t>2.3</w:t>
        </w:r>
        <w:r>
          <w:rPr>
            <w:color w:val="000000"/>
            <w:spacing w:val="0"/>
            <w:w w:val="100"/>
            <w:position w:val="0"/>
          </w:rPr>
          <w:t>爆破施工任务</w:t>
        </w:r>
        <w:r>
          <w:rPr>
            <w:color w:val="000000"/>
            <w:spacing w:val="0"/>
            <w:w w:val="100"/>
            <w:position w:val="0"/>
          </w:rPr>
          <w:tab/>
        </w:r>
        <w:r>
          <w:rPr>
            <w:color w:val="000000"/>
            <w:spacing w:val="0"/>
            <w:w w:val="100"/>
            <w:position w:val="0"/>
            <w:sz w:val="42"/>
            <w:szCs w:val="42"/>
          </w:rPr>
          <w:t>-5</w:t>
          <w:tab/>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29" w:tooltip="Current Document" w:history="1">
        <w:r>
          <w:rPr>
            <w:color w:val="000000"/>
            <w:spacing w:val="0"/>
            <w:w w:val="100"/>
            <w:position w:val="0"/>
            <w:sz w:val="42"/>
            <w:szCs w:val="42"/>
          </w:rPr>
          <w:t>2.4</w:t>
        </w:r>
        <w:r>
          <w:rPr>
            <w:color w:val="000000"/>
            <w:spacing w:val="0"/>
            <w:w w:val="100"/>
            <w:position w:val="0"/>
          </w:rPr>
          <w:t>资源配置</w:t>
        </w:r>
        <w:r>
          <w:rPr>
            <w:color w:val="000000"/>
            <w:spacing w:val="0"/>
            <w:w w:val="100"/>
            <w:position w:val="0"/>
          </w:rPr>
          <w:tab/>
        </w:r>
        <w:r>
          <w:rPr>
            <w:color w:val="000000"/>
            <w:spacing w:val="0"/>
            <w:w w:val="100"/>
            <w:position w:val="0"/>
          </w:rPr>
          <w:t>-</w:t>
        </w:r>
        <w:r>
          <w:rPr>
            <w:color w:val="000000"/>
            <w:spacing w:val="0"/>
            <w:w w:val="100"/>
            <w:position w:val="0"/>
            <w:sz w:val="42"/>
            <w:szCs w:val="42"/>
          </w:rPr>
          <w:t>5</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left="0" w:right="0" w:firstLine="860"/>
        <w:jc w:val="both"/>
      </w:pPr>
      <w:hyperlink w:anchor="bookmark32" w:tooltip="Current Document" w:history="1">
        <w:r>
          <w:rPr>
            <w:color w:val="000000"/>
            <w:spacing w:val="0"/>
            <w:w w:val="100"/>
            <w:position w:val="0"/>
          </w:rPr>
          <w:t>第三章 土石方爆破专项施工方案</w:t>
        </w:r>
        <w:r>
          <w:rPr>
            <w:color w:val="000000"/>
            <w:spacing w:val="0"/>
            <w:w w:val="100"/>
            <w:position w:val="0"/>
          </w:rPr>
          <w:tab/>
        </w:r>
        <w:r>
          <w:rPr>
            <w:color w:val="000000"/>
            <w:spacing w:val="0"/>
            <w:w w:val="100"/>
            <w:position w:val="0"/>
          </w:rPr>
          <w:t>-</w:t>
        </w:r>
        <w:r>
          <w:rPr>
            <w:color w:val="000000"/>
            <w:spacing w:val="0"/>
            <w:w w:val="100"/>
            <w:position w:val="0"/>
            <w:sz w:val="42"/>
            <w:szCs w:val="42"/>
          </w:rPr>
          <w:t>7</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35" w:tooltip="Current Document" w:history="1">
        <w:r>
          <w:rPr>
            <w:color w:val="000000"/>
            <w:spacing w:val="0"/>
            <w:w w:val="100"/>
            <w:position w:val="0"/>
            <w:sz w:val="42"/>
            <w:szCs w:val="42"/>
          </w:rPr>
          <w:t>3.1</w:t>
        </w:r>
        <w:r>
          <w:rPr>
            <w:color w:val="000000"/>
            <w:spacing w:val="0"/>
            <w:w w:val="100"/>
            <w:position w:val="0"/>
          </w:rPr>
          <w:t>施工准备</w:t>
        </w:r>
        <w:r>
          <w:rPr>
            <w:color w:val="000000"/>
            <w:spacing w:val="0"/>
            <w:w w:val="100"/>
            <w:position w:val="0"/>
          </w:rPr>
          <w:tab/>
        </w:r>
        <w:r>
          <w:rPr>
            <w:color w:val="000000"/>
            <w:spacing w:val="0"/>
            <w:w w:val="100"/>
            <w:position w:val="0"/>
            <w:sz w:val="42"/>
            <w:szCs w:val="42"/>
          </w:rPr>
          <w:t>-7</w:t>
          <w:tab/>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38" w:tooltip="Current Document" w:history="1">
        <w:r>
          <w:rPr>
            <w:color w:val="000000"/>
            <w:spacing w:val="0"/>
            <w:w w:val="100"/>
            <w:position w:val="0"/>
            <w:sz w:val="42"/>
            <w:szCs w:val="42"/>
          </w:rPr>
          <w:t>3.2</w:t>
        </w:r>
        <w:r>
          <w:rPr>
            <w:color w:val="000000"/>
            <w:spacing w:val="0"/>
            <w:w w:val="100"/>
            <w:position w:val="0"/>
          </w:rPr>
          <w:t>工程特点</w:t>
        </w:r>
        <w:r>
          <w:rPr>
            <w:color w:val="000000"/>
            <w:spacing w:val="0"/>
            <w:w w:val="100"/>
            <w:position w:val="0"/>
          </w:rPr>
          <w:tab/>
        </w:r>
        <w:r>
          <w:rPr>
            <w:color w:val="000000"/>
            <w:spacing w:val="0"/>
            <w:w w:val="100"/>
            <w:position w:val="0"/>
          </w:rPr>
          <w:t>-</w:t>
        </w:r>
        <w:r>
          <w:rPr>
            <w:color w:val="000000"/>
            <w:spacing w:val="0"/>
            <w:w w:val="100"/>
            <w:position w:val="0"/>
            <w:sz w:val="42"/>
            <w:szCs w:val="42"/>
          </w:rPr>
          <w:t>7</w:t>
          <w:tab/>
        </w:r>
        <w:r>
          <w:rPr>
            <w:color w:val="000000"/>
            <w:spacing w:val="0"/>
            <w:w w:val="100"/>
            <w:position w:val="0"/>
          </w:rPr>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41" w:tooltip="Current Document" w:history="1">
        <w:r>
          <w:rPr>
            <w:color w:val="000000"/>
            <w:spacing w:val="0"/>
            <w:w w:val="100"/>
            <w:position w:val="0"/>
            <w:sz w:val="42"/>
            <w:szCs w:val="42"/>
          </w:rPr>
          <w:t>3.3</w:t>
        </w:r>
        <w:r>
          <w:rPr>
            <w:color w:val="000000"/>
            <w:spacing w:val="0"/>
            <w:w w:val="100"/>
            <w:position w:val="0"/>
          </w:rPr>
          <w:t>施工方案</w:t>
        </w:r>
        <w:r>
          <w:rPr>
            <w:color w:val="000000"/>
            <w:spacing w:val="0"/>
            <w:w w:val="100"/>
            <w:position w:val="0"/>
          </w:rPr>
          <w:tab/>
        </w:r>
        <w:r>
          <w:rPr>
            <w:color w:val="000000"/>
            <w:spacing w:val="0"/>
            <w:w w:val="100"/>
            <w:position w:val="0"/>
            <w:sz w:val="42"/>
            <w:szCs w:val="42"/>
          </w:rPr>
          <w:t>-8</w:t>
          <w:tab/>
          <w:t>-</w:t>
        </w:r>
      </w:hyperlink>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52" w:tooltip="Current Document" w:history="1">
        <w:r>
          <w:rPr>
            <w:color w:val="000000"/>
            <w:spacing w:val="0"/>
            <w:w w:val="100"/>
            <w:position w:val="0"/>
            <w:sz w:val="42"/>
            <w:szCs w:val="42"/>
          </w:rPr>
          <w:t>3.4</w:t>
        </w:r>
        <w:r>
          <w:rPr>
            <w:color w:val="000000"/>
            <w:spacing w:val="0"/>
            <w:w w:val="100"/>
            <w:position w:val="0"/>
          </w:rPr>
          <w:t>石方爆破施工方案</w:t>
        </w:r>
        <w:r>
          <w:rPr>
            <w:color w:val="000000"/>
            <w:spacing w:val="0"/>
            <w:w w:val="100"/>
            <w:position w:val="0"/>
          </w:rPr>
          <w:tab/>
        </w:r>
        <w:r>
          <w:rPr>
            <w:color w:val="000000"/>
            <w:spacing w:val="0"/>
            <w:w w:val="100"/>
            <w:position w:val="0"/>
            <w:sz w:val="42"/>
            <w:szCs w:val="42"/>
          </w:rPr>
          <w:t>-9</w:t>
          <w:tab/>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68" w:tooltip="Current Document" w:history="1">
        <w:r>
          <w:rPr>
            <w:color w:val="000000"/>
            <w:spacing w:val="0"/>
            <w:w w:val="100"/>
            <w:position w:val="0"/>
            <w:sz w:val="42"/>
            <w:szCs w:val="42"/>
          </w:rPr>
          <w:t>3.5</w:t>
        </w:r>
        <w:r>
          <w:rPr>
            <w:color w:val="000000"/>
            <w:spacing w:val="0"/>
            <w:w w:val="100"/>
            <w:position w:val="0"/>
          </w:rPr>
          <w:t>特殊地段施工</w:t>
        </w:r>
        <w:r>
          <w:rPr>
            <w:color w:val="000000"/>
            <w:spacing w:val="0"/>
            <w:w w:val="100"/>
            <w:position w:val="0"/>
          </w:rPr>
          <w:tab/>
        </w:r>
        <w:r>
          <w:rPr>
            <w:color w:val="000000"/>
            <w:spacing w:val="0"/>
            <w:w w:val="100"/>
            <w:position w:val="0"/>
            <w:sz w:val="42"/>
            <w:szCs w:val="42"/>
          </w:rPr>
          <w:t>-15</w:t>
          <w:tab/>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93" w:tooltip="Current Document" w:history="1">
        <w:r>
          <w:rPr>
            <w:color w:val="000000"/>
            <w:spacing w:val="0"/>
            <w:w w:val="100"/>
            <w:position w:val="0"/>
            <w:sz w:val="42"/>
            <w:szCs w:val="42"/>
          </w:rPr>
          <w:t>3.6</w:t>
        </w:r>
        <w:r>
          <w:rPr>
            <w:color w:val="000000"/>
            <w:spacing w:val="0"/>
            <w:w w:val="100"/>
            <w:position w:val="0"/>
          </w:rPr>
          <w:t>灌浆平洞施工</w:t>
        </w:r>
        <w:r>
          <w:rPr>
            <w:color w:val="000000"/>
            <w:spacing w:val="0"/>
            <w:w w:val="100"/>
            <w:position w:val="0"/>
          </w:rPr>
          <w:tab/>
        </w:r>
        <w:r>
          <w:rPr>
            <w:color w:val="000000"/>
            <w:spacing w:val="0"/>
            <w:w w:val="100"/>
            <w:position w:val="0"/>
            <w:sz w:val="42"/>
            <w:szCs w:val="42"/>
          </w:rPr>
          <w:t>-16</w:t>
          <w:tab/>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r>
        <w:rPr>
          <w:color w:val="000000"/>
          <w:spacing w:val="0"/>
          <w:w w:val="100"/>
          <w:position w:val="0"/>
          <w:sz w:val="42"/>
          <w:szCs w:val="42"/>
        </w:rPr>
        <w:t>3.7</w:t>
      </w:r>
      <w:r>
        <w:rPr>
          <w:color w:val="000000"/>
          <w:spacing w:val="0"/>
          <w:w w:val="100"/>
          <w:position w:val="0"/>
        </w:rPr>
        <w:t>排水措施</w:t>
      </w:r>
      <w:r>
        <w:rPr>
          <w:color w:val="000000"/>
          <w:spacing w:val="0"/>
          <w:w w:val="100"/>
          <w:position w:val="0"/>
        </w:rPr>
        <w:tab/>
      </w:r>
      <w:r>
        <w:rPr>
          <w:color w:val="000000"/>
          <w:spacing w:val="0"/>
          <w:w w:val="100"/>
          <w:position w:val="0"/>
        </w:rPr>
        <w:t>-</w:t>
      </w:r>
      <w:r>
        <w:rPr>
          <w:color w:val="000000"/>
          <w:spacing w:val="0"/>
          <w:w w:val="100"/>
          <w:position w:val="0"/>
          <w:sz w:val="42"/>
          <w:szCs w:val="42"/>
        </w:rPr>
        <w:t>18</w:t>
        <w:tab/>
      </w:r>
      <w:r>
        <w:rPr>
          <w:color w:val="000000"/>
          <w:spacing w:val="0"/>
          <w:w w:val="100"/>
          <w:position w:val="0"/>
        </w:rPr>
        <w:t>-</w:t>
      </w:r>
    </w:p>
    <w:p>
      <w:pPr>
        <w:pStyle w:val="a4"/>
        <w:keepNext w:val="0"/>
        <w:keepLines w:val="0"/>
        <w:widowControl w:val="0"/>
        <w:shd w:val="clear" w:color="auto" w:fill="auto"/>
        <w:tabs>
          <w:tab w:val="left" w:leader="dot" w:pos="10924"/>
          <w:tab w:val="right" w:pos="12445"/>
        </w:tabs>
        <w:bidi w:val="0"/>
        <w:spacing w:before="0" w:line="240" w:lineRule="auto"/>
        <w:ind w:left="0" w:right="0" w:firstLine="860"/>
        <w:jc w:val="both"/>
      </w:pPr>
      <w:r>
        <w:rPr>
          <w:color w:val="000000"/>
          <w:spacing w:val="0"/>
          <w:w w:val="100"/>
          <w:position w:val="0"/>
        </w:rPr>
        <w:t>第七章 施工质量管理</w:t>
      </w:r>
      <w:r>
        <w:rPr>
          <w:color w:val="000000"/>
          <w:spacing w:val="0"/>
          <w:w w:val="100"/>
          <w:position w:val="0"/>
        </w:rPr>
        <w:tab/>
      </w:r>
      <w:r>
        <w:rPr>
          <w:color w:val="000000"/>
          <w:spacing w:val="0"/>
          <w:w w:val="100"/>
          <w:position w:val="0"/>
        </w:rPr>
        <w:t>-</w:t>
      </w:r>
      <w:r>
        <w:rPr>
          <w:color w:val="000000"/>
          <w:spacing w:val="0"/>
          <w:w w:val="100"/>
          <w:position w:val="0"/>
          <w:sz w:val="42"/>
          <w:szCs w:val="42"/>
        </w:rPr>
        <w:t>20</w:t>
        <w:tab/>
      </w:r>
      <w:r>
        <w:rPr>
          <w:color w:val="000000"/>
          <w:spacing w:val="0"/>
          <w:w w:val="100"/>
          <w:position w:val="0"/>
        </w:rPr>
        <w:t>-</w:t>
      </w:r>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22" w:tooltip="Current Document" w:history="1">
        <w:r>
          <w:rPr>
            <w:color w:val="000000"/>
            <w:spacing w:val="0"/>
            <w:w w:val="100"/>
            <w:position w:val="0"/>
            <w:sz w:val="42"/>
            <w:szCs w:val="42"/>
          </w:rPr>
          <w:t>7.1</w:t>
        </w:r>
        <w:r>
          <w:rPr>
            <w:color w:val="000000"/>
            <w:spacing w:val="0"/>
            <w:w w:val="100"/>
            <w:position w:val="0"/>
          </w:rPr>
          <w:t>质量管理机构</w:t>
        </w:r>
        <w:r>
          <w:rPr>
            <w:color w:val="000000"/>
            <w:spacing w:val="0"/>
            <w:w w:val="100"/>
            <w:position w:val="0"/>
          </w:rPr>
          <w:tab/>
        </w:r>
        <w:r>
          <w:rPr>
            <w:color w:val="000000"/>
            <w:spacing w:val="0"/>
            <w:w w:val="100"/>
            <w:position w:val="0"/>
          </w:rPr>
          <w:t>-</w:t>
        </w:r>
        <w:r>
          <w:rPr>
            <w:color w:val="000000"/>
            <w:spacing w:val="0"/>
            <w:w w:val="100"/>
            <w:position w:val="0"/>
            <w:sz w:val="42"/>
            <w:szCs w:val="42"/>
          </w:rPr>
          <w:t>20</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25" w:tooltip="Current Document" w:history="1">
        <w:r>
          <w:rPr>
            <w:color w:val="000000"/>
            <w:spacing w:val="0"/>
            <w:w w:val="100"/>
            <w:position w:val="0"/>
            <w:sz w:val="42"/>
            <w:szCs w:val="42"/>
          </w:rPr>
          <w:t>7.2</w:t>
        </w:r>
        <w:r>
          <w:rPr>
            <w:color w:val="000000"/>
            <w:spacing w:val="0"/>
            <w:w w:val="100"/>
            <w:position w:val="0"/>
          </w:rPr>
          <w:t>施工质量管理</w:t>
        </w:r>
        <w:r>
          <w:rPr>
            <w:color w:val="000000"/>
            <w:spacing w:val="0"/>
            <w:w w:val="100"/>
            <w:position w:val="0"/>
          </w:rPr>
          <w:tab/>
        </w:r>
        <w:r>
          <w:rPr>
            <w:color w:val="000000"/>
            <w:spacing w:val="0"/>
            <w:w w:val="100"/>
            <w:position w:val="0"/>
          </w:rPr>
          <w:t>-</w:t>
        </w:r>
        <w:r>
          <w:rPr>
            <w:color w:val="000000"/>
            <w:spacing w:val="0"/>
            <w:w w:val="100"/>
            <w:position w:val="0"/>
            <w:sz w:val="42"/>
            <w:szCs w:val="42"/>
          </w:rPr>
          <w:t>20</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36" w:tooltip="Current Document" w:history="1">
        <w:r>
          <w:rPr>
            <w:color w:val="000000"/>
            <w:spacing w:val="0"/>
            <w:w w:val="100"/>
            <w:position w:val="0"/>
            <w:sz w:val="42"/>
            <w:szCs w:val="42"/>
          </w:rPr>
          <w:t>7.3</w:t>
        </w:r>
        <w:r>
          <w:rPr>
            <w:color w:val="000000"/>
            <w:spacing w:val="0"/>
            <w:w w:val="100"/>
            <w:position w:val="0"/>
          </w:rPr>
          <w:t>质量控制要求</w:t>
        </w:r>
        <w:r>
          <w:rPr>
            <w:color w:val="000000"/>
            <w:spacing w:val="0"/>
            <w:w w:val="100"/>
            <w:position w:val="0"/>
          </w:rPr>
          <w:tab/>
        </w:r>
        <w:r>
          <w:rPr>
            <w:color w:val="000000"/>
            <w:spacing w:val="0"/>
            <w:w w:val="100"/>
            <w:position w:val="0"/>
          </w:rPr>
          <w:t>-</w:t>
        </w:r>
        <w:r>
          <w:rPr>
            <w:color w:val="000000"/>
            <w:spacing w:val="0"/>
            <w:w w:val="100"/>
            <w:position w:val="0"/>
            <w:sz w:val="42"/>
            <w:szCs w:val="42"/>
          </w:rPr>
          <w:t>22</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48" w:tooltip="Current Document" w:history="1">
        <w:r>
          <w:rPr>
            <w:color w:val="000000"/>
            <w:spacing w:val="0"/>
            <w:w w:val="100"/>
            <w:position w:val="0"/>
            <w:sz w:val="42"/>
            <w:szCs w:val="42"/>
          </w:rPr>
          <w:t>7.4</w:t>
        </w:r>
        <w:r>
          <w:rPr>
            <w:color w:val="000000"/>
            <w:spacing w:val="0"/>
            <w:w w:val="100"/>
            <w:position w:val="0"/>
          </w:rPr>
          <w:t>爆破施工质量要求</w:t>
        </w:r>
        <w:r>
          <w:rPr>
            <w:color w:val="000000"/>
            <w:spacing w:val="0"/>
            <w:w w:val="100"/>
            <w:position w:val="0"/>
          </w:rPr>
          <w:tab/>
        </w:r>
        <w:r>
          <w:rPr>
            <w:color w:val="000000"/>
            <w:spacing w:val="0"/>
            <w:w w:val="100"/>
            <w:position w:val="0"/>
          </w:rPr>
          <w:t>-</w:t>
        </w:r>
        <w:r>
          <w:rPr>
            <w:color w:val="000000"/>
            <w:spacing w:val="0"/>
            <w:w w:val="100"/>
            <w:position w:val="0"/>
            <w:sz w:val="42"/>
            <w:szCs w:val="42"/>
          </w:rPr>
          <w:t>22</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left="0" w:right="0" w:firstLine="860"/>
        <w:jc w:val="both"/>
      </w:pPr>
      <w:hyperlink w:anchor="bookmark160" w:tooltip="Current Document" w:history="1">
        <w:r>
          <w:rPr>
            <w:color w:val="000000"/>
            <w:spacing w:val="0"/>
            <w:w w:val="100"/>
            <w:position w:val="0"/>
          </w:rPr>
          <w:t>第八章安全文明施工措施</w:t>
        </w:r>
        <w:r>
          <w:rPr>
            <w:color w:val="000000"/>
            <w:spacing w:val="0"/>
            <w:w w:val="100"/>
            <w:position w:val="0"/>
          </w:rPr>
          <w:tab/>
        </w:r>
        <w:r>
          <w:rPr>
            <w:color w:val="000000"/>
            <w:spacing w:val="0"/>
            <w:w w:val="100"/>
            <w:position w:val="0"/>
          </w:rPr>
          <w:t>-</w:t>
        </w:r>
        <w:r>
          <w:rPr>
            <w:color w:val="000000"/>
            <w:spacing w:val="0"/>
            <w:w w:val="100"/>
            <w:position w:val="0"/>
            <w:sz w:val="42"/>
            <w:szCs w:val="42"/>
          </w:rPr>
          <w:t>25</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63" w:tooltip="Current Document" w:history="1">
        <w:r>
          <w:rPr>
            <w:color w:val="000000"/>
            <w:spacing w:val="0"/>
            <w:w w:val="100"/>
            <w:position w:val="0"/>
            <w:sz w:val="42"/>
            <w:szCs w:val="42"/>
          </w:rPr>
          <w:t>8.1</w:t>
        </w:r>
        <w:r>
          <w:rPr>
            <w:color w:val="000000"/>
            <w:spacing w:val="0"/>
            <w:w w:val="100"/>
            <w:position w:val="0"/>
          </w:rPr>
          <w:t>施工安全保证措施</w:t>
        </w:r>
        <w:r>
          <w:rPr>
            <w:color w:val="000000"/>
            <w:spacing w:val="0"/>
            <w:w w:val="100"/>
            <w:position w:val="0"/>
          </w:rPr>
          <w:tab/>
        </w:r>
        <w:r>
          <w:rPr>
            <w:color w:val="000000"/>
            <w:spacing w:val="0"/>
            <w:w w:val="100"/>
            <w:position w:val="0"/>
          </w:rPr>
          <w:t>-</w:t>
        </w:r>
        <w:r>
          <w:rPr>
            <w:color w:val="000000"/>
            <w:spacing w:val="0"/>
            <w:w w:val="100"/>
            <w:position w:val="0"/>
            <w:sz w:val="42"/>
            <w:szCs w:val="42"/>
          </w:rPr>
          <w:t>25</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69" w:tooltip="Current Document" w:history="1">
        <w:r>
          <w:rPr>
            <w:color w:val="000000"/>
            <w:spacing w:val="0"/>
            <w:w w:val="100"/>
            <w:position w:val="0"/>
            <w:sz w:val="42"/>
            <w:szCs w:val="42"/>
          </w:rPr>
          <w:t>8.3</w:t>
        </w:r>
        <w:r>
          <w:rPr>
            <w:color w:val="000000"/>
            <w:spacing w:val="0"/>
            <w:w w:val="100"/>
            <w:position w:val="0"/>
          </w:rPr>
          <w:t>机械设备施工安全保证措施</w:t>
        </w:r>
        <w:r>
          <w:rPr>
            <w:color w:val="000000"/>
            <w:spacing w:val="0"/>
            <w:w w:val="100"/>
            <w:position w:val="0"/>
          </w:rPr>
          <w:tab/>
        </w:r>
        <w:r>
          <w:rPr>
            <w:color w:val="000000"/>
            <w:spacing w:val="0"/>
            <w:w w:val="100"/>
            <w:position w:val="0"/>
          </w:rPr>
          <w:t>-</w:t>
        </w:r>
        <w:r>
          <w:rPr>
            <w:color w:val="000000"/>
            <w:spacing w:val="0"/>
            <w:w w:val="100"/>
            <w:position w:val="0"/>
            <w:sz w:val="42"/>
            <w:szCs w:val="42"/>
          </w:rPr>
          <w:t>26</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172" w:tooltip="Current Document" w:history="1">
        <w:r>
          <w:rPr>
            <w:color w:val="000000"/>
            <w:spacing w:val="0"/>
            <w:w w:val="100"/>
            <w:position w:val="0"/>
            <w:sz w:val="42"/>
            <w:szCs w:val="42"/>
          </w:rPr>
          <w:t>8.4</w:t>
        </w:r>
        <w:r>
          <w:rPr>
            <w:color w:val="000000"/>
            <w:spacing w:val="0"/>
            <w:w w:val="100"/>
            <w:position w:val="0"/>
          </w:rPr>
          <w:t>早爆事故及其预防</w:t>
        </w:r>
        <w:r>
          <w:rPr>
            <w:color w:val="000000"/>
            <w:spacing w:val="0"/>
            <w:w w:val="100"/>
            <w:position w:val="0"/>
          </w:rPr>
          <w:tab/>
        </w:r>
        <w:r>
          <w:rPr>
            <w:color w:val="000000"/>
            <w:spacing w:val="0"/>
            <w:w w:val="100"/>
            <w:position w:val="0"/>
          </w:rPr>
          <w:t>-</w:t>
        </w:r>
        <w:r>
          <w:rPr>
            <w:color w:val="000000"/>
            <w:spacing w:val="0"/>
            <w:w w:val="100"/>
            <w:position w:val="0"/>
            <w:sz w:val="42"/>
            <w:szCs w:val="42"/>
          </w:rPr>
          <w:t>26</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r>
        <w:rPr>
          <w:color w:val="000000"/>
          <w:spacing w:val="0"/>
          <w:w w:val="100"/>
          <w:position w:val="0"/>
          <w:sz w:val="42"/>
          <w:szCs w:val="42"/>
        </w:rPr>
        <w:t>8.5</w:t>
      </w:r>
      <w:r>
        <w:rPr>
          <w:color w:val="000000"/>
          <w:spacing w:val="0"/>
          <w:w w:val="100"/>
          <w:position w:val="0"/>
        </w:rPr>
        <w:t>盲炮的处理</w:t>
      </w:r>
      <w:r>
        <w:rPr>
          <w:color w:val="000000"/>
          <w:spacing w:val="0"/>
          <w:w w:val="100"/>
          <w:position w:val="0"/>
        </w:rPr>
        <w:tab/>
      </w:r>
      <w:r>
        <w:rPr>
          <w:color w:val="000000"/>
          <w:spacing w:val="0"/>
          <w:w w:val="100"/>
          <w:position w:val="0"/>
        </w:rPr>
        <w:t>-</w:t>
      </w:r>
      <w:r>
        <w:rPr>
          <w:color w:val="000000"/>
          <w:spacing w:val="0"/>
          <w:w w:val="100"/>
          <w:position w:val="0"/>
          <w:sz w:val="42"/>
          <w:szCs w:val="42"/>
        </w:rPr>
        <w:t>27</w:t>
        <w:tab/>
      </w:r>
      <w:r>
        <w:rPr>
          <w:color w:val="000000"/>
          <w:spacing w:val="0"/>
          <w:w w:val="100"/>
          <w:position w:val="0"/>
        </w:rPr>
        <w:t>-</w:t>
      </w:r>
    </w:p>
    <w:p>
      <w:pPr>
        <w:pStyle w:val="a4"/>
        <w:keepNext w:val="0"/>
        <w:keepLines w:val="0"/>
        <w:widowControl w:val="0"/>
        <w:shd w:val="clear" w:color="auto" w:fill="auto"/>
        <w:tabs>
          <w:tab w:val="right" w:leader="dot" w:pos="12093"/>
          <w:tab w:val="right" w:pos="12445"/>
        </w:tabs>
        <w:bidi w:val="0"/>
        <w:spacing w:before="0" w:line="240" w:lineRule="auto"/>
        <w:ind w:right="0" w:firstLine="0"/>
        <w:jc w:val="both"/>
      </w:pPr>
      <w:hyperlink w:anchor="bookmark183" w:tooltip="Current Document" w:history="1">
        <w:r>
          <w:rPr>
            <w:color w:val="000000"/>
            <w:spacing w:val="0"/>
            <w:w w:val="100"/>
            <w:position w:val="0"/>
            <w:sz w:val="42"/>
            <w:szCs w:val="42"/>
          </w:rPr>
          <w:t>8.6</w:t>
        </w:r>
        <w:r>
          <w:rPr>
            <w:color w:val="000000"/>
            <w:spacing w:val="0"/>
            <w:w w:val="100"/>
            <w:position w:val="0"/>
          </w:rPr>
          <w:t>安全用电技术措施及电气防火措施</w:t>
        </w:r>
        <w:r>
          <w:rPr>
            <w:color w:val="000000"/>
            <w:spacing w:val="0"/>
            <w:w w:val="100"/>
            <w:position w:val="0"/>
          </w:rPr>
          <w:tab/>
        </w:r>
        <w:r>
          <w:rPr>
            <w:color w:val="000000"/>
            <w:spacing w:val="0"/>
            <w:w w:val="100"/>
            <w:position w:val="0"/>
          </w:rPr>
          <w:t>-</w:t>
        </w:r>
        <w:r>
          <w:rPr>
            <w:color w:val="000000"/>
            <w:spacing w:val="0"/>
            <w:w w:val="100"/>
            <w:position w:val="0"/>
            <w:sz w:val="42"/>
            <w:szCs w:val="42"/>
          </w:rPr>
          <w:t>27</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left="0" w:right="0" w:firstLine="860"/>
        <w:jc w:val="both"/>
      </w:pPr>
      <w:hyperlink w:anchor="bookmark187" w:tooltip="Current Document" w:history="1">
        <w:r>
          <w:rPr>
            <w:color w:val="000000"/>
            <w:spacing w:val="0"/>
            <w:w w:val="100"/>
            <w:position w:val="0"/>
          </w:rPr>
          <w:t>第九章环境保护措施</w:t>
        </w:r>
        <w:r>
          <w:rPr>
            <w:color w:val="000000"/>
            <w:spacing w:val="0"/>
            <w:w w:val="100"/>
            <w:position w:val="0"/>
          </w:rPr>
          <w:tab/>
        </w:r>
        <w:r>
          <w:rPr>
            <w:color w:val="000000"/>
            <w:spacing w:val="0"/>
            <w:w w:val="100"/>
            <w:position w:val="0"/>
          </w:rPr>
          <w:t>-</w:t>
        </w:r>
        <w:r>
          <w:rPr>
            <w:color w:val="000000"/>
            <w:spacing w:val="0"/>
            <w:w w:val="100"/>
            <w:position w:val="0"/>
            <w:sz w:val="42"/>
            <w:szCs w:val="42"/>
          </w:rPr>
          <w:t>30</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left="0" w:right="0" w:firstLine="860"/>
        <w:jc w:val="both"/>
      </w:pPr>
      <w:hyperlink w:anchor="bookmark195" w:tooltip="Current Document" w:history="1">
        <w:r>
          <w:rPr>
            <w:color w:val="000000"/>
            <w:spacing w:val="0"/>
            <w:w w:val="100"/>
            <w:position w:val="0"/>
          </w:rPr>
          <w:t>第十章 安全预防事故措施</w:t>
        </w:r>
        <w:r>
          <w:rPr>
            <w:color w:val="000000"/>
            <w:spacing w:val="0"/>
            <w:w w:val="100"/>
            <w:position w:val="0"/>
          </w:rPr>
          <w:tab/>
        </w:r>
        <w:r>
          <w:rPr>
            <w:color w:val="000000"/>
            <w:spacing w:val="0"/>
            <w:w w:val="100"/>
            <w:position w:val="0"/>
          </w:rPr>
          <w:t>-</w:t>
        </w:r>
        <w:r>
          <w:rPr>
            <w:color w:val="000000"/>
            <w:spacing w:val="0"/>
            <w:w w:val="100"/>
            <w:position w:val="0"/>
            <w:sz w:val="42"/>
            <w:szCs w:val="42"/>
          </w:rPr>
          <w:t>31</w:t>
          <w:tab/>
        </w:r>
        <w:r>
          <w:rPr>
            <w:color w:val="000000"/>
            <w:spacing w:val="0"/>
            <w:w w:val="100"/>
            <w:position w:val="0"/>
          </w:rPr>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sectPr>
          <w:pgSz w:w="17861" w:h="25258"/>
          <w:pgMar w:top="1775" w:right="2109" w:bottom="2080" w:left="2336" w:header="0" w:footer="3" w:gutter="0"/>
          <w:cols w:space="720"/>
          <w:noEndnote/>
          <w:rtlGutter w:val="0"/>
          <w:docGrid w:linePitch="360"/>
        </w:sectPr>
      </w:pPr>
      <w:hyperlink w:anchor="bookmark198" w:tooltip="Current Document" w:history="1">
        <w:r>
          <w:rPr>
            <w:color w:val="000000"/>
            <w:spacing w:val="0"/>
            <w:w w:val="100"/>
            <w:position w:val="0"/>
            <w:sz w:val="42"/>
            <w:szCs w:val="42"/>
          </w:rPr>
          <w:t>10.1</w:t>
        </w:r>
        <w:r>
          <w:rPr>
            <w:color w:val="000000"/>
            <w:spacing w:val="0"/>
            <w:w w:val="100"/>
            <w:position w:val="0"/>
          </w:rPr>
          <w:t>爆破事故分类</w:t>
        </w:r>
        <w:r>
          <w:rPr>
            <w:color w:val="000000"/>
            <w:spacing w:val="0"/>
            <w:w w:val="100"/>
            <w:position w:val="0"/>
          </w:rPr>
          <w:tab/>
        </w:r>
        <w:r>
          <w:rPr>
            <w:color w:val="000000"/>
            <w:spacing w:val="0"/>
            <w:w w:val="100"/>
            <w:position w:val="0"/>
            <w:sz w:val="42"/>
            <w:szCs w:val="42"/>
          </w:rPr>
          <w:t>-31</w:t>
          <w:tab/>
          <w:t>-</w:t>
        </w:r>
      </w:hyperlink>
    </w:p>
    <w:p>
      <w:pPr>
        <w:pStyle w:val="a4"/>
        <w:keepNext w:val="0"/>
        <w:keepLines w:val="0"/>
        <w:widowControl w:val="0"/>
        <w:shd w:val="clear" w:color="auto" w:fill="auto"/>
        <w:tabs>
          <w:tab w:val="left" w:leader="dot" w:pos="10924"/>
          <w:tab w:val="right" w:pos="12445"/>
        </w:tabs>
        <w:bidi w:val="0"/>
        <w:spacing w:before="0" w:line="240" w:lineRule="auto"/>
        <w:ind w:right="0" w:firstLine="0"/>
        <w:jc w:val="both"/>
      </w:pPr>
      <w:hyperlink w:anchor="bookmark201" w:tooltip="Current Document" w:history="1">
        <w:r>
          <w:rPr>
            <w:color w:val="000000"/>
            <w:spacing w:val="0"/>
            <w:w w:val="100"/>
            <w:position w:val="0"/>
            <w:sz w:val="42"/>
            <w:szCs w:val="42"/>
          </w:rPr>
          <w:t>10.2</w:t>
        </w:r>
        <w:r>
          <w:rPr>
            <w:color w:val="000000"/>
            <w:spacing w:val="0"/>
            <w:w w:val="100"/>
            <w:position w:val="0"/>
          </w:rPr>
          <w:t>爆破事故预防</w:t>
        </w:r>
        <w:r>
          <w:rPr>
            <w:color w:val="000000"/>
            <w:spacing w:val="0"/>
            <w:w w:val="100"/>
            <w:position w:val="0"/>
          </w:rPr>
          <w:tab/>
        </w:r>
        <w:r>
          <w:rPr>
            <w:color w:val="000000"/>
            <w:spacing w:val="0"/>
            <w:w w:val="100"/>
            <w:position w:val="0"/>
            <w:sz w:val="42"/>
            <w:szCs w:val="42"/>
          </w:rPr>
          <w:t>-31</w:t>
          <w:tab/>
          <w:t>-</w:t>
        </w:r>
      </w:hyperlink>
    </w:p>
    <w:p>
      <w:pPr>
        <w:pStyle w:val="a4"/>
        <w:keepNext w:val="0"/>
        <w:keepLines w:val="0"/>
        <w:widowControl w:val="0"/>
        <w:shd w:val="clear" w:color="auto" w:fill="auto"/>
        <w:tabs>
          <w:tab w:val="right" w:pos="12093"/>
          <w:tab w:val="right" w:pos="12445"/>
        </w:tabs>
        <w:bidi w:val="0"/>
        <w:spacing w:before="0" w:line="240" w:lineRule="auto"/>
        <w:ind w:right="0" w:firstLine="0"/>
        <w:jc w:val="both"/>
      </w:pPr>
      <w:hyperlink w:anchor="bookmark204" w:tooltip="Current Document" w:history="1">
        <w:r>
          <w:rPr>
            <w:color w:val="000000"/>
            <w:spacing w:val="0"/>
            <w:w w:val="100"/>
            <w:position w:val="0"/>
            <w:sz w:val="42"/>
            <w:szCs w:val="42"/>
          </w:rPr>
          <w:t>10.3</w:t>
        </w:r>
        <w:r>
          <w:rPr>
            <w:color w:val="000000"/>
            <w:spacing w:val="0"/>
            <w:w w:val="100"/>
            <w:position w:val="0"/>
          </w:rPr>
          <w:t>加强安全管理</w:t>
          <w:tab/>
        </w:r>
        <w:r>
          <w:rPr>
            <w:color w:val="000000"/>
            <w:spacing w:val="0"/>
            <w:w w:val="100"/>
            <w:position w:val="0"/>
            <w:sz w:val="42"/>
            <w:szCs w:val="42"/>
          </w:rPr>
          <w:t>-32</w:t>
          <w:tab/>
          <w:t>-</w:t>
        </w:r>
      </w:hyperlink>
      <w:r>
        <w:fldChar w:fldCharType="end"/>
      </w:r>
    </w:p>
    <w:p>
      <w:pPr>
        <w:pStyle w:val="10"/>
        <w:keepNext/>
        <w:keepLines/>
        <w:widowControl w:val="0"/>
        <w:shd w:val="clear" w:color="auto" w:fill="auto"/>
        <w:bidi w:val="0"/>
        <w:spacing w:before="0" w:after="400" w:line="240" w:lineRule="auto"/>
        <w:ind w:left="0" w:right="0" w:firstLine="0"/>
        <w:jc w:val="center"/>
      </w:pPr>
      <w:bookmarkStart w:id="0" w:name="bookmark0"/>
      <w:bookmarkStart w:id="1" w:name="bookmark1"/>
      <w:bookmarkStart w:id="2" w:name="bookmark2"/>
      <w:r>
        <w:rPr>
          <w:color w:val="000000"/>
          <w:spacing w:val="0"/>
          <w:w w:val="100"/>
          <w:position w:val="0"/>
        </w:rPr>
        <w:t>第一章工程概况</w:t>
      </w:r>
      <w:bookmarkEnd w:id="0"/>
      <w:bookmarkEnd w:id="1"/>
      <w:bookmarkEnd w:id="2"/>
    </w:p>
    <w:p>
      <w:pPr>
        <w:pStyle w:val="30"/>
        <w:keepNext/>
        <w:keepLines/>
        <w:widowControl w:val="0"/>
        <w:shd w:val="clear" w:color="auto" w:fill="auto"/>
        <w:bidi w:val="0"/>
        <w:spacing w:before="0" w:after="0" w:line="240" w:lineRule="auto"/>
        <w:ind w:left="0" w:right="0" w:firstLine="0"/>
        <w:jc w:val="left"/>
      </w:pPr>
      <w:bookmarkStart w:id="3" w:name="bookmark3"/>
      <w:bookmarkStart w:id="4" w:name="bookmark4"/>
      <w:bookmarkStart w:id="5" w:name="bookmark5"/>
      <w:r>
        <w:rPr>
          <w:color w:val="000000"/>
          <w:spacing w:val="0"/>
          <w:w w:val="100"/>
          <w:position w:val="0"/>
        </w:rPr>
        <w:t>1.1</w:t>
      </w:r>
      <w:r>
        <w:rPr>
          <w:color w:val="000000"/>
          <w:spacing w:val="0"/>
          <w:w w:val="100"/>
          <w:position w:val="0"/>
        </w:rPr>
        <w:t>编制依据</w:t>
      </w:r>
      <w:bookmarkEnd w:id="3"/>
      <w:bookmarkEnd w:id="4"/>
      <w:bookmarkEnd w:id="5"/>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1XX</w:t>
      </w:r>
      <w:r>
        <w:rPr>
          <w:color w:val="000000"/>
          <w:spacing w:val="0"/>
          <w:w w:val="100"/>
          <w:position w:val="0"/>
        </w:rPr>
        <w:t>水利水电枢纽工程施工图纸；</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2XX</w:t>
      </w:r>
      <w:r>
        <w:rPr>
          <w:color w:val="000000"/>
          <w:spacing w:val="0"/>
          <w:w w:val="100"/>
          <w:position w:val="0"/>
        </w:rPr>
        <w:t>水利水电枢纽工程</w:t>
      </w:r>
      <w:r>
        <w:rPr>
          <w:color w:val="000000"/>
          <w:spacing w:val="0"/>
          <w:w w:val="100"/>
          <w:position w:val="0"/>
        </w:rPr>
        <w:t>BT</w:t>
      </w:r>
      <w:r>
        <w:rPr>
          <w:color w:val="000000"/>
          <w:spacing w:val="0"/>
          <w:w w:val="100"/>
          <w:position w:val="0"/>
        </w:rPr>
        <w:t>项目施工组织设计</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3《爆破安全规程》</w:t>
      </w:r>
      <w:r>
        <w:rPr>
          <w:color w:val="000000"/>
          <w:spacing w:val="0"/>
          <w:w w:val="100"/>
          <w:position w:val="0"/>
        </w:rPr>
        <w:t>GB6722-2011；</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4《民用爆炸物品安全管理条例》国务院令第466号；</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5《建筑地与基础工程施工质量验收规范》</w:t>
      </w:r>
      <w:r>
        <w:rPr>
          <w:color w:val="000000"/>
          <w:spacing w:val="0"/>
          <w:w w:val="100"/>
          <w:position w:val="0"/>
        </w:rPr>
        <w:t>GB5002-2002；</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6《建筑工程质量检验评定统一标准》</w:t>
      </w:r>
      <w:r>
        <w:rPr>
          <w:color w:val="000000"/>
          <w:spacing w:val="0"/>
          <w:w w:val="100"/>
          <w:position w:val="0"/>
        </w:rPr>
        <w:t>GB50300-2013；</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7《水工建筑物地下工程开挖施工技术规范》</w:t>
      </w:r>
      <w:r>
        <w:rPr>
          <w:color w:val="000000"/>
          <w:spacing w:val="0"/>
          <w:w w:val="100"/>
          <w:position w:val="0"/>
        </w:rPr>
        <w:t>DL/T5099-2011）；</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8《水工建筑物岩石基础开挖工程施工技术规范》</w:t>
      </w:r>
      <w:r>
        <w:rPr>
          <w:color w:val="000000"/>
          <w:spacing w:val="0"/>
          <w:w w:val="100"/>
          <w:position w:val="0"/>
        </w:rPr>
        <w:t>DL/T5389-2007；</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9《水工建筑物岩石基础开挖工程施工技术规范》</w:t>
      </w:r>
      <w:r>
        <w:rPr>
          <w:color w:val="000000"/>
          <w:spacing w:val="0"/>
          <w:w w:val="100"/>
          <w:position w:val="0"/>
        </w:rPr>
        <w:t>SL47-94；</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10《水电水利工程边坡施工技术规范》</w:t>
      </w:r>
      <w:r>
        <w:rPr>
          <w:color w:val="000000"/>
          <w:spacing w:val="0"/>
          <w:w w:val="100"/>
          <w:position w:val="0"/>
        </w:rPr>
        <w:t>DL/T5255-2010；</w:t>
      </w:r>
    </w:p>
    <w:p>
      <w:pPr>
        <w:pStyle w:val="a5"/>
        <w:keepNext w:val="0"/>
        <w:keepLines w:val="0"/>
        <w:widowControl w:val="0"/>
        <w:shd w:val="clear" w:color="auto" w:fill="auto"/>
        <w:bidi w:val="0"/>
        <w:spacing w:before="0" w:after="0" w:line="707" w:lineRule="exact"/>
        <w:ind w:left="0" w:right="0" w:firstLine="740"/>
        <w:jc w:val="left"/>
      </w:pPr>
      <w:r>
        <w:rPr>
          <w:color w:val="000000"/>
          <w:spacing w:val="0"/>
          <w:w w:val="100"/>
          <w:position w:val="0"/>
        </w:rPr>
        <w:t>11《水利水电工程爆破施工技术规范》</w:t>
      </w:r>
      <w:r>
        <w:rPr>
          <w:color w:val="000000"/>
          <w:spacing w:val="0"/>
          <w:w w:val="100"/>
          <w:position w:val="0"/>
        </w:rPr>
        <w:t>DL/T5135-2013</w:t>
      </w:r>
    </w:p>
    <w:p>
      <w:pPr>
        <w:pStyle w:val="30"/>
        <w:keepNext/>
        <w:keepLines/>
        <w:widowControl w:val="0"/>
        <w:shd w:val="clear" w:color="auto" w:fill="auto"/>
        <w:bidi w:val="0"/>
        <w:spacing w:before="0" w:after="0" w:line="707" w:lineRule="exact"/>
        <w:ind w:left="0" w:right="0" w:firstLine="0"/>
        <w:jc w:val="left"/>
      </w:pPr>
      <w:bookmarkStart w:id="6" w:name="bookmark6"/>
      <w:bookmarkStart w:id="7" w:name="bookmark7"/>
      <w:bookmarkStart w:id="8" w:name="bookmark8"/>
      <w:r>
        <w:rPr>
          <w:color w:val="000000"/>
          <w:spacing w:val="0"/>
          <w:w w:val="100"/>
          <w:position w:val="0"/>
        </w:rPr>
        <w:t>1.2</w:t>
      </w:r>
      <w:r>
        <w:rPr>
          <w:color w:val="000000"/>
          <w:spacing w:val="0"/>
          <w:w w:val="100"/>
          <w:position w:val="0"/>
        </w:rPr>
        <w:t>编制原则</w:t>
      </w:r>
      <w:bookmarkEnd w:id="6"/>
      <w:bookmarkEnd w:id="7"/>
      <w:bookmarkEnd w:id="8"/>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为确保优质、安全、按期完成本土石方项目施工任务，制定施工方案编制原 则如下：</w:t>
      </w:r>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1根据工程的实际情况，围绕重点工程项目，周密部署，合理安排施工顺序， 采用平行流水作业及均衡施工方法，运用网络技术控制施工进度，保证施工工期。</w:t>
      </w:r>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2制定切实可行的施工方案、创优规划及质量保证措施，选择先进、成熟的 施工工艺，采用和工程相适应，性能良好的机械设备，科学合理的配备在施工现 场，充分发挥设备的生产能力，确保工程质量。</w:t>
      </w:r>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3采用先进的施工组织管理技术，配备与工程相适应的专业施工队伍按业主 的要求组织专业化施工。</w:t>
      </w:r>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4合理配备生产要素，优化施工平面布置，减少工程消耗，降低生产成本。</w:t>
      </w:r>
    </w:p>
    <w:p>
      <w:pPr>
        <w:pStyle w:val="a5"/>
        <w:keepNext w:val="0"/>
        <w:keepLines w:val="0"/>
        <w:widowControl w:val="0"/>
        <w:shd w:val="clear" w:color="auto" w:fill="auto"/>
        <w:bidi w:val="0"/>
        <w:spacing w:before="0" w:after="0" w:line="707" w:lineRule="exact"/>
        <w:ind w:left="0" w:right="0" w:firstLine="740"/>
        <w:jc w:val="both"/>
      </w:pPr>
      <w:r>
        <w:rPr>
          <w:color w:val="000000"/>
          <w:spacing w:val="0"/>
          <w:w w:val="100"/>
          <w:position w:val="0"/>
        </w:rPr>
        <w:t>5安全、文明地组织施工，确保周边建筑物和人员、机械设备安全，尽量减 少施工对居民的干扰和影响，搞好环境保护。</w:t>
      </w:r>
    </w:p>
    <w:p>
      <w:pPr>
        <w:pStyle w:val="30"/>
        <w:keepNext/>
        <w:keepLines/>
        <w:widowControl w:val="0"/>
        <w:shd w:val="clear" w:color="auto" w:fill="auto"/>
        <w:bidi w:val="0"/>
        <w:spacing w:before="0" w:after="0" w:line="707" w:lineRule="exact"/>
        <w:ind w:left="0" w:right="0" w:firstLine="0"/>
        <w:jc w:val="left"/>
      </w:pPr>
      <w:bookmarkStart w:id="9" w:name="bookmark10"/>
      <w:bookmarkStart w:id="10" w:name="bookmark11"/>
      <w:bookmarkStart w:id="11" w:name="bookmark9"/>
      <w:r>
        <w:rPr>
          <w:color w:val="000000"/>
          <w:spacing w:val="0"/>
          <w:w w:val="100"/>
          <w:position w:val="0"/>
        </w:rPr>
        <w:t>1.3</w:t>
      </w:r>
      <w:r>
        <w:rPr>
          <w:color w:val="000000"/>
          <w:spacing w:val="0"/>
          <w:w w:val="100"/>
          <w:position w:val="0"/>
        </w:rPr>
        <w:t>工程简介</w:t>
      </w:r>
      <w:bookmarkEnd w:id="9"/>
      <w:bookmarkEnd w:id="10"/>
      <w:bookmarkEnd w:id="11"/>
    </w:p>
    <w:p>
      <w:pPr>
        <w:pStyle w:val="a5"/>
        <w:keepNext w:val="0"/>
        <w:keepLines w:val="0"/>
        <w:widowControl w:val="0"/>
        <w:shd w:val="clear" w:color="auto" w:fill="auto"/>
        <w:bidi w:val="0"/>
        <w:spacing w:before="0" w:after="300" w:line="677" w:lineRule="exact"/>
        <w:ind w:left="0" w:right="0" w:firstLine="740"/>
        <w:jc w:val="both"/>
        <w:sectPr>
          <w:type w:val="nextPage"/>
          <w:pgSz w:w="17861" w:h="25258"/>
          <w:pgMar w:top="1775" w:right="2109" w:bottom="2080" w:left="2336" w:header="0" w:footer="3" w:gutter="0"/>
          <w:pgNumType w:start="2"/>
          <w:cols w:space="720"/>
          <w:noEndnote/>
          <w:titlePg w:val="0"/>
          <w:rtlGutter w:val="0"/>
          <w:docGrid w:linePitch="360"/>
        </w:sectPr>
      </w:pPr>
      <w:r>
        <w:rPr>
          <w:color w:val="000000"/>
          <w:spacing w:val="0"/>
          <w:w w:val="100"/>
          <w:position w:val="0"/>
        </w:rPr>
        <w:t>XX水利水电枢纽工程项目主要工程内容为：坝高</w:t>
      </w:r>
      <w:r>
        <w:rPr>
          <w:color w:val="000000"/>
          <w:spacing w:val="0"/>
          <w:w w:val="100"/>
          <w:position w:val="0"/>
        </w:rPr>
        <w:t>63m，</w:t>
      </w:r>
      <w:r>
        <w:rPr>
          <w:color w:val="000000"/>
          <w:spacing w:val="0"/>
          <w:w w:val="100"/>
          <w:position w:val="0"/>
        </w:rPr>
        <w:t xml:space="preserve">水库总库容984万 </w:t>
      </w:r>
      <w:r>
        <w:rPr>
          <w:color w:val="000000"/>
          <w:spacing w:val="0"/>
          <w:w w:val="100"/>
          <w:position w:val="0"/>
        </w:rPr>
        <w:t>m3,</w:t>
      </w:r>
    </w:p>
    <w:p>
      <w:pPr>
        <w:pStyle w:val="a5"/>
        <w:keepNext w:val="0"/>
        <w:keepLines w:val="0"/>
        <w:widowControl w:val="0"/>
        <w:shd w:val="clear" w:color="auto" w:fill="auto"/>
        <w:bidi w:val="0"/>
        <w:spacing w:before="0" w:after="300" w:line="677" w:lineRule="exact"/>
        <w:ind w:left="0" w:right="0" w:firstLine="740"/>
        <w:jc w:val="both"/>
      </w:pPr>
      <w:r>
        <w:rPr>
          <w:color w:val="000000"/>
          <w:spacing w:val="0"/>
          <w:w w:val="100"/>
          <w:position w:val="0"/>
        </w:rPr>
        <w:t>水库枢纽工程由碾压混凝土重力坝、放水排沙底孔、引水建筑物等组成，新</w:t>
      </w:r>
      <w:r>
        <w:rPr>
          <w:color w:val="000000"/>
          <w:spacing w:val="0"/>
          <w:w w:val="100"/>
          <w:position w:val="0"/>
        </w:rPr>
        <w:t xml:space="preserve"> </w:t>
      </w:r>
      <w:r>
        <w:rPr>
          <w:color w:val="000000"/>
          <w:spacing w:val="0"/>
          <w:w w:val="100"/>
          <w:position w:val="0"/>
        </w:rPr>
        <w:t>建坝后电站主副厂房、</w:t>
      </w:r>
      <w:r>
        <w:rPr>
          <w:color w:val="000000"/>
          <w:spacing w:val="0"/>
          <w:w w:val="100"/>
          <w:position w:val="0"/>
        </w:rPr>
        <w:t>35KV</w:t>
      </w:r>
      <w:r>
        <w:rPr>
          <w:color w:val="000000"/>
          <w:spacing w:val="0"/>
          <w:w w:val="100"/>
          <w:position w:val="0"/>
        </w:rPr>
        <w:t xml:space="preserve">升压站、尾水渠及进场公路、制作与安装金属结构 </w:t>
      </w:r>
      <w:r>
        <w:rPr>
          <w:color w:val="000000"/>
          <w:spacing w:val="0"/>
          <w:w w:val="100"/>
          <w:position w:val="0"/>
        </w:rPr>
        <w:t>及机电设备、安装3台</w:t>
      </w:r>
      <w:r>
        <w:rPr>
          <w:color w:val="000000"/>
          <w:spacing w:val="0"/>
          <w:w w:val="100"/>
          <w:position w:val="0"/>
        </w:rPr>
        <w:t>800KW</w:t>
      </w:r>
      <w:r>
        <w:rPr>
          <w:color w:val="000000"/>
          <w:spacing w:val="0"/>
          <w:w w:val="100"/>
          <w:position w:val="0"/>
        </w:rPr>
        <w:t>水轮发电机组等组成。</w:t>
      </w:r>
    </w:p>
    <w:p>
      <w:pPr>
        <w:pStyle w:val="30"/>
        <w:keepNext/>
        <w:keepLines/>
        <w:widowControl w:val="0"/>
        <w:shd w:val="clear" w:color="auto" w:fill="auto"/>
        <w:bidi w:val="0"/>
        <w:spacing w:before="0" w:after="200" w:line="240" w:lineRule="auto"/>
        <w:ind w:left="0" w:right="0" w:firstLine="0"/>
        <w:jc w:val="left"/>
      </w:pPr>
      <w:bookmarkStart w:id="12" w:name="bookmark12"/>
      <w:bookmarkStart w:id="13" w:name="bookmark13"/>
      <w:bookmarkStart w:id="14" w:name="bookmark14"/>
      <w:r>
        <w:rPr>
          <w:color w:val="000000"/>
          <w:spacing w:val="0"/>
          <w:w w:val="100"/>
          <w:position w:val="0"/>
        </w:rPr>
        <w:t>1.4</w:t>
      </w:r>
      <w:r>
        <w:rPr>
          <w:color w:val="000000"/>
          <w:spacing w:val="0"/>
          <w:w w:val="100"/>
          <w:position w:val="0"/>
        </w:rPr>
        <w:t>施工条件</w:t>
      </w:r>
      <w:bookmarkEnd w:id="12"/>
      <w:bookmarkEnd w:id="13"/>
      <w:bookmarkEnd w:id="14"/>
    </w:p>
    <w:p>
      <w:pPr>
        <w:pStyle w:val="a5"/>
        <w:keepNext w:val="0"/>
        <w:keepLines w:val="0"/>
        <w:widowControl w:val="0"/>
        <w:shd w:val="clear" w:color="auto" w:fill="auto"/>
        <w:bidi w:val="0"/>
        <w:spacing w:before="0" w:after="0" w:line="778" w:lineRule="exact"/>
        <w:ind w:left="0" w:right="0" w:firstLine="860"/>
        <w:jc w:val="both"/>
      </w:pPr>
      <w:r>
        <w:rPr>
          <w:color w:val="000000"/>
          <w:spacing w:val="0"/>
          <w:w w:val="100"/>
          <w:position w:val="0"/>
        </w:rPr>
        <w:t>1流域概况</w:t>
      </w:r>
    </w:p>
    <w:p>
      <w:pPr>
        <w:pStyle w:val="a5"/>
        <w:keepNext w:val="0"/>
        <w:keepLines w:val="0"/>
        <w:widowControl w:val="0"/>
        <w:shd w:val="clear" w:color="auto" w:fill="auto"/>
        <w:bidi w:val="0"/>
        <w:spacing w:before="0" w:after="0" w:line="778" w:lineRule="exact"/>
        <w:ind w:left="0" w:right="0" w:firstLine="860"/>
        <w:jc w:val="both"/>
      </w:pPr>
      <w:r>
        <w:rPr>
          <w:color w:val="000000"/>
          <w:spacing w:val="0"/>
          <w:w w:val="100"/>
          <w:position w:val="0"/>
        </w:rPr>
        <w:t>枢纽工程位于XX省XXX市漾家河处，漾家河系汉江右岸一级支流，属山溪 型河流，发源于米仓山南坡，南郑县魏家桥乡境内的熊头岩。河水由南向北，于 两河乡进入勉县境内，在XX县温泉乡中坝村附近汇入汉江。流域面积</w:t>
      </w:r>
      <w:r>
        <w:rPr>
          <w:color w:val="000000"/>
          <w:spacing w:val="0"/>
          <w:w w:val="100"/>
          <w:position w:val="0"/>
        </w:rPr>
        <w:t>566km</w:t>
      </w:r>
      <w:r>
        <w:rPr>
          <w:color w:val="000000"/>
          <w:spacing w:val="0"/>
          <w:w w:val="100"/>
          <w:position w:val="0"/>
          <w:sz w:val="18"/>
          <w:szCs w:val="18"/>
        </w:rPr>
        <w:t>2</w:t>
      </w:r>
      <w:r>
        <w:rPr>
          <w:color w:val="000000"/>
          <w:spacing w:val="0"/>
          <w:w w:val="100"/>
          <w:position w:val="0"/>
        </w:rPr>
        <w:t>，河 长</w:t>
      </w:r>
      <w:r>
        <w:rPr>
          <w:color w:val="000000"/>
          <w:spacing w:val="0"/>
          <w:w w:val="100"/>
          <w:position w:val="0"/>
        </w:rPr>
        <w:t>74km</w:t>
      </w:r>
      <w:r>
        <w:rPr>
          <w:color w:val="000000"/>
          <w:spacing w:val="0"/>
          <w:w w:val="100"/>
          <w:position w:val="0"/>
        </w:rPr>
        <w:t>，平均比降12.8%°。</w:t>
      </w:r>
    </w:p>
    <w:p>
      <w:pPr>
        <w:pStyle w:val="a5"/>
        <w:keepNext w:val="0"/>
        <w:keepLines w:val="0"/>
        <w:widowControl w:val="0"/>
        <w:shd w:val="clear" w:color="auto" w:fill="auto"/>
        <w:bidi w:val="0"/>
        <w:spacing w:before="0" w:after="0" w:line="778" w:lineRule="exact"/>
        <w:ind w:left="0" w:right="0" w:firstLine="860"/>
        <w:jc w:val="both"/>
      </w:pPr>
      <w:r>
        <w:rPr>
          <w:color w:val="000000"/>
          <w:spacing w:val="0"/>
          <w:w w:val="100"/>
          <w:position w:val="0"/>
        </w:rPr>
        <w:t xml:space="preserve">坝址以上控制面积128 </w:t>
      </w:r>
      <w:r>
        <w:rPr>
          <w:color w:val="000000"/>
          <w:spacing w:val="0"/>
          <w:w w:val="100"/>
          <w:position w:val="0"/>
        </w:rPr>
        <w:t>km</w:t>
      </w:r>
      <w:r>
        <w:rPr>
          <w:color w:val="000000"/>
          <w:spacing w:val="0"/>
          <w:w w:val="100"/>
          <w:position w:val="0"/>
          <w:sz w:val="18"/>
          <w:szCs w:val="18"/>
        </w:rPr>
        <w:t>2</w:t>
      </w:r>
      <w:r>
        <w:rPr>
          <w:color w:val="000000"/>
          <w:spacing w:val="0"/>
          <w:w w:val="100"/>
          <w:position w:val="0"/>
        </w:rPr>
        <w:t>，河道长</w:t>
      </w:r>
      <w:r>
        <w:rPr>
          <w:color w:val="000000"/>
          <w:spacing w:val="0"/>
          <w:w w:val="100"/>
          <w:position w:val="0"/>
        </w:rPr>
        <w:t>19.85km</w:t>
      </w:r>
      <w:r>
        <w:rPr>
          <w:color w:val="000000"/>
          <w:spacing w:val="0"/>
          <w:w w:val="100"/>
          <w:position w:val="0"/>
        </w:rPr>
        <w:t>，平均比降20.4%，流域呈阔 叶形。河道两岸山势陡峭，河谷狭窄，植被良好，水土流失小，河流水量充沛， 含沙量小，大部分时间为清水河，只在汛期发洪水时，河水变浑浊。由于河道比 降大，汛期常伴随着推移质被带到下游，汛期洪水陡涨陡落；枯水期水量因其上 游流经灰岩地区，有多处泉水补给，故水量比较稳定。</w:t>
      </w:r>
    </w:p>
    <w:p>
      <w:pPr>
        <w:pStyle w:val="a5"/>
        <w:keepNext w:val="0"/>
        <w:keepLines w:val="0"/>
        <w:widowControl w:val="0"/>
        <w:shd w:val="clear" w:color="auto" w:fill="auto"/>
        <w:bidi w:val="0"/>
        <w:spacing w:before="0" w:after="0" w:line="778" w:lineRule="exact"/>
        <w:ind w:left="0" w:right="0" w:firstLine="860"/>
        <w:jc w:val="both"/>
      </w:pPr>
      <w:r>
        <w:rPr>
          <w:color w:val="000000"/>
          <w:spacing w:val="0"/>
          <w:w w:val="100"/>
          <w:position w:val="0"/>
        </w:rPr>
        <w:t>本流域属亚热带季风气候区，形成降水的暖流气候，主要来自孟加拉湾和西 太平洋。夏季在副热带高压影响下，孟加拉湾水汽翻越米仓山输入本地，配合有 利地形易造成大范围的降水；冬季由于青藏高原西风气流南支的影响而形成切变 线，西南暖湿空气沿浅层空气上滑入侵，因而时有小雨雪天气。但基本受西北气 流控制，降雨量不大。</w:t>
      </w:r>
    </w:p>
    <w:p>
      <w:pPr>
        <w:pStyle w:val="a5"/>
        <w:keepNext w:val="0"/>
        <w:keepLines w:val="0"/>
        <w:widowControl w:val="0"/>
        <w:shd w:val="clear" w:color="auto" w:fill="auto"/>
        <w:bidi w:val="0"/>
        <w:spacing w:before="0" w:after="0" w:line="778" w:lineRule="exact"/>
        <w:ind w:left="0" w:right="0" w:firstLine="860"/>
        <w:jc w:val="both"/>
      </w:pPr>
      <w:r>
        <w:rPr>
          <w:color w:val="000000"/>
          <w:spacing w:val="0"/>
          <w:w w:val="100"/>
          <w:position w:val="0"/>
        </w:rPr>
        <w:t>漾家河流域由南向北由中山、浅山、丘陵和平坝区组成，据南郑县气象站， 1961</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1984年资料统计多年平均气温为</w:t>
      </w:r>
      <w:r>
        <w:rPr>
          <w:color w:val="000000"/>
          <w:spacing w:val="0"/>
          <w:w w:val="100"/>
          <w:position w:val="0"/>
        </w:rPr>
        <w:t>14.2°C</w:t>
      </w:r>
      <w:r>
        <w:rPr>
          <w:color w:val="000000"/>
          <w:spacing w:val="0"/>
          <w:w w:val="100"/>
          <w:position w:val="0"/>
        </w:rPr>
        <w:t>，最高气温为</w:t>
      </w:r>
      <w:r>
        <w:rPr>
          <w:color w:val="000000"/>
          <w:spacing w:val="0"/>
          <w:w w:val="100"/>
          <w:position w:val="0"/>
        </w:rPr>
        <w:t>36.6°C，</w:t>
      </w:r>
      <w:r>
        <w:rPr>
          <w:color w:val="000000"/>
          <w:spacing w:val="0"/>
          <w:w w:val="100"/>
          <w:position w:val="0"/>
        </w:rPr>
        <w:t>（1976年7 月3日），最低为</w:t>
      </w:r>
      <w:r>
        <w:rPr>
          <w:color w:val="000000"/>
          <w:spacing w:val="0"/>
          <w:w w:val="100"/>
          <w:position w:val="0"/>
        </w:rPr>
        <w:t>-8C，</w:t>
      </w:r>
      <w:r>
        <w:rPr>
          <w:color w:val="000000"/>
          <w:spacing w:val="0"/>
          <w:w w:val="100"/>
          <w:position w:val="0"/>
        </w:rPr>
        <w:t>（1969年1月30日）。查《汉中地区实用水文手册》（以下 简称《水文手册》）中多年平均降水量等值线图，全流域多年平均降水量</w:t>
      </w:r>
      <w:r>
        <w:rPr>
          <w:color w:val="000000"/>
          <w:spacing w:val="0"/>
          <w:w w:val="100"/>
          <w:position w:val="0"/>
        </w:rPr>
        <w:t xml:space="preserve">1100mm， </w:t>
      </w:r>
      <w:r>
        <w:rPr>
          <w:color w:val="000000"/>
          <w:spacing w:val="0"/>
          <w:w w:val="100"/>
          <w:position w:val="0"/>
        </w:rPr>
        <w:t>由南向北变幅为</w:t>
      </w:r>
      <w:r>
        <w:rPr>
          <w:color w:val="000000"/>
          <w:spacing w:val="0"/>
          <w:w w:val="100"/>
          <w:position w:val="0"/>
        </w:rPr>
        <w:t>1480~850mm</w:t>
      </w:r>
      <w:r>
        <w:rPr>
          <w:color w:val="000000"/>
          <w:spacing w:val="0"/>
          <w:w w:val="100"/>
          <w:position w:val="0"/>
        </w:rPr>
        <w:t>，降水量多集中在7月</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10月。</w:t>
      </w:r>
    </w:p>
    <w:p>
      <w:pPr>
        <w:pStyle w:val="a5"/>
        <w:keepNext w:val="0"/>
        <w:keepLines w:val="0"/>
        <w:widowControl w:val="0"/>
        <w:shd w:val="clear" w:color="auto" w:fill="auto"/>
        <w:bidi w:val="0"/>
        <w:spacing w:before="0" w:after="300" w:line="778" w:lineRule="exact"/>
        <w:ind w:left="0" w:right="0" w:firstLine="860"/>
        <w:jc w:val="both"/>
        <w:sectPr>
          <w:type w:val="nextPage"/>
          <w:pgSz w:w="17861" w:h="25258"/>
          <w:pgMar w:top="1775" w:right="2109" w:bottom="2080" w:left="2336" w:header="0" w:footer="3" w:gutter="0"/>
          <w:pgNumType w:start="3"/>
          <w:cols w:space="720"/>
          <w:noEndnote/>
          <w:titlePg w:val="0"/>
          <w:rtlGutter w:val="0"/>
          <w:docGrid w:linePitch="360"/>
        </w:sectPr>
      </w:pPr>
      <w:r>
        <w:rPr>
          <w:color w:val="000000"/>
          <w:spacing w:val="0"/>
          <w:w w:val="100"/>
          <w:position w:val="0"/>
        </w:rPr>
        <w:t>坝址以上地势较高，夏季微热，冬季较冷，因地处米仓山降水高值区，多年 平均降水量超过</w:t>
      </w:r>
      <w:r>
        <w:rPr>
          <w:color w:val="000000"/>
          <w:spacing w:val="0"/>
          <w:w w:val="100"/>
          <w:position w:val="0"/>
        </w:rPr>
        <w:t>1400mm，</w:t>
      </w:r>
      <w:r>
        <w:rPr>
          <w:color w:val="000000"/>
          <w:spacing w:val="0"/>
          <w:w w:val="100"/>
          <w:position w:val="0"/>
        </w:rPr>
        <w:t>据云河雨量站1980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1987年实测资料统计，年平均降水 量为</w:t>
      </w:r>
      <w:r>
        <w:rPr>
          <w:color w:val="000000"/>
          <w:spacing w:val="0"/>
          <w:w w:val="100"/>
          <w:position w:val="0"/>
        </w:rPr>
        <w:t>1515.9mm，</w:t>
      </w:r>
      <w:r>
        <w:rPr>
          <w:color w:val="000000"/>
          <w:spacing w:val="0"/>
          <w:w w:val="100"/>
          <w:position w:val="0"/>
        </w:rPr>
        <w:t>其中水稻灌溉期内的7、8、9月为</w:t>
      </w:r>
      <w:r>
        <w:rPr>
          <w:color w:val="000000"/>
          <w:spacing w:val="0"/>
          <w:w w:val="100"/>
          <w:position w:val="0"/>
        </w:rPr>
        <w:t>863.0mm，</w:t>
      </w:r>
      <w:r>
        <w:rPr>
          <w:color w:val="000000"/>
          <w:spacing w:val="0"/>
          <w:w w:val="100"/>
          <w:position w:val="0"/>
        </w:rPr>
        <w:t>占全年降水的56.9%，</w:t>
      </w:r>
    </w:p>
    <w:p>
      <w:pPr>
        <w:pStyle w:val="a5"/>
        <w:keepNext w:val="0"/>
        <w:keepLines w:val="0"/>
        <w:widowControl w:val="0"/>
        <w:shd w:val="clear" w:color="auto" w:fill="auto"/>
        <w:bidi w:val="0"/>
        <w:spacing w:before="0" w:after="300" w:line="778" w:lineRule="exact"/>
        <w:ind w:left="0" w:right="0" w:firstLine="860"/>
        <w:jc w:val="both"/>
      </w:pPr>
      <w:r>
        <w:rPr>
          <w:color w:val="000000"/>
          <w:spacing w:val="0"/>
          <w:w w:val="100"/>
          <w:position w:val="0"/>
        </w:rPr>
        <w:t xml:space="preserve"> 而关键用水的6月份降水量却只占年降水总量的11%。</w:t>
      </w:r>
    </w:p>
    <w:p>
      <w:pPr>
        <w:pStyle w:val="a5"/>
        <w:keepNext w:val="0"/>
        <w:keepLines w:val="0"/>
        <w:widowControl w:val="0"/>
        <w:shd w:val="clear" w:color="auto" w:fill="auto"/>
        <w:bidi w:val="0"/>
        <w:spacing w:before="0" w:after="100" w:line="240" w:lineRule="auto"/>
        <w:ind w:left="0" w:right="0" w:firstLine="720"/>
        <w:jc w:val="left"/>
      </w:pPr>
      <w:r>
        <w:rPr>
          <w:color w:val="000000"/>
          <w:spacing w:val="0"/>
          <w:w w:val="100"/>
          <w:position w:val="0"/>
        </w:rPr>
        <w:t>2地貌地质</w:t>
      </w:r>
    </w:p>
    <w:p>
      <w:pPr>
        <w:pStyle w:val="a5"/>
        <w:keepNext w:val="0"/>
        <w:keepLines w:val="0"/>
        <w:widowControl w:val="0"/>
        <w:shd w:val="clear" w:color="auto" w:fill="auto"/>
        <w:bidi w:val="0"/>
        <w:spacing w:before="0" w:after="0" w:line="722" w:lineRule="exact"/>
        <w:ind w:left="0" w:right="0" w:firstLine="720"/>
        <w:jc w:val="both"/>
      </w:pPr>
      <w:r>
        <w:rPr>
          <w:color w:val="000000"/>
          <w:spacing w:val="0"/>
          <w:w w:val="100"/>
          <w:position w:val="0"/>
        </w:rPr>
        <w:t>库区出露岩层比较复杂。震旦系结晶灰岩、砂岩，寒武系砂页岩、灰岩，奥 陶系砾岩、灰岩，志留系页岩，二迭系灰岩均有。但以结晶灰岩、灰岩为主。其 地貌总特点是山势峥嵘、险峻，锯齿状山峰、不对称V形谷及岩溶（喀斯特）地 貌发育。米仓山主脊海拔2200米左右，地势高耸，峰岭交错，似天然长城，沿 川陕交界东西蜿蜒，仅在石人山西部渐向北呈弧形偏折，至庙坝挡墙以西的熊头 岩，完全伸入境内，西北</w:t>
      </w:r>
      <w:r>
        <w:rPr>
          <w:color w:val="000000"/>
          <w:spacing w:val="0"/>
          <w:w w:val="100"/>
          <w:position w:val="0"/>
        </w:rPr>
        <w:t>一一</w:t>
      </w:r>
      <w:r>
        <w:rPr>
          <w:color w:val="000000"/>
          <w:spacing w:val="0"/>
          <w:w w:val="100"/>
          <w:position w:val="0"/>
        </w:rPr>
        <w:t>东南走向，又从元坝北部的炮坪、玉皇桥折西，渐 入宁强境。</w:t>
      </w:r>
    </w:p>
    <w:p>
      <w:pPr>
        <w:pStyle w:val="a5"/>
        <w:keepNext w:val="0"/>
        <w:keepLines w:val="0"/>
        <w:widowControl w:val="0"/>
        <w:shd w:val="clear" w:color="auto" w:fill="auto"/>
        <w:bidi w:val="0"/>
        <w:spacing w:before="0" w:after="0" w:line="722" w:lineRule="exact"/>
        <w:ind w:left="0" w:right="0" w:firstLine="720"/>
        <w:jc w:val="both"/>
      </w:pPr>
      <w:r>
        <w:rPr>
          <w:color w:val="000000"/>
          <w:spacing w:val="0"/>
          <w:w w:val="100"/>
          <w:position w:val="0"/>
        </w:rPr>
        <w:t>现场地质勘查坝址处山石为：流纹质碎屑熔岩，具有“硬、脆、碎”的特点， 利用坝基开挖开挖弃渣采取人工加工作为碾压砼粗骨料的料源，不足部分由业主 指定碎石料场开采加工。</w:t>
      </w:r>
    </w:p>
    <w:p>
      <w:pPr>
        <w:pStyle w:val="a5"/>
        <w:keepNext w:val="0"/>
        <w:keepLines w:val="0"/>
        <w:widowControl w:val="0"/>
        <w:shd w:val="clear" w:color="auto" w:fill="auto"/>
        <w:bidi w:val="0"/>
        <w:spacing w:before="0" w:after="0" w:line="757" w:lineRule="exact"/>
        <w:ind w:left="0" w:right="0" w:firstLine="720"/>
        <w:jc w:val="both"/>
      </w:pPr>
      <w:r>
        <w:rPr>
          <w:color w:val="000000"/>
          <w:spacing w:val="0"/>
          <w:w w:val="100"/>
          <w:position w:val="0"/>
        </w:rPr>
        <w:t>3自然条件</w:t>
      </w:r>
    </w:p>
    <w:p>
      <w:pPr>
        <w:pStyle w:val="a5"/>
        <w:keepNext w:val="0"/>
        <w:keepLines w:val="0"/>
        <w:widowControl w:val="0"/>
        <w:shd w:val="clear" w:color="auto" w:fill="auto"/>
        <w:bidi w:val="0"/>
        <w:spacing w:before="0" w:after="0" w:line="757" w:lineRule="exact"/>
        <w:ind w:left="0" w:right="0" w:firstLine="720"/>
        <w:jc w:val="both"/>
      </w:pPr>
      <w:r>
        <w:rPr>
          <w:color w:val="000000"/>
          <w:spacing w:val="0"/>
          <w:w w:val="100"/>
          <w:position w:val="0"/>
        </w:rPr>
        <w:t>坝址以上地势较高、夏季微热、冬季较冷，因地处米仓山降水高值区，多年 平均降雨量超过</w:t>
      </w:r>
      <w:r>
        <w:rPr>
          <w:color w:val="000000"/>
          <w:spacing w:val="0"/>
          <w:w w:val="100"/>
          <w:position w:val="0"/>
        </w:rPr>
        <w:t>1400mm</w:t>
      </w:r>
      <w:r>
        <w:rPr>
          <w:color w:val="000000"/>
          <w:spacing w:val="0"/>
          <w:w w:val="100"/>
          <w:position w:val="0"/>
        </w:rPr>
        <w:t>，距云河雨量站1980</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1987年实测资料统计，年平均降 水量为</w:t>
      </w:r>
      <w:r>
        <w:rPr>
          <w:color w:val="000000"/>
          <w:spacing w:val="0"/>
          <w:w w:val="100"/>
          <w:position w:val="0"/>
        </w:rPr>
        <w:t>1515.9mm</w:t>
      </w:r>
      <w:r>
        <w:rPr>
          <w:color w:val="000000"/>
          <w:spacing w:val="0"/>
          <w:w w:val="100"/>
          <w:position w:val="0"/>
        </w:rPr>
        <w:t>，其中7</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9月降水量占全年降水的56.9%，而6月份降水量仅 占年降水量的11%。；</w:t>
      </w:r>
    </w:p>
    <w:p>
      <w:pPr>
        <w:pStyle w:val="a5"/>
        <w:keepNext w:val="0"/>
        <w:keepLines w:val="0"/>
        <w:widowControl w:val="0"/>
        <w:shd w:val="clear" w:color="auto" w:fill="auto"/>
        <w:bidi w:val="0"/>
        <w:spacing w:before="0" w:after="320" w:line="761" w:lineRule="exact"/>
        <w:ind w:left="0" w:right="0" w:firstLine="720"/>
        <w:jc w:val="both"/>
      </w:pPr>
      <w:r>
        <w:rPr>
          <w:color w:val="000000"/>
          <w:spacing w:val="0"/>
          <w:w w:val="100"/>
          <w:position w:val="0"/>
        </w:rPr>
        <w:t>坝址地处山区，河流属山溪型河流，洪水多发生在6</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9月，大洪水多为高 强暴雨形成，洪水表现为陡涨陡落，汇流速度快，洪水过程一般为1</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3天，多 呈峰高量小、尖瘦的单峰型过程。</w:t>
      </w:r>
    </w:p>
    <w:p>
      <w:pPr>
        <w:pStyle w:val="a6"/>
        <w:keepNext w:val="0"/>
        <w:keepLines w:val="0"/>
        <w:widowControl w:val="0"/>
        <w:shd w:val="clear" w:color="auto" w:fill="auto"/>
        <w:tabs>
          <w:tab w:val="left" w:pos="3950"/>
        </w:tabs>
        <w:bidi w:val="0"/>
        <w:spacing w:before="0" w:after="0" w:line="240" w:lineRule="auto"/>
        <w:ind w:left="168" w:right="0" w:firstLine="0"/>
        <w:jc w:val="left"/>
      </w:pPr>
      <w:r>
        <w:rPr>
          <w:color w:val="000000"/>
          <w:spacing w:val="0"/>
          <w:w w:val="100"/>
          <w:position w:val="0"/>
        </w:rPr>
        <w:t>表</w:t>
      </w:r>
      <w:r>
        <w:rPr>
          <w:color w:val="000000"/>
          <w:spacing w:val="0"/>
          <w:w w:val="100"/>
          <w:position w:val="0"/>
        </w:rPr>
        <w:t>1-1</w:t>
        <w:tab/>
      </w:r>
      <w:r>
        <w:rPr>
          <w:color w:val="000000"/>
          <w:spacing w:val="0"/>
          <w:w w:val="100"/>
          <w:position w:val="0"/>
        </w:rPr>
        <w:t>云河水库坝址处施工期洪水成果表</w:t>
      </w:r>
    </w:p>
    <w:tbl>
      <w:tblPr>
        <w:tblStyle w:val="TableNormal"/>
        <w:tblOverlap w:val="never"/>
        <w:jc w:val="center"/>
        <w:tblLayout w:type="fixed"/>
        <w:tblCellMar>
          <w:left w:w="10" w:type="dxa"/>
          <w:right w:w="10" w:type="dxa"/>
        </w:tblCellMar>
      </w:tblPr>
      <w:tblGrid>
        <w:gridCol w:w="1790"/>
        <w:gridCol w:w="2198"/>
        <w:gridCol w:w="1982"/>
        <w:gridCol w:w="1939"/>
        <w:gridCol w:w="1958"/>
        <w:gridCol w:w="2611"/>
      </w:tblGrid>
      <w:tr>
        <w:tblPrEx>
          <w:jc w:val="center"/>
          <w:tblLayout w:type="fixed"/>
          <w:tblCellMar>
            <w:left w:w="10" w:type="dxa"/>
            <w:right w:w="10" w:type="dxa"/>
          </w:tblCellMar>
        </w:tblPrEx>
        <w:trPr>
          <w:trHeight w:hRule="exact" w:val="768"/>
          <w:jc w:val="center"/>
        </w:trPr>
        <w:tc>
          <w:tcPr>
            <w:tcW w:w="3988" w:type="dxa"/>
            <w:gridSpan w:val="2"/>
            <w:vMerge w:val="restart"/>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时 段</w:t>
            </w:r>
          </w:p>
        </w:tc>
        <w:tc>
          <w:tcPr>
            <w:tcW w:w="5879" w:type="dxa"/>
            <w:gridSpan w:val="3"/>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right"/>
            </w:pPr>
            <w:r>
              <w:rPr>
                <w:color w:val="000000"/>
                <w:spacing w:val="0"/>
                <w:w w:val="100"/>
                <w:position w:val="0"/>
              </w:rPr>
              <w:t>不同重现期（年）洪峰流量</w:t>
            </w:r>
            <w:r>
              <w:rPr>
                <w:color w:val="000000"/>
                <w:spacing w:val="0"/>
                <w:w w:val="100"/>
                <w:position w:val="0"/>
              </w:rPr>
              <w:t>（</w:t>
            </w:r>
            <w:r>
              <w:rPr>
                <w:color w:val="000000"/>
                <w:spacing w:val="0"/>
                <w:w w:val="100"/>
                <w:position w:val="0"/>
                <w:sz w:val="42"/>
                <w:szCs w:val="42"/>
              </w:rPr>
              <w:t>m</w:t>
            </w:r>
            <w:r>
              <w:rPr>
                <w:color w:val="000000"/>
                <w:spacing w:val="0"/>
                <w:w w:val="100"/>
                <w:position w:val="0"/>
                <w:sz w:val="42"/>
                <w:szCs w:val="42"/>
                <w:vertAlign w:val="superscript"/>
              </w:rPr>
              <w:t>3</w:t>
            </w:r>
            <w:r>
              <w:rPr>
                <w:color w:val="000000"/>
                <w:spacing w:val="0"/>
                <w:w w:val="100"/>
                <w:position w:val="0"/>
                <w:sz w:val="42"/>
                <w:szCs w:val="42"/>
              </w:rPr>
              <w:t>/s</w:t>
            </w:r>
            <w:r>
              <w:rPr>
                <w:color w:val="000000"/>
                <w:spacing w:val="0"/>
                <w:w w:val="100"/>
                <w:position w:val="0"/>
              </w:rPr>
              <w:t>）</w:t>
            </w:r>
          </w:p>
        </w:tc>
        <w:tc>
          <w:tcPr>
            <w:tcW w:w="2611" w:type="dxa"/>
            <w:vMerge w:val="restart"/>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center"/>
          <w:tblLayout w:type="fixed"/>
          <w:tblCellMar>
            <w:left w:w="10" w:type="dxa"/>
            <w:right w:w="10" w:type="dxa"/>
          </w:tblCellMar>
        </w:tblPrEx>
        <w:trPr>
          <w:trHeight w:hRule="exact" w:val="600"/>
          <w:jc w:val="center"/>
        </w:trPr>
        <w:tc>
          <w:tcPr>
            <w:tcW w:w="1" w:type="dxa"/>
            <w:gridSpan w:val="2"/>
            <w:vMerge/>
            <w:tcBorders>
              <w:left w:val="single" w:sz="4" w:space="0" w:color="auto"/>
            </w:tcBorders>
            <w:shd w:val="clear" w:color="auto" w:fill="FFFFFF"/>
            <w:vAlign w:val="center"/>
          </w:tcP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w:t>
            </w:r>
          </w:p>
        </w:tc>
        <w:tc>
          <w:tcPr>
            <w:tcW w:w="1" w:type="dxa"/>
            <w:vMerge/>
            <w:tcBorders>
              <w:left w:val="single" w:sz="4" w:space="0" w:color="auto"/>
              <w:right w:val="single" w:sz="4" w:space="0" w:color="auto"/>
            </w:tcBorders>
            <w:shd w:val="clear" w:color="auto" w:fill="FFFFFF"/>
            <w:vAlign w:val="center"/>
          </w:tcPr>
          <w:p/>
        </w:tc>
      </w:tr>
      <w:tr>
        <w:tblPrEx>
          <w:jc w:val="center"/>
          <w:tblLayout w:type="fixed"/>
          <w:tblCellMar>
            <w:left w:w="10" w:type="dxa"/>
            <w:right w:w="10" w:type="dxa"/>
          </w:tblCellMar>
        </w:tblPrEx>
        <w:trPr>
          <w:trHeight w:hRule="exact" w:val="600"/>
          <w:jc w:val="center"/>
        </w:trPr>
        <w:tc>
          <w:tcPr>
            <w:tcW w:w="1790" w:type="dxa"/>
            <w:vMerge w:val="restart"/>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360"/>
              <w:jc w:val="left"/>
            </w:pPr>
            <w:r>
              <w:rPr>
                <w:color w:val="000000"/>
                <w:spacing w:val="0"/>
                <w:w w:val="100"/>
                <w:position w:val="0"/>
              </w:rPr>
              <w:t>非汛期</w:t>
            </w: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2月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5.04</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4.06</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3.04</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19"/>
          <w:jc w:val="center"/>
        </w:trPr>
        <w:tc>
          <w:tcPr>
            <w:tcW w:w="1" w:type="dxa"/>
            <w:vMerge/>
            <w:tcBorders>
              <w:left w:val="single" w:sz="4" w:space="0" w:color="auto"/>
            </w:tcBorders>
            <w:shd w:val="clear" w:color="auto" w:fill="FFFFFF"/>
            <w:vAlign w:val="center"/>
          </w:tcP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4月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89.0</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68.4</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48.0</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00"/>
          <w:jc w:val="center"/>
        </w:trPr>
        <w:tc>
          <w:tcPr>
            <w:tcW w:w="1" w:type="dxa"/>
            <w:vMerge/>
            <w:tcBorders>
              <w:left w:val="single" w:sz="4" w:space="0" w:color="auto"/>
            </w:tcBorders>
            <w:shd w:val="clear" w:color="auto" w:fill="FFFFFF"/>
            <w:vAlign w:val="center"/>
          </w:tcP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11</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12月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83.4</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53.0</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27.6</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19"/>
          <w:jc w:val="center"/>
        </w:trPr>
        <w:tc>
          <w:tcPr>
            <w:tcW w:w="1790" w:type="dxa"/>
            <w:vMerge w:val="restart"/>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汛期</w:t>
            </w: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142</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111</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80</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00"/>
          <w:jc w:val="center"/>
        </w:trPr>
        <w:tc>
          <w:tcPr>
            <w:tcW w:w="1" w:type="dxa"/>
            <w:vMerge/>
            <w:tcBorders>
              <w:left w:val="single" w:sz="4" w:space="0" w:color="auto"/>
            </w:tcBorders>
            <w:shd w:val="clear" w:color="auto" w:fill="FFFFFF"/>
            <w:vAlign w:val="center"/>
          </w:tcP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6月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246</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124</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76</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19"/>
          <w:jc w:val="center"/>
        </w:trPr>
        <w:tc>
          <w:tcPr>
            <w:tcW w:w="1" w:type="dxa"/>
            <w:vMerge/>
            <w:tcBorders>
              <w:left w:val="single" w:sz="4" w:space="0" w:color="auto"/>
            </w:tcBorders>
            <w:shd w:val="clear" w:color="auto" w:fill="FFFFFF"/>
            <w:vAlign w:val="center"/>
          </w:tcPr>
          <w:p/>
        </w:tc>
        <w:tc>
          <w:tcPr>
            <w:tcW w:w="21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0"/>
              <w:jc w:val="center"/>
            </w:pPr>
            <w:r>
              <w:rPr>
                <w:color w:val="000000"/>
                <w:spacing w:val="0"/>
                <w:w w:val="100"/>
                <w:position w:val="0"/>
              </w:rPr>
              <w:t>10月</w:t>
            </w:r>
          </w:p>
        </w:tc>
        <w:tc>
          <w:tcPr>
            <w:tcW w:w="198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224</w:t>
            </w:r>
          </w:p>
        </w:tc>
        <w:tc>
          <w:tcPr>
            <w:tcW w:w="193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124</w:t>
            </w:r>
          </w:p>
        </w:tc>
        <w:tc>
          <w:tcPr>
            <w:tcW w:w="195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81</w:t>
            </w:r>
          </w:p>
        </w:tc>
        <w:tc>
          <w:tcPr>
            <w:tcW w:w="26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14"/>
          <w:jc w:val="center"/>
        </w:trPr>
        <w:tc>
          <w:tcPr>
            <w:tcW w:w="1" w:type="dxa"/>
            <w:vMerge/>
            <w:tcBorders>
              <w:left w:val="single" w:sz="4" w:space="0" w:color="auto"/>
              <w:bottom w:val="single" w:sz="4" w:space="0" w:color="auto"/>
            </w:tcBorders>
            <w:shd w:val="clear" w:color="auto" w:fill="FFFFFF"/>
            <w:vAlign w:val="center"/>
          </w:tcPr>
          <w:p/>
        </w:tc>
        <w:tc>
          <w:tcPr>
            <w:tcW w:w="2198"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（7</w:t>
            </w:r>
            <w:r>
              <w:rPr>
                <w:rFonts w:ascii="Arial Unicode MS" w:eastAsia="Arial Unicode MS" w:hAnsi="Arial Unicode MS" w:cs="Arial Unicode MS"/>
                <w:color w:val="000000"/>
                <w:spacing w:val="0"/>
                <w:w w:val="100"/>
                <w:position w:val="0"/>
                <w:sz w:val="30"/>
                <w:szCs w:val="30"/>
              </w:rPr>
              <w:t>〜</w:t>
            </w:r>
            <w:r>
              <w:rPr>
                <w:color w:val="000000"/>
                <w:spacing w:val="0"/>
                <w:w w:val="100"/>
                <w:position w:val="0"/>
              </w:rPr>
              <w:t>9月）</w:t>
            </w:r>
          </w:p>
        </w:tc>
        <w:tc>
          <w:tcPr>
            <w:tcW w:w="198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658</w:t>
            </w:r>
          </w:p>
        </w:tc>
        <w:tc>
          <w:tcPr>
            <w:tcW w:w="193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525</w:t>
            </w:r>
          </w:p>
        </w:tc>
        <w:tc>
          <w:tcPr>
            <w:tcW w:w="1958"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388</w:t>
            </w:r>
          </w:p>
        </w:tc>
        <w:tc>
          <w:tcPr>
            <w:tcW w:w="2611" w:type="dxa"/>
            <w:tcBorders>
              <w:top w:val="single" w:sz="4" w:space="0" w:color="auto"/>
              <w:left w:val="single" w:sz="4" w:space="0" w:color="auto"/>
              <w:bottom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0"/>
              <w:jc w:val="center"/>
            </w:pPr>
            <w:r>
              <w:rPr>
                <w:color w:val="000000"/>
                <w:spacing w:val="0"/>
                <w:w w:val="100"/>
                <w:position w:val="0"/>
              </w:rPr>
              <w:t>用全年替代</w:t>
            </w:r>
          </w:p>
        </w:tc>
      </w:tr>
    </w:tbl>
    <w:p>
      <w:pPr>
        <w:pStyle w:val="a6"/>
        <w:keepNext w:val="0"/>
        <w:keepLines w:val="0"/>
        <w:widowControl w:val="0"/>
        <w:shd w:val="clear" w:color="auto" w:fill="auto"/>
        <w:bidi w:val="0"/>
        <w:spacing w:before="0" w:after="0" w:line="240" w:lineRule="auto"/>
        <w:ind w:left="19" w:right="0" w:firstLine="0"/>
        <w:jc w:val="left"/>
      </w:pPr>
      <w:r>
        <w:rPr>
          <w:b/>
          <w:bCs/>
          <w:color w:val="000000"/>
          <w:spacing w:val="0"/>
          <w:w w:val="100"/>
          <w:position w:val="0"/>
        </w:rPr>
        <w:t>1.5</w:t>
      </w:r>
      <w:r>
        <w:rPr>
          <w:b/>
          <w:bCs/>
          <w:color w:val="000000"/>
          <w:spacing w:val="0"/>
          <w:w w:val="100"/>
          <w:position w:val="0"/>
        </w:rPr>
        <w:t>主要施工内容</w:t>
      </w:r>
    </w:p>
    <w:p>
      <w:pPr>
        <w:widowControl w:val="0"/>
        <w:spacing w:after="259" w:line="1" w:lineRule="exact"/>
        <w:sectPr>
          <w:type w:val="nextPage"/>
          <w:pgSz w:w="17861" w:h="25258"/>
          <w:pgMar w:top="1775" w:right="2109" w:bottom="2080" w:left="2336" w:header="0" w:footer="3" w:gutter="0"/>
          <w:pgNumType w:start="4"/>
          <w:cols w:space="720"/>
          <w:noEndnote/>
          <w:titlePg w:val="0"/>
          <w:rtlGutter w:val="0"/>
          <w:docGrid w:linePitch="360"/>
        </w:sectPr>
      </w:pPr>
    </w:p>
    <w:p>
      <w:pPr>
        <w:pStyle w:val="a5"/>
        <w:keepNext w:val="0"/>
        <w:keepLines w:val="0"/>
        <w:widowControl w:val="0"/>
        <w:shd w:val="clear" w:color="auto" w:fill="auto"/>
        <w:bidi w:val="0"/>
        <w:spacing w:before="0" w:after="0" w:line="240" w:lineRule="auto"/>
        <w:ind w:left="0" w:right="0" w:firstLine="720"/>
        <w:jc w:val="both"/>
      </w:pPr>
      <w:r>
        <w:rPr>
          <w:color w:val="000000"/>
          <w:spacing w:val="0"/>
          <w:w w:val="100"/>
          <w:position w:val="0"/>
        </w:rPr>
        <w:t xml:space="preserve">1大坝工程：土石方明挖、地基处理、石方洞挖、支护、坝体碾压砼浇筑、 </w:t>
      </w:r>
      <w:r>
        <w:rPr>
          <w:color w:val="000000"/>
          <w:spacing w:val="0"/>
          <w:w w:val="100"/>
          <w:position w:val="0"/>
        </w:rPr>
        <w:t>常态砼浇筑，坝基固结灌浆和帷幕灌浆等。</w:t>
      </w:r>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2引水工程：石方明挖、石方洞挖等；</w:t>
      </w:r>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3房屋建筑工程：管理站办公管理用房、管理局办公用房及室外工程；</w:t>
      </w:r>
    </w:p>
    <w:p>
      <w:pPr>
        <w:pStyle w:val="a5"/>
        <w:keepNext w:val="0"/>
        <w:keepLines w:val="0"/>
        <w:widowControl w:val="0"/>
        <w:shd w:val="clear" w:color="auto" w:fill="auto"/>
        <w:bidi w:val="0"/>
        <w:spacing w:before="0" w:after="0" w:line="703" w:lineRule="exact"/>
        <w:ind w:left="0" w:right="0" w:firstLine="720"/>
        <w:jc w:val="both"/>
      </w:pPr>
      <w:r>
        <w:rPr>
          <w:color w:val="000000"/>
          <w:spacing w:val="0"/>
          <w:w w:val="100"/>
          <w:position w:val="0"/>
        </w:rPr>
        <w:t>4其他工程：</w:t>
      </w:r>
      <w:r>
        <w:rPr>
          <w:color w:val="000000"/>
          <w:spacing w:val="0"/>
          <w:w w:val="100"/>
          <w:position w:val="0"/>
        </w:rPr>
        <w:t>10KV</w:t>
      </w:r>
      <w:r>
        <w:rPr>
          <w:color w:val="000000"/>
          <w:spacing w:val="0"/>
          <w:w w:val="100"/>
          <w:position w:val="0"/>
        </w:rPr>
        <w:t>动力线路架设、照明及通讯线路工程、厂坝区及生活供水、 供热等公共设施、原型观测设备和仪器的采购、制作安装、施工期观测和观测资 料整理等。</w:t>
      </w:r>
    </w:p>
    <w:p>
      <w:pPr>
        <w:pStyle w:val="a5"/>
        <w:keepNext w:val="0"/>
        <w:keepLines w:val="0"/>
        <w:widowControl w:val="0"/>
        <w:shd w:val="clear" w:color="auto" w:fill="auto"/>
        <w:bidi w:val="0"/>
        <w:spacing w:before="0" w:after="800" w:line="703" w:lineRule="exact"/>
        <w:ind w:left="0" w:right="0" w:firstLine="720"/>
        <w:jc w:val="both"/>
      </w:pPr>
      <w:r>
        <w:rPr>
          <w:color w:val="000000"/>
          <w:spacing w:val="0"/>
          <w:w w:val="100"/>
          <w:position w:val="0"/>
        </w:rPr>
        <w:t>5导流工程及施工临时设施等。</w:t>
      </w:r>
    </w:p>
    <w:p>
      <w:pPr>
        <w:pStyle w:val="10"/>
        <w:keepNext/>
        <w:keepLines/>
        <w:widowControl w:val="0"/>
        <w:shd w:val="clear" w:color="auto" w:fill="auto"/>
        <w:bidi w:val="0"/>
        <w:spacing w:before="0" w:line="240" w:lineRule="auto"/>
        <w:ind w:left="0" w:right="0" w:firstLine="0"/>
        <w:jc w:val="center"/>
      </w:pPr>
      <w:bookmarkStart w:id="15" w:name="bookmark15"/>
      <w:bookmarkStart w:id="16" w:name="bookmark16"/>
      <w:bookmarkStart w:id="17" w:name="bookmark17"/>
      <w:r>
        <w:rPr>
          <w:color w:val="000000"/>
          <w:spacing w:val="0"/>
          <w:w w:val="100"/>
          <w:position w:val="0"/>
        </w:rPr>
        <w:t>第二章施工部署</w:t>
      </w:r>
      <w:bookmarkEnd w:id="15"/>
      <w:bookmarkEnd w:id="16"/>
      <w:bookmarkEnd w:id="17"/>
    </w:p>
    <w:p>
      <w:pPr>
        <w:pStyle w:val="30"/>
        <w:keepNext/>
        <w:keepLines/>
        <w:widowControl w:val="0"/>
        <w:shd w:val="clear" w:color="auto" w:fill="auto"/>
        <w:bidi w:val="0"/>
        <w:spacing w:before="0" w:after="460" w:line="240" w:lineRule="auto"/>
        <w:ind w:left="0" w:right="0" w:firstLine="0"/>
        <w:jc w:val="left"/>
      </w:pPr>
      <w:bookmarkStart w:id="18" w:name="bookmark18"/>
      <w:bookmarkStart w:id="19" w:name="bookmark19"/>
      <w:bookmarkStart w:id="20" w:name="bookmark20"/>
      <w:r>
        <w:rPr>
          <w:color w:val="000000"/>
          <w:spacing w:val="0"/>
          <w:w w:val="100"/>
          <w:position w:val="0"/>
        </w:rPr>
        <w:t>2.1</w:t>
      </w:r>
      <w:r>
        <w:rPr>
          <w:color w:val="000000"/>
          <w:spacing w:val="0"/>
          <w:w w:val="100"/>
          <w:position w:val="0"/>
        </w:rPr>
        <w:t>组织机构设置</w:t>
      </w:r>
      <w:bookmarkEnd w:id="18"/>
      <w:bookmarkEnd w:id="19"/>
      <w:bookmarkEnd w:id="20"/>
    </w:p>
    <w:p>
      <w:pPr>
        <w:pStyle w:val="a5"/>
        <w:keepNext w:val="0"/>
        <w:keepLines w:val="0"/>
        <w:widowControl w:val="0"/>
        <w:shd w:val="clear" w:color="auto" w:fill="auto"/>
        <w:bidi w:val="0"/>
        <w:spacing w:before="0" w:after="800" w:line="240" w:lineRule="auto"/>
        <w:ind w:left="0" w:right="0" w:firstLine="720"/>
        <w:jc w:val="left"/>
      </w:pPr>
      <w:r>
        <w:rPr>
          <w:color w:val="000000"/>
          <w:spacing w:val="0"/>
          <w:w w:val="100"/>
          <w:position w:val="0"/>
        </w:rPr>
        <w:t xml:space="preserve">工程项目部组织机构见图2 </w:t>
      </w:r>
      <w:r>
        <w:rPr>
          <w:color w:val="000000"/>
          <w:spacing w:val="0"/>
          <w:w w:val="100"/>
          <w:position w:val="0"/>
        </w:rPr>
        <w:t xml:space="preserve">— </w:t>
      </w:r>
      <w:r>
        <w:rPr>
          <w:color w:val="000000"/>
          <w:spacing w:val="0"/>
          <w:w w:val="100"/>
          <w:position w:val="0"/>
        </w:rPr>
        <w:t>1。</w:t>
      </w:r>
    </w:p>
    <w:p>
      <w:pPr>
        <w:widowControl w:val="0"/>
        <w:jc w:val="left"/>
        <w:rPr>
          <w:sz w:val="2"/>
          <w:szCs w:val="2"/>
        </w:rPr>
      </w:pPr>
      <w:r>
        <w:drawing>
          <wp:inline>
            <wp:extent cx="8815070" cy="668147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4"/>
                    <a:stretch>
                      <a:fillRect/>
                    </a:stretch>
                  </pic:blipFill>
                  <pic:spPr>
                    <a:xfrm>
                      <a:off x="0" y="0"/>
                      <a:ext cx="8815070" cy="6681470"/>
                    </a:xfrm>
                    <a:prstGeom prst="rect">
                      <a:avLst/>
                    </a:prstGeom>
                  </pic:spPr>
                </pic:pic>
              </a:graphicData>
            </a:graphic>
          </wp:inline>
        </w:drawing>
      </w:r>
    </w:p>
    <w:p>
      <w:pPr>
        <w:pStyle w:val="a8"/>
        <w:keepNext w:val="0"/>
        <w:keepLines w:val="0"/>
        <w:widowControl w:val="0"/>
        <w:shd w:val="clear" w:color="auto" w:fill="auto"/>
        <w:bidi w:val="0"/>
        <w:spacing w:before="0" w:after="0" w:line="240" w:lineRule="auto"/>
        <w:ind w:left="4387" w:right="0" w:firstLine="0"/>
        <w:jc w:val="left"/>
      </w:pPr>
      <w:r>
        <w:rPr>
          <w:color w:val="000000"/>
          <w:spacing w:val="0"/>
          <w:w w:val="100"/>
          <w:position w:val="0"/>
        </w:rPr>
        <w:t>图</w:t>
      </w:r>
      <w:r>
        <w:rPr>
          <w:color w:val="000000"/>
          <w:spacing w:val="0"/>
          <w:w w:val="100"/>
          <w:position w:val="0"/>
        </w:rPr>
        <w:t>2 — 1</w:t>
      </w:r>
      <w:r>
        <w:rPr>
          <w:color w:val="000000"/>
          <w:spacing w:val="0"/>
          <w:w w:val="100"/>
          <w:position w:val="0"/>
        </w:rPr>
        <w:t>项目部组织机构图</w:t>
      </w:r>
    </w:p>
    <w:p>
      <w:pPr>
        <w:widowControl w:val="0"/>
        <w:spacing w:after="259" w:line="1" w:lineRule="exact"/>
      </w:pPr>
    </w:p>
    <w:p>
      <w:pPr>
        <w:pStyle w:val="a5"/>
        <w:keepNext w:val="0"/>
        <w:keepLines w:val="0"/>
        <w:widowControl w:val="0"/>
        <w:shd w:val="clear" w:color="auto" w:fill="auto"/>
        <w:bidi w:val="0"/>
        <w:spacing w:before="0" w:after="640" w:line="240" w:lineRule="auto"/>
        <w:ind w:left="0" w:right="0" w:firstLine="0"/>
        <w:jc w:val="left"/>
        <w:sectPr>
          <w:type w:val="nextPage"/>
          <w:pgSz w:w="17861" w:h="25258"/>
          <w:pgMar w:top="1775" w:right="2109" w:bottom="2080" w:left="2336" w:header="0" w:footer="3" w:gutter="0"/>
          <w:pgNumType w:start="5"/>
          <w:cols w:space="720"/>
          <w:noEndnote/>
          <w:titlePg w:val="0"/>
          <w:rtlGutter w:val="0"/>
          <w:docGrid w:linePitch="360"/>
        </w:sectPr>
      </w:pPr>
      <w:r>
        <w:rPr>
          <w:b/>
          <w:bCs/>
          <w:color w:val="000000"/>
          <w:spacing w:val="0"/>
          <w:w w:val="100"/>
          <w:position w:val="0"/>
        </w:rPr>
        <w:t>2.2</w:t>
      </w:r>
      <w:r>
        <w:rPr>
          <w:b/>
          <w:bCs/>
          <w:color w:val="000000"/>
          <w:spacing w:val="0"/>
          <w:w w:val="100"/>
          <w:position w:val="0"/>
        </w:rPr>
        <w:t>施工计划</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本工程计划开工时间2014年12月15日，2017年1月15日完工，总工期 763天，实际开工日期以监理发布的开工令为准。</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大坝土石方爆破施工进度计划开工日期2015年1月25日，大坝土石方爆破 施工进度见附件1。</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1施工计划</w:t>
      </w:r>
    </w:p>
    <w:p>
      <w:pPr>
        <w:pStyle w:val="a5"/>
        <w:keepNext w:val="0"/>
        <w:keepLines w:val="0"/>
        <w:widowControl w:val="0"/>
        <w:numPr>
          <w:ilvl w:val="0"/>
          <w:numId w:val="1"/>
        </w:numPr>
        <w:shd w:val="clear" w:color="auto" w:fill="auto"/>
        <w:tabs>
          <w:tab w:val="left" w:pos="1251"/>
        </w:tabs>
        <w:bidi w:val="0"/>
        <w:spacing w:before="0" w:after="0" w:line="699" w:lineRule="exact"/>
        <w:ind w:left="0" w:right="0" w:firstLine="720"/>
        <w:jc w:val="both"/>
      </w:pPr>
      <w:bookmarkStart w:id="21" w:name="bookmark21"/>
      <w:bookmarkEnd w:id="21"/>
      <w:r>
        <w:rPr>
          <w:color w:val="000000"/>
          <w:spacing w:val="0"/>
          <w:w w:val="100"/>
          <w:position w:val="0"/>
        </w:rPr>
        <w:t>安排进度计划时主体思想为：保证重点，兼顾一般，满足连续。由于本工 程项目施工内容多，投入的机械设备和劳动力比较多，因此在施工安排上必须统 筹兼顾，合理安排。</w:t>
      </w:r>
    </w:p>
    <w:p>
      <w:pPr>
        <w:pStyle w:val="a5"/>
        <w:keepNext w:val="0"/>
        <w:keepLines w:val="0"/>
        <w:widowControl w:val="0"/>
        <w:numPr>
          <w:ilvl w:val="0"/>
          <w:numId w:val="1"/>
        </w:numPr>
        <w:shd w:val="clear" w:color="auto" w:fill="auto"/>
        <w:tabs>
          <w:tab w:val="left" w:pos="1251"/>
        </w:tabs>
        <w:bidi w:val="0"/>
        <w:spacing w:before="0" w:after="0" w:line="699" w:lineRule="exact"/>
        <w:ind w:left="0" w:right="0" w:firstLine="720"/>
        <w:jc w:val="both"/>
      </w:pPr>
      <w:bookmarkStart w:id="22" w:name="bookmark22"/>
      <w:bookmarkEnd w:id="22"/>
      <w:r>
        <w:rPr>
          <w:color w:val="000000"/>
          <w:spacing w:val="0"/>
          <w:w w:val="100"/>
          <w:position w:val="0"/>
        </w:rPr>
        <w:t>考虑施工机械连续作业，物质消耗均衡，人员配管合理，避免出现突出高 峰和低谷，应采用流水施工。本土石方工程作业主要施工工序为：施工准备—— 基坑土方开挖 土方清运 基坑平基岩石爆破施工 石碴清运。</w:t>
      </w:r>
    </w:p>
    <w:p>
      <w:pPr>
        <w:pStyle w:val="a5"/>
        <w:keepNext w:val="0"/>
        <w:keepLines w:val="0"/>
        <w:widowControl w:val="0"/>
        <w:numPr>
          <w:ilvl w:val="0"/>
          <w:numId w:val="1"/>
        </w:numPr>
        <w:shd w:val="clear" w:color="auto" w:fill="auto"/>
        <w:tabs>
          <w:tab w:val="left" w:pos="1251"/>
        </w:tabs>
        <w:bidi w:val="0"/>
        <w:spacing w:before="0" w:after="0" w:line="699" w:lineRule="exact"/>
        <w:ind w:left="0" w:right="0" w:firstLine="720"/>
        <w:jc w:val="both"/>
      </w:pPr>
      <w:bookmarkStart w:id="23" w:name="bookmark23"/>
      <w:bookmarkEnd w:id="23"/>
      <w:r>
        <w:rPr>
          <w:color w:val="000000"/>
          <w:spacing w:val="0"/>
          <w:w w:val="100"/>
          <w:position w:val="0"/>
        </w:rPr>
        <w:t>为完成进度，本工程土方开挖和爆破施工作业同时进行，清运工作要利用 爆破作业间隙进行（钻孔作业），并尽是利用夜间加班作业，以提高工效。</w:t>
      </w:r>
    </w:p>
    <w:p>
      <w:pPr>
        <w:pStyle w:val="a5"/>
        <w:keepNext w:val="0"/>
        <w:keepLines w:val="0"/>
        <w:widowControl w:val="0"/>
        <w:numPr>
          <w:ilvl w:val="0"/>
          <w:numId w:val="1"/>
        </w:numPr>
        <w:shd w:val="clear" w:color="auto" w:fill="auto"/>
        <w:tabs>
          <w:tab w:val="left" w:pos="1246"/>
        </w:tabs>
        <w:bidi w:val="0"/>
        <w:spacing w:before="0" w:after="0" w:line="699" w:lineRule="exact"/>
        <w:ind w:left="0" w:right="0" w:firstLine="720"/>
        <w:jc w:val="both"/>
      </w:pPr>
      <w:bookmarkStart w:id="24" w:name="bookmark24"/>
      <w:bookmarkEnd w:id="24"/>
      <w:r>
        <w:rPr>
          <w:color w:val="000000"/>
          <w:spacing w:val="0"/>
          <w:w w:val="100"/>
          <w:position w:val="0"/>
        </w:rPr>
        <w:t>本工程施工项目工程均采用双班作业。如完成任务有困难时，可适当调整 为三班作业。</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2施工组织</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根据本工程具体情况，项目施工分成以下作业组：</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第一作业组：爆破施工组：共分4个小组，主要负责爆破作业。</w:t>
      </w:r>
    </w:p>
    <w:p>
      <w:pPr>
        <w:pStyle w:val="a5"/>
        <w:keepNext w:val="0"/>
        <w:keepLines w:val="0"/>
        <w:widowControl w:val="0"/>
        <w:shd w:val="clear" w:color="auto" w:fill="auto"/>
        <w:bidi w:val="0"/>
        <w:spacing w:before="0" w:after="0" w:line="699" w:lineRule="exact"/>
        <w:ind w:left="0" w:right="0" w:firstLine="720"/>
        <w:jc w:val="both"/>
      </w:pPr>
      <w:r>
        <w:rPr>
          <w:color w:val="000000"/>
          <w:spacing w:val="0"/>
          <w:w w:val="100"/>
          <w:position w:val="0"/>
        </w:rPr>
        <w:t>第二作业组：机械挖运组：负责基坑石渣挖运工作。</w:t>
      </w:r>
    </w:p>
    <w:p>
      <w:pPr>
        <w:pStyle w:val="a5"/>
        <w:keepNext w:val="0"/>
        <w:keepLines w:val="0"/>
        <w:widowControl w:val="0"/>
        <w:shd w:val="clear" w:color="auto" w:fill="auto"/>
        <w:bidi w:val="0"/>
        <w:spacing w:before="0" w:after="0" w:line="715" w:lineRule="exact"/>
        <w:ind w:left="0" w:right="0" w:firstLine="720"/>
        <w:jc w:val="both"/>
      </w:pPr>
      <w:r>
        <w:rPr>
          <w:color w:val="000000"/>
          <w:spacing w:val="0"/>
          <w:w w:val="100"/>
          <w:position w:val="0"/>
        </w:rPr>
        <w:t>第三作业组：排水组：负责基坑开挖全过程中排水工作</w:t>
      </w:r>
    </w:p>
    <w:p>
      <w:pPr>
        <w:pStyle w:val="a5"/>
        <w:keepNext w:val="0"/>
        <w:keepLines w:val="0"/>
        <w:widowControl w:val="0"/>
        <w:shd w:val="clear" w:color="auto" w:fill="auto"/>
        <w:bidi w:val="0"/>
        <w:spacing w:before="0" w:after="0" w:line="715" w:lineRule="exact"/>
        <w:ind w:left="0" w:right="0" w:firstLine="720"/>
        <w:jc w:val="both"/>
      </w:pPr>
      <w:r>
        <w:rPr>
          <w:color w:val="000000"/>
          <w:spacing w:val="0"/>
          <w:w w:val="100"/>
          <w:position w:val="0"/>
        </w:rPr>
        <w:t>第四作业组：保障组，负责工程保障作业，包括：爆炸物品购买、配送、保 管的后勤保障。</w:t>
      </w:r>
    </w:p>
    <w:p>
      <w:pPr>
        <w:pStyle w:val="30"/>
        <w:keepNext/>
        <w:keepLines/>
        <w:widowControl w:val="0"/>
        <w:shd w:val="clear" w:color="auto" w:fill="auto"/>
        <w:bidi w:val="0"/>
        <w:spacing w:before="0" w:after="0" w:line="696" w:lineRule="exact"/>
        <w:ind w:left="0" w:right="0" w:firstLine="0"/>
        <w:jc w:val="both"/>
      </w:pPr>
      <w:bookmarkStart w:id="25" w:name="bookmark25"/>
      <w:bookmarkStart w:id="26" w:name="bookmark26"/>
      <w:bookmarkStart w:id="27" w:name="bookmark27"/>
      <w:r>
        <w:rPr>
          <w:color w:val="000000"/>
          <w:spacing w:val="0"/>
          <w:w w:val="100"/>
          <w:position w:val="0"/>
        </w:rPr>
        <w:t>2.3</w:t>
      </w:r>
      <w:r>
        <w:rPr>
          <w:color w:val="000000"/>
          <w:spacing w:val="0"/>
          <w:w w:val="100"/>
          <w:position w:val="0"/>
        </w:rPr>
        <w:t>爆破施工任务</w:t>
      </w:r>
      <w:bookmarkEnd w:id="25"/>
      <w:bookmarkEnd w:id="26"/>
      <w:bookmarkEnd w:id="27"/>
    </w:p>
    <w:p>
      <w:pPr>
        <w:pStyle w:val="a5"/>
        <w:keepNext w:val="0"/>
        <w:keepLines w:val="0"/>
        <w:widowControl w:val="0"/>
        <w:shd w:val="clear" w:color="auto" w:fill="auto"/>
        <w:bidi w:val="0"/>
        <w:spacing w:before="0" w:after="0" w:line="696" w:lineRule="exact"/>
        <w:ind w:left="0" w:right="0" w:firstLine="720"/>
        <w:jc w:val="both"/>
      </w:pPr>
      <w:r>
        <w:rPr>
          <w:color w:val="000000"/>
          <w:spacing w:val="0"/>
          <w:w w:val="100"/>
          <w:position w:val="0"/>
        </w:rPr>
        <w:t>根据合同要求，本项目合同范围内爆破施工任务包括以下内容：</w:t>
      </w:r>
    </w:p>
    <w:p>
      <w:pPr>
        <w:pStyle w:val="a5"/>
        <w:keepNext w:val="0"/>
        <w:keepLines w:val="0"/>
        <w:widowControl w:val="0"/>
        <w:shd w:val="clear" w:color="auto" w:fill="auto"/>
        <w:bidi w:val="0"/>
        <w:spacing w:before="0" w:after="0" w:line="696" w:lineRule="exact"/>
        <w:ind w:left="0" w:right="0" w:firstLine="720"/>
        <w:jc w:val="both"/>
      </w:pPr>
      <w:r>
        <w:rPr>
          <w:color w:val="000000"/>
          <w:spacing w:val="0"/>
          <w:w w:val="100"/>
          <w:position w:val="0"/>
        </w:rPr>
        <w:t>1坝基、引水隧洞、灌浆平洞土石方爆破开挖；</w:t>
      </w:r>
    </w:p>
    <w:p>
      <w:pPr>
        <w:pStyle w:val="a5"/>
        <w:keepNext w:val="0"/>
        <w:keepLines w:val="0"/>
        <w:widowControl w:val="0"/>
        <w:shd w:val="clear" w:color="auto" w:fill="auto"/>
        <w:bidi w:val="0"/>
        <w:spacing w:before="0" w:after="0" w:line="696" w:lineRule="exact"/>
        <w:ind w:left="0" w:right="0" w:firstLine="720"/>
        <w:jc w:val="both"/>
      </w:pPr>
      <w:r>
        <w:rPr>
          <w:color w:val="000000"/>
          <w:spacing w:val="0"/>
          <w:w w:val="100"/>
          <w:position w:val="0"/>
        </w:rPr>
        <w:t>2土石方爆破后石渣外运，根据设计初步设计报告，本项目土石方开挖可利 用率40%，其余60%为弃渣，弃渣场由业主指定；</w:t>
      </w:r>
    </w:p>
    <w:p>
      <w:pPr>
        <w:pStyle w:val="30"/>
        <w:keepNext/>
        <w:keepLines/>
        <w:widowControl w:val="0"/>
        <w:shd w:val="clear" w:color="auto" w:fill="auto"/>
        <w:bidi w:val="0"/>
        <w:spacing w:before="0" w:after="280" w:line="696" w:lineRule="exact"/>
        <w:ind w:left="0" w:right="0" w:firstLine="0"/>
        <w:jc w:val="left"/>
      </w:pPr>
      <w:bookmarkStart w:id="28" w:name="bookmark28"/>
      <w:bookmarkStart w:id="29" w:name="bookmark29"/>
      <w:bookmarkStart w:id="30" w:name="bookmark30"/>
      <w:r>
        <w:rPr>
          <w:color w:val="000000"/>
          <w:spacing w:val="0"/>
          <w:w w:val="100"/>
          <w:position w:val="0"/>
        </w:rPr>
        <w:t>2.4</w:t>
      </w:r>
      <w:r>
        <w:rPr>
          <w:color w:val="000000"/>
          <w:spacing w:val="0"/>
          <w:w w:val="100"/>
          <w:position w:val="0"/>
        </w:rPr>
        <w:t>资源配置</w:t>
      </w:r>
      <w:bookmarkEnd w:id="28"/>
      <w:bookmarkEnd w:id="29"/>
      <w:bookmarkEnd w:id="30"/>
      <w:r>
        <w:rPr>
          <w:color w:val="000000"/>
          <w:spacing w:val="0"/>
          <w:w w:val="100"/>
          <w:position w:val="0"/>
        </w:rPr>
        <w:t xml:space="preserve"> </w:t>
      </w:r>
      <w:r>
        <w:rPr>
          <w:rStyle w:val="a0"/>
          <w:b w:val="0"/>
          <w:bCs w:val="0"/>
        </w:rPr>
        <w:t>2.4.1</w:t>
      </w:r>
      <w:r>
        <w:rPr>
          <w:rStyle w:val="a0"/>
          <w:b w:val="0"/>
          <w:bCs w:val="0"/>
        </w:rPr>
        <w:t>主要工程量</w:t>
      </w:r>
    </w:p>
    <w:p>
      <w:pPr>
        <w:pStyle w:val="a5"/>
        <w:keepNext w:val="0"/>
        <w:keepLines w:val="0"/>
        <w:widowControl w:val="0"/>
        <w:shd w:val="clear" w:color="auto" w:fill="auto"/>
        <w:bidi w:val="0"/>
        <w:spacing w:before="0" w:after="0" w:line="240" w:lineRule="auto"/>
        <w:ind w:left="0" w:right="0" w:firstLine="720"/>
        <w:jc w:val="both"/>
        <w:sectPr>
          <w:type w:val="nextPage"/>
          <w:pgSz w:w="17861" w:h="25258"/>
          <w:pgMar w:top="1775" w:right="2109" w:bottom="2080" w:left="2336" w:header="0" w:footer="3" w:gutter="0"/>
          <w:pgNumType w:start="6"/>
          <w:cols w:space="720"/>
          <w:noEndnote/>
          <w:titlePg w:val="0"/>
          <w:rtlGutter w:val="0"/>
          <w:docGrid w:linePitch="360"/>
        </w:sectPr>
      </w:pPr>
      <w:r>
        <w:rPr>
          <w:color w:val="000000"/>
          <w:spacing w:val="0"/>
          <w:w w:val="100"/>
          <w:position w:val="0"/>
        </w:rPr>
        <w:t>大坝工程主要工程量为：土石方开挖</w:t>
      </w:r>
      <w:r>
        <w:rPr>
          <w:color w:val="000000"/>
          <w:spacing w:val="0"/>
          <w:w w:val="100"/>
          <w:position w:val="0"/>
        </w:rPr>
        <w:t>168711m3,</w:t>
      </w:r>
      <w:r>
        <w:rPr>
          <w:color w:val="000000"/>
          <w:spacing w:val="0"/>
          <w:w w:val="100"/>
          <w:position w:val="0"/>
        </w:rPr>
        <w:t>防渗主帷幕灌浆</w:t>
      </w:r>
      <w:r>
        <w:rPr>
          <w:color w:val="000000"/>
          <w:spacing w:val="0"/>
          <w:w w:val="100"/>
          <w:position w:val="0"/>
        </w:rPr>
        <w:t>3010m，</w:t>
      </w:r>
      <w:r>
        <w:rPr>
          <w:color w:val="000000"/>
          <w:spacing w:val="0"/>
          <w:w w:val="100"/>
          <w:position w:val="0"/>
        </w:rPr>
        <w:t>防</w:t>
      </w:r>
    </w:p>
    <w:p>
      <w:pPr>
        <w:pStyle w:val="a5"/>
        <w:keepNext w:val="0"/>
        <w:keepLines w:val="0"/>
        <w:widowControl w:val="0"/>
        <w:shd w:val="clear" w:color="auto" w:fill="auto"/>
        <w:bidi w:val="0"/>
        <w:spacing w:before="0" w:after="0" w:line="240" w:lineRule="auto"/>
        <w:ind w:left="0" w:right="0" w:firstLine="720"/>
        <w:jc w:val="both"/>
      </w:pPr>
      <w:r>
        <w:rPr>
          <w:color w:val="000000"/>
          <w:spacing w:val="0"/>
          <w:w w:val="100"/>
          <w:position w:val="0"/>
        </w:rPr>
        <w:t>渗副帷幕灌浆</w:t>
      </w:r>
      <w:r>
        <w:rPr>
          <w:color w:val="000000"/>
          <w:spacing w:val="0"/>
          <w:w w:val="100"/>
          <w:position w:val="0"/>
        </w:rPr>
        <w:t>1240m,</w:t>
      </w:r>
      <w:r>
        <w:rPr>
          <w:color w:val="000000"/>
          <w:spacing w:val="0"/>
          <w:w w:val="100"/>
          <w:position w:val="0"/>
        </w:rPr>
        <w:t>固结灌浆</w:t>
      </w:r>
      <w:r>
        <w:rPr>
          <w:color w:val="000000"/>
          <w:spacing w:val="0"/>
          <w:w w:val="100"/>
          <w:position w:val="0"/>
        </w:rPr>
        <w:t>8725m,</w:t>
      </w:r>
      <w:r>
        <w:rPr>
          <w:color w:val="000000"/>
          <w:spacing w:val="0"/>
          <w:w w:val="100"/>
          <w:position w:val="0"/>
        </w:rPr>
        <w:t>基础接触灌浆</w:t>
      </w:r>
      <w:r>
        <w:rPr>
          <w:color w:val="000000"/>
          <w:spacing w:val="0"/>
          <w:w w:val="100"/>
          <w:position w:val="0"/>
        </w:rPr>
        <w:t>800m</w:t>
      </w:r>
      <w:r>
        <w:rPr>
          <w:color w:val="000000"/>
          <w:spacing w:val="0"/>
          <w:w w:val="100"/>
          <w:position w:val="0"/>
        </w:rPr>
        <w:t>，钢筋制安</w:t>
      </w:r>
      <w:r>
        <w:rPr>
          <w:color w:val="000000"/>
          <w:spacing w:val="0"/>
          <w:w w:val="100"/>
          <w:position w:val="0"/>
        </w:rPr>
        <w:t>350T,</w:t>
      </w:r>
      <w:r>
        <w:rPr>
          <w:color w:val="000000"/>
          <w:spacing w:val="0"/>
          <w:w w:val="100"/>
          <w:position w:val="0"/>
        </w:rPr>
        <w:t>砼 浇筑</w:t>
      </w:r>
      <w:r>
        <w:rPr>
          <w:color w:val="000000"/>
          <w:spacing w:val="0"/>
          <w:w w:val="100"/>
          <w:position w:val="0"/>
        </w:rPr>
        <w:t>18.8</w:t>
      </w:r>
      <w:r>
        <w:rPr>
          <w:color w:val="000000"/>
          <w:spacing w:val="0"/>
          <w:w w:val="100"/>
          <w:position w:val="0"/>
        </w:rPr>
        <w:t>万</w:t>
      </w:r>
      <w:r>
        <w:rPr>
          <w:color w:val="000000"/>
          <w:spacing w:val="0"/>
          <w:w w:val="100"/>
          <w:position w:val="0"/>
        </w:rPr>
        <w:t>m</w:t>
      </w:r>
      <w:r>
        <w:rPr>
          <w:color w:val="000000"/>
          <w:spacing w:val="0"/>
          <w:w w:val="100"/>
          <w:position w:val="0"/>
          <w:sz w:val="18"/>
          <w:szCs w:val="18"/>
        </w:rPr>
        <w:t xml:space="preserve">3 </w:t>
      </w:r>
      <w:r>
        <w:rPr>
          <w:color w:val="000000"/>
          <w:spacing w:val="0"/>
          <w:w w:val="100"/>
          <w:position w:val="0"/>
        </w:rPr>
        <w:t>（其中常态砼</w:t>
      </w:r>
      <w:r>
        <w:rPr>
          <w:color w:val="000000"/>
          <w:spacing w:val="0"/>
          <w:w w:val="100"/>
          <w:position w:val="0"/>
        </w:rPr>
        <w:t>4.8</w:t>
      </w:r>
      <w:r>
        <w:rPr>
          <w:color w:val="000000"/>
          <w:spacing w:val="0"/>
          <w:w w:val="100"/>
          <w:position w:val="0"/>
        </w:rPr>
        <w:t>万m</w:t>
      </w:r>
      <w:r>
        <w:rPr>
          <w:color w:val="000000"/>
          <w:spacing w:val="0"/>
          <w:w w:val="100"/>
          <w:position w:val="0"/>
          <w:sz w:val="18"/>
          <w:szCs w:val="18"/>
        </w:rPr>
        <w:t>3</w:t>
      </w:r>
      <w:r>
        <w:rPr>
          <w:color w:val="000000"/>
          <w:spacing w:val="0"/>
          <w:w w:val="100"/>
          <w:position w:val="0"/>
        </w:rPr>
        <w:t>，碾压砼14万m</w:t>
      </w:r>
      <w:r>
        <w:rPr>
          <w:color w:val="000000"/>
          <w:spacing w:val="0"/>
          <w:w w:val="100"/>
          <w:position w:val="0"/>
          <w:sz w:val="18"/>
          <w:szCs w:val="18"/>
        </w:rPr>
        <w:t>3</w:t>
      </w:r>
      <w:r>
        <w:rPr>
          <w:color w:val="000000"/>
          <w:spacing w:val="0"/>
          <w:w w:val="100"/>
          <w:position w:val="0"/>
        </w:rPr>
        <w:t>），钢结构制安</w:t>
      </w:r>
      <w:r>
        <w:rPr>
          <w:color w:val="000000"/>
          <w:spacing w:val="0"/>
          <w:w w:val="100"/>
          <w:position w:val="0"/>
        </w:rPr>
        <w:t>30T</w:t>
      </w:r>
      <w:r>
        <w:rPr>
          <w:color w:val="000000"/>
          <w:spacing w:val="0"/>
          <w:w w:val="100"/>
          <w:position w:val="0"/>
        </w:rPr>
        <w:t>，闸 门及启闭机安装</w:t>
      </w:r>
      <w:r>
        <w:rPr>
          <w:color w:val="000000"/>
          <w:spacing w:val="0"/>
          <w:w w:val="100"/>
          <w:position w:val="0"/>
        </w:rPr>
        <w:t>191.60T。</w:t>
      </w:r>
    </w:p>
    <w:p>
      <w:pPr>
        <w:pStyle w:val="a5"/>
        <w:keepNext w:val="0"/>
        <w:keepLines w:val="0"/>
        <w:widowControl w:val="0"/>
        <w:shd w:val="clear" w:color="auto" w:fill="auto"/>
        <w:bidi w:val="0"/>
        <w:spacing w:before="0" w:after="480" w:line="701" w:lineRule="exact"/>
        <w:ind w:left="0" w:right="0" w:firstLine="160"/>
        <w:jc w:val="both"/>
      </w:pPr>
      <w:r>
        <w:rPr>
          <w:color w:val="000000"/>
          <w:spacing w:val="0"/>
          <w:w w:val="100"/>
          <w:position w:val="0"/>
        </w:rPr>
        <w:t>2.4.2</w:t>
      </w:r>
      <w:r>
        <w:rPr>
          <w:color w:val="000000"/>
          <w:spacing w:val="0"/>
          <w:w w:val="100"/>
          <w:position w:val="0"/>
        </w:rPr>
        <w:t>主要施工设备情况</w:t>
      </w:r>
    </w:p>
    <w:p>
      <w:pPr>
        <w:pStyle w:val="a5"/>
        <w:keepNext w:val="0"/>
        <w:keepLines w:val="0"/>
        <w:widowControl w:val="0"/>
        <w:shd w:val="clear" w:color="auto" w:fill="auto"/>
        <w:bidi w:val="0"/>
        <w:spacing w:before="0" w:after="100" w:line="240" w:lineRule="auto"/>
        <w:ind w:left="0" w:right="0" w:firstLine="0"/>
        <w:jc w:val="center"/>
      </w:pPr>
      <w:r>
        <w:rPr>
          <w:color w:val="000000"/>
          <w:spacing w:val="0"/>
          <w:w w:val="100"/>
          <w:position w:val="0"/>
        </w:rPr>
        <w:t>表</w:t>
      </w:r>
      <w:r>
        <w:rPr>
          <w:color w:val="000000"/>
          <w:spacing w:val="0"/>
          <w:w w:val="100"/>
          <w:position w:val="0"/>
        </w:rPr>
        <w:t>2-1</w:t>
      </w:r>
      <w:r>
        <w:rPr>
          <w:color w:val="000000"/>
          <w:spacing w:val="0"/>
          <w:w w:val="100"/>
          <w:position w:val="0"/>
        </w:rPr>
        <w:t>拟投入的主要施工设备表</w:t>
      </w:r>
    </w:p>
    <w:tbl>
      <w:tblPr>
        <w:tblStyle w:val="TableNormal"/>
        <w:tblOverlap w:val="never"/>
        <w:jc w:val="center"/>
        <w:tblLayout w:type="fixed"/>
        <w:tblCellMar>
          <w:left w:w="10" w:type="dxa"/>
          <w:right w:w="10" w:type="dxa"/>
        </w:tblCellMar>
      </w:tblPr>
      <w:tblGrid>
        <w:gridCol w:w="1253"/>
        <w:gridCol w:w="2141"/>
        <w:gridCol w:w="3077"/>
        <w:gridCol w:w="1282"/>
        <w:gridCol w:w="2002"/>
        <w:gridCol w:w="2467"/>
      </w:tblGrid>
      <w:tr>
        <w:tblPrEx>
          <w:jc w:val="center"/>
          <w:tblLayout w:type="fixed"/>
          <w:tblCellMar>
            <w:left w:w="10" w:type="dxa"/>
            <w:right w:w="10" w:type="dxa"/>
          </w:tblCellMar>
        </w:tblPrEx>
        <w:trPr>
          <w:trHeight w:hRule="exact" w:val="74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序号</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设备名称</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型号/规格</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数量</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生产能力</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用于施工部位</w:t>
            </w:r>
          </w:p>
        </w:tc>
      </w:tr>
      <w:tr>
        <w:tblPrEx>
          <w:jc w:val="center"/>
          <w:tblLayout w:type="fixed"/>
          <w:tblCellMar>
            <w:left w:w="10" w:type="dxa"/>
            <w:right w:w="10" w:type="dxa"/>
          </w:tblCellMar>
        </w:tblPrEx>
        <w:trPr>
          <w:trHeight w:hRule="exact" w:val="1459"/>
          <w:jc w:val="center"/>
        </w:trPr>
        <w:tc>
          <w:tcPr>
            <w:tcW w:w="1253"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360" w:line="240" w:lineRule="auto"/>
              <w:ind w:left="0" w:right="0" w:firstLine="0"/>
              <w:jc w:val="left"/>
              <w:rPr>
                <w:sz w:val="32"/>
                <w:szCs w:val="32"/>
              </w:rPr>
            </w:pPr>
            <w:r>
              <w:rPr>
                <w:color w:val="000000"/>
                <w:spacing w:val="0"/>
                <w:w w:val="100"/>
                <w:position w:val="0"/>
                <w:sz w:val="32"/>
                <w:szCs w:val="32"/>
              </w:rPr>
              <w:t>履带全液压钻</w:t>
            </w:r>
          </w:p>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机</w:t>
            </w:r>
          </w:p>
        </w:tc>
        <w:tc>
          <w:tcPr>
            <w:tcW w:w="3077"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LM-500C</w:t>
            </w:r>
          </w:p>
        </w:tc>
        <w:tc>
          <w:tcPr>
            <w:tcW w:w="128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3</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20"/>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2</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挖掘机</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PC360-7</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2</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3</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推土机</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220HP</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3</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44"/>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4</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自卸汽车</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STR1491</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30</w:t>
            </w:r>
            <w:r>
              <w:rPr>
                <w:color w:val="000000"/>
                <w:spacing w:val="0"/>
                <w:w w:val="100"/>
                <w:position w:val="0"/>
                <w:sz w:val="32"/>
                <w:szCs w:val="32"/>
              </w:rPr>
              <w:t>辆</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5</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手风钻</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YT28</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10</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20"/>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6</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空压机</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30m3/min</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7</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空压机</w:t>
            </w:r>
          </w:p>
        </w:tc>
        <w:tc>
          <w:tcPr>
            <w:tcW w:w="3077"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40m3/min</w:t>
            </w: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8</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起爆器</w:t>
            </w:r>
          </w:p>
        </w:tc>
        <w:tc>
          <w:tcPr>
            <w:tcW w:w="3077" w:type="dxa"/>
            <w:tcBorders>
              <w:top w:val="single" w:sz="4" w:space="0" w:color="auto"/>
              <w:left w:val="single" w:sz="4" w:space="0" w:color="auto"/>
            </w:tcBorders>
            <w:shd w:val="clear" w:color="auto" w:fill="FFFFFF"/>
            <w:vAlign w:val="top"/>
          </w:tcPr>
          <w:p>
            <w:pPr>
              <w:widowControl w:val="0"/>
              <w:rPr>
                <w:sz w:val="10"/>
                <w:szCs w:val="10"/>
              </w:rPr>
            </w:pP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6</w:t>
            </w:r>
            <w:r>
              <w:rPr>
                <w:color w:val="000000"/>
                <w:spacing w:val="0"/>
                <w:w w:val="100"/>
                <w:position w:val="0"/>
                <w:sz w:val="32"/>
                <w:szCs w:val="32"/>
              </w:rPr>
              <w:t>部</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9</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left"/>
              <w:rPr>
                <w:sz w:val="32"/>
                <w:szCs w:val="32"/>
              </w:rPr>
            </w:pPr>
            <w:r>
              <w:rPr>
                <w:color w:val="000000"/>
                <w:spacing w:val="0"/>
                <w:w w:val="100"/>
                <w:position w:val="0"/>
                <w:sz w:val="32"/>
                <w:szCs w:val="32"/>
              </w:rPr>
              <w:t>电雷管测试仪</w:t>
            </w:r>
          </w:p>
        </w:tc>
        <w:tc>
          <w:tcPr>
            <w:tcW w:w="3077" w:type="dxa"/>
            <w:tcBorders>
              <w:top w:val="single" w:sz="4" w:space="0" w:color="auto"/>
              <w:left w:val="single" w:sz="4" w:space="0" w:color="auto"/>
            </w:tcBorders>
            <w:shd w:val="clear" w:color="auto" w:fill="FFFFFF"/>
            <w:vAlign w:val="top"/>
          </w:tcPr>
          <w:p>
            <w:pPr>
              <w:widowControl w:val="0"/>
              <w:rPr>
                <w:sz w:val="10"/>
                <w:szCs w:val="10"/>
              </w:rPr>
            </w:pP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4</w:t>
            </w:r>
            <w:r>
              <w:rPr>
                <w:color w:val="000000"/>
                <w:spacing w:val="0"/>
                <w:w w:val="100"/>
                <w:position w:val="0"/>
                <w:sz w:val="32"/>
                <w:szCs w:val="32"/>
              </w:rPr>
              <w:t>台</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20"/>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10</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GPS</w:t>
            </w:r>
          </w:p>
        </w:tc>
        <w:tc>
          <w:tcPr>
            <w:tcW w:w="3077" w:type="dxa"/>
            <w:tcBorders>
              <w:top w:val="single" w:sz="4" w:space="0" w:color="auto"/>
              <w:left w:val="single" w:sz="4" w:space="0" w:color="auto"/>
            </w:tcBorders>
            <w:shd w:val="clear" w:color="auto" w:fill="FFFFFF"/>
            <w:vAlign w:val="top"/>
          </w:tcPr>
          <w:p>
            <w:pPr>
              <w:widowControl w:val="0"/>
              <w:rPr>
                <w:sz w:val="10"/>
                <w:szCs w:val="10"/>
              </w:rPr>
            </w:pP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w:t>
            </w:r>
            <w:r>
              <w:rPr>
                <w:color w:val="000000"/>
                <w:spacing w:val="0"/>
                <w:w w:val="100"/>
                <w:position w:val="0"/>
                <w:sz w:val="32"/>
                <w:szCs w:val="32"/>
              </w:rPr>
              <w:t>部</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739"/>
          <w:jc w:val="center"/>
        </w:trPr>
        <w:tc>
          <w:tcPr>
            <w:tcW w:w="1253"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11</w:t>
            </w:r>
          </w:p>
        </w:tc>
        <w:tc>
          <w:tcPr>
            <w:tcW w:w="2141"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全站仪</w:t>
            </w:r>
          </w:p>
        </w:tc>
        <w:tc>
          <w:tcPr>
            <w:tcW w:w="3077" w:type="dxa"/>
            <w:tcBorders>
              <w:top w:val="single" w:sz="4" w:space="0" w:color="auto"/>
              <w:left w:val="single" w:sz="4" w:space="0" w:color="auto"/>
            </w:tcBorders>
            <w:shd w:val="clear" w:color="auto" w:fill="FFFFFF"/>
            <w:vAlign w:val="top"/>
          </w:tcPr>
          <w:p>
            <w:pPr>
              <w:widowControl w:val="0"/>
              <w:rPr>
                <w:sz w:val="10"/>
                <w:szCs w:val="10"/>
              </w:rPr>
            </w:pPr>
          </w:p>
        </w:tc>
        <w:tc>
          <w:tcPr>
            <w:tcW w:w="128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1</w:t>
            </w:r>
            <w:r>
              <w:rPr>
                <w:color w:val="000000"/>
                <w:spacing w:val="0"/>
                <w:w w:val="100"/>
                <w:position w:val="0"/>
                <w:sz w:val="32"/>
                <w:szCs w:val="32"/>
              </w:rPr>
              <w:t>部</w:t>
            </w:r>
          </w:p>
        </w:tc>
        <w:tc>
          <w:tcPr>
            <w:tcW w:w="2002" w:type="dxa"/>
            <w:tcBorders>
              <w:top w:val="single" w:sz="4" w:space="0" w:color="auto"/>
              <w:lef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0"/>
              <w:jc w:val="center"/>
              <w:rPr>
                <w:sz w:val="32"/>
                <w:szCs w:val="32"/>
              </w:rPr>
            </w:pPr>
            <w:r>
              <w:rPr>
                <w:color w:val="000000"/>
                <w:spacing w:val="0"/>
                <w:w w:val="100"/>
                <w:position w:val="0"/>
                <w:sz w:val="32"/>
                <w:szCs w:val="32"/>
              </w:rPr>
              <w:t>良好</w:t>
            </w:r>
          </w:p>
        </w:tc>
        <w:tc>
          <w:tcPr>
            <w:tcW w:w="2467" w:type="dxa"/>
            <w:tcBorders>
              <w:top w:val="single" w:sz="4" w:space="0" w:color="auto"/>
              <w:left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240" w:lineRule="auto"/>
              <w:ind w:left="0" w:right="0" w:firstLine="420"/>
              <w:jc w:val="left"/>
              <w:rPr>
                <w:sz w:val="32"/>
                <w:szCs w:val="32"/>
              </w:rPr>
            </w:pPr>
            <w:r>
              <w:rPr>
                <w:color w:val="000000"/>
                <w:spacing w:val="0"/>
                <w:w w:val="100"/>
                <w:position w:val="0"/>
                <w:sz w:val="32"/>
                <w:szCs w:val="32"/>
              </w:rPr>
              <w:t>土石方工程</w:t>
            </w:r>
          </w:p>
        </w:tc>
      </w:tr>
      <w:tr>
        <w:tblPrEx>
          <w:jc w:val="center"/>
          <w:tblLayout w:type="fixed"/>
          <w:tblCellMar>
            <w:left w:w="10" w:type="dxa"/>
            <w:right w:w="10" w:type="dxa"/>
          </w:tblCellMar>
        </w:tblPrEx>
        <w:trPr>
          <w:trHeight w:hRule="exact" w:val="1474"/>
          <w:jc w:val="center"/>
        </w:trPr>
        <w:tc>
          <w:tcPr>
            <w:tcW w:w="12222" w:type="dxa"/>
            <w:gridSpan w:val="6"/>
            <w:tcBorders>
              <w:top w:val="single" w:sz="4" w:space="0" w:color="auto"/>
              <w:left w:val="single" w:sz="4" w:space="0" w:color="auto"/>
              <w:bottom w:val="single" w:sz="4" w:space="0" w:color="auto"/>
              <w:right w:val="single" w:sz="4" w:space="0" w:color="auto"/>
            </w:tcBorders>
            <w:shd w:val="clear" w:color="auto" w:fill="FFFFFF"/>
            <w:vAlign w:val="bottom"/>
          </w:tcPr>
          <w:p>
            <w:pPr>
              <w:pStyle w:val="a7"/>
              <w:keepNext w:val="0"/>
              <w:keepLines w:val="0"/>
              <w:widowControl w:val="0"/>
              <w:shd w:val="clear" w:color="auto" w:fill="auto"/>
              <w:bidi w:val="0"/>
              <w:spacing w:before="0" w:after="0" w:line="715" w:lineRule="exact"/>
              <w:ind w:left="0" w:right="0" w:firstLine="0"/>
              <w:jc w:val="left"/>
              <w:rPr>
                <w:sz w:val="32"/>
                <w:szCs w:val="32"/>
              </w:rPr>
            </w:pPr>
            <w:r>
              <w:rPr>
                <w:color w:val="000000"/>
                <w:spacing w:val="0"/>
                <w:w w:val="100"/>
                <w:position w:val="0"/>
                <w:sz w:val="32"/>
                <w:szCs w:val="32"/>
              </w:rPr>
              <w:t>电工胶布、剪刀、起爆线、修理工具等工具若干套件，以上机械设备根据工程施工需要 进行增减调配，以满足工程要求。</w:t>
            </w:r>
          </w:p>
        </w:tc>
      </w:tr>
    </w:tbl>
    <w:p>
      <w:pPr>
        <w:pStyle w:val="a5"/>
        <w:keepNext w:val="0"/>
        <w:keepLines w:val="0"/>
        <w:widowControl w:val="0"/>
        <w:shd w:val="clear" w:color="auto" w:fill="auto"/>
        <w:bidi w:val="0"/>
        <w:spacing w:before="0" w:after="280" w:line="240" w:lineRule="auto"/>
        <w:ind w:left="0" w:right="0" w:firstLine="160"/>
        <w:jc w:val="both"/>
      </w:pPr>
      <w:r>
        <w:rPr>
          <w:color w:val="000000"/>
          <w:spacing w:val="0"/>
          <w:w w:val="100"/>
          <w:position w:val="0"/>
        </w:rPr>
        <w:t>2.4.3</w:t>
      </w:r>
      <w:r>
        <w:rPr>
          <w:color w:val="000000"/>
          <w:spacing w:val="0"/>
          <w:w w:val="100"/>
          <w:position w:val="0"/>
        </w:rPr>
        <w:t>劳动力资源配置</w:t>
      </w:r>
    </w:p>
    <w:p>
      <w:pPr>
        <w:pStyle w:val="a5"/>
        <w:keepNext w:val="0"/>
        <w:keepLines w:val="0"/>
        <w:widowControl w:val="0"/>
        <w:shd w:val="clear" w:color="auto" w:fill="auto"/>
        <w:bidi w:val="0"/>
        <w:spacing w:before="0" w:after="280" w:line="240" w:lineRule="auto"/>
        <w:ind w:left="0" w:right="0" w:firstLine="0"/>
        <w:jc w:val="center"/>
      </w:pPr>
      <w:r>
        <w:rPr>
          <w:color w:val="000000"/>
          <w:spacing w:val="0"/>
          <w:w w:val="100"/>
          <w:position w:val="0"/>
        </w:rPr>
        <w:t>表</w:t>
      </w:r>
      <w:r>
        <w:rPr>
          <w:color w:val="000000"/>
          <w:spacing w:val="0"/>
          <w:w w:val="100"/>
          <w:position w:val="0"/>
        </w:rPr>
        <w:t>2-2</w:t>
      </w:r>
      <w:r>
        <w:rPr>
          <w:color w:val="000000"/>
          <w:spacing w:val="0"/>
          <w:w w:val="100"/>
          <w:position w:val="0"/>
        </w:rPr>
        <w:t>拟投入劳动力资源配置</w:t>
      </w:r>
    </w:p>
    <w:tbl>
      <w:tblPr>
        <w:tblStyle w:val="TableNormal"/>
        <w:tblOverlap w:val="never"/>
        <w:jc w:val="center"/>
        <w:tblLayout w:type="fixed"/>
        <w:tblCellMar>
          <w:left w:w="10" w:type="dxa"/>
          <w:right w:w="10" w:type="dxa"/>
        </w:tblCellMar>
      </w:tblPr>
      <w:tblGrid>
        <w:gridCol w:w="3211"/>
        <w:gridCol w:w="3197"/>
        <w:gridCol w:w="3202"/>
        <w:gridCol w:w="3211"/>
      </w:tblGrid>
      <w:tr>
        <w:tblPrEx>
          <w:jc w:val="center"/>
          <w:tblLayout w:type="fixed"/>
          <w:tblCellMar>
            <w:left w:w="10" w:type="dxa"/>
            <w:right w:w="10" w:type="dxa"/>
          </w:tblCellMar>
        </w:tblPrEx>
        <w:trPr>
          <w:trHeight w:hRule="exact" w:val="71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工种</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单位</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数量</w:t>
            </w:r>
          </w:p>
        </w:tc>
        <w:tc>
          <w:tcPr>
            <w:tcW w:w="3211"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备注</w:t>
            </w:r>
          </w:p>
        </w:tc>
      </w:tr>
      <w:tr>
        <w:tblPrEx>
          <w:jc w:val="center"/>
          <w:tblLayout w:type="fixed"/>
          <w:tblCellMar>
            <w:left w:w="10" w:type="dxa"/>
            <w:right w:w="10" w:type="dxa"/>
          </w:tblCellMar>
        </w:tblPrEx>
        <w:trPr>
          <w:trHeight w:hRule="exact" w:val="72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管理人员</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15</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挖机司机</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4</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汽车司机</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30</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钻机司机</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4</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0"/>
          <w:jc w:val="center"/>
        </w:trPr>
        <w:tc>
          <w:tcPr>
            <w:tcW w:w="3211"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推土机司机</w:t>
            </w:r>
          </w:p>
        </w:tc>
        <w:tc>
          <w:tcPr>
            <w:tcW w:w="3197"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4</w:t>
            </w:r>
          </w:p>
        </w:tc>
        <w:tc>
          <w:tcPr>
            <w:tcW w:w="3211"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工种</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单位</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数量</w:t>
            </w:r>
          </w:p>
        </w:tc>
        <w:tc>
          <w:tcPr>
            <w:tcW w:w="3211"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备注</w:t>
            </w:r>
          </w:p>
        </w:tc>
      </w:tr>
      <w:tr>
        <w:tblPrEx>
          <w:jc w:val="center"/>
          <w:tblLayout w:type="fixed"/>
          <w:tblCellMar>
            <w:left w:w="10" w:type="dxa"/>
            <w:right w:w="10" w:type="dxa"/>
          </w:tblCellMar>
        </w:tblPrEx>
        <w:trPr>
          <w:trHeight w:hRule="exact" w:val="696"/>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修理工</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2</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bl>
    <w:p>
      <w:pPr>
        <w:sectPr>
          <w:type w:val="nextPage"/>
          <w:pgSz w:w="17861" w:h="25258"/>
          <w:pgMar w:top="1775" w:right="2109" w:bottom="2080" w:left="2336" w:header="0" w:footer="3" w:gutter="0"/>
          <w:pgNumType w:start="7"/>
          <w:cols w:space="720"/>
          <w:noEndnote/>
          <w:titlePg w:val="0"/>
          <w:rtlGutter w:val="0"/>
          <w:docGrid w:linePitch="360"/>
        </w:sectPr>
      </w:pPr>
    </w:p>
    <w:tbl>
      <w:tblPr>
        <w:tblStyle w:val="TableNormal"/>
        <w:tblOverlap w:val="never"/>
        <w:jc w:val="center"/>
        <w:tblLayout w:type="fixed"/>
        <w:tblCellMar>
          <w:left w:w="10" w:type="dxa"/>
          <w:right w:w="10" w:type="dxa"/>
        </w:tblCellMar>
      </w:tblPr>
      <w:tblGrid>
        <w:gridCol w:w="3211"/>
        <w:gridCol w:w="3197"/>
        <w:gridCol w:w="3202"/>
        <w:gridCol w:w="3211"/>
      </w:tblGrid>
      <w:tr>
        <w:tblPrEx>
          <w:jc w:val="center"/>
          <w:tblLayout w:type="fixed"/>
          <w:tblCellMar>
            <w:left w:w="10" w:type="dxa"/>
            <w:right w:w="10" w:type="dxa"/>
          </w:tblCellMar>
        </w:tblPrEx>
        <w:trPr>
          <w:trHeight w:hRule="exact" w:val="720"/>
          <w:jc w:val="center"/>
        </w:trPr>
        <w:tc>
          <w:tcPr>
            <w:tcW w:w="321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爆破工</w:t>
            </w:r>
          </w:p>
        </w:tc>
        <w:tc>
          <w:tcPr>
            <w:tcW w:w="31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12</w:t>
            </w:r>
          </w:p>
        </w:tc>
        <w:tc>
          <w:tcPr>
            <w:tcW w:w="3211"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4"/>
          <w:jc w:val="center"/>
        </w:trPr>
        <w:tc>
          <w:tcPr>
            <w:tcW w:w="3211"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合计</w:t>
            </w:r>
          </w:p>
        </w:tc>
        <w:tc>
          <w:tcPr>
            <w:tcW w:w="3197"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人</w:t>
            </w:r>
          </w:p>
        </w:tc>
        <w:tc>
          <w:tcPr>
            <w:tcW w:w="320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71</w:t>
            </w:r>
          </w:p>
        </w:tc>
        <w:tc>
          <w:tcPr>
            <w:tcW w:w="3211"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widowControl w:val="0"/>
        <w:spacing w:after="499" w:line="1" w:lineRule="exact"/>
      </w:pPr>
    </w:p>
    <w:p>
      <w:pPr>
        <w:pStyle w:val="10"/>
        <w:keepNext/>
        <w:keepLines/>
        <w:widowControl w:val="0"/>
        <w:shd w:val="clear" w:color="auto" w:fill="auto"/>
        <w:bidi w:val="0"/>
        <w:spacing w:before="0" w:after="100" w:line="240" w:lineRule="auto"/>
        <w:ind w:left="0" w:right="0" w:firstLine="0"/>
        <w:jc w:val="center"/>
      </w:pPr>
      <w:bookmarkStart w:id="31" w:name="bookmark31"/>
      <w:bookmarkStart w:id="32" w:name="bookmark32"/>
      <w:bookmarkStart w:id="33" w:name="bookmark33"/>
      <w:r>
        <w:rPr>
          <w:color w:val="000000"/>
          <w:spacing w:val="0"/>
          <w:w w:val="100"/>
          <w:position w:val="0"/>
        </w:rPr>
        <w:t>第三章土石方爆破专项施工方案</w:t>
      </w:r>
      <w:bookmarkEnd w:id="31"/>
      <w:bookmarkEnd w:id="32"/>
      <w:bookmarkEnd w:id="33"/>
    </w:p>
    <w:p>
      <w:pPr>
        <w:pStyle w:val="30"/>
        <w:keepNext/>
        <w:keepLines/>
        <w:widowControl w:val="0"/>
        <w:shd w:val="clear" w:color="auto" w:fill="auto"/>
        <w:bidi w:val="0"/>
        <w:spacing w:before="0" w:after="0" w:line="704" w:lineRule="exact"/>
        <w:ind w:left="0" w:right="0" w:firstLine="160"/>
        <w:jc w:val="both"/>
      </w:pPr>
      <w:bookmarkStart w:id="34" w:name="bookmark34"/>
      <w:bookmarkStart w:id="35" w:name="bookmark35"/>
      <w:bookmarkStart w:id="36" w:name="bookmark36"/>
      <w:r>
        <w:rPr>
          <w:color w:val="000000"/>
          <w:spacing w:val="0"/>
          <w:w w:val="100"/>
          <w:position w:val="0"/>
        </w:rPr>
        <w:t>3.1</w:t>
      </w:r>
      <w:r>
        <w:rPr>
          <w:color w:val="000000"/>
          <w:spacing w:val="0"/>
          <w:w w:val="100"/>
          <w:position w:val="0"/>
        </w:rPr>
        <w:t>施工准备</w:t>
      </w:r>
      <w:bookmarkEnd w:id="34"/>
      <w:bookmarkEnd w:id="35"/>
      <w:bookmarkEnd w:id="36"/>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1组织技术人员按业主指定时间接收本工程所有的设计施工标志及图纸。</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2组织施工技术人员熟悉设计图纸、参加图纸会审。</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3爆破方案以最快速度报各部门审批。</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4进行施工复核测量，增设施工控制网及施工放样等工作，并做好记录。</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5对施工技术人员、工人进行动员，并进行全面的安全及施工技术交底。</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6对工程所有使用的爆破器材、仪表进行检验，保障工作按计划顺利进行。</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7组织各种机械设备进场，并进行维护检查和试机，使其保持完好状态。</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8发出爆破施工公告：在每个路口和施工区张贴施工告示（施工告示内容包 括：工程项目名称，工程设计单位，施工单位及协作单位，工程负责人，作业期 限等），设置爆破施工警示牌，确定警戒范围。</w:t>
      </w:r>
    </w:p>
    <w:p>
      <w:pPr>
        <w:pStyle w:val="30"/>
        <w:keepNext/>
        <w:keepLines/>
        <w:widowControl w:val="0"/>
        <w:shd w:val="clear" w:color="auto" w:fill="auto"/>
        <w:bidi w:val="0"/>
        <w:spacing w:before="0" w:after="0" w:line="704" w:lineRule="exact"/>
        <w:ind w:left="0" w:right="0" w:firstLine="160"/>
        <w:jc w:val="both"/>
      </w:pPr>
      <w:bookmarkStart w:id="37" w:name="bookmark37"/>
      <w:bookmarkStart w:id="38" w:name="bookmark38"/>
      <w:bookmarkStart w:id="39" w:name="bookmark39"/>
      <w:r>
        <w:rPr>
          <w:color w:val="000000"/>
          <w:spacing w:val="0"/>
          <w:w w:val="100"/>
          <w:position w:val="0"/>
        </w:rPr>
        <w:t>3.2</w:t>
      </w:r>
      <w:r>
        <w:rPr>
          <w:color w:val="000000"/>
          <w:spacing w:val="0"/>
          <w:w w:val="100"/>
          <w:position w:val="0"/>
        </w:rPr>
        <w:t>工程特点</w:t>
      </w:r>
      <w:bookmarkEnd w:id="37"/>
      <w:bookmarkEnd w:id="38"/>
      <w:bookmarkEnd w:id="39"/>
    </w:p>
    <w:p>
      <w:pPr>
        <w:pStyle w:val="a5"/>
        <w:keepNext w:val="0"/>
        <w:keepLines w:val="0"/>
        <w:widowControl w:val="0"/>
        <w:shd w:val="clear" w:color="auto" w:fill="auto"/>
        <w:bidi w:val="0"/>
        <w:spacing w:before="0" w:after="0" w:line="704" w:lineRule="exact"/>
        <w:ind w:left="0" w:right="0" w:firstLine="880"/>
        <w:jc w:val="both"/>
      </w:pPr>
      <w:r>
        <w:rPr>
          <w:color w:val="000000"/>
          <w:spacing w:val="0"/>
          <w:w w:val="100"/>
          <w:position w:val="0"/>
        </w:rPr>
        <w:t>1土石方挖方量大、爆破和运输组织要求高</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土石方开挖量约17万方，可利用率40%，可利用运输至碎石加工厂加工， 其余60%弃渣装运到指定的弃渣场内，石渣运输组织难度大，要求高。</w:t>
      </w:r>
    </w:p>
    <w:p>
      <w:pPr>
        <w:pStyle w:val="a5"/>
        <w:keepNext w:val="0"/>
        <w:keepLines w:val="0"/>
        <w:widowControl w:val="0"/>
        <w:shd w:val="clear" w:color="auto" w:fill="auto"/>
        <w:bidi w:val="0"/>
        <w:spacing w:before="0" w:after="0" w:line="704" w:lineRule="exact"/>
        <w:ind w:left="0" w:right="0" w:firstLine="880"/>
        <w:jc w:val="both"/>
      </w:pPr>
      <w:r>
        <w:rPr>
          <w:color w:val="000000"/>
          <w:spacing w:val="0"/>
          <w:w w:val="100"/>
          <w:position w:val="0"/>
        </w:rPr>
        <w:t>2气象因素影响大、工期紧张。</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计划施工工期内阴雨天气较多，晴好天气较少，施工工期包含汛期，将对严 重影响土石方施工，同时爆破日产量要求达到</w:t>
      </w:r>
      <w:r>
        <w:rPr>
          <w:color w:val="000000"/>
          <w:spacing w:val="0"/>
          <w:w w:val="100"/>
          <w:position w:val="0"/>
        </w:rPr>
        <w:t>2000m3</w:t>
      </w:r>
      <w:r>
        <w:rPr>
          <w:color w:val="000000"/>
          <w:spacing w:val="0"/>
          <w:w w:val="100"/>
          <w:position w:val="0"/>
        </w:rPr>
        <w:t>，石渣运输达</w:t>
      </w:r>
      <w:r>
        <w:rPr>
          <w:color w:val="000000"/>
          <w:spacing w:val="0"/>
          <w:w w:val="100"/>
          <w:position w:val="0"/>
        </w:rPr>
        <w:t xml:space="preserve">2000m3 </w:t>
      </w:r>
      <w:r>
        <w:rPr>
          <w:color w:val="000000"/>
          <w:spacing w:val="0"/>
          <w:w w:val="100"/>
          <w:position w:val="0"/>
        </w:rPr>
        <w:t>（松 方），如何在工期内完成任务，将是一个严峻的问题。</w:t>
      </w:r>
    </w:p>
    <w:p>
      <w:pPr>
        <w:pStyle w:val="a5"/>
        <w:keepNext w:val="0"/>
        <w:keepLines w:val="0"/>
        <w:widowControl w:val="0"/>
        <w:shd w:val="clear" w:color="auto" w:fill="auto"/>
        <w:bidi w:val="0"/>
        <w:spacing w:before="0" w:after="0" w:line="704" w:lineRule="exact"/>
        <w:ind w:left="0" w:right="0" w:firstLine="880"/>
        <w:jc w:val="both"/>
      </w:pPr>
      <w:r>
        <w:rPr>
          <w:color w:val="000000"/>
          <w:spacing w:val="0"/>
          <w:w w:val="100"/>
          <w:position w:val="0"/>
        </w:rPr>
        <w:t>3环境较复杂，对爆破施工安全要求高</w:t>
      </w:r>
    </w:p>
    <w:p>
      <w:pPr>
        <w:pStyle w:val="a5"/>
        <w:keepNext w:val="0"/>
        <w:keepLines w:val="0"/>
        <w:widowControl w:val="0"/>
        <w:shd w:val="clear" w:color="auto" w:fill="auto"/>
        <w:bidi w:val="0"/>
        <w:spacing w:before="0" w:after="0" w:line="704" w:lineRule="exact"/>
        <w:ind w:left="160" w:right="0" w:firstLine="720"/>
        <w:jc w:val="both"/>
      </w:pPr>
      <w:r>
        <w:rPr>
          <w:color w:val="000000"/>
          <w:spacing w:val="0"/>
          <w:w w:val="100"/>
          <w:position w:val="0"/>
        </w:rPr>
        <w:t>本项目周边环境有村庄，且距离爆破区域较近，爆破施工安全管理将是本项 目安全工作的重要内容，控制爆破震动、飞石、冲击波等有害效应的要求高。</w:t>
      </w:r>
    </w:p>
    <w:p>
      <w:pPr>
        <w:pStyle w:val="a5"/>
        <w:keepNext w:val="0"/>
        <w:keepLines w:val="0"/>
        <w:widowControl w:val="0"/>
        <w:shd w:val="clear" w:color="auto" w:fill="auto"/>
        <w:bidi w:val="0"/>
        <w:spacing w:before="0" w:after="0" w:line="704" w:lineRule="exact"/>
        <w:ind w:left="0" w:right="0" w:firstLine="880"/>
        <w:jc w:val="both"/>
      </w:pPr>
      <w:r>
        <w:rPr>
          <w:color w:val="000000"/>
          <w:spacing w:val="0"/>
          <w:w w:val="100"/>
          <w:position w:val="0"/>
        </w:rPr>
        <w:t>4坝基开挖深度较大，边坡开挖存在塌方的可能性大。</w:t>
      </w:r>
    </w:p>
    <w:p>
      <w:pPr>
        <w:pStyle w:val="a5"/>
        <w:keepNext w:val="0"/>
        <w:keepLines w:val="0"/>
        <w:widowControl w:val="0"/>
        <w:shd w:val="clear" w:color="auto" w:fill="auto"/>
        <w:bidi w:val="0"/>
        <w:spacing w:before="0" w:after="40" w:line="704" w:lineRule="exact"/>
        <w:ind w:left="0" w:right="0" w:firstLine="880"/>
        <w:jc w:val="both"/>
      </w:pPr>
      <w:r>
        <w:rPr>
          <w:color w:val="000000"/>
          <w:spacing w:val="0"/>
          <w:w w:val="100"/>
          <w:position w:val="0"/>
        </w:rPr>
        <w:t>5河流水流量大，降排水任务繁重。</w:t>
      </w:r>
    </w:p>
    <w:p>
      <w:pPr>
        <w:pStyle w:val="30"/>
        <w:keepNext/>
        <w:keepLines/>
        <w:widowControl w:val="0"/>
        <w:shd w:val="clear" w:color="auto" w:fill="auto"/>
        <w:bidi w:val="0"/>
        <w:spacing w:before="0" w:after="0" w:line="240" w:lineRule="auto"/>
        <w:ind w:left="0" w:right="0" w:firstLine="0"/>
        <w:jc w:val="left"/>
      </w:pPr>
      <w:bookmarkStart w:id="40" w:name="bookmark40"/>
      <w:bookmarkStart w:id="41" w:name="bookmark41"/>
      <w:bookmarkStart w:id="42" w:name="bookmark42"/>
      <w:r>
        <w:rPr>
          <w:color w:val="000000"/>
          <w:spacing w:val="0"/>
          <w:w w:val="100"/>
          <w:position w:val="0"/>
        </w:rPr>
        <w:t>3.3</w:t>
      </w:r>
      <w:r>
        <w:rPr>
          <w:color w:val="000000"/>
          <w:spacing w:val="0"/>
          <w:w w:val="100"/>
          <w:position w:val="0"/>
        </w:rPr>
        <w:t>施工方案</w:t>
      </w:r>
      <w:bookmarkEnd w:id="40"/>
      <w:bookmarkEnd w:id="41"/>
      <w:bookmarkEnd w:id="42"/>
    </w:p>
    <w:p>
      <w:pPr>
        <w:pStyle w:val="a5"/>
        <w:keepNext w:val="0"/>
        <w:keepLines w:val="0"/>
        <w:widowControl w:val="0"/>
        <w:shd w:val="clear" w:color="auto" w:fill="auto"/>
        <w:bidi w:val="0"/>
        <w:spacing w:before="0" w:after="0" w:line="696" w:lineRule="exact"/>
        <w:ind w:left="0" w:right="0" w:firstLine="760"/>
        <w:jc w:val="left"/>
        <w:sectPr>
          <w:type w:val="nextPage"/>
          <w:pgSz w:w="17861" w:h="25258"/>
          <w:pgMar w:top="1775" w:right="2109" w:bottom="2080" w:left="2336" w:header="0" w:footer="3" w:gutter="0"/>
          <w:pgNumType w:start="8"/>
          <w:cols w:space="720"/>
          <w:noEndnote/>
          <w:titlePg w:val="0"/>
          <w:rtlGutter w:val="0"/>
          <w:docGrid w:linePitch="360"/>
        </w:sectPr>
      </w:pPr>
      <w:r>
        <w:rPr>
          <w:color w:val="000000"/>
          <w:spacing w:val="0"/>
          <w:w w:val="100"/>
          <w:position w:val="0"/>
        </w:rPr>
        <w:t>根据以上工程特点分析，为确保施工工期和质量，确定采用以下施工方案。</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1土方开挖方案</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开挖采用挖掘机、装载机作业，大吨位（</w:t>
      </w:r>
      <w:r>
        <w:rPr>
          <w:color w:val="000000"/>
          <w:spacing w:val="0"/>
          <w:w w:val="100"/>
          <w:position w:val="0"/>
        </w:rPr>
        <w:t>10T</w:t>
      </w:r>
      <w:r>
        <w:rPr>
          <w:color w:val="000000"/>
          <w:spacing w:val="0"/>
          <w:w w:val="100"/>
          <w:position w:val="0"/>
        </w:rPr>
        <w:t>）自卸汽车运输；</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2石方爆破、石渣运输</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对于次坚石、普坚石采用浅孔松动爆破和控制爆破的方式进行施工，挖掘机、 装载机装碴，大吨位自卸汽车运输；</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经地质勘察资料显示，土石方开挖工程量约17万m3。</w:t>
      </w:r>
    </w:p>
    <w:p>
      <w:pPr>
        <w:pStyle w:val="a5"/>
        <w:keepNext w:val="0"/>
        <w:keepLines w:val="0"/>
        <w:widowControl w:val="0"/>
        <w:shd w:val="clear" w:color="auto" w:fill="auto"/>
        <w:tabs>
          <w:tab w:val="left" w:pos="1467"/>
        </w:tabs>
        <w:bidi w:val="0"/>
        <w:spacing w:before="0" w:after="0" w:line="696" w:lineRule="exact"/>
        <w:ind w:left="0" w:right="0" w:firstLine="760"/>
        <w:jc w:val="both"/>
      </w:pPr>
      <w:bookmarkStart w:id="43" w:name="bookmark43"/>
      <w:r>
        <w:rPr>
          <w:color w:val="000000"/>
          <w:spacing w:val="0"/>
          <w:w w:val="100"/>
          <w:position w:val="0"/>
        </w:rPr>
        <w:t>（</w:t>
      </w:r>
      <w:bookmarkEnd w:id="43"/>
      <w:r>
        <w:rPr>
          <w:color w:val="000000"/>
          <w:spacing w:val="0"/>
          <w:w w:val="100"/>
          <w:position w:val="0"/>
        </w:rPr>
        <w:t>1）</w:t>
        <w:tab/>
        <w:t>施工作业区划分</w:t>
      </w:r>
    </w:p>
    <w:p>
      <w:pPr>
        <w:pStyle w:val="a5"/>
        <w:keepNext w:val="0"/>
        <w:keepLines w:val="0"/>
        <w:widowControl w:val="0"/>
        <w:shd w:val="clear" w:color="auto" w:fill="auto"/>
        <w:bidi w:val="0"/>
        <w:spacing w:before="0" w:after="0" w:line="696" w:lineRule="exact"/>
        <w:ind w:left="0" w:right="0" w:firstLine="760"/>
        <w:jc w:val="both"/>
      </w:pPr>
      <w:r>
        <w:rPr>
          <w:color w:val="000000"/>
          <w:spacing w:val="0"/>
          <w:w w:val="100"/>
          <w:position w:val="0"/>
        </w:rPr>
        <w:t>为便于施工和管理，施工作业区分为3个区，以开挖线范围左右岸、坝基分 为三个区。</w:t>
      </w:r>
    </w:p>
    <w:p>
      <w:pPr>
        <w:pStyle w:val="a5"/>
        <w:keepNext w:val="0"/>
        <w:keepLines w:val="0"/>
        <w:widowControl w:val="0"/>
        <w:shd w:val="clear" w:color="auto" w:fill="auto"/>
        <w:tabs>
          <w:tab w:val="left" w:pos="1467"/>
        </w:tabs>
        <w:bidi w:val="0"/>
        <w:spacing w:before="0" w:after="0" w:line="696" w:lineRule="exact"/>
        <w:ind w:left="0" w:right="0" w:firstLine="760"/>
        <w:jc w:val="left"/>
      </w:pPr>
      <w:bookmarkStart w:id="44" w:name="bookmark44"/>
      <w:r>
        <w:rPr>
          <w:color w:val="000000"/>
          <w:spacing w:val="0"/>
          <w:w w:val="100"/>
          <w:position w:val="0"/>
        </w:rPr>
        <w:t>（</w:t>
      </w:r>
      <w:bookmarkEnd w:id="44"/>
      <w:r>
        <w:rPr>
          <w:color w:val="000000"/>
          <w:spacing w:val="0"/>
          <w:w w:val="100"/>
          <w:position w:val="0"/>
        </w:rPr>
        <w:t>2）</w:t>
        <w:tab/>
        <w:t>施工便道设置</w:t>
      </w:r>
    </w:p>
    <w:p>
      <w:pPr>
        <w:pStyle w:val="a5"/>
        <w:keepNext w:val="0"/>
        <w:keepLines w:val="0"/>
        <w:widowControl w:val="0"/>
        <w:shd w:val="clear" w:color="auto" w:fill="auto"/>
        <w:bidi w:val="0"/>
        <w:spacing w:before="0" w:after="0" w:line="702" w:lineRule="exact"/>
        <w:ind w:left="0" w:right="0" w:firstLine="760"/>
        <w:jc w:val="both"/>
      </w:pPr>
      <w:r>
        <w:rPr>
          <w:color w:val="000000"/>
          <w:spacing w:val="0"/>
          <w:w w:val="100"/>
          <w:position w:val="0"/>
        </w:rPr>
        <w:t>为便于土方开挖和运输，在开挖前应做好施工便道修筑。根据工程施工环境 和弃渣场情况，左岸设计有上坝道路，右岸根据现场地势情况修建施工便道，由 于左右岸落差较大，需修建中部施工便道，左右岸土石方开挖形成环向通道，为 确保车辆通行顺畅，便道设计宽</w:t>
      </w:r>
      <w:r>
        <w:rPr>
          <w:color w:val="000000"/>
          <w:spacing w:val="0"/>
          <w:w w:val="100"/>
          <w:position w:val="0"/>
        </w:rPr>
        <w:t>8m，</w:t>
      </w:r>
      <w:r>
        <w:rPr>
          <w:color w:val="000000"/>
          <w:spacing w:val="0"/>
          <w:w w:val="100"/>
          <w:position w:val="0"/>
        </w:rPr>
        <w:t>在地势情况符合要求下修建错车位，路面 采用碎石铺垫。</w:t>
      </w:r>
    </w:p>
    <w:p>
      <w:pPr>
        <w:pStyle w:val="a5"/>
        <w:keepNext w:val="0"/>
        <w:keepLines w:val="0"/>
        <w:widowControl w:val="0"/>
        <w:shd w:val="clear" w:color="auto" w:fill="auto"/>
        <w:tabs>
          <w:tab w:val="left" w:pos="1467"/>
        </w:tabs>
        <w:bidi w:val="0"/>
        <w:spacing w:before="0" w:after="0" w:line="698" w:lineRule="exact"/>
        <w:ind w:left="0" w:right="0" w:firstLine="760"/>
        <w:jc w:val="both"/>
      </w:pPr>
      <w:bookmarkStart w:id="45" w:name="bookmark45"/>
      <w:r>
        <w:rPr>
          <w:color w:val="000000"/>
          <w:spacing w:val="0"/>
          <w:w w:val="100"/>
          <w:position w:val="0"/>
        </w:rPr>
        <w:t>（</w:t>
      </w:r>
      <w:bookmarkEnd w:id="45"/>
      <w:r>
        <w:rPr>
          <w:color w:val="000000"/>
          <w:spacing w:val="0"/>
          <w:w w:val="100"/>
          <w:position w:val="0"/>
        </w:rPr>
        <w:t>3）</w:t>
        <w:tab/>
        <w:t>开挖顺序。</w:t>
      </w:r>
    </w:p>
    <w:p>
      <w:pPr>
        <w:pStyle w:val="a5"/>
        <w:keepNext w:val="0"/>
        <w:keepLines w:val="0"/>
        <w:widowControl w:val="0"/>
        <w:shd w:val="clear" w:color="auto" w:fill="auto"/>
        <w:bidi w:val="0"/>
        <w:spacing w:before="0" w:after="0" w:line="698" w:lineRule="exact"/>
        <w:ind w:left="0" w:right="0" w:firstLine="940"/>
        <w:jc w:val="both"/>
      </w:pPr>
      <w:r>
        <w:rPr>
          <w:color w:val="000000"/>
          <w:spacing w:val="0"/>
          <w:w w:val="100"/>
          <w:position w:val="0"/>
        </w:rPr>
        <w:t>先进行左右岸土石方开挖，之后进行出渣，待上下游围堰施工完成，导流 施工坝基土石方开挖。</w:t>
      </w:r>
    </w:p>
    <w:p>
      <w:pPr>
        <w:pStyle w:val="a5"/>
        <w:keepNext w:val="0"/>
        <w:keepLines w:val="0"/>
        <w:widowControl w:val="0"/>
        <w:shd w:val="clear" w:color="auto" w:fill="auto"/>
        <w:tabs>
          <w:tab w:val="left" w:pos="1467"/>
        </w:tabs>
        <w:bidi w:val="0"/>
        <w:spacing w:before="0" w:after="0" w:line="698" w:lineRule="exact"/>
        <w:ind w:left="0" w:right="0" w:firstLine="760"/>
        <w:jc w:val="both"/>
      </w:pPr>
      <w:bookmarkStart w:id="46" w:name="bookmark46"/>
      <w:r>
        <w:rPr>
          <w:color w:val="000000"/>
          <w:spacing w:val="0"/>
          <w:w w:val="100"/>
          <w:position w:val="0"/>
        </w:rPr>
        <w:t>（</w:t>
      </w:r>
      <w:bookmarkEnd w:id="46"/>
      <w:r>
        <w:rPr>
          <w:color w:val="000000"/>
          <w:spacing w:val="0"/>
          <w:w w:val="100"/>
          <w:position w:val="0"/>
        </w:rPr>
        <w:t>4）</w:t>
        <w:tab/>
        <w:t>土方开挖注意事项</w:t>
      </w:r>
    </w:p>
    <w:p>
      <w:pPr>
        <w:pStyle w:val="a5"/>
        <w:keepNext w:val="0"/>
        <w:keepLines w:val="0"/>
        <w:widowControl w:val="0"/>
        <w:numPr>
          <w:ilvl w:val="0"/>
          <w:numId w:val="2"/>
        </w:numPr>
        <w:shd w:val="clear" w:color="auto" w:fill="auto"/>
        <w:tabs>
          <w:tab w:val="left" w:pos="1246"/>
        </w:tabs>
        <w:bidi w:val="0"/>
        <w:spacing w:before="0" w:after="0" w:line="698" w:lineRule="exact"/>
        <w:ind w:left="0" w:right="0" w:firstLine="760"/>
        <w:jc w:val="both"/>
      </w:pPr>
      <w:bookmarkStart w:id="47" w:name="bookmark47"/>
      <w:bookmarkEnd w:id="47"/>
      <w:r>
        <w:rPr>
          <w:color w:val="000000"/>
          <w:spacing w:val="0"/>
          <w:w w:val="100"/>
          <w:position w:val="0"/>
        </w:rPr>
        <w:t>土方开挖应尽量一次开挖到岩石面，并做到边挖边清理，防止地下水集水 后变成泥浆。</w:t>
      </w:r>
    </w:p>
    <w:p>
      <w:pPr>
        <w:pStyle w:val="a5"/>
        <w:keepNext w:val="0"/>
        <w:keepLines w:val="0"/>
        <w:widowControl w:val="0"/>
        <w:numPr>
          <w:ilvl w:val="0"/>
          <w:numId w:val="2"/>
        </w:numPr>
        <w:shd w:val="clear" w:color="auto" w:fill="auto"/>
        <w:tabs>
          <w:tab w:val="left" w:pos="1242"/>
        </w:tabs>
        <w:bidi w:val="0"/>
        <w:spacing w:before="0" w:after="0" w:line="698" w:lineRule="exact"/>
        <w:ind w:left="0" w:right="0" w:firstLine="760"/>
        <w:jc w:val="both"/>
      </w:pPr>
      <w:bookmarkStart w:id="48" w:name="bookmark48"/>
      <w:bookmarkEnd w:id="48"/>
      <w:r>
        <w:rPr>
          <w:color w:val="000000"/>
          <w:spacing w:val="0"/>
          <w:w w:val="100"/>
          <w:position w:val="0"/>
        </w:rPr>
        <w:t>由于本项目地下水位较高，土方开挖后集水严重，因此坝基处在开挖到一 定面积后应根据集水流向，设置集水坑并安装抽水泵进行排水。</w:t>
      </w:r>
    </w:p>
    <w:p>
      <w:pPr>
        <w:pStyle w:val="a5"/>
        <w:keepNext w:val="0"/>
        <w:keepLines w:val="0"/>
        <w:widowControl w:val="0"/>
        <w:numPr>
          <w:ilvl w:val="0"/>
          <w:numId w:val="2"/>
        </w:numPr>
        <w:shd w:val="clear" w:color="auto" w:fill="auto"/>
        <w:tabs>
          <w:tab w:val="left" w:pos="1246"/>
        </w:tabs>
        <w:bidi w:val="0"/>
        <w:spacing w:before="0" w:after="0" w:line="698" w:lineRule="exact"/>
        <w:ind w:left="0" w:right="0" w:firstLine="760"/>
        <w:jc w:val="both"/>
      </w:pPr>
      <w:bookmarkStart w:id="49" w:name="bookmark49"/>
      <w:bookmarkEnd w:id="49"/>
      <w:r>
        <w:rPr>
          <w:color w:val="000000"/>
          <w:spacing w:val="0"/>
          <w:w w:val="100"/>
          <w:position w:val="0"/>
        </w:rPr>
        <w:t>由于开挖范围较大，在开挖到中部时，为确保运输车辆正常通行，应及时 依据地形对施工便道进行维护或重修，由于开挖后岩石面凹凸不平，运渣车辆通 行困难，必要时应铺填石渣，确保车辆通行。</w:t>
      </w:r>
    </w:p>
    <w:p>
      <w:pPr>
        <w:pStyle w:val="a5"/>
        <w:keepNext w:val="0"/>
        <w:keepLines w:val="0"/>
        <w:widowControl w:val="0"/>
        <w:numPr>
          <w:ilvl w:val="0"/>
          <w:numId w:val="2"/>
        </w:numPr>
        <w:shd w:val="clear" w:color="auto" w:fill="auto"/>
        <w:tabs>
          <w:tab w:val="left" w:pos="1251"/>
        </w:tabs>
        <w:bidi w:val="0"/>
        <w:spacing w:before="0" w:after="0" w:line="698" w:lineRule="exact"/>
        <w:ind w:left="0" w:right="0" w:firstLine="760"/>
        <w:jc w:val="both"/>
      </w:pPr>
      <w:bookmarkStart w:id="50" w:name="bookmark50"/>
      <w:bookmarkEnd w:id="50"/>
      <w:r>
        <w:rPr>
          <w:color w:val="000000"/>
          <w:spacing w:val="0"/>
          <w:w w:val="100"/>
          <w:position w:val="0"/>
        </w:rPr>
        <w:t>由于施工区域内施工机械、车辆比较多，场地运输车辆昼夜通行量大，为 便于管理，确保运输车辆通行顺畅，施工全过程应加强对车辆通行顺序和方向的</w:t>
      </w:r>
    </w:p>
    <w:p>
      <w:pPr>
        <w:pStyle w:val="a5"/>
        <w:keepNext w:val="0"/>
        <w:keepLines w:val="0"/>
        <w:widowControl w:val="0"/>
        <w:shd w:val="clear" w:color="auto" w:fill="auto"/>
        <w:bidi w:val="0"/>
        <w:spacing w:before="0" w:after="260" w:line="240" w:lineRule="auto"/>
        <w:ind w:left="0" w:right="0" w:firstLine="0"/>
        <w:jc w:val="left"/>
      </w:pPr>
      <w:r>
        <w:rPr>
          <w:color w:val="000000"/>
          <w:spacing w:val="0"/>
          <w:w w:val="100"/>
          <w:position w:val="0"/>
        </w:rPr>
        <w:t>管理。</w:t>
      </w:r>
    </w:p>
    <w:p>
      <w:pPr>
        <w:pStyle w:val="30"/>
        <w:keepNext/>
        <w:keepLines/>
        <w:widowControl w:val="0"/>
        <w:shd w:val="clear" w:color="auto" w:fill="auto"/>
        <w:bidi w:val="0"/>
        <w:spacing w:before="0" w:after="0" w:line="240" w:lineRule="auto"/>
        <w:ind w:left="0" w:right="0" w:firstLine="0"/>
        <w:jc w:val="left"/>
      </w:pPr>
      <w:bookmarkStart w:id="51" w:name="bookmark51"/>
      <w:bookmarkStart w:id="52" w:name="bookmark52"/>
      <w:bookmarkStart w:id="53" w:name="bookmark53"/>
      <w:r>
        <w:rPr>
          <w:color w:val="000000"/>
          <w:spacing w:val="0"/>
          <w:w w:val="100"/>
          <w:position w:val="0"/>
        </w:rPr>
        <w:t>3.4</w:t>
      </w:r>
      <w:r>
        <w:rPr>
          <w:color w:val="000000"/>
          <w:spacing w:val="0"/>
          <w:w w:val="100"/>
          <w:position w:val="0"/>
        </w:rPr>
        <w:t>石方爆破施工方案</w:t>
      </w:r>
      <w:bookmarkEnd w:id="51"/>
      <w:bookmarkEnd w:id="52"/>
      <w:bookmarkEnd w:id="53"/>
    </w:p>
    <w:p>
      <w:pPr>
        <w:pStyle w:val="a5"/>
        <w:keepNext w:val="0"/>
        <w:keepLines w:val="0"/>
        <w:widowControl w:val="0"/>
        <w:shd w:val="clear" w:color="auto" w:fill="auto"/>
        <w:tabs>
          <w:tab w:val="left" w:pos="1466"/>
        </w:tabs>
        <w:bidi w:val="0"/>
        <w:spacing w:before="0" w:after="0" w:line="707" w:lineRule="exact"/>
        <w:ind w:left="0" w:right="0" w:firstLine="760"/>
        <w:jc w:val="left"/>
        <w:sectPr>
          <w:type w:val="nextPage"/>
          <w:pgSz w:w="17861" w:h="25258"/>
          <w:pgMar w:top="1775" w:right="2109" w:bottom="2080" w:left="2336" w:header="0" w:footer="3" w:gutter="0"/>
          <w:pgNumType w:start="9"/>
          <w:cols w:space="720"/>
          <w:noEndnote/>
          <w:titlePg w:val="0"/>
          <w:rtlGutter w:val="0"/>
          <w:docGrid w:linePitch="360"/>
        </w:sectPr>
      </w:pPr>
      <w:bookmarkStart w:id="54" w:name="bookmark54"/>
      <w:r>
        <w:rPr>
          <w:color w:val="000000"/>
          <w:spacing w:val="0"/>
          <w:w w:val="100"/>
          <w:position w:val="0"/>
        </w:rPr>
        <w:t>（</w:t>
      </w:r>
      <w:bookmarkEnd w:id="54"/>
      <w:r>
        <w:rPr>
          <w:color w:val="000000"/>
          <w:spacing w:val="0"/>
          <w:w w:val="100"/>
          <w:position w:val="0"/>
        </w:rPr>
        <w:t>1）</w:t>
        <w:tab/>
        <w:t>爆破区域划分</w:t>
      </w:r>
    </w:p>
    <w:p>
      <w:pPr>
        <w:pStyle w:val="a5"/>
        <w:keepNext w:val="0"/>
        <w:keepLines w:val="0"/>
        <w:widowControl w:val="0"/>
        <w:shd w:val="clear" w:color="auto" w:fill="auto"/>
        <w:bidi w:val="0"/>
        <w:spacing w:before="0" w:after="0" w:line="718" w:lineRule="exact"/>
        <w:ind w:left="0" w:right="0" w:firstLine="760"/>
        <w:jc w:val="left"/>
      </w:pPr>
      <w:r>
        <w:rPr>
          <w:color w:val="000000"/>
          <w:spacing w:val="0"/>
          <w:w w:val="100"/>
          <w:position w:val="0"/>
        </w:rPr>
        <w:t>由于本工程爆破范围大面积广，土方挖运、石方爆破、石渣运输、边坡支护、 坝基爆破等作业交叉进行或同时作业，为便于工序安排，防止出现混乱，根据施 工计划和施工力量，计划将工作面分为3个区。划分方法与土方开挖相同，分别 为第一作业区、第二作业区、第三作业区。</w:t>
      </w:r>
    </w:p>
    <w:p>
      <w:pPr>
        <w:pStyle w:val="a5"/>
        <w:keepNext w:val="0"/>
        <w:keepLines w:val="0"/>
        <w:widowControl w:val="0"/>
        <w:shd w:val="clear" w:color="auto" w:fill="auto"/>
        <w:tabs>
          <w:tab w:val="left" w:pos="1466"/>
        </w:tabs>
        <w:bidi w:val="0"/>
        <w:spacing w:before="0" w:after="0" w:line="696" w:lineRule="exact"/>
        <w:ind w:left="0" w:right="0" w:firstLine="760"/>
        <w:jc w:val="left"/>
      </w:pPr>
      <w:bookmarkStart w:id="55" w:name="bookmark55"/>
      <w:r>
        <w:rPr>
          <w:color w:val="000000"/>
          <w:spacing w:val="0"/>
          <w:w w:val="100"/>
          <w:position w:val="0"/>
        </w:rPr>
        <w:t>（</w:t>
      </w:r>
      <w:bookmarkEnd w:id="55"/>
      <w:r>
        <w:rPr>
          <w:color w:val="000000"/>
          <w:spacing w:val="0"/>
          <w:w w:val="100"/>
          <w:position w:val="0"/>
        </w:rPr>
        <w:t>2）</w:t>
        <w:tab/>
        <w:t>爆破作业面设置和作业顺序</w:t>
      </w:r>
    </w:p>
    <w:p>
      <w:pPr>
        <w:pStyle w:val="a5"/>
        <w:keepNext w:val="0"/>
        <w:keepLines w:val="0"/>
        <w:widowControl w:val="0"/>
        <w:shd w:val="clear" w:color="auto" w:fill="auto"/>
        <w:bidi w:val="0"/>
        <w:spacing w:before="0" w:after="0" w:line="696" w:lineRule="exact"/>
        <w:ind w:left="0" w:right="0" w:firstLine="760"/>
        <w:jc w:val="left"/>
      </w:pPr>
      <w:r>
        <w:rPr>
          <w:color w:val="000000"/>
          <w:spacing w:val="0"/>
          <w:w w:val="100"/>
          <w:position w:val="0"/>
        </w:rPr>
        <w:t>根据本项目施工范围和岩石开挖情况，计划设置4个爆破作业组分别为左岸 1组，右岸2组，坝基左面3组，坝基右面4组，根据施工要求，需先进行左右 岸施工，后进行坝基施工，先组织进行1组、2组施工，后组织3组、4组施工。</w:t>
      </w:r>
    </w:p>
    <w:p>
      <w:pPr>
        <w:pStyle w:val="a5"/>
        <w:keepNext w:val="0"/>
        <w:keepLines w:val="0"/>
        <w:widowControl w:val="0"/>
        <w:shd w:val="clear" w:color="auto" w:fill="auto"/>
        <w:tabs>
          <w:tab w:val="left" w:pos="1466"/>
        </w:tabs>
        <w:bidi w:val="0"/>
        <w:spacing w:before="0" w:after="0" w:line="696" w:lineRule="exact"/>
        <w:ind w:left="0" w:right="0" w:firstLine="760"/>
        <w:jc w:val="left"/>
      </w:pPr>
      <w:bookmarkStart w:id="56" w:name="bookmark56"/>
      <w:r>
        <w:rPr>
          <w:color w:val="000000"/>
          <w:spacing w:val="0"/>
          <w:w w:val="100"/>
          <w:position w:val="0"/>
        </w:rPr>
        <w:t>（</w:t>
      </w:r>
      <w:bookmarkEnd w:id="56"/>
      <w:r>
        <w:rPr>
          <w:color w:val="000000"/>
          <w:spacing w:val="0"/>
          <w:w w:val="100"/>
          <w:position w:val="0"/>
        </w:rPr>
        <w:t>3）</w:t>
        <w:tab/>
        <w:t>坝基爆破开挖参数</w:t>
      </w:r>
    </w:p>
    <w:p>
      <w:pPr>
        <w:pStyle w:val="a5"/>
        <w:keepNext w:val="0"/>
        <w:keepLines w:val="0"/>
        <w:widowControl w:val="0"/>
        <w:numPr>
          <w:ilvl w:val="0"/>
          <w:numId w:val="3"/>
        </w:numPr>
        <w:shd w:val="clear" w:color="auto" w:fill="auto"/>
        <w:bidi w:val="0"/>
        <w:spacing w:before="0" w:after="0" w:line="707" w:lineRule="exact"/>
        <w:ind w:left="0" w:right="0" w:firstLine="760"/>
        <w:jc w:val="left"/>
      </w:pPr>
      <w:bookmarkStart w:id="57" w:name="bookmark57"/>
      <w:bookmarkEnd w:id="57"/>
      <w:r>
        <w:rPr>
          <w:color w:val="000000"/>
          <w:spacing w:val="0"/>
          <w:w w:val="100"/>
          <w:position w:val="0"/>
        </w:rPr>
        <w:t>爆破参数选定</w:t>
      </w:r>
    </w:p>
    <w:p>
      <w:pPr>
        <w:pStyle w:val="a5"/>
        <w:keepNext w:val="0"/>
        <w:keepLines w:val="0"/>
        <w:widowControl w:val="0"/>
        <w:shd w:val="clear" w:color="auto" w:fill="auto"/>
        <w:bidi w:val="0"/>
        <w:spacing w:before="0" w:after="260" w:line="707" w:lineRule="exact"/>
        <w:ind w:left="0" w:right="0" w:firstLine="760"/>
        <w:jc w:val="left"/>
      </w:pPr>
      <w:r>
        <w:rPr>
          <w:color w:val="000000"/>
          <w:spacing w:val="0"/>
          <w:w w:val="100"/>
          <w:position w:val="0"/>
        </w:rPr>
        <w:t>深孔梯段爆破参数表</w:t>
      </w:r>
    </w:p>
    <w:tbl>
      <w:tblPr>
        <w:tblStyle w:val="TableNormal"/>
        <w:tblOverlap w:val="never"/>
        <w:jc w:val="center"/>
        <w:tblLayout w:type="fixed"/>
        <w:tblCellMar>
          <w:left w:w="10" w:type="dxa"/>
          <w:right w:w="10" w:type="dxa"/>
        </w:tblCellMar>
      </w:tblPr>
      <w:tblGrid>
        <w:gridCol w:w="4109"/>
        <w:gridCol w:w="1618"/>
        <w:gridCol w:w="2160"/>
        <w:gridCol w:w="5410"/>
      </w:tblGrid>
      <w:tr>
        <w:tblPrEx>
          <w:jc w:val="center"/>
          <w:tblLayout w:type="fixed"/>
          <w:tblCellMar>
            <w:left w:w="10" w:type="dxa"/>
            <w:right w:w="10" w:type="dxa"/>
          </w:tblCellMar>
        </w:tblPrEx>
        <w:trPr>
          <w:trHeight w:hRule="exact" w:val="73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参数名称</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参数值</w:t>
            </w:r>
          </w:p>
        </w:tc>
        <w:tc>
          <w:tcPr>
            <w:tcW w:w="5410"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备注</w:t>
            </w:r>
          </w:p>
        </w:tc>
      </w:tr>
      <w:tr>
        <w:tblPrEx>
          <w:jc w:val="center"/>
          <w:tblLayout w:type="fixed"/>
          <w:tblCellMar>
            <w:left w:w="10" w:type="dxa"/>
            <w:right w:w="10" w:type="dxa"/>
          </w:tblCellMar>
        </w:tblPrEx>
        <w:trPr>
          <w:trHeight w:hRule="exact" w:val="1421"/>
          <w:jc w:val="center"/>
        </w:trPr>
        <w:tc>
          <w:tcPr>
            <w:tcW w:w="410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梯段高度</w:t>
            </w:r>
            <w:r>
              <w:rPr>
                <w:color w:val="000000"/>
                <w:spacing w:val="0"/>
                <w:w w:val="100"/>
                <w:position w:val="0"/>
              </w:rPr>
              <w:t>（H）</w:t>
            </w:r>
          </w:p>
        </w:tc>
        <w:tc>
          <w:tcPr>
            <w:tcW w:w="1618"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2160"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w:t>
            </w:r>
          </w:p>
        </w:tc>
        <w:tc>
          <w:tcPr>
            <w:tcW w:w="5410"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260" w:line="240" w:lineRule="auto"/>
              <w:ind w:left="0" w:right="0" w:firstLine="0"/>
              <w:jc w:val="center"/>
            </w:pPr>
            <w:r>
              <w:rPr>
                <w:color w:val="000000"/>
                <w:spacing w:val="0"/>
                <w:w w:val="100"/>
                <w:position w:val="0"/>
              </w:rPr>
              <w:t>施工中根据不同的梯段高度而定，</w:t>
            </w:r>
          </w:p>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不大于</w:t>
            </w:r>
            <w:r>
              <w:rPr>
                <w:color w:val="000000"/>
                <w:spacing w:val="0"/>
                <w:w w:val="100"/>
                <w:position w:val="0"/>
              </w:rPr>
              <w:t>10m</w:t>
            </w: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钻孔倾角（</w:t>
            </w:r>
            <w:r>
              <w:rPr>
                <w:rFonts w:ascii="Calibri" w:eastAsia="Calibri" w:hAnsi="Calibri" w:cs="Calibri"/>
                <w:color w:val="000000"/>
                <w:spacing w:val="0"/>
                <w:w w:val="100"/>
                <w:position w:val="0"/>
                <w:sz w:val="56"/>
                <w:szCs w:val="56"/>
              </w:rPr>
              <w:t>0</w:t>
            </w:r>
            <w:r>
              <w:rPr>
                <w:color w:val="000000"/>
                <w:spacing w:val="0"/>
                <w:w w:val="100"/>
                <w:position w:val="0"/>
              </w:rPr>
              <w:t>）</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90</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01"/>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钻孔深度</w:t>
            </w:r>
            <w:r>
              <w:rPr>
                <w:color w:val="000000"/>
                <w:spacing w:val="0"/>
                <w:w w:val="100"/>
                <w:position w:val="0"/>
              </w:rPr>
              <w:t>（L）</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10.3</w:t>
            </w:r>
          </w:p>
        </w:tc>
        <w:tc>
          <w:tcPr>
            <w:tcW w:w="5410"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超钻</w:t>
            </w:r>
            <w:r>
              <w:rPr>
                <w:color w:val="000000"/>
                <w:spacing w:val="0"/>
                <w:w w:val="100"/>
                <w:position w:val="0"/>
              </w:rPr>
              <w:t>0.3m</w:t>
            </w: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堵塞长度</w:t>
            </w:r>
            <w:r>
              <w:rPr>
                <w:color w:val="000000"/>
                <w:spacing w:val="0"/>
                <w:w w:val="100"/>
                <w:position w:val="0"/>
              </w:rPr>
              <w:t>（L2）</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w:t>
            </w:r>
          </w:p>
        </w:tc>
        <w:tc>
          <w:tcPr>
            <w:tcW w:w="5410"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黄土填塞</w:t>
            </w:r>
            <w:r>
              <w:rPr>
                <w:color w:val="000000"/>
                <w:spacing w:val="0"/>
                <w:w w:val="100"/>
                <w:position w:val="0"/>
              </w:rPr>
              <w:t>2.0m</w:t>
            </w:r>
            <w:r>
              <w:rPr>
                <w:color w:val="000000"/>
                <w:spacing w:val="0"/>
                <w:w w:val="100"/>
                <w:position w:val="0"/>
              </w:rPr>
              <w:t>捣实</w:t>
            </w:r>
          </w:p>
        </w:tc>
      </w:tr>
      <w:tr>
        <w:tblPrEx>
          <w:jc w:val="center"/>
          <w:tblLayout w:type="fixed"/>
          <w:tblCellMar>
            <w:left w:w="10" w:type="dxa"/>
            <w:right w:w="10" w:type="dxa"/>
          </w:tblCellMar>
        </w:tblPrEx>
        <w:trPr>
          <w:trHeight w:hRule="exact" w:val="715"/>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孔径</w:t>
            </w:r>
            <w:r>
              <w:rPr>
                <w:color w:val="000000"/>
                <w:spacing w:val="0"/>
                <w:w w:val="100"/>
                <w:position w:val="0"/>
              </w:rPr>
              <w:t>D</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89</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孔距</w:t>
            </w:r>
            <w:r>
              <w:rPr>
                <w:color w:val="000000"/>
                <w:spacing w:val="0"/>
                <w:w w:val="100"/>
                <w:position w:val="0"/>
              </w:rPr>
              <w:t>a</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排距</w:t>
            </w:r>
            <w:r>
              <w:rPr>
                <w:color w:val="000000"/>
                <w:spacing w:val="0"/>
                <w:w w:val="100"/>
                <w:position w:val="0"/>
              </w:rPr>
              <w:t>b</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2.4</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01"/>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装药直径</w:t>
            </w:r>
            <w:r>
              <w:rPr>
                <w:color w:val="000000"/>
                <w:spacing w:val="0"/>
                <w:w w:val="100"/>
                <w:position w:val="0"/>
              </w:rPr>
              <w:t>d</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mm</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89</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炸药单耗</w:t>
            </w:r>
            <w:r>
              <w:rPr>
                <w:color w:val="000000"/>
                <w:spacing w:val="0"/>
                <w:w w:val="100"/>
                <w:position w:val="0"/>
              </w:rPr>
              <w:t>q</w:t>
            </w:r>
          </w:p>
        </w:tc>
        <w:tc>
          <w:tcPr>
            <w:tcW w:w="161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kg/m3</w:t>
            </w:r>
          </w:p>
        </w:tc>
        <w:tc>
          <w:tcPr>
            <w:tcW w:w="216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0.55</w:t>
            </w:r>
          </w:p>
        </w:tc>
        <w:tc>
          <w:tcPr>
            <w:tcW w:w="5410"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0"/>
          <w:jc w:val="center"/>
        </w:trPr>
        <w:tc>
          <w:tcPr>
            <w:tcW w:w="410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起爆方式</w:t>
            </w:r>
          </w:p>
        </w:tc>
        <w:tc>
          <w:tcPr>
            <w:tcW w:w="1618"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160"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孔间微差</w:t>
            </w:r>
          </w:p>
        </w:tc>
        <w:tc>
          <w:tcPr>
            <w:tcW w:w="5410" w:type="dxa"/>
            <w:tcBorders>
              <w:top w:val="single" w:sz="4" w:space="0" w:color="auto"/>
              <w:left w:val="single" w:sz="4" w:space="0" w:color="auto"/>
              <w:bottom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导爆索起爆法</w:t>
            </w:r>
          </w:p>
        </w:tc>
      </w:tr>
    </w:tbl>
    <w:p>
      <w:pPr>
        <w:pStyle w:val="a6"/>
        <w:keepNext w:val="0"/>
        <w:keepLines w:val="0"/>
        <w:widowControl w:val="0"/>
        <w:shd w:val="clear" w:color="auto" w:fill="auto"/>
        <w:bidi w:val="0"/>
        <w:spacing w:before="0" w:after="0" w:line="240" w:lineRule="auto"/>
        <w:ind w:left="768" w:right="0" w:firstLine="0"/>
        <w:jc w:val="left"/>
      </w:pPr>
      <w:r>
        <w:rPr>
          <w:color w:val="000000"/>
          <w:spacing w:val="0"/>
          <w:w w:val="100"/>
          <w:position w:val="0"/>
        </w:rPr>
        <w:t>浅孔梯段爆破参数表</w:t>
      </w:r>
    </w:p>
    <w:tbl>
      <w:tblPr>
        <w:tblStyle w:val="TableNormal"/>
        <w:tblOverlap w:val="never"/>
        <w:jc w:val="center"/>
        <w:tblLayout w:type="fixed"/>
        <w:tblCellMar>
          <w:left w:w="10" w:type="dxa"/>
          <w:right w:w="10" w:type="dxa"/>
        </w:tblCellMar>
      </w:tblPr>
      <w:tblGrid>
        <w:gridCol w:w="4109"/>
        <w:gridCol w:w="2659"/>
        <w:gridCol w:w="2659"/>
        <w:gridCol w:w="3614"/>
      </w:tblGrid>
      <w:tr>
        <w:tblPrEx>
          <w:jc w:val="center"/>
          <w:tblLayout w:type="fixed"/>
          <w:tblCellMar>
            <w:left w:w="10" w:type="dxa"/>
            <w:right w:w="10" w:type="dxa"/>
          </w:tblCellMar>
        </w:tblPrEx>
        <w:trPr>
          <w:trHeight w:hRule="exact" w:val="706"/>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参数名称</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单位</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参数值</w:t>
            </w:r>
          </w:p>
        </w:tc>
        <w:tc>
          <w:tcPr>
            <w:tcW w:w="3614"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备注</w:t>
            </w:r>
          </w:p>
        </w:tc>
      </w:tr>
      <w:tr>
        <w:tblPrEx>
          <w:jc w:val="center"/>
          <w:tblLayout w:type="fixed"/>
          <w:tblCellMar>
            <w:left w:w="10" w:type="dxa"/>
            <w:right w:w="10" w:type="dxa"/>
          </w:tblCellMar>
        </w:tblPrEx>
        <w:trPr>
          <w:trHeight w:hRule="exact" w:val="734"/>
          <w:jc w:val="center"/>
        </w:trPr>
        <w:tc>
          <w:tcPr>
            <w:tcW w:w="410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小梯段高度</w:t>
            </w:r>
            <w:r>
              <w:rPr>
                <w:color w:val="000000"/>
                <w:spacing w:val="0"/>
                <w:w w:val="100"/>
                <w:position w:val="0"/>
              </w:rPr>
              <w:t>H</w:t>
            </w:r>
          </w:p>
        </w:tc>
        <w:tc>
          <w:tcPr>
            <w:tcW w:w="265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4.0</w:t>
            </w:r>
          </w:p>
        </w:tc>
        <w:tc>
          <w:tcPr>
            <w:tcW w:w="3614"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sectPr>
          <w:type w:val="nextPage"/>
          <w:pgSz w:w="17861" w:h="25258"/>
          <w:pgMar w:top="1775" w:right="2109" w:bottom="2080" w:left="2336" w:header="0" w:footer="3" w:gutter="0"/>
          <w:pgNumType w:start="10"/>
          <w:cols w:space="720"/>
          <w:noEndnote/>
          <w:titlePg w:val="0"/>
          <w:rtlGutter w:val="0"/>
          <w:docGrid w:linePitch="360"/>
        </w:sectPr>
      </w:pPr>
    </w:p>
    <w:tbl>
      <w:tblPr>
        <w:tblStyle w:val="TableNormal"/>
        <w:tblOverlap w:val="never"/>
        <w:jc w:val="center"/>
        <w:tblLayout w:type="fixed"/>
        <w:tblCellMar>
          <w:left w:w="10" w:type="dxa"/>
          <w:right w:w="10" w:type="dxa"/>
        </w:tblCellMar>
      </w:tblPr>
      <w:tblGrid>
        <w:gridCol w:w="4109"/>
        <w:gridCol w:w="2659"/>
        <w:gridCol w:w="2659"/>
        <w:gridCol w:w="3614"/>
      </w:tblGrid>
      <w:tr>
        <w:tblPrEx>
          <w:jc w:val="center"/>
          <w:tblLayout w:type="fixed"/>
          <w:tblCellMar>
            <w:left w:w="10" w:type="dxa"/>
            <w:right w:w="10" w:type="dxa"/>
          </w:tblCellMar>
        </w:tblPrEx>
        <w:trPr>
          <w:trHeight w:hRule="exact" w:val="73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孔深</w:t>
            </w:r>
            <w:r>
              <w:rPr>
                <w:color w:val="000000"/>
                <w:spacing w:val="0"/>
                <w:w w:val="100"/>
                <w:position w:val="0"/>
              </w:rPr>
              <w:t>L</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4.0</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696"/>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超钻孔深</w:t>
            </w:r>
            <w:r>
              <w:rPr>
                <w:color w:val="000000"/>
                <w:spacing w:val="0"/>
                <w:w w:val="100"/>
                <w:position w:val="0"/>
              </w:rPr>
              <w:t>h</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0.2</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孔径</w:t>
            </w:r>
            <w:r>
              <w:rPr>
                <w:color w:val="000000"/>
                <w:spacing w:val="0"/>
                <w:w w:val="100"/>
                <w:position w:val="0"/>
              </w:rPr>
              <w:t>D</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740"/>
              <w:jc w:val="left"/>
            </w:pPr>
            <w:r>
              <w:rPr>
                <w:color w:val="000000"/>
                <w:spacing w:val="0"/>
                <w:w w:val="100"/>
                <w:position w:val="0"/>
              </w:rPr>
              <w:t>mm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42</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孔距</w:t>
            </w:r>
            <w:r>
              <w:rPr>
                <w:color w:val="000000"/>
                <w:spacing w:val="0"/>
                <w:w w:val="100"/>
                <w:position w:val="0"/>
              </w:rPr>
              <w:t>a</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1.0</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排距</w:t>
            </w:r>
            <w:r>
              <w:rPr>
                <w:color w:val="000000"/>
                <w:spacing w:val="0"/>
                <w:w w:val="100"/>
                <w:position w:val="0"/>
              </w:rPr>
              <w:t>b</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0.8</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钻孔倾角</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度</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71-90</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01"/>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堵塞长度</w:t>
            </w:r>
            <w:r>
              <w:rPr>
                <w:color w:val="000000"/>
                <w:spacing w:val="0"/>
                <w:w w:val="100"/>
                <w:position w:val="0"/>
              </w:rPr>
              <w:t>L3</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m</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1.2</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410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炸药单耗</w:t>
            </w:r>
            <w:r>
              <w:rPr>
                <w:color w:val="000000"/>
                <w:spacing w:val="0"/>
                <w:w w:val="100"/>
                <w:position w:val="0"/>
              </w:rPr>
              <w:t>q</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kg/m3</w:t>
            </w:r>
          </w:p>
        </w:tc>
        <w:tc>
          <w:tcPr>
            <w:tcW w:w="26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0.6</w:t>
            </w:r>
          </w:p>
        </w:tc>
        <w:tc>
          <w:tcPr>
            <w:tcW w:w="3614"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0"/>
          <w:jc w:val="center"/>
        </w:trPr>
        <w:tc>
          <w:tcPr>
            <w:tcW w:w="410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60"/>
              <w:jc w:val="left"/>
            </w:pPr>
            <w:r>
              <w:rPr>
                <w:color w:val="000000"/>
                <w:spacing w:val="0"/>
                <w:w w:val="100"/>
                <w:position w:val="0"/>
              </w:rPr>
              <w:t>起爆方式</w:t>
            </w:r>
          </w:p>
        </w:tc>
        <w:tc>
          <w:tcPr>
            <w:tcW w:w="2659"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265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740"/>
              <w:jc w:val="left"/>
            </w:pPr>
            <w:r>
              <w:rPr>
                <w:color w:val="000000"/>
                <w:spacing w:val="0"/>
                <w:w w:val="100"/>
                <w:position w:val="0"/>
              </w:rPr>
              <w:t>孔间微差</w:t>
            </w:r>
          </w:p>
        </w:tc>
        <w:tc>
          <w:tcPr>
            <w:tcW w:w="3614" w:type="dxa"/>
            <w:tcBorders>
              <w:top w:val="single" w:sz="4" w:space="0" w:color="auto"/>
              <w:left w:val="single" w:sz="4" w:space="0" w:color="auto"/>
              <w:bottom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导爆索起爆法</w:t>
            </w:r>
          </w:p>
        </w:tc>
      </w:tr>
    </w:tbl>
    <w:p>
      <w:pPr>
        <w:pStyle w:val="a6"/>
        <w:keepNext w:val="0"/>
        <w:keepLines w:val="0"/>
        <w:widowControl w:val="0"/>
        <w:shd w:val="clear" w:color="auto" w:fill="auto"/>
        <w:bidi w:val="0"/>
        <w:spacing w:before="0" w:after="0" w:line="240" w:lineRule="auto"/>
        <w:ind w:left="768" w:right="0" w:firstLine="0"/>
        <w:jc w:val="left"/>
      </w:pPr>
      <w:r>
        <w:rPr>
          <w:color w:val="000000"/>
          <w:spacing w:val="0"/>
          <w:w w:val="100"/>
          <w:position w:val="0"/>
        </w:rPr>
        <w:t>预裂爆破参数表</w:t>
      </w:r>
    </w:p>
    <w:p>
      <w:pPr>
        <w:widowControl w:val="0"/>
        <w:spacing w:after="239" w:line="1" w:lineRule="exact"/>
      </w:pPr>
    </w:p>
    <w:tbl>
      <w:tblPr>
        <w:tblStyle w:val="TableNormal"/>
        <w:tblOverlap w:val="never"/>
        <w:jc w:val="center"/>
        <w:tblLayout w:type="fixed"/>
        <w:tblCellMar>
          <w:left w:w="10" w:type="dxa"/>
          <w:right w:w="10" w:type="dxa"/>
        </w:tblCellMar>
      </w:tblPr>
      <w:tblGrid>
        <w:gridCol w:w="3149"/>
        <w:gridCol w:w="1238"/>
        <w:gridCol w:w="1622"/>
        <w:gridCol w:w="7286"/>
      </w:tblGrid>
      <w:tr>
        <w:tblPrEx>
          <w:jc w:val="center"/>
          <w:tblLayout w:type="fixed"/>
          <w:tblCellMar>
            <w:left w:w="10" w:type="dxa"/>
            <w:right w:w="10" w:type="dxa"/>
          </w:tblCellMar>
        </w:tblPrEx>
        <w:trPr>
          <w:trHeight w:hRule="exact" w:val="73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参数名称</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单位</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240"/>
              <w:jc w:val="left"/>
            </w:pPr>
            <w:r>
              <w:rPr>
                <w:color w:val="000000"/>
                <w:spacing w:val="0"/>
                <w:w w:val="100"/>
                <w:position w:val="0"/>
              </w:rPr>
              <w:t>参数值</w:t>
            </w:r>
          </w:p>
        </w:tc>
        <w:tc>
          <w:tcPr>
            <w:tcW w:w="7286"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备 注</w:t>
            </w:r>
          </w:p>
        </w:tc>
      </w:tr>
      <w:tr>
        <w:tblPrEx>
          <w:jc w:val="center"/>
          <w:tblLayout w:type="fixed"/>
          <w:tblCellMar>
            <w:left w:w="10" w:type="dxa"/>
            <w:right w:w="10" w:type="dxa"/>
          </w:tblCellMar>
        </w:tblPrEx>
        <w:trPr>
          <w:trHeight w:hRule="exact" w:val="701"/>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梯段高程</w:t>
            </w:r>
            <w:r>
              <w:rPr>
                <w:color w:val="000000"/>
                <w:spacing w:val="0"/>
                <w:w w:val="100"/>
                <w:position w:val="0"/>
              </w:rPr>
              <w:t>H</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00"/>
              <w:jc w:val="left"/>
            </w:pPr>
            <w:r>
              <w:rPr>
                <w:color w:val="000000"/>
                <w:spacing w:val="0"/>
                <w:w w:val="100"/>
                <w:position w:val="0"/>
              </w:rPr>
              <w:t>10</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斜孔倾角</w:t>
            </w:r>
            <w:r>
              <w:rPr>
                <w:rFonts w:ascii="Arial" w:eastAsia="Arial" w:hAnsi="Arial" w:cs="Arial"/>
                <w:color w:val="000000"/>
                <w:spacing w:val="0"/>
                <w:w w:val="100"/>
                <w:position w:val="0"/>
              </w:rPr>
              <w:t>0</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计算</w:t>
            </w:r>
          </w:p>
        </w:tc>
        <w:tc>
          <w:tcPr>
            <w:tcW w:w="7286"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与设计边坡倾角一致</w:t>
            </w: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钻孔深度</w:t>
            </w:r>
            <w:r>
              <w:rPr>
                <w:color w:val="000000"/>
                <w:spacing w:val="0"/>
                <w:w w:val="100"/>
                <w:position w:val="0"/>
              </w:rPr>
              <w:t>L</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计算</w:t>
            </w:r>
          </w:p>
        </w:tc>
        <w:tc>
          <w:tcPr>
            <w:tcW w:w="7286"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等于设计边坡斜长</w:t>
            </w:r>
          </w:p>
        </w:tc>
      </w:tr>
      <w:tr>
        <w:tblPrEx>
          <w:jc w:val="center"/>
          <w:tblLayout w:type="fixed"/>
          <w:tblCellMar>
            <w:left w:w="10" w:type="dxa"/>
            <w:right w:w="10" w:type="dxa"/>
          </w:tblCellMar>
        </w:tblPrEx>
        <w:trPr>
          <w:trHeight w:hRule="exact" w:val="701"/>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超钻深度</w:t>
            </w:r>
            <w:r>
              <w:rPr>
                <w:color w:val="000000"/>
                <w:spacing w:val="0"/>
                <w:w w:val="100"/>
                <w:position w:val="0"/>
              </w:rPr>
              <w:t>h</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00"/>
              <w:jc w:val="left"/>
            </w:pPr>
            <w:r>
              <w:rPr>
                <w:color w:val="000000"/>
                <w:spacing w:val="0"/>
                <w:w w:val="100"/>
                <w:position w:val="0"/>
              </w:rPr>
              <w:t>0</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堵塞长度</w:t>
            </w:r>
            <w:r>
              <w:rPr>
                <w:color w:val="000000"/>
                <w:spacing w:val="0"/>
                <w:w w:val="100"/>
                <w:position w:val="0"/>
              </w:rPr>
              <w:t>L2</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0"/>
              <w:jc w:val="center"/>
            </w:pPr>
            <w:r>
              <w:rPr>
                <w:color w:val="000000"/>
                <w:spacing w:val="0"/>
                <w:w w:val="100"/>
                <w:position w:val="0"/>
              </w:rPr>
              <w:t>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1.0</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15"/>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孔径</w:t>
            </w:r>
            <w:r>
              <w:rPr>
                <w:color w:val="000000"/>
                <w:spacing w:val="0"/>
                <w:w w:val="100"/>
                <w:position w:val="0"/>
              </w:rPr>
              <w:t>D</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0"/>
              <w:jc w:val="center"/>
            </w:pPr>
            <w:r>
              <w:rPr>
                <w:color w:val="000000"/>
                <w:spacing w:val="0"/>
                <w:w w:val="100"/>
                <w:position w:val="0"/>
              </w:rPr>
              <w:t>mm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00"/>
              <w:jc w:val="left"/>
            </w:pPr>
            <w:r>
              <w:rPr>
                <w:color w:val="000000"/>
                <w:spacing w:val="0"/>
                <w:w w:val="100"/>
                <w:position w:val="0"/>
              </w:rPr>
              <w:t>76</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孔距</w:t>
            </w:r>
            <w:r>
              <w:rPr>
                <w:color w:val="000000"/>
                <w:spacing w:val="0"/>
                <w:w w:val="100"/>
                <w:position w:val="0"/>
              </w:rPr>
              <w:t>a</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0"/>
              <w:jc w:val="center"/>
            </w:pPr>
            <w:r>
              <w:rPr>
                <w:color w:val="000000"/>
                <w:spacing w:val="0"/>
                <w:w w:val="100"/>
                <w:position w:val="0"/>
              </w:rPr>
              <w:t>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0.8</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20"/>
              <w:jc w:val="left"/>
            </w:pPr>
            <w:r>
              <w:rPr>
                <w:color w:val="000000"/>
                <w:spacing w:val="0"/>
                <w:w w:val="100"/>
                <w:position w:val="0"/>
              </w:rPr>
              <w:t>药卷直径</w:t>
            </w:r>
            <w:r>
              <w:rPr>
                <w:rFonts w:ascii="Arial" w:eastAsia="Arial" w:hAnsi="Arial" w:cs="Arial"/>
                <w:color w:val="000000"/>
                <w:spacing w:val="0"/>
                <w:w w:val="100"/>
                <w:position w:val="0"/>
              </w:rPr>
              <w:t>0</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mm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600"/>
              <w:jc w:val="left"/>
            </w:pPr>
            <w:r>
              <w:rPr>
                <w:color w:val="000000"/>
                <w:spacing w:val="0"/>
                <w:w w:val="100"/>
                <w:position w:val="0"/>
              </w:rPr>
              <w:t>32</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1402"/>
          <w:jc w:val="center"/>
        </w:trPr>
        <w:tc>
          <w:tcPr>
            <w:tcW w:w="3149"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线装药密度</w:t>
            </w:r>
            <w:r>
              <w:rPr>
                <w:color w:val="000000"/>
                <w:spacing w:val="0"/>
                <w:w w:val="100"/>
                <w:position w:val="0"/>
              </w:rPr>
              <w:t>△</w:t>
            </w:r>
          </w:p>
        </w:tc>
        <w:tc>
          <w:tcPr>
            <w:tcW w:w="1238"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g/m</w:t>
            </w:r>
          </w:p>
        </w:tc>
        <w:tc>
          <w:tcPr>
            <w:tcW w:w="1622" w:type="dxa"/>
            <w:tcBorders>
              <w:top w:val="single" w:sz="4" w:space="0" w:color="auto"/>
              <w:left w:val="single" w:sz="4" w:space="0" w:color="auto"/>
            </w:tcBorders>
            <w:shd w:val="clear" w:color="auto" w:fill="FFFFFF"/>
            <w:vAlign w:val="center"/>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300</w:t>
            </w:r>
          </w:p>
        </w:tc>
        <w:tc>
          <w:tcPr>
            <w:tcW w:w="7286"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706" w:lineRule="exact"/>
              <w:ind w:left="0" w:right="0" w:firstLine="0"/>
              <w:jc w:val="center"/>
            </w:pPr>
            <w:r>
              <w:rPr>
                <w:color w:val="000000"/>
                <w:spacing w:val="0"/>
                <w:w w:val="100"/>
                <w:position w:val="0"/>
              </w:rPr>
              <w:t>米用导爆索贯串全孔，才把药卷和导爆索固定在 竹片上。</w:t>
            </w:r>
          </w:p>
        </w:tc>
      </w:tr>
      <w:tr>
        <w:tblPrEx>
          <w:jc w:val="center"/>
          <w:tblLayout w:type="fixed"/>
          <w:tblCellMar>
            <w:left w:w="10" w:type="dxa"/>
            <w:right w:w="10" w:type="dxa"/>
          </w:tblCellMar>
        </w:tblPrEx>
        <w:trPr>
          <w:trHeight w:hRule="exact" w:val="720"/>
          <w:jc w:val="center"/>
        </w:trPr>
        <w:tc>
          <w:tcPr>
            <w:tcW w:w="314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left"/>
            </w:pPr>
            <w:r>
              <w:rPr>
                <w:color w:val="000000"/>
                <w:spacing w:val="0"/>
                <w:w w:val="100"/>
                <w:position w:val="0"/>
              </w:rPr>
              <w:t>底部线装药密度^</w:t>
            </w:r>
          </w:p>
        </w:tc>
        <w:tc>
          <w:tcPr>
            <w:tcW w:w="123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g/m</w:t>
            </w:r>
          </w:p>
        </w:tc>
        <w:tc>
          <w:tcPr>
            <w:tcW w:w="162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750</w:t>
            </w:r>
          </w:p>
        </w:tc>
        <w:tc>
          <w:tcPr>
            <w:tcW w:w="7286"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30"/>
          <w:jc w:val="center"/>
        </w:trPr>
        <w:tc>
          <w:tcPr>
            <w:tcW w:w="314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顶部线装药密度</w:t>
            </w:r>
          </w:p>
        </w:tc>
        <w:tc>
          <w:tcPr>
            <w:tcW w:w="1238"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g/m</w:t>
            </w:r>
          </w:p>
        </w:tc>
        <w:tc>
          <w:tcPr>
            <w:tcW w:w="162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420"/>
              <w:jc w:val="left"/>
            </w:pPr>
            <w:r>
              <w:rPr>
                <w:color w:val="000000"/>
                <w:spacing w:val="0"/>
                <w:w w:val="100"/>
                <w:position w:val="0"/>
              </w:rPr>
              <w:t>200</w:t>
            </w:r>
          </w:p>
        </w:tc>
        <w:tc>
          <w:tcPr>
            <w:tcW w:w="7286"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pStyle w:val="a6"/>
        <w:keepNext w:val="0"/>
        <w:keepLines w:val="0"/>
        <w:widowControl w:val="0"/>
        <w:shd w:val="clear" w:color="auto" w:fill="auto"/>
        <w:bidi w:val="0"/>
        <w:spacing w:before="0" w:after="0" w:line="240" w:lineRule="auto"/>
        <w:ind w:left="763" w:right="0" w:firstLine="0"/>
        <w:jc w:val="left"/>
      </w:pPr>
      <w:r>
        <w:rPr>
          <w:color w:val="000000"/>
          <w:spacing w:val="0"/>
          <w:w w:val="100"/>
          <w:position w:val="0"/>
        </w:rPr>
        <w:t>保护层一次爆除法爆破参数表</w:t>
      </w:r>
    </w:p>
    <w:tbl>
      <w:tblPr>
        <w:tblStyle w:val="TableNormal"/>
        <w:tblOverlap w:val="never"/>
        <w:jc w:val="center"/>
        <w:tblLayout w:type="fixed"/>
        <w:tblCellMar>
          <w:left w:w="10" w:type="dxa"/>
          <w:right w:w="10" w:type="dxa"/>
        </w:tblCellMar>
      </w:tblPr>
      <w:tblGrid>
        <w:gridCol w:w="3187"/>
        <w:gridCol w:w="3221"/>
        <w:gridCol w:w="3202"/>
        <w:gridCol w:w="3552"/>
      </w:tblGrid>
      <w:tr>
        <w:tblPrEx>
          <w:jc w:val="center"/>
          <w:tblLayout w:type="fixed"/>
          <w:tblCellMar>
            <w:left w:w="10" w:type="dxa"/>
            <w:right w:w="10" w:type="dxa"/>
          </w:tblCellMar>
        </w:tblPrEx>
        <w:trPr>
          <w:trHeight w:hRule="exact" w:val="773"/>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参数名称</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单位</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参数值</w:t>
            </w:r>
          </w:p>
        </w:tc>
        <w:tc>
          <w:tcPr>
            <w:tcW w:w="3552"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备注</w:t>
            </w:r>
          </w:p>
        </w:tc>
      </w:tr>
      <w:tr>
        <w:tblPrEx>
          <w:jc w:val="center"/>
          <w:tblLayout w:type="fixed"/>
          <w:tblCellMar>
            <w:left w:w="10" w:type="dxa"/>
            <w:right w:w="10" w:type="dxa"/>
          </w:tblCellMar>
        </w:tblPrEx>
        <w:trPr>
          <w:trHeight w:hRule="exact" w:val="75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保护层厚</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880"/>
              <w:jc w:val="left"/>
            </w:pPr>
            <w:r>
              <w:rPr>
                <w:color w:val="000000"/>
                <w:spacing w:val="0"/>
                <w:w w:val="100"/>
                <w:position w:val="0"/>
              </w:rPr>
              <w:t>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2.0</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2"/>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孔深</w:t>
            </w:r>
            <w:r>
              <w:rPr>
                <w:color w:val="000000"/>
                <w:spacing w:val="0"/>
                <w:w w:val="100"/>
                <w:position w:val="0"/>
              </w:rPr>
              <w:t>L</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880"/>
              <w:jc w:val="left"/>
            </w:pPr>
            <w:r>
              <w:rPr>
                <w:color w:val="000000"/>
                <w:spacing w:val="0"/>
                <w:w w:val="100"/>
                <w:position w:val="0"/>
              </w:rPr>
              <w:t>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2.0</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68"/>
          <w:jc w:val="center"/>
        </w:trPr>
        <w:tc>
          <w:tcPr>
            <w:tcW w:w="3187"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孔径</w:t>
            </w:r>
            <w:r>
              <w:rPr>
                <w:color w:val="000000"/>
                <w:spacing w:val="0"/>
                <w:w w:val="100"/>
                <w:position w:val="0"/>
              </w:rPr>
              <w:t>D</w:t>
            </w:r>
          </w:p>
        </w:tc>
        <w:tc>
          <w:tcPr>
            <w:tcW w:w="3221"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880"/>
              <w:jc w:val="left"/>
            </w:pPr>
            <w:r>
              <w:rPr>
                <w:color w:val="000000"/>
                <w:spacing w:val="0"/>
                <w:w w:val="100"/>
                <w:position w:val="0"/>
              </w:rPr>
              <w:t>mm</w:t>
            </w:r>
          </w:p>
        </w:tc>
        <w:tc>
          <w:tcPr>
            <w:tcW w:w="320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42</w:t>
            </w:r>
          </w:p>
        </w:tc>
        <w:tc>
          <w:tcPr>
            <w:tcW w:w="3552" w:type="dxa"/>
            <w:tcBorders>
              <w:top w:val="single" w:sz="4" w:space="0" w:color="auto"/>
              <w:left w:val="single" w:sz="4" w:space="0" w:color="auto"/>
              <w:bottom w:val="single" w:sz="4" w:space="0" w:color="auto"/>
              <w:right w:val="single" w:sz="4" w:space="0" w:color="auto"/>
            </w:tcBorders>
            <w:shd w:val="clear" w:color="auto" w:fill="FFFFFF"/>
            <w:vAlign w:val="top"/>
          </w:tcPr>
          <w:p>
            <w:pPr>
              <w:widowControl w:val="0"/>
              <w:rPr>
                <w:sz w:val="10"/>
                <w:szCs w:val="10"/>
              </w:rPr>
            </w:pPr>
          </w:p>
        </w:tc>
      </w:tr>
    </w:tbl>
    <w:p>
      <w:pPr>
        <w:sectPr>
          <w:type w:val="nextPage"/>
          <w:pgSz w:w="17861" w:h="25258"/>
          <w:pgMar w:top="1775" w:right="2109" w:bottom="2080" w:left="2336" w:header="0" w:footer="3" w:gutter="0"/>
          <w:pgNumType w:start="11"/>
          <w:cols w:space="720"/>
          <w:noEndnote/>
          <w:titlePg w:val="0"/>
          <w:rtlGutter w:val="0"/>
          <w:docGrid w:linePitch="360"/>
        </w:sectPr>
      </w:pPr>
    </w:p>
    <w:tbl>
      <w:tblPr>
        <w:tblStyle w:val="TableNormal"/>
        <w:tblOverlap w:val="never"/>
        <w:jc w:val="center"/>
        <w:tblLayout w:type="fixed"/>
        <w:tblCellMar>
          <w:left w:w="10" w:type="dxa"/>
          <w:right w:w="10" w:type="dxa"/>
        </w:tblCellMar>
      </w:tblPr>
      <w:tblGrid>
        <w:gridCol w:w="3187"/>
        <w:gridCol w:w="3221"/>
        <w:gridCol w:w="3202"/>
        <w:gridCol w:w="3552"/>
      </w:tblGrid>
      <w:tr>
        <w:tblPrEx>
          <w:jc w:val="center"/>
          <w:tblLayout w:type="fixed"/>
          <w:tblCellMar>
            <w:left w:w="10" w:type="dxa"/>
            <w:right w:w="10" w:type="dxa"/>
          </w:tblCellMar>
        </w:tblPrEx>
        <w:trPr>
          <w:trHeight w:hRule="exact" w:val="76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孔距</w:t>
            </w:r>
            <w:r>
              <w:rPr>
                <w:color w:val="000000"/>
                <w:spacing w:val="0"/>
                <w:w w:val="100"/>
                <w:position w:val="0"/>
              </w:rPr>
              <w:t>a</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880"/>
              <w:jc w:val="left"/>
            </w:pPr>
            <w:r>
              <w:rPr>
                <w:color w:val="000000"/>
                <w:spacing w:val="0"/>
                <w:w w:val="100"/>
                <w:position w:val="0"/>
              </w:rPr>
              <w:t>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0.8</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7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排距</w:t>
            </w:r>
            <w:r>
              <w:rPr>
                <w:color w:val="000000"/>
                <w:spacing w:val="0"/>
                <w:w w:val="100"/>
                <w:position w:val="0"/>
              </w:rPr>
              <w:t>b</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880"/>
              <w:jc w:val="left"/>
            </w:pPr>
            <w:r>
              <w:rPr>
                <w:color w:val="000000"/>
                <w:spacing w:val="0"/>
                <w:w w:val="100"/>
                <w:position w:val="0"/>
              </w:rPr>
              <w:t>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0.6</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63"/>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布孔形式</w:t>
            </w:r>
          </w:p>
        </w:tc>
        <w:tc>
          <w:tcPr>
            <w:tcW w:w="3221" w:type="dxa"/>
            <w:tcBorders>
              <w:top w:val="single" w:sz="4" w:space="0" w:color="auto"/>
              <w:left w:val="single" w:sz="4" w:space="0" w:color="auto"/>
            </w:tcBorders>
            <w:shd w:val="clear" w:color="auto" w:fill="FFFFFF"/>
            <w:vAlign w:val="top"/>
          </w:tcPr>
          <w:p>
            <w:pPr>
              <w:widowControl w:val="0"/>
              <w:rPr>
                <w:sz w:val="10"/>
                <w:szCs w:val="10"/>
              </w:rPr>
            </w:pP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梅花形</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5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钻孔倾角</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度</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45-90</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5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单耗</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Kg/m3</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0.5</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82"/>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药卷直径</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100" w:after="0" w:line="240" w:lineRule="auto"/>
              <w:ind w:left="0" w:right="0" w:firstLine="880"/>
              <w:jc w:val="left"/>
            </w:pPr>
            <w:r>
              <w:rPr>
                <w:color w:val="000000"/>
                <w:spacing w:val="0"/>
                <w:w w:val="100"/>
                <w:position w:val="0"/>
              </w:rPr>
              <w:t>mm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32</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58"/>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堵塞长度</w:t>
            </w:r>
            <w:r>
              <w:rPr>
                <w:color w:val="000000"/>
                <w:spacing w:val="0"/>
                <w:w w:val="100"/>
                <w:position w:val="0"/>
              </w:rPr>
              <w:t>L3</w:t>
            </w:r>
          </w:p>
        </w:tc>
        <w:tc>
          <w:tcPr>
            <w:tcW w:w="3221"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80" w:after="0" w:line="240" w:lineRule="auto"/>
              <w:ind w:left="0" w:right="0" w:firstLine="880"/>
              <w:jc w:val="left"/>
            </w:pPr>
            <w:r>
              <w:rPr>
                <w:color w:val="000000"/>
                <w:spacing w:val="0"/>
                <w:w w:val="100"/>
                <w:position w:val="0"/>
              </w:rPr>
              <w:t>m</w:t>
            </w: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0.6</w:t>
            </w:r>
          </w:p>
        </w:tc>
        <w:tc>
          <w:tcPr>
            <w:tcW w:w="3552" w:type="dxa"/>
            <w:tcBorders>
              <w:top w:val="single" w:sz="4" w:space="0" w:color="auto"/>
              <w:left w:val="single" w:sz="4" w:space="0" w:color="auto"/>
              <w:right w:val="single" w:sz="4" w:space="0" w:color="auto"/>
            </w:tcBorders>
            <w:shd w:val="clear" w:color="auto" w:fill="FFFFFF"/>
            <w:vAlign w:val="top"/>
          </w:tcPr>
          <w:p>
            <w:pPr>
              <w:widowControl w:val="0"/>
              <w:rPr>
                <w:sz w:val="10"/>
                <w:szCs w:val="10"/>
              </w:rPr>
            </w:pPr>
          </w:p>
        </w:tc>
      </w:tr>
      <w:tr>
        <w:tblPrEx>
          <w:jc w:val="center"/>
          <w:tblLayout w:type="fixed"/>
          <w:tblCellMar>
            <w:left w:w="10" w:type="dxa"/>
            <w:right w:w="10" w:type="dxa"/>
          </w:tblCellMar>
        </w:tblPrEx>
        <w:trPr>
          <w:trHeight w:hRule="exact" w:val="763"/>
          <w:jc w:val="center"/>
        </w:trPr>
        <w:tc>
          <w:tcPr>
            <w:tcW w:w="318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起爆方式</w:t>
            </w:r>
          </w:p>
        </w:tc>
        <w:tc>
          <w:tcPr>
            <w:tcW w:w="3221" w:type="dxa"/>
            <w:tcBorders>
              <w:top w:val="single" w:sz="4" w:space="0" w:color="auto"/>
              <w:left w:val="single" w:sz="4" w:space="0" w:color="auto"/>
            </w:tcBorders>
            <w:shd w:val="clear" w:color="auto" w:fill="FFFFFF"/>
            <w:vAlign w:val="top"/>
          </w:tcPr>
          <w:p>
            <w:pPr>
              <w:widowControl w:val="0"/>
              <w:rPr>
                <w:sz w:val="10"/>
                <w:szCs w:val="10"/>
              </w:rPr>
            </w:pPr>
          </w:p>
        </w:tc>
        <w:tc>
          <w:tcPr>
            <w:tcW w:w="32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孔间微差</w:t>
            </w:r>
          </w:p>
        </w:tc>
        <w:tc>
          <w:tcPr>
            <w:tcW w:w="3552"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导爆索起爆法</w:t>
            </w:r>
          </w:p>
        </w:tc>
      </w:tr>
      <w:tr>
        <w:tblPrEx>
          <w:jc w:val="center"/>
          <w:tblLayout w:type="fixed"/>
          <w:tblCellMar>
            <w:left w:w="10" w:type="dxa"/>
            <w:right w:w="10" w:type="dxa"/>
          </w:tblCellMar>
        </w:tblPrEx>
        <w:trPr>
          <w:trHeight w:hRule="exact" w:val="768"/>
          <w:jc w:val="center"/>
        </w:trPr>
        <w:tc>
          <w:tcPr>
            <w:tcW w:w="3187"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80"/>
              <w:jc w:val="left"/>
            </w:pPr>
            <w:r>
              <w:rPr>
                <w:color w:val="000000"/>
                <w:spacing w:val="0"/>
                <w:w w:val="100"/>
                <w:position w:val="0"/>
              </w:rPr>
              <w:t>孔底减震</w:t>
            </w:r>
          </w:p>
        </w:tc>
        <w:tc>
          <w:tcPr>
            <w:tcW w:w="3221"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3202" w:type="dxa"/>
            <w:tcBorders>
              <w:top w:val="single" w:sz="4" w:space="0" w:color="auto"/>
              <w:left w:val="single" w:sz="4" w:space="0" w:color="auto"/>
              <w:bottom w:val="single" w:sz="4" w:space="0" w:color="auto"/>
            </w:tcBorders>
            <w:shd w:val="clear" w:color="auto" w:fill="FFFFFF"/>
            <w:vAlign w:val="top"/>
          </w:tcPr>
          <w:p>
            <w:pPr>
              <w:widowControl w:val="0"/>
              <w:rPr>
                <w:sz w:val="10"/>
                <w:szCs w:val="10"/>
              </w:rPr>
            </w:pPr>
          </w:p>
        </w:tc>
        <w:tc>
          <w:tcPr>
            <w:tcW w:w="3552" w:type="dxa"/>
            <w:tcBorders>
              <w:top w:val="single" w:sz="4" w:space="0" w:color="auto"/>
              <w:left w:val="single" w:sz="4" w:space="0" w:color="auto"/>
              <w:bottom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860"/>
              <w:jc w:val="left"/>
            </w:pPr>
            <w:r>
              <w:rPr>
                <w:color w:val="000000"/>
                <w:spacing w:val="0"/>
                <w:w w:val="100"/>
                <w:position w:val="0"/>
              </w:rPr>
              <w:t>填垫锯沫</w:t>
            </w:r>
            <w:r>
              <w:rPr>
                <w:color w:val="000000"/>
                <w:spacing w:val="0"/>
                <w:w w:val="100"/>
                <w:position w:val="0"/>
              </w:rPr>
              <w:t>0.2m</w:t>
            </w:r>
          </w:p>
        </w:tc>
      </w:tr>
    </w:tbl>
    <w:p>
      <w:pPr>
        <w:pStyle w:val="a6"/>
        <w:keepNext w:val="0"/>
        <w:keepLines w:val="0"/>
        <w:widowControl w:val="0"/>
        <w:shd w:val="clear" w:color="auto" w:fill="auto"/>
        <w:bidi w:val="0"/>
        <w:spacing w:before="0" w:after="0" w:line="240" w:lineRule="auto"/>
        <w:ind w:left="898" w:right="0" w:firstLine="0"/>
        <w:jc w:val="left"/>
      </w:pPr>
      <w:r>
        <w:rPr>
          <w:color w:val="000000"/>
          <w:spacing w:val="0"/>
          <w:w w:val="100"/>
          <w:position w:val="0"/>
        </w:rPr>
        <w:t>以上爆破参数，应根据现场的岩石情况、环境情况通过试爆进行修正，在试</w:t>
      </w:r>
    </w:p>
    <w:p>
      <w:pPr>
        <w:widowControl w:val="0"/>
        <w:spacing w:after="239" w:line="1" w:lineRule="exact"/>
      </w:pPr>
    </w:p>
    <w:p>
      <w:pPr>
        <w:pStyle w:val="a5"/>
        <w:keepNext w:val="0"/>
        <w:keepLines w:val="0"/>
        <w:widowControl w:val="0"/>
        <w:shd w:val="clear" w:color="auto" w:fill="auto"/>
        <w:bidi w:val="0"/>
        <w:spacing w:before="0" w:after="0" w:line="240" w:lineRule="auto"/>
        <w:ind w:left="0" w:right="0" w:firstLine="160"/>
        <w:jc w:val="left"/>
      </w:pPr>
      <w:r>
        <w:rPr>
          <w:color w:val="000000"/>
          <w:spacing w:val="0"/>
          <w:w w:val="100"/>
          <w:position w:val="0"/>
        </w:rPr>
        <w:t>验性生产确定好各种爆破方法的技术参数后，建立较为完善、科学的爆破参数表，</w:t>
      </w:r>
    </w:p>
    <w:p>
      <w:pPr>
        <w:pStyle w:val="a5"/>
        <w:keepNext w:val="0"/>
        <w:keepLines w:val="0"/>
        <w:widowControl w:val="0"/>
        <w:shd w:val="clear" w:color="auto" w:fill="auto"/>
        <w:bidi w:val="0"/>
        <w:spacing w:before="0" w:after="0" w:line="715" w:lineRule="exact"/>
        <w:ind w:left="0" w:right="0" w:firstLine="160"/>
        <w:jc w:val="left"/>
      </w:pPr>
      <w:r>
        <w:rPr>
          <w:color w:val="000000"/>
          <w:spacing w:val="0"/>
          <w:w w:val="100"/>
          <w:position w:val="0"/>
        </w:rPr>
        <w:t>方可进行爆破。</w:t>
      </w:r>
    </w:p>
    <w:p>
      <w:pPr>
        <w:pStyle w:val="a5"/>
        <w:keepNext w:val="0"/>
        <w:keepLines w:val="0"/>
        <w:widowControl w:val="0"/>
        <w:numPr>
          <w:ilvl w:val="0"/>
          <w:numId w:val="21"/>
        </w:numPr>
        <w:shd w:val="clear" w:color="auto" w:fill="auto"/>
        <w:bidi w:val="0"/>
        <w:spacing w:before="0" w:after="0" w:line="715" w:lineRule="exact"/>
        <w:ind w:left="0" w:right="0" w:firstLine="880"/>
        <w:jc w:val="left"/>
      </w:pPr>
      <w:bookmarkStart w:id="58" w:name="bookmark58"/>
      <w:bookmarkEnd w:id="58"/>
      <w:r>
        <w:rPr>
          <w:color w:val="000000"/>
          <w:spacing w:val="0"/>
          <w:w w:val="100"/>
          <w:position w:val="0"/>
        </w:rPr>
        <w:t>钻孔设计</w:t>
      </w:r>
    </w:p>
    <w:p>
      <w:pPr>
        <w:pStyle w:val="a5"/>
        <w:keepNext w:val="0"/>
        <w:keepLines w:val="0"/>
        <w:widowControl w:val="0"/>
        <w:shd w:val="clear" w:color="auto" w:fill="auto"/>
        <w:bidi w:val="0"/>
        <w:spacing w:before="0" w:after="0" w:line="715" w:lineRule="exact"/>
        <w:ind w:left="160" w:right="0" w:firstLine="740"/>
        <w:jc w:val="both"/>
      </w:pPr>
      <w:r>
        <w:rPr>
          <w:color w:val="000000"/>
          <w:spacing w:val="0"/>
          <w:w w:val="100"/>
          <w:position w:val="0"/>
        </w:rPr>
        <w:t>炮孔形式以垂直炮孔或与台阶斜角相平行的炮孔为主，以台阶底部平行炮孔 为辅。</w:t>
      </w:r>
    </w:p>
    <w:p>
      <w:pPr>
        <w:pStyle w:val="a5"/>
        <w:keepNext w:val="0"/>
        <w:keepLines w:val="0"/>
        <w:widowControl w:val="0"/>
        <w:shd w:val="clear" w:color="auto" w:fill="auto"/>
        <w:bidi w:val="0"/>
        <w:spacing w:before="0" w:after="0" w:line="715" w:lineRule="exact"/>
        <w:ind w:left="0" w:right="0" w:firstLine="880"/>
        <w:jc w:val="left"/>
      </w:pPr>
      <w:r>
        <w:rPr>
          <w:color w:val="000000"/>
          <w:spacing w:val="0"/>
          <w:w w:val="100"/>
          <w:position w:val="0"/>
        </w:rPr>
        <w:t>a</w:t>
      </w:r>
      <w:r>
        <w:rPr>
          <w:color w:val="000000"/>
          <w:spacing w:val="0"/>
          <w:w w:val="100"/>
          <w:position w:val="0"/>
        </w:rPr>
        <w:t>小台阶炮孔布置示意图</w:t>
      </w:r>
    </w:p>
    <w:p>
      <w:pPr>
        <w:pStyle w:val="a5"/>
        <w:keepNext w:val="0"/>
        <w:keepLines w:val="0"/>
        <w:widowControl w:val="0"/>
        <w:shd w:val="clear" w:color="auto" w:fill="auto"/>
        <w:bidi w:val="0"/>
        <w:spacing w:before="0" w:after="240" w:line="715" w:lineRule="exact"/>
        <w:ind w:left="0" w:right="0" w:firstLine="880"/>
        <w:jc w:val="left"/>
      </w:pPr>
      <w:r>
        <w:rPr>
          <w:color w:val="000000"/>
          <w:spacing w:val="0"/>
          <w:w w:val="100"/>
          <w:position w:val="0"/>
        </w:rPr>
        <w:t>该钻孔布置方法选用于距边坡岩石爆破</w:t>
      </w:r>
    </w:p>
    <w:p>
      <w:pPr>
        <w:widowControl w:val="0"/>
        <w:jc w:val="right"/>
        <w:rPr>
          <w:sz w:val="2"/>
          <w:szCs w:val="2"/>
        </w:rPr>
      </w:pPr>
      <w:r>
        <w:drawing>
          <wp:inline>
            <wp:extent cx="7741920" cy="384048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Id5"/>
                    <a:stretch>
                      <a:fillRect/>
                    </a:stretch>
                  </pic:blipFill>
                  <pic:spPr>
                    <a:xfrm>
                      <a:off x="0" y="0"/>
                      <a:ext cx="7741920" cy="3840480"/>
                    </a:xfrm>
                    <a:prstGeom prst="rect">
                      <a:avLst/>
                    </a:prstGeom>
                  </pic:spPr>
                </pic:pic>
              </a:graphicData>
            </a:graphic>
          </wp:inline>
        </w:drawing>
      </w:r>
    </w:p>
    <w:p>
      <w:pPr>
        <w:widowControl w:val="0"/>
        <w:spacing w:after="979" w:line="1" w:lineRule="exact"/>
      </w:pPr>
    </w:p>
    <w:p>
      <w:pPr>
        <w:pStyle w:val="a5"/>
        <w:keepNext w:val="0"/>
        <w:keepLines w:val="0"/>
        <w:widowControl w:val="0"/>
        <w:shd w:val="clear" w:color="auto" w:fill="auto"/>
        <w:bidi w:val="0"/>
        <w:spacing w:before="0" w:after="240" w:line="240" w:lineRule="auto"/>
        <w:ind w:left="0" w:right="0" w:firstLine="880"/>
        <w:jc w:val="left"/>
      </w:pPr>
      <w:r>
        <w:rPr>
          <w:color w:val="000000"/>
          <w:spacing w:val="0"/>
          <w:w w:val="100"/>
          <w:position w:val="0"/>
        </w:rPr>
        <w:t>――单排孔侧向宽孔距布孔</w:t>
      </w:r>
    </w:p>
    <w:p>
      <w:pPr>
        <w:widowControl w:val="0"/>
        <w:jc w:val="center"/>
        <w:rPr>
          <w:sz w:val="2"/>
          <w:szCs w:val="2"/>
        </w:rPr>
        <w:sectPr>
          <w:type w:val="nextPage"/>
          <w:pgSz w:w="17861" w:h="25258"/>
          <w:pgMar w:top="1775" w:right="2109" w:bottom="2080" w:left="2336" w:header="0" w:footer="3" w:gutter="0"/>
          <w:pgNumType w:start="12"/>
          <w:cols w:space="720"/>
          <w:noEndnote/>
          <w:titlePg w:val="0"/>
          <w:rtlGutter w:val="0"/>
          <w:docGrid w:linePitch="360"/>
        </w:sectPr>
      </w:pPr>
      <w:r>
        <w:drawing>
          <wp:inline>
            <wp:extent cx="6071870" cy="658495"/>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Id6"/>
                    <a:stretch>
                      <a:fillRect/>
                    </a:stretch>
                  </pic:blipFill>
                  <pic:spPr>
                    <a:xfrm>
                      <a:off x="0" y="0"/>
                      <a:ext cx="6071870" cy="658495"/>
                    </a:xfrm>
                    <a:prstGeom prst="rect">
                      <a:avLst/>
                    </a:prstGeom>
                  </pic:spPr>
                </pic:pic>
              </a:graphicData>
            </a:graphic>
          </wp:inline>
        </w:drawing>
      </w:r>
    </w:p>
    <w:p>
      <w:pPr>
        <w:pStyle w:val="a5"/>
        <w:keepNext w:val="0"/>
        <w:keepLines w:val="0"/>
        <w:widowControl w:val="0"/>
        <w:shd w:val="clear" w:color="auto" w:fill="auto"/>
        <w:bidi w:val="0"/>
        <w:spacing w:before="0" w:after="460" w:line="240" w:lineRule="auto"/>
        <w:ind w:left="1080" w:right="0" w:firstLine="0"/>
        <w:jc w:val="both"/>
      </w:pPr>
      <w:r>
        <w:rPr>
          <w:color w:val="000000"/>
          <w:spacing w:val="0"/>
          <w:w w:val="100"/>
          <w:position w:val="0"/>
        </w:rPr>
        <w:t>――多排孔侧向宽孔距交错布孔</w:t>
      </w:r>
    </w:p>
    <w:p>
      <w:pPr>
        <w:widowControl w:val="0"/>
        <w:jc w:val="center"/>
        <w:rPr>
          <w:sz w:val="2"/>
          <w:szCs w:val="2"/>
        </w:rPr>
      </w:pPr>
      <w:r>
        <w:drawing>
          <wp:inline>
            <wp:extent cx="6028690" cy="143256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Id7"/>
                    <a:stretch>
                      <a:fillRect/>
                    </a:stretch>
                  </pic:blipFill>
                  <pic:spPr>
                    <a:xfrm>
                      <a:off x="0" y="0"/>
                      <a:ext cx="6028690" cy="1432560"/>
                    </a:xfrm>
                    <a:prstGeom prst="rect">
                      <a:avLst/>
                    </a:prstGeom>
                  </pic:spPr>
                </pic:pic>
              </a:graphicData>
            </a:graphic>
          </wp:inline>
        </w:drawing>
      </w:r>
    </w:p>
    <w:p>
      <w:pPr>
        <w:widowControl w:val="0"/>
        <w:spacing w:after="339" w:line="1" w:lineRule="exact"/>
      </w:pPr>
    </w:p>
    <w:p>
      <w:pPr>
        <w:pStyle w:val="a5"/>
        <w:keepNext w:val="0"/>
        <w:keepLines w:val="0"/>
        <w:widowControl w:val="0"/>
        <w:shd w:val="clear" w:color="auto" w:fill="auto"/>
        <w:bidi w:val="0"/>
        <w:spacing w:before="0" w:after="300" w:line="240" w:lineRule="auto"/>
        <w:ind w:left="1080" w:right="0" w:firstLine="0"/>
        <w:jc w:val="both"/>
      </w:pPr>
      <w:r>
        <w:rPr>
          <w:color w:val="000000"/>
          <w:spacing w:val="0"/>
          <w:w w:val="100"/>
          <w:position w:val="0"/>
        </w:rPr>
        <w:t>b</w:t>
      </w:r>
      <w:r>
        <w:rPr>
          <w:color w:val="000000"/>
          <w:spacing w:val="0"/>
          <w:w w:val="100"/>
          <w:position w:val="0"/>
        </w:rPr>
        <w:t>平行炮孔（抬炮法）布孔方法</w:t>
      </w:r>
    </w:p>
    <w:p>
      <w:pPr>
        <w:pStyle w:val="a5"/>
        <w:keepNext w:val="0"/>
        <w:keepLines w:val="0"/>
        <w:widowControl w:val="0"/>
        <w:shd w:val="clear" w:color="auto" w:fill="auto"/>
        <w:bidi w:val="0"/>
        <w:spacing w:before="0" w:after="0" w:line="240" w:lineRule="auto"/>
        <w:ind w:left="1080" w:right="0" w:firstLine="0"/>
        <w:jc w:val="both"/>
      </w:pPr>
      <w:r>
        <w:rPr>
          <w:color w:val="000000"/>
          <w:spacing w:val="0"/>
          <w:w w:val="100"/>
          <w:position w:val="0"/>
        </w:rPr>
        <w:t>该炮孔布置方法选用于大面积岩石爆破方法。</w:t>
      </w:r>
    </w:p>
    <w:p>
      <w:pPr>
        <w:pStyle w:val="21"/>
        <w:keepNext/>
        <w:keepLines/>
        <w:widowControl w:val="0"/>
        <w:shd w:val="clear" w:color="auto" w:fill="auto"/>
        <w:bidi w:val="0"/>
        <w:spacing w:before="0" w:after="0" w:line="240" w:lineRule="auto"/>
        <w:ind w:left="0" w:right="1080" w:firstLine="0"/>
        <w:jc w:val="right"/>
      </w:pPr>
      <w:bookmarkStart w:id="59" w:name="bookmark59"/>
      <w:bookmarkStart w:id="60" w:name="bookmark60"/>
      <w:bookmarkStart w:id="61" w:name="bookmark61"/>
      <w:r>
        <w:rPr>
          <w:color w:val="000000"/>
          <w:spacing w:val="0"/>
          <w:w w:val="100"/>
          <w:position w:val="0"/>
        </w:rPr>
        <w:t>岩石表面</w:t>
      </w:r>
      <w:bookmarkEnd w:id="59"/>
      <w:bookmarkEnd w:id="60"/>
      <w:bookmarkEnd w:id="61"/>
    </w:p>
    <w:p>
      <w:pPr>
        <w:widowControl w:val="0"/>
        <w:jc w:val="center"/>
        <w:rPr>
          <w:sz w:val="2"/>
          <w:szCs w:val="2"/>
        </w:rPr>
      </w:pPr>
      <w:r>
        <w:drawing>
          <wp:inline>
            <wp:extent cx="7948930" cy="295021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Id8"/>
                    <a:stretch>
                      <a:fillRect/>
                    </a:stretch>
                  </pic:blipFill>
                  <pic:spPr>
                    <a:xfrm>
                      <a:off x="0" y="0"/>
                      <a:ext cx="7948930" cy="2950210"/>
                    </a:xfrm>
                    <a:prstGeom prst="rect">
                      <a:avLst/>
                    </a:prstGeom>
                  </pic:spPr>
                </pic:pic>
              </a:graphicData>
            </a:graphic>
          </wp:inline>
        </w:drawing>
      </w:r>
    </w:p>
    <w:p>
      <w:pPr>
        <w:widowControl w:val="0"/>
        <w:spacing w:after="559" w:line="1" w:lineRule="exact"/>
      </w:pPr>
    </w:p>
    <w:p>
      <w:pPr>
        <w:pStyle w:val="a5"/>
        <w:keepNext w:val="0"/>
        <w:keepLines w:val="0"/>
        <w:widowControl w:val="0"/>
        <w:shd w:val="clear" w:color="auto" w:fill="auto"/>
        <w:tabs>
          <w:tab w:val="left" w:leader="hyphen" w:pos="2098"/>
        </w:tabs>
        <w:bidi w:val="0"/>
        <w:spacing w:before="0" w:after="0" w:line="698" w:lineRule="exact"/>
        <w:ind w:left="360" w:right="0" w:firstLine="740"/>
        <w:jc w:val="both"/>
      </w:pPr>
      <w:r>
        <w:rPr>
          <w:color w:val="000000"/>
          <w:spacing w:val="0"/>
          <w:w w:val="100"/>
          <w:position w:val="0"/>
        </w:rPr>
        <w:tab/>
        <w:t>平行炮孔（抬炮孔）爆破方法通常炮孔布置在设计底标高线上，爆破 后，炸药爆炸能量主要向上作用，炮孔下方岩石保持稳定，经机械整理后基底岩 石表面平整。</w:t>
      </w:r>
    </w:p>
    <w:p>
      <w:pPr>
        <w:pStyle w:val="a5"/>
        <w:keepNext w:val="0"/>
        <w:keepLines w:val="0"/>
        <w:widowControl w:val="0"/>
        <w:shd w:val="clear" w:color="auto" w:fill="auto"/>
        <w:tabs>
          <w:tab w:val="left" w:leader="hyphen" w:pos="2098"/>
        </w:tabs>
        <w:bidi w:val="0"/>
        <w:spacing w:before="0" w:after="0" w:line="698" w:lineRule="exact"/>
        <w:ind w:left="360" w:right="0" w:firstLine="740"/>
        <w:jc w:val="both"/>
      </w:pPr>
      <w:r>
        <w:rPr>
          <w:color w:val="000000"/>
          <w:spacing w:val="0"/>
          <w:w w:val="100"/>
          <w:position w:val="0"/>
        </w:rPr>
        <w:tab/>
        <w:t>平等炮孔主要是起辅助作用，炮孔布置比①#炮孔稍少。如岩石厚度 少于</w:t>
      </w:r>
      <w:r>
        <w:rPr>
          <w:color w:val="000000"/>
          <w:spacing w:val="0"/>
          <w:w w:val="100"/>
          <w:position w:val="0"/>
        </w:rPr>
        <w:t>1.5m</w:t>
      </w:r>
      <w:r>
        <w:rPr>
          <w:color w:val="000000"/>
          <w:spacing w:val="0"/>
          <w:w w:val="100"/>
          <w:position w:val="0"/>
        </w:rPr>
        <w:t>时，可不布置②#孔。</w:t>
      </w:r>
    </w:p>
    <w:p>
      <w:pPr>
        <w:pStyle w:val="a5"/>
        <w:keepNext w:val="0"/>
        <w:keepLines w:val="0"/>
        <w:widowControl w:val="0"/>
        <w:shd w:val="clear" w:color="auto" w:fill="auto"/>
        <w:tabs>
          <w:tab w:val="left" w:leader="hyphen" w:pos="2098"/>
        </w:tabs>
        <w:bidi w:val="0"/>
        <w:spacing w:before="0" w:after="0" w:line="698" w:lineRule="exact"/>
        <w:ind w:left="360" w:right="0" w:firstLine="740"/>
        <w:jc w:val="both"/>
      </w:pPr>
      <w:r>
        <w:rPr>
          <w:color w:val="000000"/>
          <w:spacing w:val="0"/>
          <w:w w:val="100"/>
          <w:position w:val="0"/>
        </w:rPr>
        <w:tab/>
        <w:t>平行炮孔布置一般要求其上方岩石厚度</w:t>
      </w:r>
      <w:r>
        <w:rPr>
          <w:color w:val="000000"/>
          <w:spacing w:val="0"/>
          <w:w w:val="100"/>
          <w:position w:val="0"/>
        </w:rPr>
        <w:t>0.8m</w:t>
      </w:r>
      <w:r>
        <w:rPr>
          <w:color w:val="000000"/>
          <w:spacing w:val="0"/>
          <w:w w:val="100"/>
          <w:position w:val="0"/>
        </w:rPr>
        <w:t>以上，一排炮孔最大起 爆岩石厚度不超过</w:t>
      </w:r>
      <w:r>
        <w:rPr>
          <w:color w:val="000000"/>
          <w:spacing w:val="0"/>
          <w:w w:val="100"/>
          <w:position w:val="0"/>
        </w:rPr>
        <w:t xml:space="preserve">3m </w:t>
      </w:r>
      <w:r>
        <w:rPr>
          <w:color w:val="000000"/>
          <w:spacing w:val="0"/>
          <w:w w:val="100"/>
          <w:position w:val="0"/>
        </w:rPr>
        <w:t>（即爆破抵抗线</w:t>
      </w:r>
      <w:r>
        <w:rPr>
          <w:color w:val="000000"/>
          <w:spacing w:val="0"/>
          <w:w w:val="100"/>
          <w:position w:val="0"/>
        </w:rPr>
        <w:t>W</w:t>
      </w:r>
      <w:r>
        <w:rPr>
          <w:color w:val="000000"/>
          <w:spacing w:val="0"/>
          <w:w w:val="100"/>
          <w:position w:val="0"/>
        </w:rPr>
        <w:t>不超过</w:t>
      </w:r>
      <w:r>
        <w:rPr>
          <w:color w:val="000000"/>
          <w:spacing w:val="0"/>
          <w:w w:val="100"/>
          <w:position w:val="0"/>
        </w:rPr>
        <w:t>3m），</w:t>
      </w:r>
      <w:r>
        <w:rPr>
          <w:color w:val="000000"/>
          <w:spacing w:val="0"/>
          <w:w w:val="100"/>
          <w:position w:val="0"/>
        </w:rPr>
        <w:t>起爆岩石厚度过大会产生较 多的大块率，影响后期石渣装运。</w:t>
      </w:r>
    </w:p>
    <w:p>
      <w:pPr>
        <w:pStyle w:val="a5"/>
        <w:keepNext w:val="0"/>
        <w:keepLines w:val="0"/>
        <w:widowControl w:val="0"/>
        <w:shd w:val="clear" w:color="auto" w:fill="auto"/>
        <w:bidi w:val="0"/>
        <w:spacing w:before="0" w:after="0" w:line="698" w:lineRule="exact"/>
        <w:ind w:left="1080" w:right="0" w:firstLine="0"/>
        <w:jc w:val="both"/>
      </w:pPr>
      <w:r>
        <w:rPr>
          <w:color w:val="000000"/>
          <w:spacing w:val="0"/>
          <w:w w:val="100"/>
          <w:position w:val="0"/>
        </w:rPr>
        <w:t>c</w:t>
      </w:r>
      <w:r>
        <w:rPr>
          <w:color w:val="000000"/>
          <w:spacing w:val="0"/>
          <w:w w:val="100"/>
          <w:position w:val="0"/>
        </w:rPr>
        <w:t>孤石爆破</w:t>
      </w:r>
    </w:p>
    <w:p>
      <w:pPr>
        <w:pStyle w:val="a5"/>
        <w:keepNext w:val="0"/>
        <w:keepLines w:val="0"/>
        <w:widowControl w:val="0"/>
        <w:shd w:val="clear" w:color="auto" w:fill="auto"/>
        <w:bidi w:val="0"/>
        <w:spacing w:before="0" w:after="100" w:line="698" w:lineRule="exact"/>
        <w:ind w:left="1080" w:right="0" w:firstLine="0"/>
        <w:jc w:val="both"/>
      </w:pPr>
      <w:r>
        <w:rPr>
          <w:color w:val="000000"/>
          <w:spacing w:val="0"/>
          <w:w w:val="100"/>
          <w:position w:val="0"/>
        </w:rPr>
        <w:t>孤石采用垂直炮孔方法，一般每个孤石布置1个炮孔，最多布置2个炮孔。</w:t>
      </w:r>
    </w:p>
    <w:p>
      <w:pPr>
        <w:widowControl w:val="0"/>
        <w:jc w:val="center"/>
        <w:rPr>
          <w:sz w:val="2"/>
          <w:szCs w:val="2"/>
        </w:rPr>
      </w:pPr>
      <w:r>
        <w:drawing>
          <wp:inline>
            <wp:extent cx="3901440" cy="209677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Id9"/>
                    <a:stretch>
                      <a:fillRect/>
                    </a:stretch>
                  </pic:blipFill>
                  <pic:spPr>
                    <a:xfrm>
                      <a:off x="0" y="0"/>
                      <a:ext cx="3901440" cy="2096770"/>
                    </a:xfrm>
                    <a:prstGeom prst="rect">
                      <a:avLst/>
                    </a:prstGeom>
                  </pic:spPr>
                </pic:pic>
              </a:graphicData>
            </a:graphic>
          </wp:inline>
        </w:drawing>
      </w:r>
    </w:p>
    <w:p>
      <w:pPr>
        <w:pStyle w:val="a5"/>
        <w:keepNext w:val="0"/>
        <w:keepLines w:val="0"/>
        <w:widowControl w:val="0"/>
        <w:numPr>
          <w:ilvl w:val="0"/>
          <w:numId w:val="22"/>
        </w:numPr>
        <w:shd w:val="clear" w:color="auto" w:fill="auto"/>
        <w:bidi w:val="0"/>
        <w:spacing w:before="0" w:after="280" w:line="240" w:lineRule="auto"/>
        <w:ind w:left="1080" w:right="0" w:firstLine="0"/>
        <w:jc w:val="both"/>
        <w:sectPr>
          <w:type w:val="nextPage"/>
          <w:pgSz w:w="17861" w:h="25258"/>
          <w:pgMar w:top="1775" w:right="2109" w:bottom="2080" w:left="2336" w:header="0" w:footer="3" w:gutter="0"/>
          <w:pgNumType w:start="13"/>
          <w:cols w:space="720"/>
          <w:noEndnote/>
          <w:titlePg w:val="0"/>
          <w:rtlGutter w:val="0"/>
          <w:docGrid w:linePitch="360"/>
        </w:sectPr>
      </w:pPr>
      <w:bookmarkStart w:id="62" w:name="bookmark62"/>
      <w:bookmarkEnd w:id="62"/>
      <w:r>
        <w:rPr>
          <w:color w:val="000000"/>
          <w:spacing w:val="0"/>
          <w:w w:val="100"/>
          <w:position w:val="0"/>
        </w:rPr>
        <w:t>装药、填塞和起爆网络设计</w:t>
      </w:r>
    </w:p>
    <w:p>
      <w:pPr>
        <w:pStyle w:val="a5"/>
        <w:keepNext w:val="0"/>
        <w:keepLines w:val="0"/>
        <w:widowControl w:val="0"/>
        <w:shd w:val="clear" w:color="auto" w:fill="auto"/>
        <w:bidi w:val="0"/>
        <w:spacing w:before="0" w:after="280" w:line="240" w:lineRule="auto"/>
        <w:ind w:left="1080" w:right="0" w:firstLine="0"/>
        <w:jc w:val="both"/>
      </w:pPr>
      <w:r>
        <w:rPr>
          <w:color w:val="000000"/>
          <w:spacing w:val="0"/>
          <w:w w:val="100"/>
          <w:position w:val="0"/>
        </w:rPr>
        <w:t>a</w:t>
      </w:r>
      <w:r>
        <w:rPr>
          <w:color w:val="000000"/>
          <w:spacing w:val="0"/>
          <w:w w:val="100"/>
          <w:position w:val="0"/>
        </w:rPr>
        <w:t>主要爆破器材</w:t>
      </w:r>
    </w:p>
    <w:p>
      <w:pPr>
        <w:pStyle w:val="a5"/>
        <w:keepNext w:val="0"/>
        <w:keepLines w:val="0"/>
        <w:widowControl w:val="0"/>
        <w:shd w:val="clear" w:color="auto" w:fill="auto"/>
        <w:bidi w:val="0"/>
        <w:spacing w:before="0" w:after="280" w:line="240" w:lineRule="auto"/>
        <w:ind w:left="1080" w:right="0" w:firstLine="0"/>
        <w:jc w:val="both"/>
      </w:pPr>
      <w:r>
        <w:rPr>
          <w:color w:val="000000"/>
          <w:spacing w:val="0"/>
          <w:w w:val="100"/>
          <w:position w:val="0"/>
        </w:rPr>
        <w:t>炸药采用乳化炸药，雷管为8#电雷管。</w:t>
      </w:r>
    </w:p>
    <w:p>
      <w:pPr>
        <w:pStyle w:val="a5"/>
        <w:keepNext w:val="0"/>
        <w:keepLines w:val="0"/>
        <w:widowControl w:val="0"/>
        <w:shd w:val="clear" w:color="auto" w:fill="auto"/>
        <w:bidi w:val="0"/>
        <w:spacing w:before="0" w:after="280" w:line="240" w:lineRule="auto"/>
        <w:ind w:left="1080" w:right="0" w:firstLine="0"/>
        <w:jc w:val="both"/>
      </w:pPr>
      <w:r>
        <w:rPr>
          <w:color w:val="000000"/>
          <w:spacing w:val="0"/>
          <w:w w:val="100"/>
          <w:position w:val="0"/>
        </w:rPr>
        <w:t>b</w:t>
      </w:r>
      <w:r>
        <w:rPr>
          <w:color w:val="000000"/>
          <w:spacing w:val="0"/>
          <w:w w:val="100"/>
          <w:position w:val="0"/>
        </w:rPr>
        <w:t>装药、填塞</w:t>
      </w:r>
    </w:p>
    <w:p>
      <w:pPr>
        <w:pStyle w:val="a5"/>
        <w:keepNext w:val="0"/>
        <w:keepLines w:val="0"/>
        <w:widowControl w:val="0"/>
        <w:shd w:val="clear" w:color="auto" w:fill="auto"/>
        <w:tabs>
          <w:tab w:val="left" w:leader="hyphen" w:pos="9158"/>
        </w:tabs>
        <w:bidi w:val="0"/>
        <w:spacing w:before="0" w:after="940" w:line="240" w:lineRule="auto"/>
        <w:ind w:left="1080" w:right="0" w:firstLine="0"/>
        <w:jc w:val="both"/>
      </w:pPr>
      <w:r>
        <w:rPr>
          <w:color w:val="000000"/>
          <w:spacing w:val="0"/>
          <w:w w:val="100"/>
          <w:position w:val="0"/>
        </w:rPr>
        <w:t>----</w:t>
      </w:r>
      <w:r>
        <w:rPr>
          <w:color w:val="000000"/>
          <w:spacing w:val="0"/>
          <w:w w:val="100"/>
          <w:position w:val="0"/>
        </w:rPr>
        <w:t xml:space="preserve">空气分段装药结构（边坡爆破） </w:t>
        <w:tab/>
        <w:t>连续装药结构</w:t>
      </w:r>
    </w:p>
    <w:p>
      <w:pPr>
        <w:widowControl w:val="0"/>
        <w:jc w:val="center"/>
        <w:rPr>
          <w:sz w:val="2"/>
          <w:szCs w:val="2"/>
        </w:rPr>
      </w:pPr>
      <w:r>
        <w:drawing>
          <wp:inline>
            <wp:extent cx="8449310" cy="427355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Id10"/>
                    <a:stretch>
                      <a:fillRect/>
                    </a:stretch>
                  </pic:blipFill>
                  <pic:spPr>
                    <a:xfrm>
                      <a:off x="0" y="0"/>
                      <a:ext cx="8449310" cy="4273550"/>
                    </a:xfrm>
                    <a:prstGeom prst="rect">
                      <a:avLst/>
                    </a:prstGeom>
                  </pic:spPr>
                </pic:pic>
              </a:graphicData>
            </a:graphic>
          </wp:inline>
        </w:drawing>
      </w:r>
    </w:p>
    <w:p>
      <w:pPr>
        <w:pStyle w:val="a5"/>
        <w:keepNext w:val="0"/>
        <w:keepLines w:val="0"/>
        <w:widowControl w:val="0"/>
        <w:shd w:val="clear" w:color="auto" w:fill="auto"/>
        <w:tabs>
          <w:tab w:val="left" w:leader="hyphen" w:pos="2064"/>
        </w:tabs>
        <w:bidi w:val="0"/>
        <w:spacing w:before="0" w:after="0" w:line="706" w:lineRule="exact"/>
        <w:ind w:left="1080" w:right="0" w:firstLine="0"/>
        <w:jc w:val="both"/>
      </w:pPr>
      <w:r>
        <w:rPr>
          <w:color w:val="000000"/>
          <w:spacing w:val="0"/>
          <w:w w:val="100"/>
          <w:position w:val="0"/>
        </w:rPr>
        <w:tab/>
        <w:t>浅眼爆破采用耦合连续装药结构。</w:t>
      </w:r>
    </w:p>
    <w:p>
      <w:pPr>
        <w:pStyle w:val="a5"/>
        <w:keepNext w:val="0"/>
        <w:keepLines w:val="0"/>
        <w:widowControl w:val="0"/>
        <w:shd w:val="clear" w:color="auto" w:fill="auto"/>
        <w:tabs>
          <w:tab w:val="left" w:leader="hyphen" w:pos="2064"/>
        </w:tabs>
        <w:bidi w:val="0"/>
        <w:spacing w:before="0" w:after="0" w:line="706" w:lineRule="exact"/>
        <w:ind w:left="1080" w:right="0" w:firstLine="0"/>
        <w:jc w:val="both"/>
      </w:pPr>
      <w:r>
        <w:rPr>
          <w:color w:val="000000"/>
          <w:spacing w:val="0"/>
          <w:w w:val="100"/>
          <w:position w:val="0"/>
        </w:rPr>
        <w:tab/>
        <w:t>炮孔用黄泥土炮泥填塞。</w:t>
      </w:r>
    </w:p>
    <w:p>
      <w:pPr>
        <w:pStyle w:val="a5"/>
        <w:keepNext w:val="0"/>
        <w:keepLines w:val="0"/>
        <w:widowControl w:val="0"/>
        <w:shd w:val="clear" w:color="auto" w:fill="auto"/>
        <w:bidi w:val="0"/>
        <w:spacing w:before="0" w:after="0" w:line="706" w:lineRule="exact"/>
        <w:ind w:left="1080" w:right="0" w:firstLine="0"/>
        <w:jc w:val="both"/>
      </w:pPr>
      <w:r>
        <w:rPr>
          <w:color w:val="000000"/>
          <w:spacing w:val="0"/>
          <w:w w:val="100"/>
          <w:position w:val="0"/>
        </w:rPr>
        <w:t>d</w:t>
      </w:r>
      <w:r>
        <w:rPr>
          <w:color w:val="000000"/>
          <w:spacing w:val="0"/>
          <w:w w:val="100"/>
          <w:position w:val="0"/>
        </w:rPr>
        <w:t>起爆网络</w:t>
      </w:r>
    </w:p>
    <w:p>
      <w:pPr>
        <w:pStyle w:val="a5"/>
        <w:keepNext w:val="0"/>
        <w:keepLines w:val="0"/>
        <w:widowControl w:val="0"/>
        <w:shd w:val="clear" w:color="auto" w:fill="auto"/>
        <w:tabs>
          <w:tab w:val="left" w:leader="hyphen" w:pos="2064"/>
        </w:tabs>
        <w:bidi w:val="0"/>
        <w:spacing w:before="0" w:after="0" w:line="706" w:lineRule="exact"/>
        <w:ind w:left="1080" w:right="0" w:firstLine="0"/>
        <w:jc w:val="both"/>
      </w:pPr>
      <w:r>
        <w:rPr>
          <w:color w:val="000000"/>
          <w:spacing w:val="0"/>
          <w:w w:val="100"/>
          <w:position w:val="0"/>
        </w:rPr>
        <w:tab/>
        <w:t>起爆能源和方法</w:t>
      </w:r>
    </w:p>
    <w:p>
      <w:pPr>
        <w:pStyle w:val="a5"/>
        <w:keepNext w:val="0"/>
        <w:keepLines w:val="0"/>
        <w:widowControl w:val="0"/>
        <w:shd w:val="clear" w:color="auto" w:fill="auto"/>
        <w:bidi w:val="0"/>
        <w:spacing w:before="0" w:after="0" w:line="706" w:lineRule="exact"/>
        <w:ind w:left="360" w:right="0" w:firstLine="740"/>
        <w:jc w:val="left"/>
      </w:pPr>
      <w:r>
        <w:rPr>
          <w:color w:val="000000"/>
          <w:spacing w:val="0"/>
          <w:w w:val="100"/>
          <w:position w:val="0"/>
        </w:rPr>
        <w:t>起爆站起爆电源主要用点火机，采用人工操纵、同时起爆的方法起爆。根据 施工现场情况设置交流电源起爆箱作为预备起爆电源。</w:t>
      </w:r>
    </w:p>
    <w:p>
      <w:pPr>
        <w:pStyle w:val="a5"/>
        <w:keepNext w:val="0"/>
        <w:keepLines w:val="0"/>
        <w:widowControl w:val="0"/>
        <w:shd w:val="clear" w:color="auto" w:fill="auto"/>
        <w:tabs>
          <w:tab w:val="left" w:leader="hyphen" w:pos="2064"/>
        </w:tabs>
        <w:bidi w:val="0"/>
        <w:spacing w:before="0" w:after="0" w:line="706" w:lineRule="exact"/>
        <w:ind w:left="1080" w:right="0" w:firstLine="0"/>
        <w:jc w:val="left"/>
      </w:pPr>
      <w:r>
        <w:rPr>
          <w:color w:val="000000"/>
          <w:spacing w:val="0"/>
          <w:w w:val="100"/>
          <w:position w:val="0"/>
        </w:rPr>
        <w:tab/>
        <w:t>起爆网路联接形式和方法</w:t>
      </w:r>
    </w:p>
    <w:p>
      <w:pPr>
        <w:pStyle w:val="a5"/>
        <w:keepNext w:val="0"/>
        <w:keepLines w:val="0"/>
        <w:widowControl w:val="0"/>
        <w:shd w:val="clear" w:color="auto" w:fill="auto"/>
        <w:bidi w:val="0"/>
        <w:spacing w:before="0" w:after="0" w:line="706" w:lineRule="exact"/>
        <w:ind w:left="360" w:right="0" w:firstLine="740"/>
        <w:jc w:val="left"/>
      </w:pPr>
      <w:r>
        <w:rPr>
          <w:color w:val="000000"/>
          <w:spacing w:val="0"/>
          <w:w w:val="100"/>
          <w:position w:val="0"/>
        </w:rPr>
        <w:t>爆破网路主要采用电雷管爆破网络，串联起爆线路。但要严格控制一次起爆 的炮孔数量，在确保起爆总药量的安全控制范围内确定联结的炮孔数量。</w:t>
      </w:r>
    </w:p>
    <w:p>
      <w:pPr>
        <w:pStyle w:val="a5"/>
        <w:keepNext w:val="0"/>
        <w:keepLines w:val="0"/>
        <w:widowControl w:val="0"/>
        <w:numPr>
          <w:ilvl w:val="0"/>
          <w:numId w:val="3"/>
        </w:numPr>
        <w:shd w:val="clear" w:color="auto" w:fill="auto"/>
        <w:bidi w:val="0"/>
        <w:spacing w:before="0" w:after="0" w:line="706" w:lineRule="exact"/>
        <w:ind w:left="1080" w:right="0" w:firstLine="0"/>
        <w:jc w:val="left"/>
      </w:pPr>
      <w:bookmarkStart w:id="63" w:name="bookmark63"/>
      <w:bookmarkEnd w:id="63"/>
      <w:r>
        <w:rPr>
          <w:color w:val="000000"/>
          <w:spacing w:val="0"/>
          <w:w w:val="100"/>
          <w:position w:val="0"/>
        </w:rPr>
        <w:t>爆破安全距离计算</w:t>
      </w:r>
    </w:p>
    <w:p>
      <w:pPr>
        <w:pStyle w:val="a5"/>
        <w:keepNext w:val="0"/>
        <w:keepLines w:val="0"/>
        <w:widowControl w:val="0"/>
        <w:shd w:val="clear" w:color="auto" w:fill="auto"/>
        <w:bidi w:val="0"/>
        <w:spacing w:before="0" w:after="0" w:line="706" w:lineRule="exact"/>
        <w:ind w:left="1080" w:right="0" w:firstLine="0"/>
        <w:jc w:val="left"/>
      </w:pPr>
      <w:r>
        <w:rPr>
          <w:color w:val="000000"/>
          <w:spacing w:val="0"/>
          <w:w w:val="100"/>
          <w:position w:val="0"/>
        </w:rPr>
        <w:t>a</w:t>
      </w:r>
      <w:r>
        <w:rPr>
          <w:color w:val="000000"/>
          <w:spacing w:val="0"/>
          <w:w w:val="100"/>
          <w:position w:val="0"/>
        </w:rPr>
        <w:t>爆破地震效应安全距离</w:t>
      </w:r>
    </w:p>
    <w:p>
      <w:pPr>
        <w:pStyle w:val="a5"/>
        <w:keepNext w:val="0"/>
        <w:keepLines w:val="0"/>
        <w:widowControl w:val="0"/>
        <w:shd w:val="clear" w:color="auto" w:fill="auto"/>
        <w:bidi w:val="0"/>
        <w:spacing w:before="0" w:after="280" w:line="706" w:lineRule="exact"/>
        <w:ind w:left="1080" w:right="0" w:firstLine="0"/>
        <w:jc w:val="left"/>
      </w:pPr>
      <w:r>
        <w:rPr>
          <w:color w:val="000000"/>
          <w:spacing w:val="0"/>
          <w:w w:val="100"/>
          <w:position w:val="0"/>
        </w:rPr>
        <w:t>同一段内炮孔一次起爆允许的最大药量，按下式计算校核：</w:t>
      </w:r>
    </w:p>
    <w:p>
      <w:pPr>
        <w:pStyle w:val="a5"/>
        <w:keepNext w:val="0"/>
        <w:keepLines w:val="0"/>
        <w:widowControl w:val="0"/>
        <w:shd w:val="clear" w:color="auto" w:fill="auto"/>
        <w:bidi w:val="0"/>
        <w:spacing w:before="0" w:after="280" w:line="240" w:lineRule="auto"/>
        <w:ind w:left="1620" w:right="0" w:firstLine="0"/>
        <w:jc w:val="left"/>
      </w:pPr>
      <w:r>
        <w:rPr>
          <w:color w:val="000000"/>
          <w:spacing w:val="0"/>
          <w:w w:val="100"/>
          <w:position w:val="0"/>
        </w:rPr>
        <w:t>Q=R3 （V/k） 3/a</w:t>
      </w:r>
    </w:p>
    <w:p>
      <w:pPr>
        <w:pStyle w:val="a5"/>
        <w:keepNext w:val="0"/>
        <w:keepLines w:val="0"/>
        <w:widowControl w:val="0"/>
        <w:shd w:val="clear" w:color="auto" w:fill="auto"/>
        <w:bidi w:val="0"/>
        <w:spacing w:before="0" w:after="280" w:line="240" w:lineRule="auto"/>
        <w:ind w:left="1620" w:right="0" w:firstLine="0"/>
        <w:jc w:val="left"/>
      </w:pPr>
      <w:r>
        <w:rPr>
          <w:color w:val="000000"/>
          <w:spacing w:val="0"/>
          <w:w w:val="100"/>
          <w:position w:val="0"/>
        </w:rPr>
        <w:t>式中：</w:t>
      </w:r>
      <w:r>
        <w:rPr>
          <w:color w:val="000000"/>
          <w:spacing w:val="0"/>
          <w:w w:val="100"/>
          <w:position w:val="0"/>
        </w:rPr>
        <w:t>Q—</w:t>
      </w:r>
      <w:r>
        <w:rPr>
          <w:color w:val="000000"/>
          <w:spacing w:val="0"/>
          <w:w w:val="100"/>
          <w:position w:val="0"/>
        </w:rPr>
        <w:t>一次起爆允许的最大药量，</w:t>
      </w:r>
      <w:r>
        <w:rPr>
          <w:color w:val="000000"/>
          <w:spacing w:val="0"/>
          <w:w w:val="100"/>
          <w:position w:val="0"/>
        </w:rPr>
        <w:t>Kg；</w:t>
      </w:r>
    </w:p>
    <w:p>
      <w:pPr>
        <w:pStyle w:val="a5"/>
        <w:keepNext w:val="0"/>
        <w:keepLines w:val="0"/>
        <w:widowControl w:val="0"/>
        <w:shd w:val="clear" w:color="auto" w:fill="auto"/>
        <w:bidi w:val="0"/>
        <w:spacing w:before="0" w:after="280" w:line="240" w:lineRule="auto"/>
        <w:ind w:left="0" w:right="0" w:firstLine="880"/>
        <w:jc w:val="both"/>
        <w:sectPr>
          <w:type w:val="nextPage"/>
          <w:pgSz w:w="17861" w:h="25258"/>
          <w:pgMar w:top="1775" w:right="2109" w:bottom="2080" w:left="2336" w:header="0" w:footer="3" w:gutter="0"/>
          <w:pgNumType w:start="14"/>
          <w:cols w:space="720"/>
          <w:noEndnote/>
          <w:titlePg w:val="0"/>
          <w:rtlGutter w:val="0"/>
          <w:docGrid w:linePitch="360"/>
        </w:sectPr>
      </w:pPr>
      <w:r>
        <w:rPr>
          <w:color w:val="000000"/>
          <w:spacing w:val="0"/>
          <w:w w:val="100"/>
          <w:position w:val="0"/>
        </w:rPr>
        <w:t>R一</w:t>
      </w:r>
      <w:r>
        <w:rPr>
          <w:color w:val="000000"/>
          <w:spacing w:val="0"/>
          <w:w w:val="100"/>
          <w:position w:val="0"/>
        </w:rPr>
        <w:t>爆破部位至保护目标的距离，由每次爆破的位置距离而定。</w:t>
      </w:r>
    </w:p>
    <w:p>
      <w:pPr>
        <w:pStyle w:val="a5"/>
        <w:keepNext w:val="0"/>
        <w:keepLines w:val="0"/>
        <w:widowControl w:val="0"/>
        <w:shd w:val="clear" w:color="auto" w:fill="auto"/>
        <w:bidi w:val="0"/>
        <w:spacing w:before="0" w:after="280" w:line="240" w:lineRule="auto"/>
        <w:ind w:left="0" w:right="0" w:firstLine="880"/>
        <w:jc w:val="both"/>
      </w:pPr>
      <w:r>
        <w:rPr>
          <w:color w:val="000000"/>
          <w:spacing w:val="0"/>
          <w:w w:val="100"/>
          <w:position w:val="0"/>
        </w:rPr>
        <w:t>V—</w:t>
      </w:r>
      <w:r>
        <w:rPr>
          <w:color w:val="000000"/>
          <w:spacing w:val="0"/>
          <w:w w:val="100"/>
          <w:position w:val="0"/>
        </w:rPr>
        <w:t>保护目标允许的最大振动速度，</w:t>
      </w:r>
      <w:r>
        <w:rPr>
          <w:color w:val="000000"/>
          <w:spacing w:val="0"/>
          <w:w w:val="100"/>
          <w:position w:val="0"/>
        </w:rPr>
        <w:t>cm/s</w:t>
      </w:r>
      <w:r>
        <w:rPr>
          <w:color w:val="000000"/>
          <w:spacing w:val="0"/>
          <w:w w:val="100"/>
          <w:position w:val="0"/>
        </w:rPr>
        <w:t>，砖混结构建筑取</w:t>
      </w:r>
      <w:r>
        <w:rPr>
          <w:color w:val="000000"/>
          <w:spacing w:val="0"/>
          <w:w w:val="100"/>
          <w:position w:val="0"/>
        </w:rPr>
        <w:t>V=3.00cm/s。</w:t>
      </w:r>
    </w:p>
    <w:p>
      <w:pPr>
        <w:pStyle w:val="a5"/>
        <w:keepNext w:val="0"/>
        <w:keepLines w:val="0"/>
        <w:widowControl w:val="0"/>
        <w:shd w:val="clear" w:color="auto" w:fill="auto"/>
        <w:bidi w:val="0"/>
        <w:spacing w:before="0" w:after="280" w:line="240" w:lineRule="auto"/>
        <w:ind w:left="0" w:right="0" w:firstLine="880"/>
        <w:jc w:val="both"/>
      </w:pPr>
      <w:r>
        <w:rPr>
          <w:color w:val="000000"/>
          <w:spacing w:val="0"/>
          <w:w w:val="100"/>
          <w:position w:val="0"/>
        </w:rPr>
        <w:t>k、</w:t>
      </w:r>
      <w:r>
        <w:rPr>
          <w:rFonts w:ascii="Arial" w:eastAsia="Arial" w:hAnsi="Arial" w:cs="Arial"/>
          <w:color w:val="000000"/>
          <w:spacing w:val="0"/>
          <w:w w:val="100"/>
          <w:position w:val="0"/>
        </w:rPr>
        <w:t xml:space="preserve">a </w:t>
      </w:r>
      <w:r>
        <w:rPr>
          <w:color w:val="000000"/>
          <w:spacing w:val="0"/>
          <w:w w:val="100"/>
          <w:position w:val="0"/>
        </w:rPr>
        <w:t xml:space="preserve">一影响系数，取 </w:t>
      </w:r>
      <w:r>
        <w:rPr>
          <w:color w:val="000000"/>
          <w:spacing w:val="0"/>
          <w:w w:val="100"/>
          <w:position w:val="0"/>
        </w:rPr>
        <w:t>k=250，</w:t>
      </w:r>
      <w:r>
        <w:rPr>
          <w:rFonts w:ascii="Arial" w:eastAsia="Arial" w:hAnsi="Arial" w:cs="Arial"/>
          <w:color w:val="000000"/>
          <w:spacing w:val="0"/>
          <w:w w:val="100"/>
          <w:position w:val="0"/>
        </w:rPr>
        <w:t xml:space="preserve">a </w:t>
      </w:r>
      <w:r>
        <w:rPr>
          <w:color w:val="000000"/>
          <w:spacing w:val="0"/>
          <w:w w:val="100"/>
          <w:position w:val="0"/>
        </w:rPr>
        <w:t>=1.80；</w:t>
      </w:r>
    </w:p>
    <w:p>
      <w:pPr>
        <w:pStyle w:val="a5"/>
        <w:keepNext w:val="0"/>
        <w:keepLines w:val="0"/>
        <w:widowControl w:val="0"/>
        <w:shd w:val="clear" w:color="auto" w:fill="auto"/>
        <w:tabs>
          <w:tab w:val="left" w:pos="2315"/>
        </w:tabs>
        <w:bidi w:val="0"/>
        <w:spacing w:before="0" w:after="280" w:line="240" w:lineRule="auto"/>
        <w:ind w:left="0" w:right="0" w:firstLine="880"/>
        <w:jc w:val="both"/>
      </w:pPr>
      <w:r>
        <w:rPr>
          <w:color w:val="000000"/>
          <w:spacing w:val="0"/>
          <w:w w:val="100"/>
          <w:position w:val="0"/>
        </w:rPr>
        <w:t>表2</w:t>
        <w:tab/>
        <w:t>不同距离一次起爆最大药量控制表</w:t>
      </w:r>
    </w:p>
    <w:tbl>
      <w:tblPr>
        <w:tblStyle w:val="TableNormal"/>
        <w:tblOverlap w:val="never"/>
        <w:jc w:val="center"/>
        <w:tblLayout w:type="fixed"/>
        <w:tblCellMar>
          <w:left w:w="10" w:type="dxa"/>
          <w:right w:w="10" w:type="dxa"/>
        </w:tblCellMar>
      </w:tblPr>
      <w:tblGrid>
        <w:gridCol w:w="1070"/>
        <w:gridCol w:w="1397"/>
        <w:gridCol w:w="1440"/>
        <w:gridCol w:w="1459"/>
        <w:gridCol w:w="1459"/>
        <w:gridCol w:w="1502"/>
        <w:gridCol w:w="1478"/>
        <w:gridCol w:w="1498"/>
        <w:gridCol w:w="1512"/>
      </w:tblGrid>
      <w:tr>
        <w:tblPrEx>
          <w:jc w:val="center"/>
          <w:tblLayout w:type="fixed"/>
          <w:tblCellMar>
            <w:left w:w="10" w:type="dxa"/>
            <w:right w:w="10" w:type="dxa"/>
          </w:tblCellMar>
        </w:tblPrEx>
        <w:trPr>
          <w:trHeight w:hRule="exact" w:val="730"/>
          <w:jc w:val="center"/>
        </w:trPr>
        <w:tc>
          <w:tcPr>
            <w:tcW w:w="107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距离</w:t>
            </w:r>
          </w:p>
        </w:tc>
        <w:tc>
          <w:tcPr>
            <w:tcW w:w="1397"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20m</w:t>
            </w:r>
          </w:p>
        </w:tc>
        <w:tc>
          <w:tcPr>
            <w:tcW w:w="1440"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30m</w:t>
            </w:r>
          </w:p>
        </w:tc>
        <w:tc>
          <w:tcPr>
            <w:tcW w:w="14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40m</w:t>
            </w:r>
          </w:p>
        </w:tc>
        <w:tc>
          <w:tcPr>
            <w:tcW w:w="1459"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50m</w:t>
            </w:r>
          </w:p>
        </w:tc>
        <w:tc>
          <w:tcPr>
            <w:tcW w:w="1502"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60m</w:t>
            </w:r>
          </w:p>
        </w:tc>
        <w:tc>
          <w:tcPr>
            <w:tcW w:w="147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70m</w:t>
            </w:r>
          </w:p>
        </w:tc>
        <w:tc>
          <w:tcPr>
            <w:tcW w:w="1498" w:type="dxa"/>
            <w:tcBorders>
              <w:top w:val="single" w:sz="4" w:space="0" w:color="auto"/>
              <w:lef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80m</w:t>
            </w:r>
          </w:p>
        </w:tc>
        <w:tc>
          <w:tcPr>
            <w:tcW w:w="1512" w:type="dxa"/>
            <w:tcBorders>
              <w:top w:val="single" w:sz="4" w:space="0" w:color="auto"/>
              <w:left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100m</w:t>
            </w:r>
          </w:p>
        </w:tc>
      </w:tr>
      <w:tr>
        <w:tblPrEx>
          <w:jc w:val="center"/>
          <w:tblLayout w:type="fixed"/>
          <w:tblCellMar>
            <w:left w:w="10" w:type="dxa"/>
            <w:right w:w="10" w:type="dxa"/>
          </w:tblCellMar>
        </w:tblPrEx>
        <w:trPr>
          <w:trHeight w:hRule="exact" w:val="730"/>
          <w:jc w:val="center"/>
        </w:trPr>
        <w:tc>
          <w:tcPr>
            <w:tcW w:w="1070"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Q/kg</w:t>
            </w:r>
          </w:p>
        </w:tc>
        <w:tc>
          <w:tcPr>
            <w:tcW w:w="1397"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5.02</w:t>
            </w:r>
          </w:p>
        </w:tc>
        <w:tc>
          <w:tcPr>
            <w:tcW w:w="1440"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260"/>
              <w:jc w:val="left"/>
            </w:pPr>
            <w:r>
              <w:rPr>
                <w:color w:val="000000"/>
                <w:spacing w:val="0"/>
                <w:w w:val="100"/>
                <w:position w:val="0"/>
              </w:rPr>
              <w:t>16.96</w:t>
            </w:r>
          </w:p>
        </w:tc>
        <w:tc>
          <w:tcPr>
            <w:tcW w:w="145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40.19</w:t>
            </w:r>
          </w:p>
        </w:tc>
        <w:tc>
          <w:tcPr>
            <w:tcW w:w="1459"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78.50</w:t>
            </w:r>
          </w:p>
        </w:tc>
        <w:tc>
          <w:tcPr>
            <w:tcW w:w="1502"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135.64</w:t>
            </w:r>
          </w:p>
        </w:tc>
        <w:tc>
          <w:tcPr>
            <w:tcW w:w="1478"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215.40</w:t>
            </w:r>
          </w:p>
        </w:tc>
        <w:tc>
          <w:tcPr>
            <w:tcW w:w="1498" w:type="dxa"/>
            <w:tcBorders>
              <w:top w:val="single" w:sz="4" w:space="0" w:color="auto"/>
              <w:left w:val="single" w:sz="4" w:space="0" w:color="auto"/>
              <w:bottom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321.54</w:t>
            </w:r>
          </w:p>
        </w:tc>
        <w:tc>
          <w:tcPr>
            <w:tcW w:w="1512" w:type="dxa"/>
            <w:tcBorders>
              <w:top w:val="single" w:sz="4" w:space="0" w:color="auto"/>
              <w:left w:val="single" w:sz="4" w:space="0" w:color="auto"/>
              <w:bottom w:val="single" w:sz="4" w:space="0" w:color="auto"/>
              <w:right w:val="single" w:sz="4" w:space="0" w:color="auto"/>
            </w:tcBorders>
            <w:shd w:val="clear" w:color="auto" w:fill="FFFFFF"/>
            <w:vAlign w:val="top"/>
          </w:tcPr>
          <w:p>
            <w:pPr>
              <w:pStyle w:val="a7"/>
              <w:keepNext w:val="0"/>
              <w:keepLines w:val="0"/>
              <w:widowControl w:val="0"/>
              <w:shd w:val="clear" w:color="auto" w:fill="auto"/>
              <w:bidi w:val="0"/>
              <w:spacing w:before="0" w:after="0" w:line="240" w:lineRule="auto"/>
              <w:ind w:left="0" w:right="0" w:firstLine="0"/>
              <w:jc w:val="center"/>
            </w:pPr>
            <w:r>
              <w:rPr>
                <w:color w:val="000000"/>
                <w:spacing w:val="0"/>
                <w:w w:val="100"/>
                <w:position w:val="0"/>
              </w:rPr>
              <w:t>428.00</w:t>
            </w:r>
          </w:p>
        </w:tc>
      </w:tr>
    </w:tbl>
    <w:p>
      <w:pPr>
        <w:pStyle w:val="a6"/>
        <w:keepNext w:val="0"/>
        <w:keepLines w:val="0"/>
        <w:widowControl w:val="0"/>
        <w:shd w:val="clear" w:color="auto" w:fill="auto"/>
        <w:bidi w:val="0"/>
        <w:spacing w:before="0" w:after="0" w:line="240" w:lineRule="auto"/>
        <w:ind w:left="878" w:right="0" w:firstLine="0"/>
        <w:jc w:val="left"/>
      </w:pPr>
      <w:r>
        <w:rPr>
          <w:color w:val="000000"/>
          <w:spacing w:val="0"/>
          <w:w w:val="100"/>
          <w:position w:val="0"/>
        </w:rPr>
        <w:t>b</w:t>
      </w:r>
      <w:r>
        <w:rPr>
          <w:color w:val="000000"/>
          <w:spacing w:val="0"/>
          <w:w w:val="100"/>
          <w:position w:val="0"/>
        </w:rPr>
        <w:t>爆破空气冲击波的安全距离</w:t>
      </w:r>
    </w:p>
    <w:p>
      <w:pPr>
        <w:widowControl w:val="0"/>
        <w:spacing w:after="279" w:line="1" w:lineRule="exact"/>
      </w:pPr>
    </w:p>
    <w:p>
      <w:pPr>
        <w:pStyle w:val="a5"/>
        <w:keepNext w:val="0"/>
        <w:keepLines w:val="0"/>
        <w:widowControl w:val="0"/>
        <w:shd w:val="clear" w:color="auto" w:fill="auto"/>
        <w:bidi w:val="0"/>
        <w:spacing w:before="0" w:after="0" w:line="240" w:lineRule="auto"/>
        <w:ind w:left="0" w:right="0" w:firstLine="880"/>
        <w:jc w:val="both"/>
      </w:pPr>
      <w:r>
        <w:rPr>
          <w:color w:val="000000"/>
          <w:spacing w:val="0"/>
          <w:w w:val="100"/>
          <w:position w:val="0"/>
        </w:rPr>
        <w:t>爆破空气冲击波的安全距离由按下式计算:</w:t>
      </w:r>
    </w:p>
    <w:p>
      <w:pPr>
        <w:pStyle w:val="a5"/>
        <w:keepNext w:val="0"/>
        <w:keepLines w:val="0"/>
        <w:widowControl w:val="0"/>
        <w:shd w:val="clear" w:color="auto" w:fill="auto"/>
        <w:bidi w:val="0"/>
        <w:spacing w:before="0" w:after="0" w:line="702" w:lineRule="exact"/>
        <w:ind w:left="1960" w:right="0" w:firstLine="0"/>
        <w:jc w:val="both"/>
      </w:pPr>
      <w:r>
        <w:rPr>
          <w:color w:val="000000"/>
          <w:spacing w:val="0"/>
          <w:w w:val="100"/>
          <w:position w:val="0"/>
        </w:rPr>
        <w:t>RC=KCQ1/2</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式中：</w:t>
      </w:r>
      <w:r>
        <w:rPr>
          <w:color w:val="000000"/>
          <w:spacing w:val="0"/>
          <w:w w:val="100"/>
          <w:position w:val="0"/>
        </w:rPr>
        <w:t>RC一</w:t>
      </w:r>
      <w:r>
        <w:rPr>
          <w:color w:val="000000"/>
          <w:spacing w:val="0"/>
          <w:w w:val="100"/>
          <w:position w:val="0"/>
        </w:rPr>
        <w:t>爆破空气冲击波的安全距离，</w:t>
      </w:r>
      <w:r>
        <w:rPr>
          <w:color w:val="000000"/>
          <w:spacing w:val="0"/>
          <w:w w:val="100"/>
          <w:position w:val="0"/>
        </w:rPr>
        <w:t>m；</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KC一</w:t>
      </w:r>
      <w:r>
        <w:rPr>
          <w:color w:val="000000"/>
          <w:spacing w:val="0"/>
          <w:w w:val="100"/>
          <w:position w:val="0"/>
        </w:rPr>
        <w:t>系数。在玻璃偶然破坏的条件下，取</w:t>
      </w:r>
      <w:r>
        <w:rPr>
          <w:color w:val="000000"/>
          <w:spacing w:val="0"/>
          <w:w w:val="100"/>
          <w:position w:val="0"/>
        </w:rPr>
        <w:t>KC=2；</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Q—</w:t>
      </w:r>
      <w:r>
        <w:rPr>
          <w:color w:val="000000"/>
          <w:spacing w:val="0"/>
          <w:w w:val="100"/>
          <w:position w:val="0"/>
        </w:rPr>
        <w:t>一次起爆的药量，</w:t>
      </w:r>
      <w:r>
        <w:rPr>
          <w:color w:val="000000"/>
          <w:spacing w:val="0"/>
          <w:w w:val="100"/>
          <w:position w:val="0"/>
        </w:rPr>
        <w:t>428Kg。</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经计算</w:t>
      </w:r>
      <w:r>
        <w:rPr>
          <w:color w:val="000000"/>
          <w:spacing w:val="0"/>
          <w:w w:val="100"/>
          <w:position w:val="0"/>
        </w:rPr>
        <w:t>RC^50.0m</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c</w:t>
      </w:r>
      <w:r>
        <w:rPr>
          <w:color w:val="000000"/>
          <w:spacing w:val="0"/>
          <w:w w:val="100"/>
          <w:position w:val="0"/>
        </w:rPr>
        <w:t>个别爆破飞石的安全距离</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个别爆破飞石的安全距离，按下式计算：</w:t>
      </w:r>
    </w:p>
    <w:p>
      <w:pPr>
        <w:pStyle w:val="a5"/>
        <w:keepNext w:val="0"/>
        <w:keepLines w:val="0"/>
        <w:widowControl w:val="0"/>
        <w:shd w:val="clear" w:color="auto" w:fill="auto"/>
        <w:bidi w:val="0"/>
        <w:spacing w:before="0" w:after="0" w:line="702" w:lineRule="exact"/>
        <w:ind w:left="1780" w:right="0" w:firstLine="0"/>
        <w:jc w:val="left"/>
      </w:pPr>
      <w:r>
        <w:rPr>
          <w:color w:val="000000"/>
          <w:spacing w:val="0"/>
          <w:w w:val="100"/>
          <w:position w:val="0"/>
        </w:rPr>
        <w:t>Rf=40n2W</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式中：</w:t>
      </w:r>
      <w:r>
        <w:rPr>
          <w:color w:val="000000"/>
          <w:spacing w:val="0"/>
          <w:w w:val="100"/>
          <w:position w:val="0"/>
        </w:rPr>
        <w:t>Rf</w:t>
      </w:r>
      <w:r>
        <w:rPr>
          <w:color w:val="000000"/>
          <w:spacing w:val="0"/>
          <w:w w:val="100"/>
          <w:position w:val="0"/>
        </w:rPr>
        <w:t>一个别爆破飞石的安全距离，</w:t>
      </w:r>
      <w:r>
        <w:rPr>
          <w:color w:val="000000"/>
          <w:spacing w:val="0"/>
          <w:w w:val="100"/>
          <w:position w:val="0"/>
        </w:rPr>
        <w:t>m</w:t>
      </w:r>
    </w:p>
    <w:p>
      <w:pPr>
        <w:pStyle w:val="a5"/>
        <w:keepNext w:val="0"/>
        <w:keepLines w:val="0"/>
        <w:widowControl w:val="0"/>
        <w:shd w:val="clear" w:color="auto" w:fill="auto"/>
        <w:bidi w:val="0"/>
        <w:spacing w:before="0" w:after="0" w:line="702" w:lineRule="exact"/>
        <w:ind w:left="1960" w:right="0" w:firstLine="0"/>
        <w:jc w:val="both"/>
      </w:pPr>
      <w:r>
        <w:rPr>
          <w:color w:val="000000"/>
          <w:spacing w:val="0"/>
          <w:w w:val="100"/>
          <w:position w:val="0"/>
        </w:rPr>
        <w:t>n一</w:t>
      </w:r>
      <w:r>
        <w:rPr>
          <w:color w:val="000000"/>
          <w:spacing w:val="0"/>
          <w:w w:val="100"/>
          <w:position w:val="0"/>
        </w:rPr>
        <w:t>爆破作用指数；</w:t>
      </w:r>
    </w:p>
    <w:p>
      <w:pPr>
        <w:pStyle w:val="a5"/>
        <w:keepNext w:val="0"/>
        <w:keepLines w:val="0"/>
        <w:widowControl w:val="0"/>
        <w:shd w:val="clear" w:color="auto" w:fill="auto"/>
        <w:bidi w:val="0"/>
        <w:spacing w:before="0" w:after="0" w:line="702" w:lineRule="exact"/>
        <w:ind w:left="1960" w:right="0" w:firstLine="0"/>
        <w:jc w:val="both"/>
      </w:pPr>
      <w:r>
        <w:rPr>
          <w:color w:val="000000"/>
          <w:spacing w:val="0"/>
          <w:w w:val="100"/>
          <w:position w:val="0"/>
        </w:rPr>
        <w:t>W</w:t>
      </w:r>
      <w:r>
        <w:rPr>
          <w:color w:val="000000"/>
          <w:spacing w:val="0"/>
          <w:w w:val="100"/>
          <w:position w:val="0"/>
        </w:rPr>
        <w:t>一最小抵抗线，</w:t>
      </w:r>
      <w:r>
        <w:rPr>
          <w:color w:val="000000"/>
          <w:spacing w:val="0"/>
          <w:w w:val="100"/>
          <w:position w:val="0"/>
        </w:rPr>
        <w:t>m。</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经计算：</w:t>
      </w:r>
      <w:r>
        <w:rPr>
          <w:color w:val="000000"/>
          <w:spacing w:val="0"/>
          <w:w w:val="100"/>
          <w:position w:val="0"/>
        </w:rPr>
        <w:t>Rf=40n2W=40X0.752X 1.5^34m</w:t>
      </w:r>
    </w:p>
    <w:p>
      <w:pPr>
        <w:pStyle w:val="a5"/>
        <w:keepNext w:val="0"/>
        <w:keepLines w:val="0"/>
        <w:widowControl w:val="0"/>
        <w:shd w:val="clear" w:color="auto" w:fill="auto"/>
        <w:bidi w:val="0"/>
        <w:spacing w:before="0" w:after="0" w:line="702" w:lineRule="exact"/>
        <w:ind w:left="0" w:right="0" w:firstLine="880"/>
        <w:jc w:val="both"/>
      </w:pPr>
      <w:r>
        <w:rPr>
          <w:color w:val="000000"/>
          <w:spacing w:val="0"/>
          <w:w w:val="100"/>
          <w:position w:val="0"/>
        </w:rPr>
        <w:t>从以上爆破有害效应安全距离计算结果，在爆破施工中要注意以下问题：</w:t>
      </w:r>
    </w:p>
    <w:p>
      <w:pPr>
        <w:pStyle w:val="a5"/>
        <w:keepNext w:val="0"/>
        <w:keepLines w:val="0"/>
        <w:widowControl w:val="0"/>
        <w:numPr>
          <w:ilvl w:val="0"/>
          <w:numId w:val="4"/>
        </w:numPr>
        <w:shd w:val="clear" w:color="auto" w:fill="auto"/>
        <w:tabs>
          <w:tab w:val="left" w:pos="1411"/>
        </w:tabs>
        <w:bidi w:val="0"/>
        <w:spacing w:before="0" w:after="0" w:line="768" w:lineRule="exact"/>
        <w:ind w:left="160" w:right="0" w:firstLine="720"/>
        <w:jc w:val="both"/>
      </w:pPr>
      <w:bookmarkStart w:id="64" w:name="bookmark64"/>
      <w:bookmarkEnd w:id="64"/>
      <w:r>
        <w:rPr>
          <w:color w:val="000000"/>
          <w:spacing w:val="0"/>
          <w:w w:val="100"/>
          <w:position w:val="0"/>
        </w:rPr>
        <w:t>本工程在爆破安全上对周围建筑物的危害主要是爆破震动。在爆破施工作 业中要根据各施工地段认真计算装药量，特别要严格控制一次起爆最大装药量。</w:t>
      </w:r>
    </w:p>
    <w:p>
      <w:pPr>
        <w:pStyle w:val="a5"/>
        <w:keepNext w:val="0"/>
        <w:keepLines w:val="0"/>
        <w:widowControl w:val="0"/>
        <w:numPr>
          <w:ilvl w:val="0"/>
          <w:numId w:val="4"/>
        </w:numPr>
        <w:shd w:val="clear" w:color="auto" w:fill="auto"/>
        <w:tabs>
          <w:tab w:val="left" w:pos="1411"/>
        </w:tabs>
        <w:bidi w:val="0"/>
        <w:spacing w:before="0" w:after="0" w:line="702" w:lineRule="exact"/>
        <w:ind w:left="160" w:right="0" w:firstLine="720"/>
        <w:jc w:val="both"/>
      </w:pPr>
      <w:bookmarkStart w:id="65" w:name="bookmark65"/>
      <w:bookmarkEnd w:id="65"/>
      <w:r>
        <w:rPr>
          <w:color w:val="000000"/>
          <w:spacing w:val="0"/>
          <w:w w:val="100"/>
          <w:position w:val="0"/>
        </w:rPr>
        <w:t>爆破飞石的控制。在施工中，爆破飞石产生的主要原因一是爆破抵抗线改 变、遇到岩石结构薄弱层（土夹层、溶洞、裂缝等），二是炮孔堵塞不符合设计 要求或不堵塞炮孔而产生冲炮。因此，爆破员在布置炮孔时必须对当前爆破部位 的地质状况进行检查和分析，正确布置炮孔，避开岩石结构薄弱层（土夹层、溶 洞、裂缝等），同时加强炮孔堵塞质量。</w:t>
      </w:r>
    </w:p>
    <w:p>
      <w:pPr>
        <w:pStyle w:val="a5"/>
        <w:keepNext w:val="0"/>
        <w:keepLines w:val="0"/>
        <w:widowControl w:val="0"/>
        <w:numPr>
          <w:ilvl w:val="0"/>
          <w:numId w:val="4"/>
        </w:numPr>
        <w:shd w:val="clear" w:color="auto" w:fill="auto"/>
        <w:bidi w:val="0"/>
        <w:spacing w:before="0" w:after="0" w:line="706" w:lineRule="exact"/>
        <w:ind w:left="160" w:right="0" w:firstLine="720"/>
        <w:jc w:val="both"/>
      </w:pPr>
      <w:bookmarkStart w:id="66" w:name="bookmark66"/>
      <w:bookmarkEnd w:id="66"/>
      <w:r>
        <w:rPr>
          <w:color w:val="000000"/>
          <w:spacing w:val="0"/>
          <w:w w:val="100"/>
          <w:position w:val="0"/>
        </w:rPr>
        <w:t>爆破警戒范围。浅孔爆破施工时警戒范围控制在</w:t>
      </w:r>
      <w:r>
        <w:rPr>
          <w:color w:val="000000"/>
          <w:spacing w:val="0"/>
          <w:w w:val="100"/>
          <w:position w:val="0"/>
        </w:rPr>
        <w:t>100m</w:t>
      </w:r>
      <w:r>
        <w:rPr>
          <w:color w:val="000000"/>
          <w:spacing w:val="0"/>
          <w:w w:val="100"/>
          <w:position w:val="0"/>
        </w:rPr>
        <w:t xml:space="preserve">以内，如采用中深 孔施工时，由于中深孔爆破一次起爆装药量大，一旦以生冲炮，危害范围较广， </w:t>
      </w:r>
      <w:r>
        <w:rPr>
          <w:color w:val="000000"/>
          <w:spacing w:val="0"/>
          <w:w w:val="100"/>
          <w:position w:val="0"/>
        </w:rPr>
        <w:t>因此，为安全起见，每次爆破警戒范围应扩大到</w:t>
      </w:r>
      <w:r>
        <w:rPr>
          <w:color w:val="000000"/>
          <w:spacing w:val="0"/>
          <w:w w:val="100"/>
          <w:position w:val="0"/>
        </w:rPr>
        <w:t>200m</w:t>
      </w:r>
      <w:r>
        <w:rPr>
          <w:color w:val="000000"/>
          <w:spacing w:val="0"/>
          <w:w w:val="100"/>
          <w:position w:val="0"/>
        </w:rPr>
        <w:t>以上，特别要注意工地内</w:t>
      </w:r>
      <w:r>
        <w:br/>
      </w:r>
      <w:r>
        <w:br/>
      </w:r>
    </w:p>
    <w:p>
      <w:pPr>
        <w:keepNext w:val="0"/>
        <w:keepLines w:val="0"/>
        <w:widowControl/>
        <w:shd w:val="clear" w:color="auto" w:fill="auto"/>
        <w:bidi w:val="0"/>
        <w:spacing w:before="0" w:after="0" w:line="240" w:lineRule="auto"/>
        <w:ind w:left="0" w:right="0" w:firstLine="0"/>
        <w:jc w:val="left"/>
        <w:rPr>
          <w:rFonts w:ascii="SimSun" w:eastAsia="SimSun" w:hAnsi="SimSun" w:cs="SimSun"/>
          <w:b/>
          <w:bCs/>
          <w:spacing w:val="0"/>
          <w:w w:val="100"/>
          <w:position w:val="0"/>
          <w:sz w:val="30"/>
          <w:szCs w:val="30"/>
          <w:shd w:val="clear" w:color="auto" w:fill="auto"/>
        </w:rPr>
      </w:pPr>
      <w:r>
        <w:rPr>
          <w:rFonts w:ascii="SimSun" w:eastAsia="SimSun" w:hAnsi="SimSun" w:cs="SimSun"/>
          <w:b/>
          <w:bCs/>
          <w:spacing w:val="0"/>
          <w:w w:val="100"/>
          <w:position w:val="0"/>
          <w:sz w:val="30"/>
          <w:szCs w:val="30"/>
          <w:shd w:val="clear" w:color="auto" w:fill="auto"/>
        </w:rPr>
        <w:t>以上内容仅为本文档的试下载部分，为可阅读页数的一半内容。如要下载或阅读全文，请访问：</w:t>
      </w:r>
      <w:hyperlink r:id="rId11" w:history="1">
        <w:r>
          <w:rPr>
            <w:rFonts w:ascii="SimSun" w:eastAsia="SimSun" w:hAnsi="SimSun" w:cs="SimSun"/>
            <w:b/>
            <w:bCs/>
            <w:color w:val="0000EE"/>
            <w:spacing w:val="0"/>
            <w:w w:val="100"/>
            <w:position w:val="0"/>
            <w:sz w:val="30"/>
            <w:szCs w:val="30"/>
            <w:u w:val="single" w:color="0000EE"/>
            <w:shd w:val="clear" w:color="auto" w:fill="auto"/>
          </w:rPr>
          <w:t>https://d.book118.com/077010103045006035</w:t>
        </w:r>
      </w:hyperlink>
    </w:p>
    <w:p>
      <w:pPr>
        <w:pStyle w:val="a5"/>
        <w:keepNext w:val="0"/>
        <w:keepLines w:val="0"/>
        <w:widowControl w:val="0"/>
        <w:numPr>
          <w:ilvl w:val="0"/>
          <w:numId w:val="4"/>
        </w:numPr>
        <w:shd w:val="clear" w:color="auto" w:fill="auto"/>
        <w:bidi w:val="0"/>
        <w:spacing w:before="0" w:after="0" w:line="706" w:lineRule="exact"/>
        <w:ind w:left="160" w:right="0" w:firstLine="720"/>
        <w:jc w:val="both"/>
      </w:pPr>
    </w:p>
    <w:sectPr>
      <w:type w:val="nextPage"/>
      <w:pgSz w:w="17861" w:h="25258"/>
      <w:pgMar w:top="1775" w:right="2109" w:bottom="2080" w:left="2336" w:header="0" w:footer="3" w:gutter="0"/>
      <w:pgNumType w:start="15"/>
      <w:cols w:space="720"/>
      <w:noEndnote/>
      <w:titlePg w:val="0"/>
      <w:rtlGutter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F64775"/>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
    <w:nsid w:val="112613C8"/>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
    <w:nsid w:val="1397CFDB"/>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3">
    <w:nsid w:val="1C095E9D"/>
    <w:multiLevelType w:val="multilevel"/>
    <w:tmpl w:val="00000000"/>
    <w:lvl w:ilvl="0">
      <w:start w:val="3"/>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4">
    <w:nsid w:val="1C34EBD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5">
    <w:nsid w:val="1FF55979"/>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6">
    <w:nsid w:val="21232884"/>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7">
    <w:nsid w:val="32D70292"/>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8">
    <w:nsid w:val="3946431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9">
    <w:nsid w:val="3A07ECD0"/>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0">
    <w:nsid w:val="3B91D71D"/>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1">
    <w:nsid w:val="405978DD"/>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2">
    <w:nsid w:val="40B4CB2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3">
    <w:nsid w:val="428894DC"/>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4">
    <w:nsid w:val="428ED2B7"/>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5">
    <w:nsid w:val="4EC74EFA"/>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6">
    <w:nsid w:val="662FE7F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7">
    <w:nsid w:val="68255C49"/>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8">
    <w:nsid w:val="74AB8B4E"/>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19">
    <w:nsid w:val="794A23A3"/>
    <w:multiLevelType w:val="multilevel"/>
    <w:tmpl w:val="00000000"/>
    <w:lvl w:ilvl="0">
      <w:start w:val="2"/>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0">
    <w:nsid w:val="7ED7DB15"/>
    <w:multiLevelType w:val="multilevel"/>
    <w:tmpl w:val="00000000"/>
    <w:lvl w:ilvl="0">
      <w:start w:val="1"/>
      <w:numFmt w:val="decimal"/>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abstractNum w:abstractNumId="21">
    <w:nsid w:val="7FC84C3F"/>
    <w:multiLevelType w:val="multilevel"/>
    <w:tmpl w:val="00000000"/>
    <w:lvl w:ilvl="0">
      <w:start w:val="1"/>
      <w:numFmt w:val="decimalEnclosedCircle"/>
      <w:lvlText w:val="%1"/>
      <w:lvlJc w:val="left"/>
      <w:rPr>
        <w:rFonts w:ascii="SimSun" w:eastAsia="SimSun" w:hAnsi="SimSun" w:cs="SimSun"/>
        <w:b w:val="0"/>
        <w:bCs w:val="0"/>
        <w:i w:val="0"/>
        <w:iCs w:val="0"/>
        <w:smallCaps w:val="0"/>
        <w:strike w:val="0"/>
        <w:color w:val="000000"/>
        <w:spacing w:val="0"/>
        <w:w w:val="100"/>
        <w:position w:val="0"/>
        <w:sz w:val="36"/>
        <w:szCs w:val="36"/>
        <w:u w:val="none"/>
        <w:shd w:val="clear" w:color="auto" w:fill="auto"/>
      </w:rPr>
    </w:lvl>
    <w:lvl w:ilvl="1">
      <w:start w:val="1"/>
      <w:numFmt w:val="decimal"/>
      <w:lvlJc w:val="left"/>
    </w:lvl>
    <w:lvl w:ilvl="2">
      <w:start w:val="1"/>
      <w:numFmt w:val="decimal"/>
      <w:lvlJc w:val="left"/>
    </w:lvl>
    <w:lvl w:ilvl="3">
      <w:start w:val="1"/>
      <w:numFmt w:val="decimal"/>
      <w:lvlJc w:val="left"/>
    </w:lvl>
    <w:lvl w:ilvl="4">
      <w:start w:val="1"/>
      <w:numFmt w:val="decimal"/>
      <w:lvlJc w:val="left"/>
    </w:lvl>
    <w:lvl w:ilvl="5">
      <w:start w:val="1"/>
      <w:numFmt w:val="decimal"/>
      <w:lvlJc w:val="left"/>
    </w:lvl>
    <w:lvl w:ilvl="6">
      <w:start w:val="1"/>
      <w:numFmt w:val="decimal"/>
      <w:lvlJc w:val="left"/>
    </w:lvl>
    <w:lvl w:ilvl="7">
      <w:start w:val="1"/>
      <w:numFmt w:val="decimal"/>
      <w:lvlJc w:val="left"/>
    </w:lvl>
    <w:lvl w:ilvl="8">
      <w:start w:val="1"/>
      <w:numFmt w:val="decimal"/>
      <w:lvlJc w:val="left"/>
    </w:lvl>
  </w:abstractNum>
  <w:num w:numId="1">
    <w:abstractNumId w:val="16"/>
  </w:num>
  <w:num w:numId="2">
    <w:abstractNumId w:val="11"/>
  </w:num>
  <w:num w:numId="3">
    <w:abstractNumId w:val="4"/>
  </w:num>
  <w:num w:numId="4">
    <w:abstractNumId w:val="14"/>
  </w:num>
  <w:num w:numId="5">
    <w:abstractNumId w:val="2"/>
  </w:num>
  <w:num w:numId="6">
    <w:abstractNumId w:val="19"/>
  </w:num>
  <w:num w:numId="7">
    <w:abstractNumId w:val="12"/>
  </w:num>
  <w:num w:numId="8">
    <w:abstractNumId w:val="15"/>
  </w:num>
  <w:num w:numId="9">
    <w:abstractNumId w:val="17"/>
  </w:num>
  <w:num w:numId="10">
    <w:abstractNumId w:val="3"/>
  </w:num>
  <w:num w:numId="11">
    <w:abstractNumId w:val="10"/>
  </w:num>
  <w:num w:numId="12">
    <w:abstractNumId w:val="8"/>
  </w:num>
  <w:num w:numId="13">
    <w:abstractNumId w:val="21"/>
  </w:num>
  <w:num w:numId="14">
    <w:abstractNumId w:val="5"/>
  </w:num>
  <w:num w:numId="15">
    <w:abstractNumId w:val="7"/>
  </w:num>
  <w:num w:numId="16">
    <w:abstractNumId w:val="6"/>
  </w:num>
  <w:num w:numId="17">
    <w:abstractNumId w:val="9"/>
  </w:num>
  <w:num w:numId="18">
    <w:abstractNumId w:val="1"/>
  </w:num>
  <w:num w:numId="19">
    <w:abstractNumId w:val="13"/>
  </w:num>
  <w:num w:numId="20">
    <w:abstractNumId w:val="20"/>
  </w:num>
  <w:num w:numId="21">
    <w:abstractNumId w:val="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defaultTabStop w:val="720"/>
  <w:drawingGridHorizontalSpacing w:val="181"/>
  <w:drawingGridVerticalSpacing w:val="181"/>
  <w:characterSpacingControl w:val="compressPunctuation"/>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en-US" w:eastAsia="en-US" w:bidi="en-US"/>
      </w:rPr>
    </w:rPrDefault>
    <w:pPrDefault>
      <w:pPr>
        <w:keepNext w:val="0"/>
        <w:keepLines w:val="0"/>
        <w:widowControl w:val="0"/>
        <w:shd w:val="clear" w:color="auto" w:fill="auto"/>
        <w:bidi w:val="0"/>
        <w:spacing w:before="0" w:after="0" w:line="240" w:lineRule="auto"/>
        <w:ind w:left="0" w:right="0" w:firstLine="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rPr>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a">
    <w:name w:val="目录_"/>
    <w:basedOn w:val="DefaultParagraphFont"/>
    <w:link w:val="a4"/>
    <w:rPr>
      <w:rFonts w:ascii="SimSun" w:eastAsia="SimSun" w:hAnsi="SimSun" w:cs="SimSun"/>
      <w:b w:val="0"/>
      <w:bCs w:val="0"/>
      <w:i w:val="0"/>
      <w:iCs w:val="0"/>
      <w:smallCaps w:val="0"/>
      <w:strike w:val="0"/>
      <w:sz w:val="42"/>
      <w:szCs w:val="42"/>
      <w:u w:val="none"/>
      <w:shd w:val="clear" w:color="auto" w:fill="auto"/>
    </w:rPr>
  </w:style>
  <w:style w:type="character" w:customStyle="1" w:styleId="1">
    <w:name w:val="标题 #1_"/>
    <w:basedOn w:val="DefaultParagraphFont"/>
    <w:link w:val="10"/>
    <w:rPr>
      <w:rFonts w:ascii="SimSun" w:eastAsia="SimSun" w:hAnsi="SimSun" w:cs="SimSun"/>
      <w:b/>
      <w:bCs/>
      <w:i w:val="0"/>
      <w:iCs w:val="0"/>
      <w:smallCaps w:val="0"/>
      <w:strike w:val="0"/>
      <w:sz w:val="42"/>
      <w:szCs w:val="42"/>
      <w:u w:val="none"/>
      <w:shd w:val="clear" w:color="auto" w:fill="auto"/>
    </w:rPr>
  </w:style>
  <w:style w:type="character" w:customStyle="1" w:styleId="3">
    <w:name w:val="标题 #3_"/>
    <w:basedOn w:val="DefaultParagraphFont"/>
    <w:link w:val="30"/>
    <w:rPr>
      <w:rFonts w:ascii="SimSun" w:eastAsia="SimSun" w:hAnsi="SimSun" w:cs="SimSun"/>
      <w:b/>
      <w:bCs/>
      <w:i w:val="0"/>
      <w:iCs w:val="0"/>
      <w:smallCaps w:val="0"/>
      <w:strike w:val="0"/>
      <w:sz w:val="36"/>
      <w:szCs w:val="36"/>
      <w:u w:val="none"/>
      <w:shd w:val="clear" w:color="auto" w:fill="auto"/>
    </w:rPr>
  </w:style>
  <w:style w:type="character" w:customStyle="1" w:styleId="a0">
    <w:name w:val="正文文本_"/>
    <w:basedOn w:val="DefaultParagraphFont"/>
    <w:link w:val="a5"/>
    <w:rPr>
      <w:rFonts w:ascii="SimSun" w:eastAsia="SimSun" w:hAnsi="SimSun" w:cs="SimSun"/>
      <w:bCs w:val="0"/>
      <w:smallCaps w:val="0"/>
      <w:sz w:val="36"/>
      <w:szCs w:val="36"/>
      <w:u w:val="none"/>
      <w:shd w:val="clear" w:color="auto" w:fill="auto"/>
    </w:rPr>
  </w:style>
  <w:style w:type="character" w:customStyle="1" w:styleId="a1">
    <w:name w:val="表格标题_"/>
    <w:basedOn w:val="DefaultParagraphFont"/>
    <w:link w:val="a6"/>
    <w:rPr>
      <w:rFonts w:ascii="SimSun" w:eastAsia="SimSun" w:hAnsi="SimSun" w:cs="SimSun"/>
      <w:b w:val="0"/>
      <w:bCs w:val="0"/>
      <w:i w:val="0"/>
      <w:iCs w:val="0"/>
      <w:smallCaps w:val="0"/>
      <w:strike w:val="0"/>
      <w:sz w:val="36"/>
      <w:szCs w:val="36"/>
      <w:u w:val="none"/>
      <w:shd w:val="clear" w:color="auto" w:fill="auto"/>
    </w:rPr>
  </w:style>
  <w:style w:type="character" w:customStyle="1" w:styleId="a2">
    <w:name w:val="其他_"/>
    <w:basedOn w:val="DefaultParagraphFont"/>
    <w:link w:val="a7"/>
    <w:rPr>
      <w:rFonts w:ascii="SimSun" w:eastAsia="SimSun" w:hAnsi="SimSun" w:cs="SimSun"/>
      <w:b w:val="0"/>
      <w:bCs w:val="0"/>
      <w:i w:val="0"/>
      <w:iCs w:val="0"/>
      <w:smallCaps w:val="0"/>
      <w:strike w:val="0"/>
      <w:sz w:val="36"/>
      <w:szCs w:val="36"/>
      <w:u w:val="none"/>
      <w:shd w:val="clear" w:color="auto" w:fill="auto"/>
    </w:rPr>
  </w:style>
  <w:style w:type="character" w:customStyle="1" w:styleId="a3">
    <w:name w:val="图片标题_"/>
    <w:basedOn w:val="DefaultParagraphFont"/>
    <w:link w:val="a8"/>
    <w:rPr>
      <w:rFonts w:ascii="SimSun" w:eastAsia="SimSun" w:hAnsi="SimSun" w:cs="SimSun"/>
      <w:b w:val="0"/>
      <w:bCs w:val="0"/>
      <w:i w:val="0"/>
      <w:iCs w:val="0"/>
      <w:smallCaps w:val="0"/>
      <w:strike w:val="0"/>
      <w:sz w:val="36"/>
      <w:szCs w:val="36"/>
      <w:u w:val="none"/>
      <w:shd w:val="clear" w:color="auto" w:fill="auto"/>
    </w:rPr>
  </w:style>
  <w:style w:type="character" w:customStyle="1" w:styleId="2">
    <w:name w:val="标题 #2_"/>
    <w:basedOn w:val="DefaultParagraphFont"/>
    <w:link w:val="21"/>
    <w:rPr>
      <w:rFonts w:ascii="SimSun" w:eastAsia="SimSun" w:hAnsi="SimSun" w:cs="SimSun"/>
      <w:b w:val="0"/>
      <w:bCs w:val="0"/>
      <w:i w:val="0"/>
      <w:iCs w:val="0"/>
      <w:smallCaps w:val="0"/>
      <w:strike w:val="0"/>
      <w:sz w:val="42"/>
      <w:szCs w:val="42"/>
      <w:u w:val="none"/>
      <w:shd w:val="clear" w:color="auto" w:fill="auto"/>
    </w:rPr>
  </w:style>
  <w:style w:type="character" w:customStyle="1" w:styleId="20">
    <w:name w:val="正文文本 (2)_"/>
    <w:basedOn w:val="DefaultParagraphFont"/>
    <w:link w:val="22"/>
    <w:rPr>
      <w:rFonts w:ascii="SimSun" w:eastAsia="SimSun" w:hAnsi="SimSun" w:cs="SimSun"/>
      <w:b w:val="0"/>
      <w:bCs w:val="0"/>
      <w:i w:val="0"/>
      <w:iCs w:val="0"/>
      <w:smallCaps w:val="0"/>
      <w:strike w:val="0"/>
      <w:sz w:val="40"/>
      <w:szCs w:val="40"/>
      <w:u w:val="none"/>
      <w:shd w:val="clear" w:color="auto" w:fill="auto"/>
    </w:rPr>
  </w:style>
  <w:style w:type="character" w:customStyle="1" w:styleId="5">
    <w:name w:val="正文文本 (5)_"/>
    <w:basedOn w:val="DefaultParagraphFont"/>
    <w:link w:val="50"/>
    <w:rPr>
      <w:rFonts w:ascii="Arial" w:eastAsia="Arial" w:hAnsi="Arial" w:cs="Arial"/>
      <w:b/>
      <w:bCs/>
      <w:i w:val="0"/>
      <w:iCs w:val="0"/>
      <w:smallCaps w:val="0"/>
      <w:strike w:val="0"/>
      <w:u w:val="none"/>
      <w:shd w:val="clear" w:color="auto" w:fill="auto"/>
    </w:rPr>
  </w:style>
  <w:style w:type="character" w:customStyle="1" w:styleId="6">
    <w:name w:val="正文文本 (6)_"/>
    <w:basedOn w:val="DefaultParagraphFont"/>
    <w:link w:val="60"/>
    <w:rPr>
      <w:rFonts w:ascii="SimHei" w:eastAsia="SimHei" w:hAnsi="SimHei" w:cs="SimHei"/>
      <w:b w:val="0"/>
      <w:bCs w:val="0"/>
      <w:i w:val="0"/>
      <w:iCs w:val="0"/>
      <w:smallCaps w:val="0"/>
      <w:strike w:val="0"/>
      <w:u w:val="none"/>
      <w:shd w:val="clear" w:color="auto" w:fill="auto"/>
    </w:rPr>
  </w:style>
  <w:style w:type="character" w:customStyle="1" w:styleId="7">
    <w:name w:val="正文文本 (7)_"/>
    <w:basedOn w:val="DefaultParagraphFont"/>
    <w:link w:val="70"/>
    <w:rPr>
      <w:rFonts w:ascii="Times New Roman" w:eastAsia="Times New Roman" w:hAnsi="Times New Roman" w:cs="Times New Roman"/>
      <w:b w:val="0"/>
      <w:bCs w:val="0"/>
      <w:i/>
      <w:iCs/>
      <w:smallCaps w:val="0"/>
      <w:strike w:val="0"/>
      <w:sz w:val="28"/>
      <w:szCs w:val="28"/>
      <w:u w:val="none"/>
      <w:shd w:val="clear" w:color="auto" w:fill="auto"/>
    </w:rPr>
  </w:style>
  <w:style w:type="paragraph" w:customStyle="1" w:styleId="a4">
    <w:name w:val="目录"/>
    <w:basedOn w:val="Normal"/>
    <w:link w:val="a"/>
    <w:pPr>
      <w:widowControl w:val="0"/>
      <w:shd w:val="clear" w:color="auto" w:fill="auto"/>
      <w:spacing w:after="40"/>
      <w:ind w:left="1700"/>
    </w:pPr>
    <w:rPr>
      <w:rFonts w:ascii="SimSun" w:eastAsia="SimSun" w:hAnsi="SimSun" w:cs="SimSun"/>
      <w:b w:val="0"/>
      <w:bCs w:val="0"/>
      <w:i w:val="0"/>
      <w:iCs w:val="0"/>
      <w:smallCaps w:val="0"/>
      <w:strike w:val="0"/>
      <w:sz w:val="42"/>
      <w:szCs w:val="42"/>
      <w:u w:val="none"/>
      <w:shd w:val="clear" w:color="auto" w:fill="auto"/>
    </w:rPr>
  </w:style>
  <w:style w:type="paragraph" w:customStyle="1" w:styleId="10">
    <w:name w:val="标题 #1"/>
    <w:basedOn w:val="Normal"/>
    <w:link w:val="1"/>
    <w:pPr>
      <w:widowControl w:val="0"/>
      <w:shd w:val="clear" w:color="auto" w:fill="auto"/>
      <w:spacing w:after="380"/>
      <w:jc w:val="center"/>
      <w:outlineLvl w:val="0"/>
    </w:pPr>
    <w:rPr>
      <w:rFonts w:ascii="SimSun" w:eastAsia="SimSun" w:hAnsi="SimSun" w:cs="SimSun"/>
      <w:b/>
      <w:bCs/>
      <w:i w:val="0"/>
      <w:iCs w:val="0"/>
      <w:smallCaps w:val="0"/>
      <w:strike w:val="0"/>
      <w:sz w:val="42"/>
      <w:szCs w:val="42"/>
      <w:u w:val="none"/>
      <w:shd w:val="clear" w:color="auto" w:fill="auto"/>
    </w:rPr>
  </w:style>
  <w:style w:type="paragraph" w:customStyle="1" w:styleId="30">
    <w:name w:val="标题 #3"/>
    <w:basedOn w:val="Normal"/>
    <w:link w:val="3"/>
    <w:pPr>
      <w:widowControl w:val="0"/>
      <w:shd w:val="clear" w:color="auto" w:fill="auto"/>
      <w:spacing w:line="701" w:lineRule="exact"/>
      <w:outlineLvl w:val="2"/>
    </w:pPr>
    <w:rPr>
      <w:rFonts w:ascii="SimSun" w:eastAsia="SimSun" w:hAnsi="SimSun" w:cs="SimSun"/>
      <w:b/>
      <w:bCs/>
      <w:smallCaps w:val="0"/>
      <w:sz w:val="36"/>
      <w:szCs w:val="36"/>
      <w:u w:val="none"/>
      <w:shd w:val="clear" w:color="auto" w:fill="auto"/>
    </w:rPr>
  </w:style>
  <w:style w:type="paragraph" w:customStyle="1" w:styleId="a5">
    <w:name w:val="正文文本"/>
    <w:basedOn w:val="Normal"/>
    <w:link w:val="a0"/>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6">
    <w:name w:val="表格标题"/>
    <w:basedOn w:val="Normal"/>
    <w:link w:val="a1"/>
    <w:pPr>
      <w:widowControl w:val="0"/>
      <w:shd w:val="clear" w:color="auto" w:fill="auto"/>
    </w:pPr>
    <w:rPr>
      <w:rFonts w:ascii="SimSun" w:eastAsia="SimSun" w:hAnsi="SimSun" w:cs="SimSun"/>
      <w:b w:val="0"/>
      <w:bCs w:val="0"/>
      <w:i w:val="0"/>
      <w:iCs w:val="0"/>
      <w:smallCaps w:val="0"/>
      <w:strike w:val="0"/>
      <w:sz w:val="36"/>
      <w:szCs w:val="36"/>
      <w:u w:val="none"/>
      <w:shd w:val="clear" w:color="auto" w:fill="auto"/>
    </w:rPr>
  </w:style>
  <w:style w:type="paragraph" w:customStyle="1" w:styleId="a7">
    <w:name w:val="其他"/>
    <w:basedOn w:val="Normal"/>
    <w:link w:val="a2"/>
    <w:pPr>
      <w:widowControl w:val="0"/>
      <w:shd w:val="clear" w:color="auto" w:fill="auto"/>
      <w:spacing w:line="410" w:lineRule="auto"/>
      <w:ind w:firstLine="400"/>
    </w:pPr>
    <w:rPr>
      <w:rFonts w:ascii="SimSun" w:eastAsia="SimSun" w:hAnsi="SimSun" w:cs="SimSun"/>
      <w:b w:val="0"/>
      <w:bCs w:val="0"/>
      <w:i w:val="0"/>
      <w:iCs w:val="0"/>
      <w:smallCaps w:val="0"/>
      <w:strike w:val="0"/>
      <w:sz w:val="36"/>
      <w:szCs w:val="36"/>
      <w:u w:val="none"/>
      <w:shd w:val="clear" w:color="auto" w:fill="auto"/>
    </w:rPr>
  </w:style>
  <w:style w:type="paragraph" w:customStyle="1" w:styleId="a8">
    <w:name w:val="图片标题"/>
    <w:basedOn w:val="Normal"/>
    <w:link w:val="a3"/>
    <w:pPr>
      <w:widowControl w:val="0"/>
      <w:shd w:val="clear" w:color="auto" w:fill="auto"/>
      <w:spacing w:line="262" w:lineRule="auto"/>
      <w:jc w:val="right"/>
    </w:pPr>
    <w:rPr>
      <w:rFonts w:ascii="SimSun" w:eastAsia="SimSun" w:hAnsi="SimSun" w:cs="SimSun"/>
      <w:b w:val="0"/>
      <w:bCs w:val="0"/>
      <w:i w:val="0"/>
      <w:iCs w:val="0"/>
      <w:smallCaps w:val="0"/>
      <w:strike w:val="0"/>
      <w:sz w:val="36"/>
      <w:szCs w:val="36"/>
      <w:u w:val="none"/>
      <w:shd w:val="clear" w:color="auto" w:fill="auto"/>
    </w:rPr>
  </w:style>
  <w:style w:type="paragraph" w:customStyle="1" w:styleId="21">
    <w:name w:val="标题 #2"/>
    <w:basedOn w:val="Normal"/>
    <w:link w:val="2"/>
    <w:pPr>
      <w:widowControl w:val="0"/>
      <w:shd w:val="clear" w:color="auto" w:fill="auto"/>
      <w:spacing w:after="450"/>
      <w:ind w:left="9990"/>
      <w:outlineLvl w:val="1"/>
    </w:pPr>
    <w:rPr>
      <w:rFonts w:ascii="SimSun" w:eastAsia="SimSun" w:hAnsi="SimSun" w:cs="SimSun"/>
      <w:b w:val="0"/>
      <w:bCs w:val="0"/>
      <w:i w:val="0"/>
      <w:iCs w:val="0"/>
      <w:smallCaps w:val="0"/>
      <w:strike w:val="0"/>
      <w:sz w:val="42"/>
      <w:szCs w:val="42"/>
      <w:u w:val="none"/>
      <w:shd w:val="clear" w:color="auto" w:fill="auto"/>
    </w:rPr>
  </w:style>
  <w:style w:type="paragraph" w:customStyle="1" w:styleId="22">
    <w:name w:val="正文文本 (2)"/>
    <w:basedOn w:val="Normal"/>
    <w:link w:val="20"/>
    <w:pPr>
      <w:widowControl w:val="0"/>
      <w:shd w:val="clear" w:color="auto" w:fill="auto"/>
      <w:spacing w:after="410" w:line="281" w:lineRule="auto"/>
      <w:ind w:left="1720"/>
    </w:pPr>
    <w:rPr>
      <w:rFonts w:ascii="SimSun" w:eastAsia="SimSun" w:hAnsi="SimSun" w:cs="SimSun"/>
      <w:b w:val="0"/>
      <w:bCs w:val="0"/>
      <w:i w:val="0"/>
      <w:iCs w:val="0"/>
      <w:smallCaps w:val="0"/>
      <w:strike w:val="0"/>
      <w:sz w:val="40"/>
      <w:szCs w:val="40"/>
      <w:u w:val="none"/>
      <w:shd w:val="clear" w:color="auto" w:fill="auto"/>
    </w:rPr>
  </w:style>
  <w:style w:type="paragraph" w:customStyle="1" w:styleId="50">
    <w:name w:val="正文文本 (5)"/>
    <w:basedOn w:val="Normal"/>
    <w:link w:val="5"/>
    <w:pPr>
      <w:widowControl w:val="0"/>
      <w:shd w:val="clear" w:color="auto" w:fill="auto"/>
      <w:spacing w:line="346" w:lineRule="exact"/>
    </w:pPr>
    <w:rPr>
      <w:rFonts w:ascii="Arial" w:eastAsia="Arial" w:hAnsi="Arial" w:cs="Arial"/>
      <w:b/>
      <w:bCs/>
      <w:i w:val="0"/>
      <w:iCs w:val="0"/>
      <w:smallCaps w:val="0"/>
      <w:strike w:val="0"/>
      <w:u w:val="none"/>
      <w:shd w:val="clear" w:color="auto" w:fill="auto"/>
    </w:rPr>
  </w:style>
  <w:style w:type="paragraph" w:customStyle="1" w:styleId="60">
    <w:name w:val="正文文本 (6)"/>
    <w:basedOn w:val="Normal"/>
    <w:link w:val="6"/>
    <w:pPr>
      <w:widowControl w:val="0"/>
      <w:shd w:val="clear" w:color="auto" w:fill="auto"/>
      <w:spacing w:after="60"/>
    </w:pPr>
    <w:rPr>
      <w:rFonts w:ascii="SimHei" w:eastAsia="SimHei" w:hAnsi="SimHei" w:cs="SimHei"/>
      <w:b w:val="0"/>
      <w:bCs w:val="0"/>
      <w:i w:val="0"/>
      <w:iCs w:val="0"/>
      <w:smallCaps w:val="0"/>
      <w:strike w:val="0"/>
      <w:u w:val="none"/>
      <w:shd w:val="clear" w:color="auto" w:fill="auto"/>
    </w:rPr>
  </w:style>
  <w:style w:type="paragraph" w:customStyle="1" w:styleId="70">
    <w:name w:val="正文文本 (7)"/>
    <w:basedOn w:val="Normal"/>
    <w:link w:val="7"/>
    <w:pPr>
      <w:widowControl w:val="0"/>
      <w:shd w:val="clear" w:color="auto" w:fill="auto"/>
      <w:jc w:val="right"/>
    </w:pPr>
    <w:rPr>
      <w:rFonts w:ascii="Times New Roman" w:eastAsia="Times New Roman" w:hAnsi="Times New Roman" w:cs="Times New Roman"/>
      <w:b w:val="0"/>
      <w:bCs w:val="0"/>
      <w:i/>
      <w:iCs/>
      <w:smallCaps w:val="0"/>
      <w:strike w:val="0"/>
      <w:sz w:val="28"/>
      <w:szCs w:val="28"/>
      <w:u w:val="none"/>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hyperlink" Target="https://d.book118.com/077010103045006035" TargetMode="Externa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