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1、[题干]重度脱水的临床表现，正确的是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A.失水量为50～100ml/kg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B.口腔黏膜极干燥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C.尿量极少或无尿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D.眼窝和前囟深凹。E,四肢厥冷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【答案】BCDE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2、[单选题]婴幼儿肺炎给氧的主要条件为()。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A.发热，咳嗽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B.呼吸困难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C.合并脓胸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D.代谢性酸中毒。E,混合性酸中毒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3、[题干]原发性免疫缺陷病最常见的感染部位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A.皮肤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B.消化道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C.呼吸道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D.脑膜。E,泌尿系统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4、[题干]新生儿胆红素的代谢特点，不包括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A.胆红素产生过多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B.肝细胞摄取游离胆红素能力差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C.肝酶系统发育不完善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D.肠壁吸收胆红素增加。E,肾功能不完善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5、[题干]结核性脑膜炎鞘内用药的主要指征是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A.晚期病例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B.反复惊厥，昏迷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C.并发脑水肿或出现脑疝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D.早期结核性脑膜炎。E,耐药性结核杆菌所致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【解析】鞘内注射适应证有较重的晚期病例;脑脊液蛋白增高明显有梗阻趋势;口服抗结核药出现肝功能异常时;复治病例避免口服激素的患者;激素减量过程，脑脊液出现反跳，不再加用口服激素者。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6、[单选题]用激素治疗肾病综合征4周内尿蛋白转阴()。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A.首选肾上腺皮质激素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https://d.book118.com/077012003023006043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07701200302300604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