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510A">
      <w:pPr>
        <w:widowControl/>
        <w:jc w:val="left"/>
        <w:rPr>
          <w:rFonts w:ascii="仿宋" w:eastAsia="仿宋" w:hAnsi="仿宋"/>
          <w:b/>
          <w:sz w:val="40"/>
        </w:rPr>
      </w:pPr>
      <w:bookmarkStart w:id="0" w:name="_GoBack"/>
      <w:bookmarkEnd w:id="0"/>
    </w:p>
    <w:p w:rsidR="0011510A">
      <w:pPr>
        <w:widowControl/>
        <w:jc w:val="left"/>
        <w:rPr>
          <w:rFonts w:ascii="仿宋" w:eastAsia="仿宋" w:hAnsi="仿宋"/>
          <w:b/>
          <w:sz w:val="40"/>
        </w:rPr>
      </w:pPr>
    </w:p>
    <w:p w:rsidR="0011510A">
      <w:pPr>
        <w:widowControl/>
        <w:jc w:val="left"/>
        <w:rPr>
          <w:rFonts w:ascii="仿宋" w:eastAsia="仿宋" w:hAnsi="仿宋"/>
          <w:b/>
          <w:sz w:val="40"/>
        </w:rPr>
      </w:pPr>
    </w:p>
    <w:p w:rsidR="0011510A" w:rsidRPr="0011510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1510A">
        <w:rPr>
          <w:rFonts w:ascii="宋体" w:eastAsia="宋体" w:hAnsi="宋体" w:hint="eastAsia"/>
          <w:b/>
          <w:sz w:val="60"/>
        </w:rPr>
        <w:t>高绝缘高导热氮化铝陶瓷基片投资回报分析报告</w:t>
      </w:r>
    </w:p>
    <w:p w:rsidR="0011510A" w:rsidP="0011510A">
      <w:pPr>
        <w:widowControl/>
        <w:jc w:val="center"/>
        <w:rPr>
          <w:rFonts w:ascii="仿宋" w:eastAsia="仿宋" w:hAnsi="仿宋" w:hint="eastAsia"/>
          <w:b/>
          <w:sz w:val="40"/>
        </w:rPr>
      </w:pPr>
      <w:r w:rsidRPr="0011510A">
        <w:rPr>
          <w:rFonts w:ascii="仿宋" w:eastAsia="仿宋" w:hAnsi="仿宋" w:hint="eastAsia"/>
          <w:b/>
          <w:sz w:val="40"/>
        </w:rPr>
        <w:t>目录</w:t>
      </w:r>
    </w:p>
    <w:p w:rsidR="0011510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_Toc156981164 \h </w:instrText>
      </w:r>
      <w:r>
        <w:rPr>
          <w:noProof/>
        </w:rPr>
        <w:fldChar w:fldCharType="separate"/>
      </w:r>
      <w:r>
        <w:rPr>
          <w:noProof/>
        </w:rPr>
        <w:t>3</w:t>
      </w:r>
      <w:r>
        <w:rPr>
          <w:noProof/>
        </w:rPr>
        <w:fldChar w:fldCharType="end"/>
      </w:r>
    </w:p>
    <w:p w:rsidR="0011510A">
      <w:pPr>
        <w:pStyle w:val="TOC1"/>
        <w:tabs>
          <w:tab w:val="right" w:leader="dot" w:pos="8296"/>
        </w:tabs>
        <w:rPr>
          <w:noProof/>
        </w:rPr>
      </w:pPr>
      <w:r>
        <w:rPr>
          <w:rFonts w:hint="eastAsia"/>
          <w:noProof/>
        </w:rPr>
        <w:t>一、高绝缘高导热氮化铝陶瓷基片项目质量管理方案</w:t>
      </w:r>
      <w:r>
        <w:rPr>
          <w:noProof/>
        </w:rPr>
        <w:tab/>
      </w:r>
      <w:r>
        <w:rPr>
          <w:noProof/>
        </w:rPr>
        <w:fldChar w:fldCharType="begin"/>
      </w:r>
      <w:r>
        <w:rPr>
          <w:noProof/>
        </w:rPr>
        <w:instrText xml:space="preserve"> PAGEREF _Toc156981165 \h </w:instrText>
      </w:r>
      <w:r>
        <w:rPr>
          <w:noProof/>
        </w:rPr>
        <w:fldChar w:fldCharType="separate"/>
      </w:r>
      <w:r>
        <w:rPr>
          <w:noProof/>
        </w:rPr>
        <w:t>3</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_Toc156981166 \h </w:instrText>
      </w:r>
      <w:r>
        <w:rPr>
          <w:noProof/>
        </w:rPr>
        <w:fldChar w:fldCharType="separate"/>
      </w:r>
      <w:r>
        <w:rPr>
          <w:noProof/>
        </w:rPr>
        <w:t>3</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_Toc156981167 \h </w:instrText>
      </w:r>
      <w:r>
        <w:rPr>
          <w:noProof/>
        </w:rPr>
        <w:fldChar w:fldCharType="separate"/>
      </w:r>
      <w:r>
        <w:rPr>
          <w:noProof/>
        </w:rPr>
        <w:t>7</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_Toc156981168 \h </w:instrText>
      </w:r>
      <w:r>
        <w:rPr>
          <w:noProof/>
        </w:rPr>
        <w:fldChar w:fldCharType="separate"/>
      </w:r>
      <w:r>
        <w:rPr>
          <w:noProof/>
        </w:rPr>
        <w:t>10</w:t>
      </w:r>
      <w:r>
        <w:rPr>
          <w:noProof/>
        </w:rPr>
        <w:fldChar w:fldCharType="end"/>
      </w:r>
    </w:p>
    <w:p w:rsidR="0011510A">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_Toc156981169 \h </w:instrText>
      </w:r>
      <w:r>
        <w:rPr>
          <w:noProof/>
        </w:rPr>
        <w:fldChar w:fldCharType="separate"/>
      </w:r>
      <w:r>
        <w:rPr>
          <w:noProof/>
        </w:rPr>
        <w:t>11</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_Toc156981170 \h </w:instrText>
      </w:r>
      <w:r>
        <w:rPr>
          <w:noProof/>
        </w:rPr>
        <w:fldChar w:fldCharType="separate"/>
      </w:r>
      <w:r>
        <w:rPr>
          <w:noProof/>
        </w:rPr>
        <w:t>11</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_Toc156981171 \h </w:instrText>
      </w:r>
      <w:r>
        <w:rPr>
          <w:noProof/>
        </w:rPr>
        <w:fldChar w:fldCharType="separate"/>
      </w:r>
      <w:r>
        <w:rPr>
          <w:noProof/>
        </w:rPr>
        <w:t>13</w:t>
      </w:r>
      <w:r>
        <w:rPr>
          <w:noProof/>
        </w:rPr>
        <w:fldChar w:fldCharType="end"/>
      </w:r>
    </w:p>
    <w:p w:rsidR="0011510A">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_Toc156981172 \h </w:instrText>
      </w:r>
      <w:r>
        <w:rPr>
          <w:noProof/>
        </w:rPr>
        <w:fldChar w:fldCharType="separate"/>
      </w:r>
      <w:r>
        <w:rPr>
          <w:noProof/>
        </w:rPr>
        <w:t>16</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_Toc156981173 \h </w:instrText>
      </w:r>
      <w:r>
        <w:rPr>
          <w:noProof/>
        </w:rPr>
        <w:fldChar w:fldCharType="separate"/>
      </w:r>
      <w:r>
        <w:rPr>
          <w:noProof/>
        </w:rPr>
        <w:t>16</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_Toc156981174 \h </w:instrText>
      </w:r>
      <w:r>
        <w:rPr>
          <w:noProof/>
        </w:rPr>
        <w:fldChar w:fldCharType="separate"/>
      </w:r>
      <w:r>
        <w:rPr>
          <w:noProof/>
        </w:rPr>
        <w:t>17</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_Toc156981175 \h </w:instrText>
      </w:r>
      <w:r>
        <w:rPr>
          <w:noProof/>
        </w:rPr>
        <w:fldChar w:fldCharType="separate"/>
      </w:r>
      <w:r>
        <w:rPr>
          <w:noProof/>
        </w:rPr>
        <w:t>19</w:t>
      </w:r>
      <w:r>
        <w:rPr>
          <w:noProof/>
        </w:rPr>
        <w:fldChar w:fldCharType="end"/>
      </w:r>
    </w:p>
    <w:p w:rsidR="0011510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_Toc156981176 \h </w:instrText>
      </w:r>
      <w:r>
        <w:rPr>
          <w:noProof/>
        </w:rPr>
        <w:fldChar w:fldCharType="separate"/>
      </w:r>
      <w:r>
        <w:rPr>
          <w:noProof/>
        </w:rPr>
        <w:t>20</w:t>
      </w:r>
      <w:r>
        <w:rPr>
          <w:noProof/>
        </w:rPr>
        <w:fldChar w:fldCharType="end"/>
      </w:r>
    </w:p>
    <w:p w:rsidR="0011510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_Toc156981177 \h </w:instrText>
      </w:r>
      <w:r>
        <w:rPr>
          <w:noProof/>
        </w:rPr>
        <w:fldChar w:fldCharType="separate"/>
      </w:r>
      <w:r>
        <w:rPr>
          <w:noProof/>
        </w:rPr>
        <w:t>22</w:t>
      </w:r>
      <w:r>
        <w:rPr>
          <w:noProof/>
        </w:rPr>
        <w:fldChar w:fldCharType="end"/>
      </w:r>
    </w:p>
    <w:p w:rsidR="0011510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_Toc156981178 \h </w:instrText>
      </w:r>
      <w:r>
        <w:rPr>
          <w:noProof/>
        </w:rPr>
        <w:fldChar w:fldCharType="separate"/>
      </w:r>
      <w:r>
        <w:rPr>
          <w:noProof/>
        </w:rPr>
        <w:t>23</w:t>
      </w:r>
      <w:r>
        <w:rPr>
          <w:noProof/>
        </w:rPr>
        <w:fldChar w:fldCharType="end"/>
      </w:r>
    </w:p>
    <w:p w:rsidR="0011510A">
      <w:pPr>
        <w:pStyle w:val="TOC1"/>
        <w:tabs>
          <w:tab w:val="right" w:leader="dot" w:pos="8296"/>
        </w:tabs>
        <w:rPr>
          <w:noProof/>
        </w:rPr>
      </w:pPr>
      <w:r>
        <w:rPr>
          <w:rFonts w:hint="eastAsia"/>
          <w:noProof/>
        </w:rPr>
        <w:t>四、高绝缘高导热氮化铝陶瓷基片项目风险管理方案</w:t>
      </w:r>
      <w:r>
        <w:rPr>
          <w:noProof/>
        </w:rPr>
        <w:tab/>
      </w:r>
      <w:r>
        <w:rPr>
          <w:noProof/>
        </w:rPr>
        <w:fldChar w:fldCharType="begin"/>
      </w:r>
      <w:r>
        <w:rPr>
          <w:noProof/>
        </w:rPr>
        <w:instrText xml:space="preserve"> PAGEREF _Toc156981179 \h </w:instrText>
      </w:r>
      <w:r>
        <w:rPr>
          <w:noProof/>
        </w:rPr>
        <w:fldChar w:fldCharType="separate"/>
      </w:r>
      <w:r>
        <w:rPr>
          <w:noProof/>
        </w:rPr>
        <w:t>25</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_Toc156981180 \h </w:instrText>
      </w:r>
      <w:r>
        <w:rPr>
          <w:noProof/>
        </w:rPr>
        <w:fldChar w:fldCharType="separate"/>
      </w:r>
      <w:r>
        <w:rPr>
          <w:noProof/>
        </w:rPr>
        <w:t>25</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_Toc156981181 \h </w:instrText>
      </w:r>
      <w:r>
        <w:rPr>
          <w:noProof/>
        </w:rPr>
        <w:fldChar w:fldCharType="separate"/>
      </w:r>
      <w:r>
        <w:rPr>
          <w:noProof/>
        </w:rPr>
        <w:t>26</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_Toc156981182 \h </w:instrText>
      </w:r>
      <w:r>
        <w:rPr>
          <w:noProof/>
        </w:rPr>
        <w:fldChar w:fldCharType="separate"/>
      </w:r>
      <w:r>
        <w:rPr>
          <w:noProof/>
        </w:rPr>
        <w:t>29</w:t>
      </w:r>
      <w:r>
        <w:rPr>
          <w:noProof/>
        </w:rPr>
        <w:fldChar w:fldCharType="end"/>
      </w:r>
    </w:p>
    <w:p w:rsidR="0011510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_Toc156981183 \h </w:instrText>
      </w:r>
      <w:r>
        <w:rPr>
          <w:noProof/>
        </w:rPr>
        <w:fldChar w:fldCharType="separate"/>
      </w:r>
      <w:r>
        <w:rPr>
          <w:noProof/>
        </w:rPr>
        <w:t>31</w:t>
      </w:r>
      <w:r>
        <w:rPr>
          <w:noProof/>
        </w:rPr>
        <w:fldChar w:fldCharType="end"/>
      </w:r>
    </w:p>
    <w:p w:rsidR="0011510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_Toc156981184 \h </w:instrText>
      </w:r>
      <w:r>
        <w:rPr>
          <w:noProof/>
        </w:rPr>
        <w:fldChar w:fldCharType="separate"/>
      </w:r>
      <w:r>
        <w:rPr>
          <w:noProof/>
        </w:rPr>
        <w:t>33</w:t>
      </w:r>
      <w:r>
        <w:rPr>
          <w:noProof/>
        </w:rPr>
        <w:fldChar w:fldCharType="end"/>
      </w:r>
    </w:p>
    <w:p w:rsidR="0011510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_Toc156981185 \h </w:instrText>
      </w:r>
      <w:r>
        <w:rPr>
          <w:noProof/>
        </w:rPr>
        <w:fldChar w:fldCharType="separate"/>
      </w:r>
      <w:r>
        <w:rPr>
          <w:noProof/>
        </w:rPr>
        <w:t>36</w:t>
      </w:r>
      <w:r>
        <w:rPr>
          <w:noProof/>
        </w:rPr>
        <w:fldChar w:fldCharType="end"/>
      </w:r>
    </w:p>
    <w:p w:rsidR="0011510A">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_Toc156981186 \h </w:instrText>
      </w:r>
      <w:r>
        <w:rPr>
          <w:noProof/>
        </w:rPr>
        <w:fldChar w:fldCharType="separate"/>
      </w:r>
      <w:r>
        <w:rPr>
          <w:noProof/>
        </w:rPr>
        <w:t>38</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_Toc156981187 \h </w:instrText>
      </w:r>
      <w:r>
        <w:rPr>
          <w:noProof/>
        </w:rPr>
        <w:fldChar w:fldCharType="separate"/>
      </w:r>
      <w:r>
        <w:rPr>
          <w:noProof/>
        </w:rPr>
        <w:t>38</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_Toc156981188 \h </w:instrText>
      </w:r>
      <w:r>
        <w:rPr>
          <w:noProof/>
        </w:rPr>
        <w:fldChar w:fldCharType="separate"/>
      </w:r>
      <w:r>
        <w:rPr>
          <w:noProof/>
        </w:rPr>
        <w:t>39</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、高绝缘高导热氮化铝陶瓷基片项目工艺技术设计方案</w:t>
      </w:r>
      <w:r>
        <w:rPr>
          <w:noProof/>
        </w:rPr>
        <w:tab/>
      </w:r>
      <w:r>
        <w:rPr>
          <w:noProof/>
        </w:rPr>
        <w:fldChar w:fldCharType="begin"/>
      </w:r>
      <w:r>
        <w:rPr>
          <w:noProof/>
        </w:rPr>
        <w:instrText xml:space="preserve"> PAGEREF _Toc156981189 \h </w:instrText>
      </w:r>
      <w:r>
        <w:rPr>
          <w:noProof/>
        </w:rPr>
        <w:fldChar w:fldCharType="separate"/>
      </w:r>
      <w:r>
        <w:rPr>
          <w:noProof/>
        </w:rPr>
        <w:t>41</w:t>
      </w:r>
      <w:r>
        <w:rPr>
          <w:noProof/>
        </w:rPr>
        <w:fldChar w:fldCharType="end"/>
      </w:r>
    </w:p>
    <w:p w:rsidR="0011510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_Toc156981190 \h </w:instrText>
      </w:r>
      <w:r>
        <w:rPr>
          <w:noProof/>
        </w:rPr>
        <w:fldChar w:fldCharType="separate"/>
      </w:r>
      <w:r>
        <w:rPr>
          <w:noProof/>
        </w:rPr>
        <w:t>42</w:t>
      </w:r>
      <w:r>
        <w:rPr>
          <w:noProof/>
        </w:rPr>
        <w:fldChar w:fldCharType="end"/>
      </w:r>
    </w:p>
    <w:p w:rsidR="0011510A">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_Toc156981191 \h </w:instrText>
      </w:r>
      <w:r>
        <w:rPr>
          <w:noProof/>
        </w:rPr>
        <w:fldChar w:fldCharType="separate"/>
      </w:r>
      <w:r>
        <w:rPr>
          <w:noProof/>
        </w:rPr>
        <w:t>42</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、高绝缘高导热氮化铝陶瓷基片项目选址原则</w:t>
      </w:r>
      <w:r>
        <w:rPr>
          <w:noProof/>
        </w:rPr>
        <w:tab/>
      </w:r>
      <w:r>
        <w:rPr>
          <w:noProof/>
        </w:rPr>
        <w:fldChar w:fldCharType="begin"/>
      </w:r>
      <w:r>
        <w:rPr>
          <w:noProof/>
        </w:rPr>
        <w:instrText xml:space="preserve"> PAGEREF _Toc156981192 \h </w:instrText>
      </w:r>
      <w:r>
        <w:rPr>
          <w:noProof/>
        </w:rPr>
        <w:fldChar w:fldCharType="separate"/>
      </w:r>
      <w:r>
        <w:rPr>
          <w:noProof/>
        </w:rPr>
        <w:t>42</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、高绝缘高导热氮化铝陶瓷基片项目选址</w:t>
      </w:r>
      <w:r>
        <w:rPr>
          <w:noProof/>
        </w:rPr>
        <w:tab/>
      </w:r>
      <w:r>
        <w:rPr>
          <w:noProof/>
        </w:rPr>
        <w:fldChar w:fldCharType="begin"/>
      </w:r>
      <w:r>
        <w:rPr>
          <w:noProof/>
        </w:rPr>
        <w:instrText xml:space="preserve"> PAGEREF _Toc156981193 \h </w:instrText>
      </w:r>
      <w:r>
        <w:rPr>
          <w:noProof/>
        </w:rPr>
        <w:fldChar w:fldCharType="separate"/>
      </w:r>
      <w:r>
        <w:rPr>
          <w:noProof/>
        </w:rPr>
        <w:t>44</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_Toc156981194 \h </w:instrText>
      </w:r>
      <w:r>
        <w:rPr>
          <w:noProof/>
        </w:rPr>
        <w:fldChar w:fldCharType="separate"/>
      </w:r>
      <w:r>
        <w:rPr>
          <w:noProof/>
        </w:rPr>
        <w:t>46</w:t>
      </w:r>
      <w:r>
        <w:rPr>
          <w:noProof/>
        </w:rPr>
        <w:fldChar w:fldCharType="end"/>
      </w:r>
    </w:p>
    <w:p w:rsidR="0011510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_Toc156981195 \h </w:instrText>
      </w:r>
      <w:r>
        <w:rPr>
          <w:noProof/>
        </w:rPr>
        <w:fldChar w:fldCharType="separate"/>
      </w:r>
      <w:r>
        <w:rPr>
          <w:noProof/>
        </w:rPr>
        <w:t>47</w:t>
      </w:r>
      <w:r>
        <w:rPr>
          <w:noProof/>
        </w:rPr>
        <w:fldChar w:fldCharType="end"/>
      </w:r>
    </w:p>
    <w:p w:rsidR="0011510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_Toc156981196 \h </w:instrText>
      </w:r>
      <w:r>
        <w:rPr>
          <w:noProof/>
        </w:rPr>
        <w:fldChar w:fldCharType="separate"/>
      </w:r>
      <w:r>
        <w:rPr>
          <w:noProof/>
        </w:rPr>
        <w:t>48</w:t>
      </w:r>
      <w:r>
        <w:rPr>
          <w:noProof/>
        </w:rPr>
        <w:fldChar w:fldCharType="end"/>
      </w:r>
    </w:p>
    <w:p w:rsidR="0011510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_Toc156981197 \h </w:instrText>
      </w:r>
      <w:r>
        <w:rPr>
          <w:noProof/>
        </w:rPr>
        <w:fldChar w:fldCharType="separate"/>
      </w:r>
      <w:r>
        <w:rPr>
          <w:noProof/>
        </w:rPr>
        <w:t>50</w:t>
      </w:r>
      <w:r>
        <w:rPr>
          <w:noProof/>
        </w:rPr>
        <w:fldChar w:fldCharType="end"/>
      </w:r>
    </w:p>
    <w:p w:rsidR="0011510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_Toc156981198 \h </w:instrText>
      </w:r>
      <w:r>
        <w:rPr>
          <w:noProof/>
        </w:rPr>
        <w:fldChar w:fldCharType="separate"/>
      </w:r>
      <w:r>
        <w:rPr>
          <w:noProof/>
        </w:rPr>
        <w:t>51</w:t>
      </w:r>
      <w:r>
        <w:rPr>
          <w:noProof/>
        </w:rPr>
        <w:fldChar w:fldCharType="end"/>
      </w:r>
    </w:p>
    <w:p w:rsidR="0011510A">
      <w:pPr>
        <w:pStyle w:val="TOC1"/>
        <w:tabs>
          <w:tab w:val="right" w:leader="dot" w:pos="8296"/>
        </w:tabs>
        <w:rPr>
          <w:noProof/>
        </w:rPr>
      </w:pPr>
      <w:r>
        <w:rPr>
          <w:rFonts w:hint="eastAsia"/>
          <w:noProof/>
        </w:rPr>
        <w:t>七、高绝缘高导热氮化铝陶瓷基片项目概要与评估</w:t>
      </w:r>
      <w:r>
        <w:rPr>
          <w:noProof/>
        </w:rPr>
        <w:tab/>
      </w:r>
      <w:r>
        <w:rPr>
          <w:noProof/>
        </w:rPr>
        <w:fldChar w:fldCharType="begin"/>
      </w:r>
      <w:r>
        <w:rPr>
          <w:noProof/>
        </w:rPr>
        <w:instrText xml:space="preserve"> PAGEREF _Toc156981199 \h </w:instrText>
      </w:r>
      <w:r>
        <w:rPr>
          <w:noProof/>
        </w:rPr>
        <w:fldChar w:fldCharType="separate"/>
      </w:r>
      <w:r>
        <w:rPr>
          <w:noProof/>
        </w:rPr>
        <w:t>53</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、高绝缘高导热氮化铝陶瓷基片项目主办方综述</w:t>
      </w:r>
      <w:r>
        <w:rPr>
          <w:noProof/>
        </w:rPr>
        <w:tab/>
      </w:r>
      <w:r>
        <w:rPr>
          <w:noProof/>
        </w:rPr>
        <w:fldChar w:fldCharType="begin"/>
      </w:r>
      <w:r>
        <w:rPr>
          <w:noProof/>
        </w:rPr>
        <w:instrText xml:space="preserve"> PAGEREF _Toc156981200 \h </w:instrText>
      </w:r>
      <w:r>
        <w:rPr>
          <w:noProof/>
        </w:rPr>
        <w:fldChar w:fldCharType="separate"/>
      </w:r>
      <w:r>
        <w:rPr>
          <w:noProof/>
        </w:rPr>
        <w:t>53</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、高绝缘高导热氮化铝陶瓷基片项目整体情况概述</w:t>
      </w:r>
      <w:r>
        <w:rPr>
          <w:noProof/>
        </w:rPr>
        <w:tab/>
      </w:r>
      <w:r>
        <w:rPr>
          <w:noProof/>
        </w:rPr>
        <w:fldChar w:fldCharType="begin"/>
      </w:r>
      <w:r>
        <w:rPr>
          <w:noProof/>
        </w:rPr>
        <w:instrText xml:space="preserve"> PAGEREF _Toc156981201 \h </w:instrText>
      </w:r>
      <w:r>
        <w:rPr>
          <w:noProof/>
        </w:rPr>
        <w:fldChar w:fldCharType="separate"/>
      </w:r>
      <w:r>
        <w:rPr>
          <w:noProof/>
        </w:rPr>
        <w:t>55</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、高绝缘高导热氮化铝陶瓷基片项目评估及展望</w:t>
      </w:r>
      <w:r>
        <w:rPr>
          <w:noProof/>
        </w:rPr>
        <w:tab/>
      </w:r>
      <w:r>
        <w:rPr>
          <w:noProof/>
        </w:rPr>
        <w:fldChar w:fldCharType="begin"/>
      </w:r>
      <w:r>
        <w:rPr>
          <w:noProof/>
        </w:rPr>
        <w:instrText xml:space="preserve"> PAGEREF _Toc156981202 \h </w:instrText>
      </w:r>
      <w:r>
        <w:rPr>
          <w:noProof/>
        </w:rPr>
        <w:fldChar w:fldCharType="separate"/>
      </w:r>
      <w:r>
        <w:rPr>
          <w:noProof/>
        </w:rPr>
        <w:t>58</w:t>
      </w:r>
      <w:r>
        <w:rPr>
          <w:noProof/>
        </w:rPr>
        <w:fldChar w:fldCharType="end"/>
      </w:r>
    </w:p>
    <w:p w:rsidR="0011510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_Toc156981203 \h </w:instrText>
      </w:r>
      <w:r>
        <w:rPr>
          <w:noProof/>
        </w:rPr>
        <w:fldChar w:fldCharType="separate"/>
      </w:r>
      <w:r>
        <w:rPr>
          <w:noProof/>
        </w:rPr>
        <w:t>61</w:t>
      </w:r>
      <w:r>
        <w:rPr>
          <w:noProof/>
        </w:rPr>
        <w:fldChar w:fldCharType="end"/>
      </w:r>
    </w:p>
    <w:p w:rsidR="0011510A">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_Toc156981204 \h </w:instrText>
      </w:r>
      <w:r>
        <w:rPr>
          <w:noProof/>
        </w:rPr>
        <w:fldChar w:fldCharType="separate"/>
      </w:r>
      <w:r>
        <w:rPr>
          <w:noProof/>
        </w:rPr>
        <w:t>62</w:t>
      </w:r>
      <w:r>
        <w:rPr>
          <w:noProof/>
        </w:rPr>
        <w:fldChar w:fldCharType="end"/>
      </w:r>
    </w:p>
    <w:p w:rsidR="0011510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_Toc156981205 \h </w:instrText>
      </w:r>
      <w:r>
        <w:rPr>
          <w:noProof/>
        </w:rPr>
        <w:fldChar w:fldCharType="separate"/>
      </w:r>
      <w:r>
        <w:rPr>
          <w:noProof/>
        </w:rPr>
        <w:t>62</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、高绝缘高导热氮化铝陶瓷基片项目预期节能综合评价</w:t>
      </w:r>
      <w:r>
        <w:rPr>
          <w:noProof/>
        </w:rPr>
        <w:tab/>
      </w:r>
      <w:r>
        <w:rPr>
          <w:noProof/>
        </w:rPr>
        <w:fldChar w:fldCharType="begin"/>
      </w:r>
      <w:r>
        <w:rPr>
          <w:noProof/>
        </w:rPr>
        <w:instrText xml:space="preserve"> PAGEREF _Toc156981206 \h </w:instrText>
      </w:r>
      <w:r>
        <w:rPr>
          <w:noProof/>
        </w:rPr>
        <w:fldChar w:fldCharType="separate"/>
      </w:r>
      <w:r>
        <w:rPr>
          <w:noProof/>
        </w:rPr>
        <w:t>63</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、高绝缘高导热氮化铝陶瓷基片项目节能设计</w:t>
      </w:r>
      <w:r>
        <w:rPr>
          <w:noProof/>
        </w:rPr>
        <w:tab/>
      </w:r>
      <w:r>
        <w:rPr>
          <w:noProof/>
        </w:rPr>
        <w:fldChar w:fldCharType="begin"/>
      </w:r>
      <w:r>
        <w:rPr>
          <w:noProof/>
        </w:rPr>
        <w:instrText xml:space="preserve"> PAGEREF _Toc156981207 \h </w:instrText>
      </w:r>
      <w:r>
        <w:rPr>
          <w:noProof/>
        </w:rPr>
        <w:fldChar w:fldCharType="separate"/>
      </w:r>
      <w:r>
        <w:rPr>
          <w:noProof/>
        </w:rPr>
        <w:t>64</w:t>
      </w:r>
      <w:r>
        <w:rPr>
          <w:noProof/>
        </w:rPr>
        <w:fldChar w:fldCharType="end"/>
      </w:r>
    </w:p>
    <w:p w:rsidR="0011510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_Toc156981208 \h </w:instrText>
      </w:r>
      <w:r>
        <w:rPr>
          <w:noProof/>
        </w:rPr>
        <w:fldChar w:fldCharType="separate"/>
      </w:r>
      <w:r>
        <w:rPr>
          <w:noProof/>
        </w:rPr>
        <w:t>66</w:t>
      </w:r>
      <w:r>
        <w:rPr>
          <w:noProof/>
        </w:rPr>
        <w:fldChar w:fldCharType="end"/>
      </w:r>
    </w:p>
    <w:p w:rsidR="0011510A">
      <w:pPr>
        <w:pStyle w:val="TOC1"/>
        <w:tabs>
          <w:tab w:val="right" w:leader="dot" w:pos="8296"/>
        </w:tabs>
        <w:rPr>
          <w:noProof/>
        </w:rPr>
      </w:pPr>
      <w:r>
        <w:rPr>
          <w:rFonts w:hint="eastAsia"/>
          <w:noProof/>
        </w:rPr>
        <w:t>九、高绝缘高导热氮化铝陶瓷基片项目执行与监控</w:t>
      </w:r>
      <w:r>
        <w:rPr>
          <w:noProof/>
        </w:rPr>
        <w:tab/>
      </w:r>
      <w:r>
        <w:rPr>
          <w:noProof/>
        </w:rPr>
        <w:fldChar w:fldCharType="begin"/>
      </w:r>
      <w:r>
        <w:rPr>
          <w:noProof/>
        </w:rPr>
        <w:instrText xml:space="preserve"> PAGEREF _Toc156981209 \h </w:instrText>
      </w:r>
      <w:r>
        <w:rPr>
          <w:noProof/>
        </w:rPr>
        <w:fldChar w:fldCharType="separate"/>
      </w:r>
      <w:r>
        <w:rPr>
          <w:noProof/>
        </w:rPr>
        <w:t>68</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、高绝缘高导热氮化铝陶瓷基片项目执行计划</w:t>
      </w:r>
      <w:r>
        <w:rPr>
          <w:noProof/>
        </w:rPr>
        <w:tab/>
      </w:r>
      <w:r>
        <w:rPr>
          <w:noProof/>
        </w:rPr>
        <w:fldChar w:fldCharType="begin"/>
      </w:r>
      <w:r>
        <w:rPr>
          <w:noProof/>
        </w:rPr>
        <w:instrText xml:space="preserve"> PAGEREF _Toc156981210 \h </w:instrText>
      </w:r>
      <w:r>
        <w:rPr>
          <w:noProof/>
        </w:rPr>
        <w:fldChar w:fldCharType="separate"/>
      </w:r>
      <w:r>
        <w:rPr>
          <w:noProof/>
        </w:rPr>
        <w:t>68</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_Toc156981211 \h </w:instrText>
      </w:r>
      <w:r>
        <w:rPr>
          <w:noProof/>
        </w:rPr>
        <w:fldChar w:fldCharType="separate"/>
      </w:r>
      <w:r>
        <w:rPr>
          <w:noProof/>
        </w:rPr>
        <w:t>71</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_Toc156981212 \h </w:instrText>
      </w:r>
      <w:r>
        <w:rPr>
          <w:noProof/>
        </w:rPr>
        <w:fldChar w:fldCharType="separate"/>
      </w:r>
      <w:r>
        <w:rPr>
          <w:noProof/>
        </w:rPr>
        <w:t>75</w:t>
      </w:r>
      <w:r>
        <w:rPr>
          <w:noProof/>
        </w:rPr>
        <w:fldChar w:fldCharType="end"/>
      </w:r>
    </w:p>
    <w:p w:rsidR="0011510A">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_Toc156981213 \h </w:instrText>
      </w:r>
      <w:r>
        <w:rPr>
          <w:noProof/>
        </w:rPr>
        <w:fldChar w:fldCharType="separate"/>
      </w:r>
      <w:r>
        <w:rPr>
          <w:noProof/>
        </w:rPr>
        <w:t>76</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_Toc156981214 \h </w:instrText>
      </w:r>
      <w:r>
        <w:rPr>
          <w:noProof/>
        </w:rPr>
        <w:fldChar w:fldCharType="separate"/>
      </w:r>
      <w:r>
        <w:rPr>
          <w:noProof/>
        </w:rPr>
        <w:t>76</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、高绝缘高导热氮化铝陶瓷基片项目合规性评估</w:t>
      </w:r>
      <w:r>
        <w:rPr>
          <w:noProof/>
        </w:rPr>
        <w:tab/>
      </w:r>
      <w:r>
        <w:rPr>
          <w:noProof/>
        </w:rPr>
        <w:fldChar w:fldCharType="begin"/>
      </w:r>
      <w:r>
        <w:rPr>
          <w:noProof/>
        </w:rPr>
        <w:instrText xml:space="preserve"> PAGEREF _Toc156981215 \h </w:instrText>
      </w:r>
      <w:r>
        <w:rPr>
          <w:noProof/>
        </w:rPr>
        <w:fldChar w:fldCharType="separate"/>
      </w:r>
      <w:r>
        <w:rPr>
          <w:noProof/>
        </w:rPr>
        <w:t>77</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_Toc156981216 \h </w:instrText>
      </w:r>
      <w:r>
        <w:rPr>
          <w:noProof/>
        </w:rPr>
        <w:fldChar w:fldCharType="separate"/>
      </w:r>
      <w:r>
        <w:rPr>
          <w:noProof/>
        </w:rPr>
        <w:t>79</w:t>
      </w:r>
      <w:r>
        <w:rPr>
          <w:noProof/>
        </w:rPr>
        <w:fldChar w:fldCharType="end"/>
      </w:r>
    </w:p>
    <w:p w:rsidR="0011510A">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_Toc156981217 \h </w:instrText>
      </w:r>
      <w:r>
        <w:rPr>
          <w:noProof/>
        </w:rPr>
        <w:fldChar w:fldCharType="separate"/>
      </w:r>
      <w:r>
        <w:rPr>
          <w:noProof/>
        </w:rPr>
        <w:t>81</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_Toc156981218 \h </w:instrText>
      </w:r>
      <w:r>
        <w:rPr>
          <w:noProof/>
        </w:rPr>
        <w:fldChar w:fldCharType="separate"/>
      </w:r>
      <w:r>
        <w:rPr>
          <w:noProof/>
        </w:rPr>
        <w:t>81</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_Toc156981219 \h </w:instrText>
      </w:r>
      <w:r>
        <w:rPr>
          <w:noProof/>
        </w:rPr>
        <w:fldChar w:fldCharType="separate"/>
      </w:r>
      <w:r>
        <w:rPr>
          <w:noProof/>
        </w:rPr>
        <w:t>82</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_Toc156981220 \h </w:instrText>
      </w:r>
      <w:r>
        <w:rPr>
          <w:noProof/>
        </w:rPr>
        <w:fldChar w:fldCharType="separate"/>
      </w:r>
      <w:r>
        <w:rPr>
          <w:noProof/>
        </w:rPr>
        <w:t>84</w:t>
      </w:r>
      <w:r>
        <w:rPr>
          <w:noProof/>
        </w:rPr>
        <w:fldChar w:fldCharType="end"/>
      </w:r>
    </w:p>
    <w:p w:rsidR="0011510A">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_Toc156981221 \h </w:instrText>
      </w:r>
      <w:r>
        <w:rPr>
          <w:noProof/>
        </w:rPr>
        <w:fldChar w:fldCharType="separate"/>
      </w:r>
      <w:r>
        <w:rPr>
          <w:noProof/>
        </w:rPr>
        <w:t>85</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_Toc156981222 \h </w:instrText>
      </w:r>
      <w:r>
        <w:rPr>
          <w:noProof/>
        </w:rPr>
        <w:fldChar w:fldCharType="separate"/>
      </w:r>
      <w:r>
        <w:rPr>
          <w:noProof/>
        </w:rPr>
        <w:t>85</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_Toc156981223 \h </w:instrText>
      </w:r>
      <w:r>
        <w:rPr>
          <w:noProof/>
        </w:rPr>
        <w:fldChar w:fldCharType="separate"/>
      </w:r>
      <w:r>
        <w:rPr>
          <w:noProof/>
        </w:rPr>
        <w:t>87</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_Toc156981224 \h </w:instrText>
      </w:r>
      <w:r>
        <w:rPr>
          <w:noProof/>
        </w:rPr>
        <w:fldChar w:fldCharType="separate"/>
      </w:r>
      <w:r>
        <w:rPr>
          <w:noProof/>
        </w:rPr>
        <w:t>89</w:t>
      </w:r>
      <w:r>
        <w:rPr>
          <w:noProof/>
        </w:rPr>
        <w:fldChar w:fldCharType="end"/>
      </w:r>
    </w:p>
    <w:p w:rsidR="0011510A">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_Toc156981225 \h </w:instrText>
      </w:r>
      <w:r>
        <w:rPr>
          <w:noProof/>
        </w:rPr>
        <w:fldChar w:fldCharType="separate"/>
      </w:r>
      <w:r>
        <w:rPr>
          <w:noProof/>
        </w:rPr>
        <w:t>91</w:t>
      </w:r>
      <w:r>
        <w:rPr>
          <w:noProof/>
        </w:rPr>
        <w:fldChar w:fldCharType="end"/>
      </w:r>
    </w:p>
    <w:p w:rsidR="0011510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_Toc156981226 \h </w:instrText>
      </w:r>
      <w:r>
        <w:rPr>
          <w:noProof/>
        </w:rPr>
        <w:fldChar w:fldCharType="separate"/>
      </w:r>
      <w:r>
        <w:rPr>
          <w:noProof/>
        </w:rPr>
        <w:t>91</w:t>
      </w:r>
      <w:r>
        <w:rPr>
          <w:noProof/>
        </w:rPr>
        <w:fldChar w:fldCharType="end"/>
      </w:r>
    </w:p>
    <w:p w:rsidR="0011510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_Toc156981227 \h </w:instrText>
      </w:r>
      <w:r>
        <w:rPr>
          <w:noProof/>
        </w:rPr>
        <w:fldChar w:fldCharType="separate"/>
      </w:r>
      <w:r>
        <w:rPr>
          <w:noProof/>
        </w:rPr>
        <w:t>93</w:t>
      </w:r>
      <w:r>
        <w:rPr>
          <w:noProof/>
        </w:rPr>
        <w:fldChar w:fldCharType="end"/>
      </w:r>
    </w:p>
    <w:p w:rsidR="0011510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_Toc156981228 \h </w:instrText>
      </w:r>
      <w:r>
        <w:rPr>
          <w:noProof/>
        </w:rPr>
        <w:fldChar w:fldCharType="separate"/>
      </w:r>
      <w:r>
        <w:rPr>
          <w:noProof/>
        </w:rPr>
        <w:t>95</w:t>
      </w:r>
      <w:r>
        <w:rPr>
          <w:noProof/>
        </w:rPr>
        <w:fldChar w:fldCharType="end"/>
      </w:r>
    </w:p>
    <w:p w:rsidR="0011510A" w:rsidP="0011510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1510A" w:rsidP="0011510A">
      <w:pPr>
        <w:pStyle w:val="Heading1"/>
        <w:jc w:val="center"/>
        <w:rPr>
          <w:rFonts w:hint="eastAsia"/>
        </w:rPr>
      </w:pPr>
      <w:bookmarkStart w:id="1" w:name="_Toc156981164"/>
      <w:r w:rsidRPr="0011510A">
        <w:rPr>
          <w:rFonts w:hint="eastAsia"/>
        </w:rPr>
        <w:t>前言</w:t>
      </w:r>
      <w:bookmarkEnd w:id="1"/>
    </w:p>
    <w:p w:rsidR="0011510A" w:rsidP="0011510A">
      <w:pPr>
        <w:ind w:firstLine="560" w:firstLineChars="200"/>
        <w:rPr>
          <w:rFonts w:ascii="仿宋" w:eastAsia="仿宋" w:hAnsi="仿宋" w:hint="eastAsia"/>
          <w:sz w:val="28"/>
        </w:rPr>
      </w:pPr>
      <w:r w:rsidRPr="0011510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1510A" w:rsidP="0011510A">
      <w:pPr>
        <w:pStyle w:val="Heading1"/>
        <w:rPr>
          <w:rFonts w:hint="eastAsia"/>
        </w:rPr>
      </w:pPr>
      <w:bookmarkStart w:id="2" w:name="_Toc156981165"/>
      <w:r w:rsidRPr="0011510A">
        <w:rPr>
          <w:rFonts w:hint="eastAsia"/>
        </w:rPr>
        <w:t>一、高绝缘高导热氮化铝陶瓷基片项目质量管理方案</w:t>
      </w:r>
      <w:bookmarkEnd w:id="2"/>
    </w:p>
    <w:p w:rsidR="0011510A" w:rsidP="0011510A">
      <w:pPr>
        <w:pStyle w:val="Heading2"/>
        <w:rPr>
          <w:rFonts w:hint="eastAsia"/>
        </w:rPr>
      </w:pPr>
      <w:bookmarkStart w:id="3" w:name="_Toc156981166"/>
      <w:r w:rsidRPr="0011510A">
        <w:rPr>
          <w:rFonts w:hint="eastAsia"/>
        </w:rPr>
        <w:t>(</w:t>
      </w:r>
      <w:r w:rsidRPr="0011510A">
        <w:rPr>
          <w:rFonts w:hint="eastAsia"/>
        </w:rPr>
        <w:t>一</w:t>
      </w:r>
      <w:r w:rsidRPr="0011510A">
        <w:rPr>
          <w:rFonts w:hint="eastAsia"/>
        </w:rPr>
        <w:t>)</w:t>
      </w:r>
      <w:r w:rsidRPr="0011510A">
        <w:rPr>
          <w:rFonts w:hint="eastAsia"/>
        </w:rPr>
        <w:t>、全面质量管理</w:t>
      </w:r>
      <w:bookmarkEnd w:id="3"/>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（一）全面质量管理的概念</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概念解析</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特点</w:t>
      </w:r>
    </w:p>
    <w:p w:rsidR="0011510A" w:rsidRPr="0011510A" w:rsidP="0011510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1510A">
        <w:rPr>
          <w:rFonts w:ascii="仿宋" w:eastAsia="仿宋" w:hAnsi="仿宋" w:hint="eastAsia"/>
          <w:sz w:val="28"/>
        </w:rPr>
        <w:t>全面质量管理的特点包括全员参与、全面持续改进、以顾客为中</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（二）全面质量管理的原则</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顾客导向</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全员参与</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过程管理</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4. 持续改进</w:t>
      </w:r>
    </w:p>
    <w:p w:rsidR="0011510A" w:rsidRPr="0011510A" w:rsidP="0011510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1510A">
        <w:rPr>
          <w:rFonts w:ascii="仿宋" w:eastAsia="仿宋" w:hAnsi="仿宋" w:hint="eastAsia"/>
          <w:sz w:val="28"/>
        </w:rPr>
        <w:t>持续改进是全面质量管理的核心之一。企业应该不断寻求改进的机会，包括改进产品质量、生产过程、管理方法等，从而提高企业的绩效。</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5. 数据驱动</w:t>
      </w:r>
    </w:p>
    <w:p w:rsidR="0011510A" w:rsidRPr="0011510A" w:rsidP="0011510A">
      <w:pPr>
        <w:ind w:firstLine="560" w:firstLineChars="200"/>
        <w:rPr>
          <w:rFonts w:ascii="仿宋" w:eastAsia="仿宋" w:hAnsi="仿宋"/>
          <w:sz w:val="28"/>
        </w:rPr>
      </w:pPr>
      <w:r w:rsidRPr="0011510A">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（三）全面质量管理的实施步骤</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制定质量政策和目标</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企业应该明确质量政策和目标，将顾客满意度置于首位，确定质量改进的具体目标，为全面质量管理的实施提供清晰的指导方向。</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规划质量管理体系</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质量成本分析</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4. 质量培训与教育</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全面质量管理需要员工具备相关的知识和技能，因此企业需要加强对员工的质量培训和教育，提升员工的质量意识和专业素养。</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5. 制定质量控制计划</w:t>
      </w:r>
    </w:p>
    <w:p w:rsidR="0011510A" w:rsidRPr="0011510A" w:rsidP="0011510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1510A">
        <w:rPr>
          <w:rFonts w:ascii="仿宋" w:eastAsia="仿宋" w:hAnsi="仿宋" w:hint="eastAsia"/>
          <w:sz w:val="28"/>
        </w:rPr>
        <w:t>企业应该制定相应的质量控制计划，包括质量标准、检验方法、质量控制点等，确保产品在生产过程中能够达到预期的质量要求。</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6. 实施全面质量管理</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（四）全面质量管理在智能化设备高绝缘高导热氮化铝陶瓷基片项目中的应用</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在智能化设备高绝缘高导热氮化铝陶瓷基片项目中，全面质量管理发挥着至关重要的作用。通过下面几个方面的实际应用，可以更好地理解全面质量管理在高绝缘高导热氮化铝陶瓷基片项目中的意义：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工艺优化和改进： 利用全面质量管理原则，高绝缘高导热氮化铝陶瓷基片项目团队能够深入了解生产工艺，通过全员参与的方式发现潜在的工艺问题，并不断进行持续改进，提高智能化设备的生产效率和质量水平。</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全员培训与技能提升： 全面质量管理注重全员参与，高绝缘高导热氮化铝陶瓷基片项目团队通过质量培训和技能提升计划，确保每位成员具备必要的知识和技能，以更好地适应智能化设备制造的高标准要求。</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数据驱动的质量决策： 强调以数据为依据的全面质量管理原则，在智能化设备高绝缘高导热氮化铝陶瓷基片项目中可以通过数据分析实时监测生产过程，准确评估产品质量，迅速做出质量决策，确保产品达到预期标准。</w:t>
      </w:r>
    </w:p>
    <w:p w:rsidR="0011510A" w:rsidRPr="0011510A" w:rsidP="0011510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1510A">
        <w:rPr>
          <w:rFonts w:ascii="仿宋" w:eastAsia="仿宋" w:hAnsi="仿宋" w:hint="eastAsia"/>
          <w:sz w:val="28"/>
        </w:rPr>
        <w:t>4. 顾客导向的产品设计： 通过深入了解顾客需求，智能化设备</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高绝缘高导热氮化铝陶瓷基片项目可以在产品设计阶段就充分考虑顾客的期望，以顾客满意度为导向，打造更符合市场需求的智能化产品。</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5. 持续改进和创新： 全面质量管理强调持续改进，对于智能化设备高绝缘高导热氮化铝陶瓷基片项目而言，这意味着不断追求技术创新，优化生产流程，引入先进技术，从而提升产品质量和市场竞争力。</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通过将全面质量管理的理念融入智能化设备高绝缘高导热氮化铝陶瓷基片项目的方方面面，高绝缘高导热氮化铝陶瓷基片项目团队可以更好地应对市场变化、提高生产效率、降低成本，并在竞争激烈的行业中取得持续的成功。</w:t>
      </w:r>
    </w:p>
    <w:p w:rsidR="0011510A" w:rsidP="0011510A">
      <w:pPr>
        <w:ind w:firstLine="560" w:firstLineChars="200"/>
        <w:rPr>
          <w:rFonts w:ascii="仿宋" w:eastAsia="仿宋" w:hAnsi="仿宋" w:hint="eastAsia"/>
          <w:sz w:val="28"/>
        </w:rPr>
      </w:pPr>
      <w:r w:rsidRPr="0011510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高绝缘高导热氮化铝陶瓷基片项目能够更好地适应快速发展的科技环境，为企业的可持续发展打下坚实基础。</w:t>
      </w:r>
    </w:p>
    <w:p w:rsidR="0011510A" w:rsidP="0011510A">
      <w:pPr>
        <w:pStyle w:val="Heading2"/>
      </w:pPr>
      <w:bookmarkStart w:id="4" w:name="_Toc156981167"/>
      <w:r w:rsidRPr="0011510A">
        <w:t>(</w:t>
      </w:r>
      <w:r w:rsidRPr="0011510A">
        <w:t>二</w:t>
      </w:r>
      <w:r w:rsidRPr="0011510A">
        <w:t>)</w:t>
      </w:r>
      <w:r w:rsidRPr="0011510A">
        <w:t>、质量成本管理</w:t>
      </w:r>
      <w:bookmarkEnd w:id="4"/>
    </w:p>
    <w:p w:rsidR="0011510A" w:rsidRPr="0011510A" w:rsidP="0011510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1510A">
        <w:rPr>
          <w:rFonts w:ascii="仿宋" w:eastAsia="仿宋" w:hAnsi="仿宋" w:hint="eastAsia"/>
          <w:sz w:val="28"/>
        </w:rPr>
        <w:t>在高绝缘高导热氮化铝陶瓷基片项目执行过程中，质量成本管理是一项关键的活动，旨在全面规划、控制和管理因质量问题而产生的各项成本。在高绝缘高导热氮化铝陶瓷基片项目中，质量成本管理对于提升产品质量、降低生产成本以及增强竞争力具有重要意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1. 质量成本的定义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2. 质量成本管理的概念</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3. 质量成本管理分类</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预防成本： 投入在预防产品不合格活动上的费用，包括质量培训、工艺设计等。</w:t>
      </w:r>
    </w:p>
    <w:p w:rsidR="0011510A" w:rsidRPr="0011510A" w:rsidP="0011510A">
      <w:pPr>
        <w:ind w:firstLine="560" w:firstLineChars="200"/>
        <w:rPr>
          <w:rFonts w:ascii="仿宋" w:eastAsia="仿宋" w:hAnsi="仿宋"/>
          <w:sz w:val="28"/>
        </w:rPr>
      </w:pPr>
      <w:r w:rsidRPr="0011510A">
        <w:rPr>
          <w:rFonts w:ascii="仿宋" w:eastAsia="仿宋" w:hAnsi="仿宋"/>
          <w:sz w:val="28"/>
        </w:rPr>
        <w:t xml:space="preserve">  </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评估成本： 用于检验和测试产品以确保符合质量标准的成本，包括检验设备、测试材料等。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内部失误成本： 由于产品不合格而产生的内部成本，包括返工、报废、维修等费用。</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外部失误成本： 由不合格产品引起的外部损失，包括退货、赔偿、声誉受损等。</w:t>
      </w:r>
    </w:p>
    <w:p w:rsidR="0011510A" w:rsidRPr="0011510A" w:rsidP="0011510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1510A">
        <w:rPr>
          <w:rFonts w:ascii="仿宋" w:eastAsia="仿宋" w:hAnsi="仿宋" w:hint="eastAsia"/>
          <w:sz w:val="28"/>
        </w:rPr>
        <w:t xml:space="preserve"> 4. 质量成本管理的应用</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持续改进： 不断改进产品设计、生产工艺、质量管理体系，降低质量成本，提高产品合格率，满足客户需求，提升市场竞争力。</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5. 质量成本管理的优势</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降低生产成本： 通过降低内外部失误成本，提高产品合格率，从而降低生产成本。</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提高产品质量： 促使企业从源头上预防产品质量问题的发生，全员参与质量管理，提高产品质量水平。</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增强市场竞争力： 通过优化质量成本管理，提高产品性价比，提升品牌形象，增强市场竞争力。</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加强管理决策： 提供全面的质量成本数据支持，帮助管理层进行科学决策，合理配置资源，提高企业经营效益。</w:t>
      </w:r>
    </w:p>
    <w:p w:rsidR="0011510A" w:rsidP="0011510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1510A">
        <w:rPr>
          <w:rFonts w:ascii="仿宋" w:eastAsia="仿宋" w:hAnsi="仿宋" w:hint="eastAsia"/>
          <w:sz w:val="28"/>
        </w:rPr>
        <w:t>综合而言，质量成本管理在高绝缘高导热氮化铝陶瓷基片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1510A" w:rsidP="0011510A">
      <w:pPr>
        <w:pStyle w:val="Heading2"/>
      </w:pPr>
      <w:bookmarkStart w:id="5" w:name="_Toc156981168"/>
      <w:r w:rsidRPr="0011510A">
        <w:t>(</w:t>
      </w:r>
      <w:r w:rsidRPr="0011510A">
        <w:t>三</w:t>
      </w:r>
      <w:r w:rsidRPr="0011510A">
        <w:t>)</w:t>
      </w:r>
      <w:r w:rsidRPr="0011510A">
        <w:t>、服务质量管理</w:t>
      </w:r>
      <w:bookmarkEnd w:id="5"/>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客户需求分析： 理解客户的期望和需求是确保服务质量的第一步。这可以通过市场调研、客户反馈和数据分析来实现。</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服务设计： 设计阶段需要考虑如何最好地满足客户需求，包括服务流程、技术基础设施和员工培训等方面。</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4. 流程管理： 通过有效的流程管理确保服务交付的一致性和高效性。这可能包括制定标准操作程序 (SOP)、使用技术解决方案来提高效率等。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5. 客户反馈和持续改进： 定期收集客户反馈，借此识别任何可能的问题或改进的机会。持续改进是服务质量管理的核心原则。</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6. 性能指标和测量： 制定合适的性能指标以评估服务质量。这可以涉及客户满意度、服务交付时间、问题解决速度等方面的度量。</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7. 技术支持和创新： 利用新技术和创新来提升服务质量，例如自动化、人工智能、客户关系管理系统等。</w:t>
      </w:r>
    </w:p>
    <w:p w:rsidR="0011510A" w:rsidRPr="0011510A" w:rsidP="0011510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1510A">
        <w:rPr>
          <w:rFonts w:ascii="仿宋" w:eastAsia="仿宋" w:hAnsi="仿宋" w:hint="eastAsia"/>
          <w:sz w:val="28"/>
        </w:rPr>
        <w:t>8. 风险管理： 识别和管理可能影响服务质量的风险。这可以包</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括对供应链、技术故障、人力资源等方面的风险进行有效的管理。</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9. 法规和合规性： 遵守适用的法规和行业标准，以确保服务质量管理的合规性。</w:t>
      </w:r>
    </w:p>
    <w:p w:rsidR="0011510A" w:rsidP="0011510A">
      <w:pPr>
        <w:ind w:firstLine="560" w:firstLineChars="200"/>
        <w:rPr>
          <w:rFonts w:ascii="仿宋" w:eastAsia="仿宋" w:hAnsi="仿宋" w:hint="eastAsia"/>
          <w:sz w:val="28"/>
        </w:rPr>
      </w:pPr>
      <w:r w:rsidRPr="0011510A">
        <w:rPr>
          <w:rFonts w:ascii="仿宋" w:eastAsia="仿宋" w:hAnsi="仿宋" w:hint="eastAsia"/>
          <w:sz w:val="28"/>
        </w:rPr>
        <w:t>10. 团队协作： 通过建立有效的团队协作和沟通机制来促进服务质量的提升。</w:t>
      </w:r>
    </w:p>
    <w:p w:rsidR="0011510A" w:rsidP="0011510A">
      <w:pPr>
        <w:pStyle w:val="Heading1"/>
        <w:rPr>
          <w:rFonts w:hint="eastAsia"/>
        </w:rPr>
      </w:pPr>
      <w:bookmarkStart w:id="6" w:name="_Toc156981169"/>
      <w:r w:rsidRPr="0011510A">
        <w:rPr>
          <w:rFonts w:hint="eastAsia"/>
        </w:rPr>
        <w:t>二、企业管理方案</w:t>
      </w:r>
      <w:bookmarkEnd w:id="6"/>
    </w:p>
    <w:p w:rsidR="0011510A" w:rsidP="0011510A">
      <w:pPr>
        <w:pStyle w:val="Heading2"/>
        <w:rPr>
          <w:rFonts w:hint="eastAsia"/>
        </w:rPr>
      </w:pPr>
      <w:bookmarkStart w:id="7" w:name="_Toc156981170"/>
      <w:r w:rsidRPr="0011510A">
        <w:rPr>
          <w:rFonts w:hint="eastAsia"/>
        </w:rPr>
        <w:t>(</w:t>
      </w:r>
      <w:r w:rsidRPr="0011510A">
        <w:rPr>
          <w:rFonts w:hint="eastAsia"/>
        </w:rPr>
        <w:t>一</w:t>
      </w:r>
      <w:r w:rsidRPr="0011510A">
        <w:rPr>
          <w:rFonts w:hint="eastAsia"/>
        </w:rPr>
        <w:t>)</w:t>
      </w:r>
      <w:r w:rsidRPr="0011510A">
        <w:rPr>
          <w:rFonts w:hint="eastAsia"/>
        </w:rPr>
        <w:t>、企业管理体系</w:t>
      </w:r>
      <w:bookmarkEnd w:id="7"/>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一、组织结构与体系</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组织结构设计： 确定企业内部各部门、团队和岗位之间的关系，建立清晰的组织结构，以实现工作分工、协作和沟通的有效性。</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决策层次： 规定决策的层级结构，确保信息能够迅速准确地传达和决策能够迅速实施。</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二、管理流程与方法</w:t>
      </w:r>
    </w:p>
    <w:p w:rsidR="0011510A" w:rsidRPr="0011510A" w:rsidP="0011510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1510A">
        <w:rPr>
          <w:rFonts w:ascii="仿宋" w:eastAsia="仿宋" w:hAnsi="仿宋" w:hint="eastAsia"/>
          <w:sz w:val="28"/>
        </w:rPr>
        <w:t>1. 业务流程设计： 制定标准的业务流程，确保企业的核心业务能够高效有序地进行。</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高绝缘高导热氮化铝陶瓷基片项目管理方法： 采用适当的高绝缘高导热氮化铝陶瓷基片项目管理方法，确保高绝缘高导热氮化铝陶瓷基片项目按时按质完成。</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质量管理体系： 实施质量管理体系，确保产品或服务符合规定标准，提高客户满意度。</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三、政策与规程</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企业政策： 制定企业整体发展的方向和原则，确保所有业务活动符合企业的核心价值观。</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规章制度： 制定各项规章制度，规范员工行为，确保企业内部秩序和文化的一致性。</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四、人力资源管理</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招聘与培训： 制定招聘计划，确保企业拥有足够的人力资源。提供培训机会，提升员工技能水平。</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绩效考核： 设立科学的绩效考核体系，激励员工的积极性和创造性。</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员工发展： 提供员工职业发展通道，激发员工对企业的忠诚度。</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五、财务管理</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财务规划： 制定财务计划，确保企业有足够的资金支持日常运营和发展。</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会计体系： 建立健全的会计体系，确保财务报表准确、透明。</w:t>
      </w:r>
    </w:p>
    <w:p w:rsidR="0011510A" w:rsidRPr="0011510A" w:rsidP="0011510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1510A">
        <w:rPr>
          <w:rFonts w:ascii="仿宋" w:eastAsia="仿宋" w:hAnsi="仿宋" w:hint="eastAsia"/>
          <w:sz w:val="28"/>
        </w:rPr>
        <w:t xml:space="preserve"> 六、信息化管理系统</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信息系统建设： 采用现代信息技术，建设适应企业发展的信息系统，提高信息的获取和利用效率。</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数据安全： 确保企业的数据安全，采取适当的信息安全措施。</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七、市场与客户管理</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市场开发与营销： 制定市场开发计划，提高企业在市场上的知名度和竞争力。</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客户关系管理： 建立客户档案，提供个性化服务，提高客户满意度。</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 xml:space="preserve"> 八、创新与持续改进</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创新体系： 鼓励员工提出创新建议，建立创新激励机制。</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持续改进： 定期进行业务流程改进，提高工作效率和质量。</w:t>
      </w:r>
    </w:p>
    <w:p w:rsidR="0011510A" w:rsidP="0011510A">
      <w:pPr>
        <w:ind w:firstLine="560" w:firstLineChars="200"/>
        <w:rPr>
          <w:rFonts w:ascii="仿宋" w:eastAsia="仿宋" w:hAnsi="仿宋" w:hint="eastAsia"/>
          <w:sz w:val="28"/>
        </w:rPr>
      </w:pPr>
      <w:r w:rsidRPr="0011510A">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1510A" w:rsidP="0011510A">
      <w:pPr>
        <w:pStyle w:val="Heading2"/>
      </w:pPr>
      <w:bookmarkStart w:id="8" w:name="_Toc156981171"/>
      <w:r w:rsidRPr="0011510A">
        <w:t>(</w:t>
      </w:r>
      <w:r w:rsidRPr="0011510A">
        <w:t>二</w:t>
      </w:r>
      <w:r w:rsidRPr="0011510A">
        <w:t>)</w:t>
      </w:r>
      <w:r w:rsidRPr="0011510A">
        <w:t>、信息管理与信息系统</w:t>
      </w:r>
      <w:bookmarkEnd w:id="8"/>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一、信息管理</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概念与定义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信息管理是通过对信息资源进行规划、组织、存储、传递和控制，以实现信息的有效利用和价值最大化的一种综合性管理活动。</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重要性与目标</w:t>
      </w:r>
    </w:p>
    <w:p w:rsidR="0011510A" w:rsidRPr="0011510A" w:rsidP="0011510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1510A">
        <w:rPr>
          <w:rFonts w:ascii="仿宋" w:eastAsia="仿宋" w:hAnsi="仿宋" w:hint="eastAsia"/>
          <w:sz w:val="28"/>
        </w:rPr>
        <w:t>信息价值: 信息是企业最重要的资源之一，对企业的决策、创新</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和发展至关重要。</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目标: 实现信息的高效流通、及时更新、准确可靠，提高决策的科学性和准确性。</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信息管理的基本要素</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信息策划: 制定信息发展的战略和规划。</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信息组织: 构建信息资源的组织结构。</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信息存储: 制定信息存储的规范和标准。</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信息传递: 通过各种手段和渠道进行信息传递。</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信息控制: 对信息进行监控和管理。</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二、信息系统</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概念与定义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信息系统是由硬件、软件、数据、人员、过程等多个要素组成的，用于收集、存储、处理、分析和传递信息的系统。</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组成要素</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硬件: 包括计算机、服务器、网络设备等。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软件: 包括操作系统、应用软件、数据库管理系统等。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数据: 信息系统的基础，包括结构化数据和非结构化数据。</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人员: 系统管理员、用户、开发人员等。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过程: 系统运行和管理的各个流程和方法。</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信息系统的功能</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数据采集和输入: 通过各种手段获取数据。</w:t>
      </w:r>
    </w:p>
    <w:p w:rsidR="0011510A" w:rsidRPr="0011510A" w:rsidP="0011510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1510A">
        <w:rPr>
          <w:rFonts w:ascii="仿宋" w:eastAsia="仿宋" w:hAnsi="仿宋" w:hint="eastAsia"/>
          <w:sz w:val="28"/>
        </w:rPr>
        <w:t>数据存储: 将数据存储在数据库或其他媒体中。</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数据处理和分析: 对数据进行处理和分析，生成有用的信息。</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信息传递: 将信息传递给需要的人员或系统。</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决策支持: 提供决策所需的信息。</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三、信息管理与信息系统的关系</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互为支持关系</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信息管理支持信息系统： 信息管理为信息系统提供了规范和战略，确保信息系统能够更好地为企业服务。</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信息系统支持信息管理： 信息系统通过高效的数据处理和分析功能，为信息管理提供了技术支持，使信息更易于管理和利用。</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协同作用</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共同目标: 信息管理与信息系统的共同目标是确保信息的高效管理和利用，为企业的决策提供支持。</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协同作用: 信息管理与信息系统协同工作，推动企业信息化建设，提高信息资源的价值。</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四、信息管理与信息系统的挑战与应对措施</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挑战</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技术更新快: 信息技术发展迅速，更新换代较快。</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数据安全问题: 面临数据泄露、信息安全等风险。</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信息过载: 大量信息导致信息过载，难以有效利用。</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应对措施</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持续学习: 不断学习新的信息技术，保持信息系统的先进性。</w:t>
      </w:r>
    </w:p>
    <w:p w:rsidR="0011510A" w:rsidRPr="0011510A" w:rsidP="0011510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1510A">
        <w:rPr>
          <w:rFonts w:ascii="仿宋" w:eastAsia="仿宋" w:hAnsi="仿宋" w:hint="eastAsia"/>
          <w:sz w:val="28"/>
        </w:rPr>
        <w:t>强化安全措施: 制定完善的信息安全政策，使用先进的安全技术。</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信息筛选与分类: 建立信息分类体系，优先关注关键信息，减少信息过载。</w:t>
      </w:r>
    </w:p>
    <w:p w:rsidR="0011510A" w:rsidP="0011510A">
      <w:pPr>
        <w:ind w:firstLine="560" w:firstLineChars="200"/>
        <w:rPr>
          <w:rFonts w:ascii="仿宋" w:eastAsia="仿宋" w:hAnsi="仿宋" w:hint="eastAsia"/>
          <w:sz w:val="28"/>
        </w:rPr>
      </w:pPr>
      <w:r w:rsidRPr="0011510A">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1510A" w:rsidP="0011510A">
      <w:pPr>
        <w:pStyle w:val="Heading1"/>
        <w:rPr>
          <w:rFonts w:hint="eastAsia"/>
        </w:rPr>
      </w:pPr>
      <w:bookmarkStart w:id="9" w:name="_Toc156981172"/>
      <w:r w:rsidRPr="0011510A">
        <w:rPr>
          <w:rFonts w:hint="eastAsia"/>
        </w:rPr>
        <w:t>三、背景及必要性分析</w:t>
      </w:r>
      <w:bookmarkEnd w:id="9"/>
    </w:p>
    <w:p w:rsidR="0011510A" w:rsidP="0011510A">
      <w:pPr>
        <w:pStyle w:val="Heading2"/>
        <w:rPr>
          <w:rFonts w:hint="eastAsia"/>
        </w:rPr>
      </w:pPr>
      <w:bookmarkStart w:id="10" w:name="_Toc156981173"/>
      <w:r w:rsidRPr="0011510A">
        <w:rPr>
          <w:rFonts w:hint="eastAsia"/>
        </w:rPr>
        <w:t>(</w:t>
      </w:r>
      <w:r w:rsidRPr="0011510A">
        <w:rPr>
          <w:rFonts w:hint="eastAsia"/>
        </w:rPr>
        <w:t>一</w:t>
      </w:r>
      <w:r w:rsidRPr="0011510A">
        <w:rPr>
          <w:rFonts w:hint="eastAsia"/>
        </w:rPr>
        <w:t>)</w:t>
      </w:r>
      <w:r w:rsidRPr="0011510A">
        <w:rPr>
          <w:rFonts w:hint="eastAsia"/>
        </w:rPr>
        <w:t>、行业发展方向</w:t>
      </w:r>
      <w:bookmarkEnd w:id="10"/>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1510A" w:rsidRPr="0011510A" w:rsidP="0011510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1510A">
        <w:rPr>
          <w:rFonts w:ascii="仿宋" w:eastAsia="仿宋" w:hAnsi="仿宋" w:hint="eastAsia"/>
          <w:sz w:val="28"/>
        </w:rPr>
        <w:t>4. 全球化市场与跨界合作： 行业的发展逐渐呈现出全球化的趋</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势，企业需要加强国际市场的拓展和跨界合作。通过与不同领域的企业合作，共同创新，实现资源共享，提高企业的综合实力。</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1510A" w:rsidP="0011510A">
      <w:pPr>
        <w:ind w:firstLine="560" w:firstLineChars="200"/>
        <w:rPr>
          <w:rFonts w:ascii="仿宋" w:eastAsia="仿宋" w:hAnsi="仿宋" w:hint="eastAsia"/>
          <w:sz w:val="28"/>
        </w:rPr>
      </w:pPr>
      <w:r w:rsidRPr="0011510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1510A" w:rsidP="0011510A">
      <w:pPr>
        <w:pStyle w:val="Heading2"/>
      </w:pPr>
      <w:bookmarkStart w:id="11" w:name="_Toc156981174"/>
      <w:r w:rsidRPr="0011510A">
        <w:t>(</w:t>
      </w:r>
      <w:r w:rsidRPr="0011510A">
        <w:t>二</w:t>
      </w:r>
      <w:r w:rsidRPr="0011510A">
        <w:t>)</w:t>
      </w:r>
      <w:r w:rsidRPr="0011510A">
        <w:t>、行业环境分析与应对策略</w:t>
      </w:r>
      <w:bookmarkEnd w:id="11"/>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（五）行业环境分析与应对策略</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1510A" w:rsidRPr="0011510A" w:rsidP="0011510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1510A">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1510A" w:rsidP="0011510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1510A">
        <w:rPr>
          <w:rFonts w:ascii="仿宋" w:eastAsia="仿宋" w:hAnsi="仿宋" w:hint="eastAsia"/>
          <w:sz w:val="28"/>
        </w:rPr>
        <w:t>综合以上，企业需要在行业环境变化中保持敏锐洞察力，制定灵活的应对策略，不断提升自身的适应能力。积极主动地迎接挑战，善</w:t>
      </w:r>
    </w:p>
    <w:p w:rsidR="0011510A" w:rsidP="0011510A">
      <w:pPr>
        <w:ind w:firstLine="560" w:firstLineChars="200"/>
        <w:rPr>
          <w:rFonts w:ascii="仿宋" w:eastAsia="仿宋" w:hAnsi="仿宋" w:hint="eastAsia"/>
          <w:sz w:val="28"/>
        </w:rPr>
      </w:pPr>
      <w:r w:rsidRPr="0011510A">
        <w:rPr>
          <w:rFonts w:ascii="仿宋" w:eastAsia="仿宋" w:hAnsi="仿宋" w:hint="eastAsia"/>
          <w:sz w:val="28"/>
        </w:rPr>
        <w:t>于变革和创新，将有助于企业在激烈的市场竞争中稳健前行。</w:t>
      </w:r>
    </w:p>
    <w:p w:rsidR="0011510A" w:rsidP="0011510A">
      <w:pPr>
        <w:pStyle w:val="Heading2"/>
      </w:pPr>
      <w:bookmarkStart w:id="12" w:name="_Toc156981175"/>
      <w:r w:rsidRPr="0011510A">
        <w:t>(</w:t>
      </w:r>
      <w:r w:rsidRPr="0011510A">
        <w:t>三</w:t>
      </w:r>
      <w:r w:rsidRPr="0011510A">
        <w:t>)</w:t>
      </w:r>
      <w:r w:rsidRPr="0011510A">
        <w:t>、行业面临的机遇与挑战</w:t>
      </w:r>
      <w:bookmarkEnd w:id="12"/>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机遇：</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技术创新和数字化转型： 行业可能受益于先进技术和数字化转型，提高生产效率、降低成本，同时创造新的商业模式和产品。</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市场需求增长： 如果行业所在市场的需求不断增长，企业有机会通过提供更多产品或服务来扩大市场份额。</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全球化机遇： 开拓国际市场可能为企业带来新的机会，尤其是在全球化程度不断提高的情况下。</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4. 可持续发展： 行业在可持续发展方面的投入和努力可能受到市场和政府的认可，推动企业在社会责任和环保方面取得竞争优势。</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5. 人才和团队发展： 有机会吸引和培养高素质的人才，建立协作团队，为企业带来创新和竞争优势。</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挑战：</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市场竞争激烈： 若市场竞争激烈，企业可能面临价格战、利润压力以及更高的市场推广成本。</w:t>
      </w:r>
    </w:p>
    <w:p w:rsidR="0011510A" w:rsidRPr="0011510A" w:rsidP="0011510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1510A">
        <w:rPr>
          <w:rFonts w:ascii="仿宋" w:eastAsia="仿宋" w:hAnsi="仿宋" w:hint="eastAsia"/>
          <w:sz w:val="28"/>
        </w:rPr>
        <w:t>2. 政策和法规变化： 行业可能受到政府政策和法规的影响，不稳定的政策环境可能带来不确定性。</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供应链不稳定： 供应链问题，如原材料短缺、运输问题或供应链中断，可能对企业的生产和运营产生负面影响。</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4. 技术风险： 依赖新技术可能带来技术风险，包括技术失误、信息安全问题等。</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5. 人才短缺： 企业可能面临人才短缺，尤其是在需要特定技能或专业知识的领域。</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6. 经济不确定性： 宏观经济因素的不确定性，如通货膨胀、利率变动、经济衰退等，可能对企业产生负面影响。</w:t>
      </w:r>
    </w:p>
    <w:p w:rsidR="0011510A" w:rsidP="0011510A">
      <w:pPr>
        <w:ind w:firstLine="560" w:firstLineChars="200"/>
        <w:rPr>
          <w:rFonts w:ascii="仿宋" w:eastAsia="仿宋" w:hAnsi="仿宋" w:hint="eastAsia"/>
          <w:sz w:val="28"/>
        </w:rPr>
      </w:pPr>
      <w:r w:rsidRPr="0011510A">
        <w:rPr>
          <w:rFonts w:ascii="仿宋" w:eastAsia="仿宋" w:hAnsi="仿宋" w:hint="eastAsia"/>
          <w:sz w:val="28"/>
        </w:rPr>
        <w:t>在面对这些机遇和挑战时，企业需要制定明智的战略，灵活调整经营计划，不断提升自身竞争力，以适应动态的市场环境。</w:t>
      </w:r>
    </w:p>
    <w:p w:rsidR="0011510A" w:rsidP="0011510A">
      <w:pPr>
        <w:pStyle w:val="Heading2"/>
      </w:pPr>
      <w:bookmarkStart w:id="13" w:name="_Toc156981176"/>
      <w:r w:rsidRPr="0011510A">
        <w:t>(</w:t>
      </w:r>
      <w:r w:rsidRPr="0011510A">
        <w:t>四</w:t>
      </w:r>
      <w:r w:rsidRPr="0011510A">
        <w:t>)</w:t>
      </w:r>
      <w:r w:rsidRPr="0011510A">
        <w:t>、行业特征</w:t>
      </w:r>
      <w:bookmarkEnd w:id="13"/>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11510A" w:rsidRPr="0011510A" w:rsidP="0011510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1510A">
        <w:rPr>
          <w:rFonts w:ascii="仿宋" w:eastAsia="仿宋" w:hAnsi="仿宋" w:hint="eastAsia"/>
          <w:sz w:val="28"/>
        </w:rPr>
        <w:t>4. 供应链管理复杂： 由于原材料采购、生产、物流等环节的复</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杂性，供应链管理是该行业的一大挑战。建立高效的供应链体系，提高物流管理水平，对企业竞争力至关重要。</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5. 市场竞争激烈： 行业内竞争激烈，存在多个竞争对手争夺市场份额。差异化竞争、创新能力和品牌影响力成为企业取胜的重要因素。</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1510A" w:rsidRPr="0011510A" w:rsidP="0011510A">
      <w:pPr>
        <w:ind w:firstLine="560" w:firstLineChars="200"/>
        <w:rPr>
          <w:rFonts w:ascii="仿宋" w:eastAsia="仿宋" w:hAnsi="仿宋" w:hint="eastAsia"/>
          <w:sz w:val="28"/>
        </w:rPr>
      </w:pPr>
      <w:r w:rsidRPr="0011510A">
        <w:rPr>
          <w:rFonts w:ascii="仿宋" w:eastAsia="仿宋" w:hAnsi="仿宋"/>
          <w:sz w:val="28"/>
        </w:rPr>
        <w:t>8</w:t>
      </w:r>
      <w:r w:rsidRPr="0011510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1510A" w:rsidP="0011510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1510A">
        <w:rPr>
          <w:rFonts w:ascii="仿宋" w:eastAsia="仿宋" w:hAnsi="仿宋" w:hint="eastAsia"/>
          <w:sz w:val="28"/>
        </w:rPr>
        <w:t>综合以上特征，该行业在资本、技术、市场竞争等方面存在较大的挑战和机遇。企业在经营中需要充分认识行业特征，通过合理规划</w:t>
      </w:r>
    </w:p>
    <w:p w:rsidR="0011510A" w:rsidP="0011510A">
      <w:pPr>
        <w:ind w:firstLine="560" w:firstLineChars="200"/>
        <w:rPr>
          <w:rFonts w:ascii="仿宋" w:eastAsia="仿宋" w:hAnsi="仿宋" w:hint="eastAsia"/>
          <w:sz w:val="28"/>
        </w:rPr>
      </w:pPr>
      <w:r w:rsidRPr="0011510A">
        <w:rPr>
          <w:rFonts w:ascii="仿宋" w:eastAsia="仿宋" w:hAnsi="仿宋" w:hint="eastAsia"/>
          <w:sz w:val="28"/>
        </w:rPr>
        <w:t>和战略布局，更好地把握市场机遇，降低风险，提升竞争力。</w:t>
      </w:r>
    </w:p>
    <w:p w:rsidR="0011510A" w:rsidP="0011510A">
      <w:pPr>
        <w:pStyle w:val="Heading2"/>
      </w:pPr>
      <w:bookmarkStart w:id="14" w:name="_Toc156981177"/>
      <w:r w:rsidRPr="0011510A">
        <w:t>(</w:t>
      </w:r>
      <w:r w:rsidRPr="0011510A">
        <w:t>五</w:t>
      </w:r>
      <w:r w:rsidRPr="0011510A">
        <w:t>)</w:t>
      </w:r>
      <w:r w:rsidRPr="0011510A">
        <w:t>、行业发展趋势分析</w:t>
      </w:r>
      <w:bookmarkEnd w:id="14"/>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1510A" w:rsidRPr="0011510A" w:rsidP="0011510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1510A">
        <w:rPr>
          <w:rFonts w:ascii="仿宋" w:eastAsia="仿宋" w:hAnsi="仿宋" w:hint="eastAsia"/>
          <w:sz w:val="28"/>
        </w:rPr>
        <w:t>6. 人工智能与机器学习应用： 行业发展中，人工智能和机器学习的应用将愈加广泛。从产品设计到生产管理，再到客户服务，这些</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技术的运用将提高企业的智能化水平，为企业提供更精准的决策支持。</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1510A" w:rsidP="0011510A">
      <w:pPr>
        <w:ind w:firstLine="560" w:firstLineChars="200"/>
        <w:rPr>
          <w:rFonts w:ascii="仿宋" w:eastAsia="仿宋" w:hAnsi="仿宋" w:hint="eastAsia"/>
          <w:sz w:val="28"/>
        </w:rPr>
      </w:pPr>
      <w:r w:rsidRPr="0011510A">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1510A" w:rsidP="0011510A">
      <w:pPr>
        <w:pStyle w:val="Heading2"/>
      </w:pPr>
      <w:bookmarkStart w:id="15" w:name="_Toc156981178"/>
      <w:r w:rsidRPr="0011510A">
        <w:t>(</w:t>
      </w:r>
      <w:r w:rsidRPr="0011510A">
        <w:t>六</w:t>
      </w:r>
      <w:r w:rsidRPr="0011510A">
        <w:t>)</w:t>
      </w:r>
      <w:r w:rsidRPr="0011510A">
        <w:t>、行业实施路径就爱建议</w:t>
      </w:r>
      <w:bookmarkEnd w:id="15"/>
    </w:p>
    <w:p w:rsidR="0011510A" w:rsidRPr="0011510A" w:rsidP="0011510A">
      <w:pPr>
        <w:ind w:firstLine="560" w:firstLineChars="200"/>
        <w:rPr>
          <w:rFonts w:ascii="仿宋" w:eastAsia="仿宋" w:hAnsi="仿宋"/>
          <w:sz w:val="28"/>
        </w:rPr>
      </w:pP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1510A" w:rsidRPr="0011510A" w:rsidP="0011510A">
      <w:pPr>
        <w:ind w:firstLine="560" w:firstLineChars="200"/>
        <w:rPr>
          <w:rFonts w:ascii="仿宋" w:eastAsia="仿宋" w:hAnsi="仿宋"/>
          <w:sz w:val="28"/>
        </w:rPr>
      </w:pPr>
      <w:r w:rsidRPr="0011510A">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1510A" w:rsidRPr="0011510A" w:rsidP="0011510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1510A">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1510A" w:rsidRPr="0011510A" w:rsidP="0011510A">
      <w:pPr>
        <w:ind w:firstLine="560" w:firstLineChars="200"/>
        <w:rPr>
          <w:rFonts w:ascii="仿宋" w:eastAsia="仿宋" w:hAnsi="仿宋"/>
          <w:sz w:val="28"/>
        </w:rPr>
      </w:pPr>
      <w:r w:rsidRPr="0011510A">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1510A" w:rsidRPr="0011510A" w:rsidP="0011510A">
      <w:pPr>
        <w:ind w:firstLine="560" w:firstLineChars="200"/>
        <w:rPr>
          <w:rFonts w:ascii="仿宋" w:eastAsia="仿宋" w:hAnsi="仿宋" w:hint="eastAsia"/>
          <w:sz w:val="28"/>
        </w:rPr>
      </w:pPr>
      <w:r w:rsidRPr="0011510A">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1510A" w:rsidP="0011510A">
      <w:pPr>
        <w:ind w:firstLine="560" w:firstLineChars="200"/>
        <w:rPr>
          <w:rFonts w:ascii="仿宋" w:eastAsia="仿宋" w:hAnsi="仿宋" w:hint="eastAsia"/>
          <w:sz w:val="28"/>
        </w:rPr>
      </w:pPr>
      <w:r w:rsidRPr="0011510A">
        <w:rPr>
          <w:rFonts w:ascii="仿宋" w:eastAsia="仿宋" w:hAnsi="仿宋"/>
          <w:sz w:val="28"/>
        </w:rPr>
        <w:t>10</w:t>
      </w:r>
      <w:r w:rsidRPr="0011510A">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https://d.book118.com/078002055024006040</w:t>
        </w:r>
      </w:hyperlink>
    </w:p>
    <w:p w:rsidR="0011510A" w:rsidP="0011510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151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1510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1510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1510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1510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1510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1510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1510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1510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1510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1510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1510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1510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1510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1510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1510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1510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1510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1510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1510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1510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1510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1510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1510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1510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P="00804B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1510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rsidRPr="0011510A" w:rsidP="0011510A">
    <w:pPr>
      <w:pStyle w:val="Header"/>
      <w:rPr>
        <w:rFonts w:ascii="仿宋" w:eastAsia="仿宋" w:hAnsi="仿宋"/>
      </w:rPr>
    </w:pPr>
    <w:r w:rsidRPr="0011510A">
      <w:rPr>
        <w:rFonts w:ascii="仿宋" w:eastAsia="仿宋" w:hAnsi="仿宋" w:hint="eastAsia"/>
      </w:rPr>
      <w:t>高绝缘高导热氮化铝陶瓷基片投资回报分析报告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51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10A"/>
    <w:rsid w:val="0011510A"/>
    <w:rsid w:val="00804BF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1510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1510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1510A"/>
    <w:rPr>
      <w:b/>
      <w:bCs/>
      <w:kern w:val="44"/>
      <w:sz w:val="44"/>
      <w:szCs w:val="44"/>
    </w:rPr>
  </w:style>
  <w:style w:type="character" w:customStyle="1" w:styleId="2Char">
    <w:name w:val="标题 2 Char"/>
    <w:basedOn w:val="DefaultParagraphFont"/>
    <w:link w:val="Heading2"/>
    <w:uiPriority w:val="9"/>
    <w:rsid w:val="0011510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151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1510A"/>
    <w:rPr>
      <w:sz w:val="18"/>
      <w:szCs w:val="18"/>
    </w:rPr>
  </w:style>
  <w:style w:type="paragraph" w:styleId="Footer">
    <w:name w:val="footer"/>
    <w:basedOn w:val="Normal"/>
    <w:link w:val="Char0"/>
    <w:uiPriority w:val="99"/>
    <w:unhideWhenUsed/>
    <w:rsid w:val="0011510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1510A"/>
    <w:rPr>
      <w:sz w:val="18"/>
      <w:szCs w:val="18"/>
    </w:rPr>
  </w:style>
  <w:style w:type="character" w:styleId="PageNumber">
    <w:name w:val="page number"/>
    <w:basedOn w:val="DefaultParagraphFont"/>
    <w:uiPriority w:val="99"/>
    <w:semiHidden/>
    <w:unhideWhenUsed/>
    <w:rsid w:val="0011510A"/>
  </w:style>
  <w:style w:type="paragraph" w:styleId="TOC1">
    <w:name w:val="toc 1"/>
    <w:basedOn w:val="Normal"/>
    <w:next w:val="Normal"/>
    <w:autoRedefine/>
    <w:uiPriority w:val="39"/>
    <w:unhideWhenUsed/>
    <w:rsid w:val="0011510A"/>
  </w:style>
  <w:style w:type="paragraph" w:styleId="TOC2">
    <w:name w:val="toc 2"/>
    <w:basedOn w:val="Normal"/>
    <w:next w:val="Normal"/>
    <w:autoRedefine/>
    <w:uiPriority w:val="39"/>
    <w:unhideWhenUsed/>
    <w:rsid w:val="0011510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8002055024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7344</Words>
  <Characters>41863</Characters>
  <Application>Microsoft Office Word</Application>
  <DocSecurity>0</DocSecurity>
  <Lines>348</Lines>
  <Paragraphs>98</Paragraphs>
  <ScaleCrop>false</ScaleCrop>
  <Company>Microsoft</Company>
  <LinksUpToDate>false</LinksUpToDate>
  <CharactersWithSpaces>49109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2024-01-24T01:31:00Z</dcterms:created>
  <dcterms:modified xsi:type="dcterms:W3CDTF">2024-01-24T01:32:00Z</dcterms:modified>
</cp:coreProperties>
</file>