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次干道沥青路面施工质量控制新技术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49341683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新技术背景：次干道沥青路面施工质量控制现状分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施工技术关键点：沥青混合料配合比设计、摊铺工艺控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r>
            <w:t>第三部</w:t>
          </w:r>
          <w:r>
            <w:rPr>
              <w:spacing w:val="-10"/>
            </w:rPr>
            <w:t>分</w:t>
          </w:r>
          <w:r>
            <w:tab/>
            <w:t>检测技术创新：非破坏性检测技术应用、智慧路面在线监</w:t>
          </w:r>
          <w:r>
            <w:rPr>
              <w:spacing w:val="-10"/>
            </w:rPr>
            <w:t>测</w:t>
          </w:r>
          <w:r>
            <w:rPr>
              <w:rFonts w:ascii="Times New Roman" w:eastAsia="Times New Roman"/>
            </w:rPr>
            <w:tab/>
          </w:r>
          <w:r>
            <w:rPr>
              <w:rFonts w:ascii="Times New Roman" w:eastAsia="Times New Roman"/>
              <w:spacing w:val="-10"/>
            </w:rPr>
            <w:t>7</w:t>
          </w:r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质量控制体系：质量管理体系构建、内部质量控制与外部监督相结</w:t>
            </w:r>
            <w:r>
              <w:rPr>
                <w:spacing w:val="-10"/>
              </w:rPr>
              <w:t>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智能化施工：智能摊铺机应用、数字化施工监控管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绿色施工技术：低碳环保材料应用、绿色施工工艺推</w:t>
            </w:r>
            <w:r>
              <w:rPr>
                <w:spacing w:val="-10"/>
              </w:rPr>
              <w:t>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安全施工管理：安全生产责任落实、安全施工措施制定与实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施工质量评价：质量评估体系建立、质量评优与考核制度完</w:t>
            </w:r>
            <w:r>
              <w:rPr>
                <w:spacing w:val="-10"/>
              </w:rPr>
              <w:t>善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</w:sdtContent>
    </w:sdt>
    <w:p>
      <w:pPr>
        <w:spacing w:after="0"/>
        <w:rPr>
          <w:rFonts w:ascii="Times New Roman" w:eastAsia="Times New Roman"/>
        </w:rPr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tabs>
          <w:tab w:val="left" w:pos="1725"/>
        </w:tabs>
        <w:spacing w:before="0" w:line="514" w:lineRule="exact"/>
        <w:ind w:left="120" w:right="0" w:firstLine="0"/>
        <w:jc w:val="left"/>
        <w:rPr>
          <w:rFonts w:ascii="Microsoft JhengHei" w:eastAsia="Microsoft JhengHei"/>
          <w:b/>
          <w:sz w:val="32"/>
        </w:rPr>
      </w:pPr>
      <w:bookmarkStart w:id="0" w:name="_bookmark0"/>
      <w:bookmarkEnd w:id="0"/>
      <w:r>
        <w:rPr>
          <w:rFonts w:ascii="Microsoft JhengHei" w:eastAsia="Microsoft JhengHei"/>
          <w:b/>
          <w:sz w:val="32"/>
        </w:rPr>
        <w:t>第</w:t>
      </w:r>
      <w:r>
        <w:rPr>
          <w:rFonts w:ascii="Microsoft JhengHei" w:eastAsia="Microsoft JhengHei"/>
          <w:b/>
          <w:sz w:val="32"/>
        </w:rPr>
        <w:t>一</w:t>
      </w:r>
      <w:r>
        <w:rPr>
          <w:rFonts w:ascii="Microsoft JhengHei" w:eastAsia="Microsoft JhengHei"/>
          <w:b/>
          <w:sz w:val="32"/>
        </w:rPr>
        <w:t>部</w:t>
      </w:r>
      <w:r>
        <w:rPr>
          <w:rFonts w:ascii="Microsoft JhengHei" w:eastAsia="Microsoft JhengHei"/>
          <w:b/>
          <w:spacing w:val="-10"/>
          <w:sz w:val="32"/>
        </w:rPr>
        <w:t>分</w:t>
      </w:r>
      <w:r>
        <w:rPr>
          <w:rFonts w:ascii="Microsoft JhengHei" w:eastAsia="Microsoft JhengHei"/>
          <w:b/>
          <w:sz w:val="32"/>
        </w:rPr>
        <w:tab/>
      </w:r>
      <w:r>
        <w:rPr>
          <w:rFonts w:ascii="Microsoft JhengHei" w:eastAsia="Microsoft JhengHei"/>
          <w:b/>
          <w:spacing w:val="-2"/>
          <w:sz w:val="32"/>
        </w:rPr>
        <w:t>新</w:t>
      </w:r>
      <w:r>
        <w:rPr>
          <w:rFonts w:ascii="Microsoft JhengHei" w:eastAsia="Microsoft JhengHei"/>
          <w:b/>
          <w:spacing w:val="-2"/>
          <w:sz w:val="32"/>
        </w:rPr>
        <w:t>技</w:t>
      </w:r>
      <w:r>
        <w:rPr>
          <w:rFonts w:ascii="Microsoft JhengHei" w:eastAsia="Microsoft JhengHei"/>
          <w:b/>
          <w:spacing w:val="-2"/>
          <w:sz w:val="32"/>
        </w:rPr>
        <w:t>术</w:t>
      </w:r>
      <w:r>
        <w:rPr>
          <w:rFonts w:ascii="Microsoft JhengHei" w:eastAsia="Microsoft JhengHei"/>
          <w:b/>
          <w:spacing w:val="-2"/>
          <w:sz w:val="32"/>
        </w:rPr>
        <w:t>背</w:t>
      </w:r>
      <w:r>
        <w:rPr>
          <w:rFonts w:ascii="Microsoft JhengHei" w:eastAsia="Microsoft JhengHei"/>
          <w:b/>
          <w:spacing w:val="-2"/>
          <w:sz w:val="32"/>
        </w:rPr>
        <w:t>景</w:t>
      </w:r>
      <w:r>
        <w:rPr>
          <w:rFonts w:ascii="Microsoft JhengHei" w:eastAsia="Microsoft JhengHei"/>
          <w:b/>
          <w:spacing w:val="-2"/>
          <w:sz w:val="32"/>
        </w:rPr>
        <w:t>：</w:t>
      </w:r>
      <w:r>
        <w:rPr>
          <w:rFonts w:ascii="Microsoft JhengHei" w:eastAsia="Microsoft JhengHei"/>
          <w:b/>
          <w:spacing w:val="-2"/>
          <w:sz w:val="32"/>
        </w:rPr>
        <w:t>次</w:t>
      </w:r>
      <w:r>
        <w:rPr>
          <w:rFonts w:ascii="Microsoft JhengHei" w:eastAsia="Microsoft JhengHei"/>
          <w:b/>
          <w:spacing w:val="-2"/>
          <w:sz w:val="32"/>
        </w:rPr>
        <w:t>干</w:t>
      </w:r>
      <w:r>
        <w:rPr>
          <w:rFonts w:ascii="Microsoft JhengHei" w:eastAsia="Microsoft JhengHei"/>
          <w:b/>
          <w:spacing w:val="-2"/>
          <w:sz w:val="32"/>
        </w:rPr>
        <w:t>道</w:t>
      </w:r>
      <w:r>
        <w:rPr>
          <w:rFonts w:ascii="Microsoft JhengHei" w:eastAsia="Microsoft JhengHei"/>
          <w:b/>
          <w:spacing w:val="-2"/>
          <w:sz w:val="32"/>
        </w:rPr>
        <w:t>沥</w:t>
      </w:r>
      <w:r>
        <w:rPr>
          <w:rFonts w:ascii="Microsoft JhengHei" w:eastAsia="Microsoft JhengHei"/>
          <w:b/>
          <w:spacing w:val="-2"/>
          <w:sz w:val="32"/>
        </w:rPr>
        <w:t>青</w:t>
      </w:r>
      <w:r>
        <w:rPr>
          <w:rFonts w:ascii="Microsoft JhengHei" w:eastAsia="Microsoft JhengHei"/>
          <w:b/>
          <w:spacing w:val="-2"/>
          <w:sz w:val="32"/>
        </w:rPr>
        <w:t>路</w:t>
      </w:r>
      <w:r>
        <w:rPr>
          <w:rFonts w:ascii="Microsoft JhengHei" w:eastAsia="Microsoft JhengHei"/>
          <w:b/>
          <w:spacing w:val="-2"/>
          <w:sz w:val="32"/>
        </w:rPr>
        <w:t>面</w:t>
      </w:r>
      <w:r>
        <w:rPr>
          <w:rFonts w:ascii="Microsoft JhengHei" w:eastAsia="Microsoft JhengHei"/>
          <w:b/>
          <w:spacing w:val="-2"/>
          <w:sz w:val="32"/>
        </w:rPr>
        <w:t>施</w:t>
      </w:r>
      <w:r>
        <w:rPr>
          <w:rFonts w:ascii="Microsoft JhengHei" w:eastAsia="Microsoft JhengHei"/>
          <w:b/>
          <w:spacing w:val="-2"/>
          <w:sz w:val="32"/>
        </w:rPr>
        <w:t>工</w:t>
      </w:r>
      <w:r>
        <w:rPr>
          <w:rFonts w:ascii="Microsoft JhengHei" w:eastAsia="Microsoft JhengHei"/>
          <w:b/>
          <w:spacing w:val="-2"/>
          <w:sz w:val="32"/>
        </w:rPr>
        <w:t>质</w:t>
      </w:r>
      <w:r>
        <w:rPr>
          <w:rFonts w:ascii="Microsoft JhengHei" w:eastAsia="Microsoft JhengHei"/>
          <w:b/>
          <w:spacing w:val="-2"/>
          <w:sz w:val="32"/>
        </w:rPr>
        <w:t>量</w:t>
      </w:r>
      <w:r>
        <w:rPr>
          <w:rFonts w:ascii="Microsoft JhengHei" w:eastAsia="Microsoft JhengHei"/>
          <w:b/>
          <w:spacing w:val="-2"/>
          <w:sz w:val="32"/>
        </w:rPr>
        <w:t>控</w:t>
      </w:r>
      <w:r>
        <w:rPr>
          <w:rFonts w:ascii="Microsoft JhengHei" w:eastAsia="Microsoft JhengHei"/>
          <w:b/>
          <w:spacing w:val="-2"/>
          <w:sz w:val="32"/>
        </w:rPr>
        <w:t>制</w:t>
      </w:r>
      <w:r>
        <w:rPr>
          <w:rFonts w:ascii="Microsoft JhengHei" w:eastAsia="Microsoft JhengHei"/>
          <w:b/>
          <w:spacing w:val="-2"/>
          <w:sz w:val="32"/>
        </w:rPr>
        <w:t>现</w:t>
      </w:r>
      <w:r>
        <w:rPr>
          <w:rFonts w:ascii="Microsoft JhengHei" w:eastAsia="Microsoft JhengHei"/>
          <w:b/>
          <w:spacing w:val="-10"/>
          <w:sz w:val="32"/>
        </w:rPr>
        <w:t>状</w:t>
      </w:r>
    </w:p>
    <w:p>
      <w:pPr>
        <w:spacing w:before="35"/>
        <w:ind w:left="120" w:right="0" w:firstLine="0"/>
        <w:jc w:val="lef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pacing w:val="-6"/>
          <w:sz w:val="32"/>
        </w:rPr>
        <w:t>分析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0"/>
          <w:jc w:val="left"/>
        </w:trPr>
        <w:tc>
          <w:tcPr>
            <w:tcW w:w="2777" w:type="dxa"/>
            <w:tcBorders>
              <w:bottom w:val="nil"/>
            </w:tcBorders>
          </w:tcPr>
          <w:p>
            <w:pPr>
              <w:pStyle w:val="TableParagraph"/>
              <w:spacing w:before="23" w:line="267" w:lineRule="exact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【次干道沥青路面施工质量</w:t>
            </w:r>
          </w:p>
        </w:tc>
        <w:tc>
          <w:tcPr>
            <w:tcW w:w="5519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7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108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现状】</w:t>
            </w:r>
            <w:r>
              <w:rPr>
                <w:rFonts w:ascii="Times New Roman" w:eastAsia="Times New Roman"/>
                <w:spacing w:val="-10"/>
                <w:sz w:val="21"/>
              </w:rPr>
              <w:t>: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31"/>
              </w:numPr>
              <w:tabs>
                <w:tab w:val="left" w:pos="378"/>
              </w:tabs>
              <w:spacing w:before="25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6"/>
                <w:sz w:val="21"/>
              </w:rPr>
              <w:t>次干道沥青路面施工质量控制存在问题较多</w:t>
            </w:r>
            <w:r>
              <w:rPr>
                <w:rFonts w:ascii="Times New Roman" w:eastAsia="Times New Roman"/>
                <w:sz w:val="21"/>
              </w:rPr>
              <w:t>,</w:t>
            </w:r>
            <w:r>
              <w:rPr>
                <w:spacing w:val="4"/>
                <w:sz w:val="21"/>
              </w:rPr>
              <w:t>主要包括</w:t>
            </w:r>
            <w:r>
              <w:rPr>
                <w:spacing w:val="6"/>
                <w:sz w:val="21"/>
              </w:rPr>
              <w:t>沥青混合料质量不稳定</w:t>
            </w:r>
            <w:r>
              <w:rPr>
                <w:rFonts w:ascii="Times New Roman" w:eastAsia="Times New Roman"/>
                <w:sz w:val="21"/>
              </w:rPr>
              <w:t>,</w:t>
            </w:r>
            <w:r>
              <w:rPr>
                <w:spacing w:val="6"/>
                <w:sz w:val="21"/>
              </w:rPr>
              <w:t>摊铺厚度不均匀</w:t>
            </w:r>
            <w:r>
              <w:rPr>
                <w:rFonts w:ascii="Times New Roman" w:eastAsia="Times New Roman"/>
                <w:sz w:val="21"/>
              </w:rPr>
              <w:t>,</w:t>
            </w:r>
            <w:r>
              <w:rPr>
                <w:spacing w:val="5"/>
                <w:sz w:val="21"/>
              </w:rPr>
              <w:t>压实度达不到要求</w:t>
            </w:r>
            <w:r>
              <w:rPr>
                <w:rFonts w:ascii="Times New Roman" w:eastAsia="Times New Roman"/>
                <w:spacing w:val="5"/>
                <w:sz w:val="21"/>
              </w:rPr>
              <w:t>,</w:t>
            </w:r>
            <w:r>
              <w:rPr>
                <w:spacing w:val="5"/>
                <w:sz w:val="21"/>
              </w:rPr>
              <w:t>路面平整度差等。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8" w:right="4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导致这些问题的原因主要有沥青混合料生产工艺不完善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2"/>
                <w:sz w:val="21"/>
              </w:rPr>
              <w:t>施工工艺不当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2"/>
                <w:sz w:val="21"/>
              </w:rPr>
              <w:t>养护不及时等。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8"/>
              </w:tabs>
              <w:spacing w:before="0" w:after="0" w:line="269" w:lineRule="exact"/>
              <w:ind w:left="377" w:right="0" w:hanging="270"/>
              <w:jc w:val="both"/>
              <w:rPr>
                <w:sz w:val="21"/>
              </w:rPr>
            </w:pPr>
            <w:r>
              <w:rPr>
                <w:sz w:val="21"/>
              </w:rPr>
              <w:t>次干道沥青路面施工质量控制现状不容乐观</w:t>
            </w:r>
            <w:r>
              <w:rPr>
                <w:rFonts w:ascii="Times New Roman" w:eastAsia="Times New Roman"/>
                <w:sz w:val="21"/>
              </w:rPr>
              <w:t>,</w:t>
            </w:r>
            <w:r>
              <w:rPr>
                <w:spacing w:val="-3"/>
                <w:sz w:val="21"/>
              </w:rPr>
              <w:t>需要采取</w:t>
            </w:r>
          </w:p>
          <w:p>
            <w:pPr>
              <w:pStyle w:val="TableParagraph"/>
              <w:spacing w:before="42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措施进行改进。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2"/>
          <w:jc w:val="left"/>
        </w:trPr>
        <w:tc>
          <w:tcPr>
            <w:tcW w:w="277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19" w:type="dxa"/>
            <w:tcBorders>
              <w:top w:val="nil"/>
            </w:tcBorders>
          </w:tcPr>
          <w:p>
            <w:pPr>
              <w:pStyle w:val="TableParagraph"/>
              <w:spacing w:before="21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【沥青混合料质量控制现状】</w:t>
            </w:r>
          </w:p>
        </w:tc>
      </w:tr>
    </w:tbl>
    <w:p>
      <w:pPr>
        <w:pStyle w:val="BodyText"/>
        <w:spacing w:before="136" w:line="417" w:lineRule="auto"/>
        <w:ind w:left="120" w:right="1685" w:firstLine="700"/>
      </w:pPr>
      <w:r>
        <w:rPr>
          <w:spacing w:val="-2"/>
        </w:rPr>
        <w:t>新技术背景：次干道沥青路面施工质量控制现状分析</w:t>
      </w:r>
      <w:r>
        <w:rPr>
          <w:spacing w:val="-2"/>
        </w:rPr>
        <w:t>次干道沥青路面施工质量控制现状分析如下：</w:t>
      </w:r>
    </w:p>
    <w:p>
      <w:pPr>
        <w:pStyle w:val="ListParagraph"/>
        <w:numPr>
          <w:ilvl w:val="0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传统质量控制方法存在局限性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 w:firstLine="420"/>
        <w:jc w:val="both"/>
      </w:pPr>
      <w:r>
        <w:rPr>
          <w:spacing w:val="-2"/>
        </w:rPr>
        <w:t>传统质量控制方法主要依靠人工检测，如目测、手摸等，存在主</w:t>
      </w:r>
      <w:r>
        <w:rPr>
          <w:spacing w:val="-4"/>
        </w:rPr>
        <w:t>观性强、效率低、准确性差等问题。此外，传统质量控制方法只能对</w:t>
      </w:r>
      <w:r>
        <w:rPr>
          <w:spacing w:val="-2"/>
        </w:rPr>
        <w:t>路面表面进行检测，无法对路面内部质量进行有效控制。</w:t>
      </w:r>
    </w:p>
    <w:p>
      <w:pPr>
        <w:pStyle w:val="ListParagraph"/>
        <w:numPr>
          <w:ilvl w:val="0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路面病害问题突出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 w:firstLine="420"/>
        <w:jc w:val="both"/>
      </w:pPr>
      <w:r>
        <w:rPr>
          <w:spacing w:val="-2"/>
        </w:rPr>
        <w:t>近年来，次干道沥青路面病害问题日益突出，主要表现为路面龟</w:t>
      </w:r>
      <w:r>
        <w:rPr>
          <w:spacing w:val="-4"/>
        </w:rPr>
        <w:t>裂、坑槽、波浪等。这些病害不仅影响行车安全，而且缩短路面使用</w:t>
      </w:r>
      <w:r>
        <w:rPr>
          <w:spacing w:val="-2"/>
        </w:rPr>
        <w:t>寿命，造成经济损失。</w:t>
      </w:r>
    </w:p>
    <w:p>
      <w:pPr>
        <w:pStyle w:val="ListParagraph"/>
        <w:numPr>
          <w:ilvl w:val="0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施工质量难以保证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 w:firstLine="420"/>
        <w:jc w:val="both"/>
      </w:pPr>
      <w:r>
        <w:rPr>
          <w:spacing w:val="-2"/>
        </w:rPr>
        <w:t>由于次干道沥青路面施工技术复杂，工艺要求严格，施工质量难</w:t>
      </w:r>
      <w:r>
        <w:rPr>
          <w:spacing w:val="-4"/>
        </w:rPr>
        <w:t>以保证。一些施工企业为了降低成本，往往偷工减料，导致路面质量</w:t>
      </w:r>
      <w:r>
        <w:rPr>
          <w:spacing w:val="-4"/>
        </w:rPr>
        <w:t>下降。</w:t>
      </w:r>
    </w:p>
    <w:p>
      <w:pPr>
        <w:spacing w:after="0" w:line="417" w:lineRule="auto"/>
        <w:jc w:val="both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ListParagraph"/>
        <w:numPr>
          <w:ilvl w:val="0"/>
          <w:numId w:val="30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缺乏统一的质量控制标准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 w:firstLine="420"/>
      </w:pPr>
      <w:r>
        <w:rPr>
          <w:spacing w:val="-2"/>
        </w:rPr>
        <w:t>目前，我国还没有统一的次干道沥青路面施工质量控制标准，各</w:t>
      </w:r>
      <w:r>
        <w:rPr>
          <w:spacing w:val="-2"/>
        </w:rPr>
        <w:t>地区、各部门各自为政，导致质量控制水平参差不齐。</w:t>
      </w:r>
    </w:p>
    <w:p>
      <w:pPr>
        <w:pStyle w:val="ListParagraph"/>
        <w:numPr>
          <w:ilvl w:val="0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质量控制管理体制不健全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 w:firstLine="420"/>
      </w:pPr>
      <w:r>
        <w:rPr>
          <w:spacing w:val="-2"/>
        </w:rPr>
        <w:t>目前，我国次干道沥青路面施工质量控制管理体制不健全，缺乏</w:t>
      </w:r>
      <w:r>
        <w:rPr>
          <w:spacing w:val="-2"/>
        </w:rPr>
        <w:t>统一的管理机构和协调机制，导致质量控制工作难以有效开展。</w:t>
      </w:r>
    </w:p>
    <w:p>
      <w:pPr>
        <w:pStyle w:val="BodyText"/>
        <w:spacing w:line="358" w:lineRule="exact"/>
        <w:ind w:left="260"/>
      </w:pPr>
      <w:r>
        <w:rPr>
          <w:spacing w:val="-2"/>
        </w:rPr>
        <w:t>存在的具体问题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施工工艺控制不严格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 w:firstLine="420"/>
        <w:jc w:val="both"/>
      </w:pPr>
      <w:r>
        <w:rPr>
          <w:spacing w:val="-2"/>
        </w:rPr>
        <w:t>一些施工企业为了赶工期、节约成本，往往忽视施工工艺控制，</w:t>
      </w:r>
      <w:r>
        <w:rPr>
          <w:spacing w:val="-4"/>
        </w:rPr>
        <w:t>导致路面质量下降。例如，在沥青混合料拌合过程中，没有严格控制</w:t>
      </w:r>
      <w:r>
        <w:rPr>
          <w:spacing w:val="-2"/>
        </w:rPr>
        <w:t>沥青用量、混合料温度等参数，导致沥青混合料质量不达标。</w:t>
      </w: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材料质量控制不严格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 w:firstLine="420"/>
      </w:pPr>
      <w:r>
        <w:rPr>
          <w:spacing w:val="-2"/>
        </w:rPr>
        <w:t>一些施工企业为了降低成本，往往使用劣质材料。例如，在沥青</w:t>
      </w:r>
      <w:r>
        <w:rPr>
          <w:spacing w:val="-2"/>
        </w:rPr>
        <w:t>混合料中使用不合格的沥青、石料等材料，导致路面质量下降。</w:t>
      </w: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施工人员素质不高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 w:firstLine="420"/>
      </w:pPr>
      <w:r>
        <w:rPr>
          <w:spacing w:val="-2"/>
        </w:rPr>
        <w:t>一些施工企业没有对施工人员进行严格的培训，导致施工人员素</w:t>
      </w:r>
      <w:r>
        <w:rPr>
          <w:spacing w:val="40"/>
        </w:rPr>
        <w:t xml:space="preserve"> </w:t>
      </w:r>
      <w:r>
        <w:rPr>
          <w:spacing w:val="-2"/>
        </w:rPr>
        <w:t>质不高，不具备熟练的施工技能。例如，在沥青混合料摊铺过程中，</w:t>
      </w:r>
      <w:r>
        <w:rPr>
          <w:spacing w:val="-2"/>
        </w:rPr>
        <w:t>摊铺机司机操作不当，导致路面出现波浪、坑槽等缺陷。</w:t>
      </w: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质量检测不及时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 w:firstLine="420"/>
        <w:jc w:val="both"/>
      </w:pPr>
      <w:r>
        <w:rPr>
          <w:spacing w:val="-2"/>
        </w:rPr>
        <w:t>一些施工企业没有及时对路面质量进行检测，导致路面病害问题</w:t>
      </w:r>
      <w:r>
        <w:rPr>
          <w:spacing w:val="-4"/>
        </w:rPr>
        <w:t>无法及时发现和处理。例如，在路面施工完成后，没有及时对路面平</w:t>
      </w:r>
      <w:r>
        <w:rPr>
          <w:spacing w:val="-5"/>
        </w:rPr>
        <w:t>整度、抗滑性能等指标进行检测，导致路面出现病害问题后无法及时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4"/>
        </w:rPr>
        <w:t>修复。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质量控制责任不明确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 w:firstLine="420"/>
        <w:jc w:val="both"/>
      </w:pPr>
      <w:r>
        <w:rPr>
          <w:spacing w:val="-2"/>
        </w:rPr>
        <w:t>一些施工企业没有明确质量控制责任，导致质量控制工作难以有</w:t>
      </w:r>
      <w:r>
        <w:rPr>
          <w:spacing w:val="-4"/>
        </w:rPr>
        <w:t>效开展。例如，在路面施工过程中，施工企业没有明确质量控制人员</w:t>
      </w:r>
      <w:r>
        <w:rPr>
          <w:spacing w:val="-2"/>
        </w:rPr>
        <w:t>的职责和权力，导致质量控制工作难以有效落实。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line="254" w:lineRule="auto"/>
      </w:pPr>
      <w:bookmarkStart w:id="1" w:name="_TOC_250005"/>
      <w:r>
        <w:rPr>
          <w:spacing w:val="-4"/>
        </w:rPr>
        <w:t>第</w:t>
      </w:r>
      <w:r>
        <w:rPr>
          <w:spacing w:val="-4"/>
        </w:rPr>
        <w:t>二</w:t>
      </w:r>
      <w:r>
        <w:rPr>
          <w:spacing w:val="-4"/>
        </w:rPr>
        <w:t>部</w:t>
      </w:r>
      <w:r>
        <w:rPr>
          <w:spacing w:val="-4"/>
        </w:rPr>
        <w:t>分</w:t>
      </w:r>
      <w:r>
        <w:tab/>
      </w:r>
      <w:r>
        <w:rPr>
          <w:spacing w:val="-2"/>
        </w:rPr>
        <w:t>施</w:t>
      </w:r>
      <w:r>
        <w:rPr>
          <w:spacing w:val="-2"/>
        </w:rPr>
        <w:t>工</w:t>
      </w:r>
      <w:r>
        <w:rPr>
          <w:spacing w:val="-2"/>
        </w:rPr>
        <w:t>技</w:t>
      </w:r>
      <w:r>
        <w:rPr>
          <w:spacing w:val="-2"/>
        </w:rPr>
        <w:t>术</w:t>
      </w:r>
      <w:r>
        <w:rPr>
          <w:spacing w:val="-2"/>
        </w:rPr>
        <w:t>关</w:t>
      </w:r>
      <w:r>
        <w:rPr>
          <w:spacing w:val="-2"/>
        </w:rPr>
        <w:t>键</w:t>
      </w:r>
      <w:r>
        <w:rPr>
          <w:spacing w:val="-2"/>
        </w:rPr>
        <w:t>点</w:t>
      </w:r>
      <w:r>
        <w:rPr>
          <w:spacing w:val="-2"/>
        </w:rPr>
        <w:t>：</w:t>
      </w:r>
      <w:r>
        <w:rPr>
          <w:spacing w:val="-2"/>
        </w:rPr>
        <w:t>沥</w:t>
      </w:r>
      <w:r>
        <w:rPr>
          <w:spacing w:val="-2"/>
        </w:rPr>
        <w:t>青</w:t>
      </w:r>
      <w:r>
        <w:rPr>
          <w:spacing w:val="-2"/>
        </w:rPr>
        <w:t>混</w:t>
      </w:r>
      <w:r>
        <w:rPr>
          <w:spacing w:val="-2"/>
        </w:rPr>
        <w:t>合</w:t>
      </w:r>
      <w:r>
        <w:rPr>
          <w:spacing w:val="-2"/>
        </w:rPr>
        <w:t>料</w:t>
      </w:r>
      <w:r>
        <w:rPr>
          <w:spacing w:val="-2"/>
        </w:rPr>
        <w:t>配</w:t>
      </w:r>
      <w:r>
        <w:rPr>
          <w:spacing w:val="-2"/>
        </w:rPr>
        <w:t>合</w:t>
      </w:r>
      <w:r>
        <w:rPr>
          <w:spacing w:val="-2"/>
        </w:rPr>
        <w:t>比</w:t>
      </w:r>
      <w:r>
        <w:rPr>
          <w:spacing w:val="-2"/>
        </w:rPr>
        <w:t>设</w:t>
      </w:r>
      <w:r>
        <w:rPr>
          <w:spacing w:val="-2"/>
        </w:rPr>
        <w:t>计</w:t>
      </w:r>
      <w:r>
        <w:rPr>
          <w:spacing w:val="-2"/>
        </w:rPr>
        <w:t>、</w:t>
      </w:r>
      <w:r>
        <w:rPr>
          <w:spacing w:val="-2"/>
        </w:rPr>
        <w:t>摊</w:t>
      </w:r>
      <w:r>
        <w:rPr>
          <w:spacing w:val="-2"/>
        </w:rPr>
        <w:t>铺</w:t>
      </w:r>
      <w:r>
        <w:rPr>
          <w:spacing w:val="-4"/>
        </w:rPr>
        <w:t>工</w:t>
      </w:r>
      <w:r>
        <w:rPr>
          <w:spacing w:val="-4"/>
        </w:rPr>
        <w:t>艺</w:t>
      </w:r>
      <w:r>
        <w:rPr>
          <w:spacing w:val="-4"/>
        </w:rPr>
        <w:t>控</w:t>
      </w:r>
      <w:bookmarkEnd w:id="1"/>
      <w:r>
        <w:rPr>
          <w:spacing w:val="-4"/>
        </w:rPr>
        <w:t>制</w:t>
      </w:r>
    </w:p>
    <w:p>
      <w:pPr>
        <w:pStyle w:val="BodyText"/>
        <w:spacing w:before="18"/>
        <w:rPr>
          <w:rFonts w:ascii="Microsoft JhengHei"/>
          <w:b/>
          <w:sz w:val="13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5"/>
        <w:gridCol w:w="554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41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5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沥青混合料配合比设计</w:t>
            </w:r>
          </w:p>
        </w:tc>
        <w:tc>
          <w:tcPr>
            <w:tcW w:w="554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采用合理的集料级配和沥青用量，以确保沥青混合料具</w:t>
            </w:r>
            <w:r>
              <w:rPr>
                <w:spacing w:val="-2"/>
                <w:sz w:val="21"/>
              </w:rPr>
              <w:t>有良好的施工性能和使用性能。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5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 xml:space="preserve">考虑当地气候 </w:t>
            </w:r>
            <w:r>
              <w:rPr>
                <w:rFonts w:ascii="Times New Roman" w:eastAsia="Times New Roman" w:hAnsi="Times New Roman"/>
                <w:sz w:val="21"/>
              </w:rPr>
              <w:t>условия и транспортные условия,</w:t>
            </w:r>
            <w:r>
              <w:rPr>
                <w:sz w:val="21"/>
              </w:rPr>
              <w:t>选择合</w:t>
            </w:r>
            <w:r>
              <w:rPr>
                <w:spacing w:val="-2"/>
                <w:sz w:val="21"/>
              </w:rPr>
              <w:t>适的沥青类型和改性剂，以提高沥青混合料的高温稳定性</w:t>
            </w:r>
            <w:r>
              <w:rPr>
                <w:spacing w:val="-2"/>
                <w:sz w:val="21"/>
              </w:rPr>
              <w:t>和低温抗裂性。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利用先进的配合比设计方法和软件，优化沥青混合料的</w:t>
            </w:r>
            <w:r>
              <w:rPr>
                <w:spacing w:val="-2"/>
                <w:sz w:val="21"/>
              </w:rPr>
              <w:t>性能指标，提高配合比设计的准确性和可靠性。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5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摊铺工艺控制</w:t>
            </w:r>
          </w:p>
        </w:tc>
        <w:tc>
          <w:tcPr>
            <w:tcW w:w="554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选择合适的摊铺机和摊铺工艺，以确保沥青混合料能够</w:t>
            </w:r>
            <w:r>
              <w:rPr>
                <w:spacing w:val="-2"/>
                <w:sz w:val="21"/>
              </w:rPr>
              <w:t>均匀摊铺，并具有良好的密实度和表面平整度。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2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利用先进的摊铺控制技术，如激光摊铺控制系统或三维</w:t>
            </w:r>
            <w:r>
              <w:rPr>
                <w:spacing w:val="-6"/>
                <w:sz w:val="21"/>
              </w:rPr>
              <w:t>摊铺控制系统，提高摊铺精度的利用先进的摊铺控制技术，</w:t>
            </w:r>
            <w:r>
              <w:rPr>
                <w:spacing w:val="1"/>
                <w:sz w:val="21"/>
              </w:rPr>
              <w:t>如激光摊铺控制系统或三维摊铺控制系统，提高摊铺精度的利用先进的摊铺控制技术，如激光摊铺控制系统或三维摊铺控制系统，提高摊铺精度。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2"/>
              </w:tabs>
              <w:spacing w:before="0" w:after="0" w:line="269" w:lineRule="exact"/>
              <w:ind w:left="371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加强摊铺过程中的质量控制，包括摊铺厚度、摊铺平整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度、摊铺接缝等，以确保摊铺质量符合规范要求。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沥青混合料配合比设计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集料级配设计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集料级配是沥青混合料的重要组成部分，其主要作用是骨架作用、填</w:t>
      </w:r>
    </w:p>
    <w:p>
      <w:pPr>
        <w:spacing w:after="0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充作用和嵌挤作用。集料级配设计应满足以下要求：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6"/>
        </w:numPr>
        <w:tabs>
          <w:tab w:val="left" w:pos="400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空隙率满足要求：空隙率是沥青混合料中空隙体积与混合料总体积</w:t>
      </w:r>
      <w:r>
        <w:rPr>
          <w:sz w:val="28"/>
        </w:rPr>
        <w:t>之比，一般控制在 3%～5%。空隙率过大，会降低混合料的强度和耐</w:t>
      </w:r>
      <w:r>
        <w:rPr>
          <w:spacing w:val="-2"/>
          <w:sz w:val="28"/>
        </w:rPr>
        <w:t>久性；空隙率过小，会降低混合料的抗滑性和抗车辙性。</w:t>
      </w:r>
    </w:p>
    <w:p>
      <w:pPr>
        <w:pStyle w:val="ListParagraph"/>
        <w:numPr>
          <w:ilvl w:val="1"/>
          <w:numId w:val="26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稳定性满足要求：稳定性是沥青混合料在荷载作用下抵抗变形的能</w:t>
      </w:r>
      <w:r>
        <w:rPr>
          <w:spacing w:val="-4"/>
          <w:sz w:val="28"/>
        </w:rPr>
        <w:t>力，一般用马歇尔稳定度来衡量。马歇尔稳定度应满足设计要求，一</w:t>
      </w:r>
      <w:r>
        <w:rPr>
          <w:spacing w:val="-5"/>
          <w:sz w:val="28"/>
        </w:rPr>
        <w:t xml:space="preserve">般控制在 </w:t>
      </w:r>
      <w:r>
        <w:rPr>
          <w:sz w:val="28"/>
        </w:rPr>
        <w:t>800kg</w:t>
      </w:r>
      <w:r>
        <w:rPr>
          <w:spacing w:val="-6"/>
          <w:sz w:val="28"/>
        </w:rPr>
        <w:t xml:space="preserve"> 以上。</w:t>
      </w:r>
    </w:p>
    <w:p>
      <w:pPr>
        <w:pStyle w:val="ListParagraph"/>
        <w:numPr>
          <w:ilvl w:val="1"/>
          <w:numId w:val="26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耐久性满足要求：耐久性是沥青混合料在长期荷载和环境作用下保</w:t>
      </w:r>
      <w:r>
        <w:rPr>
          <w:spacing w:val="-4"/>
          <w:sz w:val="28"/>
        </w:rPr>
        <w:t>持其性能的能力，一般用抗水损坏性、抗冻融性、抗疲劳性和抗车辙</w:t>
      </w:r>
      <w:r>
        <w:rPr>
          <w:spacing w:val="-1"/>
          <w:sz w:val="28"/>
        </w:rPr>
        <w:t xml:space="preserve">性来衡量。耐久性应满足设计要求，一般控制在 </w:t>
      </w:r>
      <w:r>
        <w:rPr>
          <w:sz w:val="28"/>
        </w:rPr>
        <w:t>4</w:t>
      </w:r>
      <w:r>
        <w:rPr>
          <w:spacing w:val="-5"/>
          <w:sz w:val="28"/>
        </w:rPr>
        <w:t xml:space="preserve"> 级以上。</w:t>
      </w:r>
    </w:p>
    <w:p>
      <w:pPr>
        <w:pStyle w:val="ListParagraph"/>
        <w:numPr>
          <w:ilvl w:val="0"/>
          <w:numId w:val="26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沥青用量确定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285"/>
      </w:pPr>
      <w:r>
        <w:rPr>
          <w:spacing w:val="-10"/>
        </w:rPr>
        <w:t>沥青用量是沥青混合料的重要组成部分，其主要作用是粘结集料颗粒，</w:t>
      </w:r>
      <w:r>
        <w:rPr>
          <w:spacing w:val="-2"/>
        </w:rPr>
        <w:t>并赋予混合料一定的柔韧性。沥青用量应满足以下要求：</w:t>
      </w:r>
    </w:p>
    <w:p>
      <w:pPr>
        <w:pStyle w:val="ListParagraph"/>
        <w:numPr>
          <w:ilvl w:val="1"/>
          <w:numId w:val="26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沥青含量满足要求：沥青含量是沥青混合料中沥青的质量与混合料</w:t>
      </w:r>
      <w:r>
        <w:rPr>
          <w:sz w:val="28"/>
        </w:rPr>
        <w:t>总质量之比，一般控制在 4%～6%。沥青含量过高，会降低混合料的</w:t>
      </w:r>
      <w:r>
        <w:rPr>
          <w:spacing w:val="-2"/>
          <w:sz w:val="28"/>
        </w:rPr>
        <w:t>强度和稳定性；沥青含量过低，会降低混合料的柔韧性和耐久性。</w:t>
      </w:r>
    </w:p>
    <w:p>
      <w:pPr>
        <w:pStyle w:val="ListParagraph"/>
        <w:numPr>
          <w:ilvl w:val="1"/>
          <w:numId w:val="26"/>
        </w:numPr>
        <w:tabs>
          <w:tab w:val="left" w:pos="400"/>
        </w:tabs>
        <w:spacing w:before="0" w:after="0" w:line="358" w:lineRule="exact"/>
        <w:ind w:left="400" w:right="0" w:hanging="280"/>
        <w:jc w:val="both"/>
        <w:rPr>
          <w:sz w:val="28"/>
        </w:rPr>
      </w:pPr>
      <w:r>
        <w:rPr>
          <w:spacing w:val="-1"/>
          <w:sz w:val="28"/>
        </w:rPr>
        <w:t>空隙率满足要求：沥青用量应使混合料的空隙率满足设计要求。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6"/>
        </w:numPr>
        <w:tabs>
          <w:tab w:val="left" w:pos="400"/>
        </w:tabs>
        <w:spacing w:before="0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稳定性满足要求：沥青用量应使混合料的稳定性满足设计要求。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6"/>
        </w:numPr>
        <w:tabs>
          <w:tab w:val="left" w:pos="400"/>
        </w:tabs>
        <w:spacing w:before="0" w:after="0" w:line="417" w:lineRule="auto"/>
        <w:ind w:left="120" w:right="705" w:firstLine="0"/>
        <w:jc w:val="left"/>
        <w:rPr>
          <w:sz w:val="28"/>
        </w:rPr>
      </w:pPr>
      <w:r>
        <w:rPr>
          <w:spacing w:val="-2"/>
          <w:sz w:val="28"/>
        </w:rPr>
        <w:t>耐久性满足要求：沥青用量应使混合料的耐久性满足设计要求。</w:t>
      </w:r>
      <w:r>
        <w:rPr>
          <w:spacing w:val="-2"/>
          <w:sz w:val="28"/>
        </w:rPr>
        <w:t>摊铺工艺控制</w:t>
      </w: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摊铺温度控制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7"/>
        </w:rPr>
        <w:t>摊铺温度是沥青混合料摊铺时的温度，对混合料的摊铺质量和使用性</w:t>
      </w:r>
    </w:p>
    <w:p>
      <w:pPr>
        <w:spacing w:after="0"/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能有很大影响。摊铺温度应满足以下要求：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摊铺温度应在沥青混合料的最佳施工温度范围内：最佳施工温度是</w:t>
      </w:r>
      <w:r>
        <w:rPr>
          <w:spacing w:val="-6"/>
          <w:sz w:val="28"/>
        </w:rPr>
        <w:t>沥青混合料在摊铺时具有最佳的可塑性和压实性的温度范围。一般情</w:t>
      </w:r>
      <w:r>
        <w:rPr>
          <w:spacing w:val="-2"/>
          <w:sz w:val="28"/>
        </w:rPr>
        <w:t xml:space="preserve">况下，最佳施工温度为沥青混合料的软化点加 </w:t>
      </w:r>
      <w:r>
        <w:rPr>
          <w:sz w:val="28"/>
        </w:rPr>
        <w:t>15℃～25℃。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摊铺温度应均匀一致：摊铺温度不均匀会造成混合料摊铺厚度不均</w:t>
      </w:r>
      <w:r>
        <w:rPr>
          <w:spacing w:val="-2"/>
          <w:sz w:val="28"/>
        </w:rPr>
        <w:t>匀，影响路面的平整度和抗车辙性。</w:t>
      </w: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摊铺厚度控制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8"/>
        </w:rPr>
        <w:t>摊铺厚度是沥青混合料摊铺时的厚度，对路面的承载能力和使用寿命</w:t>
      </w:r>
      <w:r>
        <w:rPr>
          <w:spacing w:val="-2"/>
        </w:rPr>
        <w:t>有很大影响。摊铺厚度应满足以下要求：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摊铺厚度应符合设计要求：摊铺厚度应根据路面的设计厚度和压实</w:t>
      </w:r>
      <w:r>
        <w:rPr>
          <w:spacing w:val="-4"/>
          <w:sz w:val="28"/>
        </w:rPr>
        <w:t>系数确定。一般情况下，摊铺厚度应大于设计厚度，以保证压实后达</w:t>
      </w:r>
      <w:r>
        <w:rPr>
          <w:spacing w:val="-2"/>
          <w:sz w:val="28"/>
        </w:rPr>
        <w:t>到设计厚度。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摊铺厚度应均匀一致：摊铺厚度不均匀会造成路面平整度差，影响</w:t>
      </w:r>
      <w:r>
        <w:rPr>
          <w:spacing w:val="-2"/>
          <w:sz w:val="28"/>
        </w:rPr>
        <w:t>行车的舒适性和安全性。</w:t>
      </w: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摊铺平整度控制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7"/>
        </w:rPr>
        <w:t>摊铺平整度是沥青混合料摊铺时的平整程度，对路面的行车舒适性和</w:t>
      </w:r>
      <w:r>
        <w:rPr>
          <w:spacing w:val="-2"/>
        </w:rPr>
        <w:t>安全性有很大影响。摊铺平整度应满足以下要求：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摊铺平整度应符合设计要求：摊铺平整度应根据路面的设计平整度</w:t>
      </w:r>
      <w:r>
        <w:rPr>
          <w:spacing w:val="-2"/>
          <w:sz w:val="28"/>
        </w:rPr>
        <w:t xml:space="preserve">确定。一般情况下，摊铺平整度应控制在 </w:t>
      </w:r>
      <w:r>
        <w:rPr>
          <w:sz w:val="28"/>
        </w:rPr>
        <w:t>3mm</w:t>
      </w:r>
      <w:r>
        <w:rPr>
          <w:spacing w:val="-6"/>
          <w:sz w:val="28"/>
        </w:rPr>
        <w:t xml:space="preserve"> 以内。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摊铺平整度应均匀一致：摊铺平整度不均匀会造成路面不平整，影</w:t>
      </w:r>
      <w:r>
        <w:rPr>
          <w:spacing w:val="-2"/>
          <w:sz w:val="28"/>
        </w:rPr>
        <w:t>响行车的舒适性和安全性。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tabs>
          <w:tab w:val="left" w:pos="1725"/>
        </w:tabs>
        <w:spacing w:before="0" w:line="514" w:lineRule="exact"/>
        <w:ind w:left="120" w:right="0" w:firstLine="0"/>
        <w:jc w:val="lef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z w:val="32"/>
        </w:rPr>
        <w:t>第</w:t>
      </w:r>
      <w:r>
        <w:rPr>
          <w:rFonts w:ascii="Microsoft JhengHei" w:eastAsia="Microsoft JhengHei"/>
          <w:b/>
          <w:sz w:val="32"/>
        </w:rPr>
        <w:t>三</w:t>
      </w:r>
      <w:r>
        <w:rPr>
          <w:rFonts w:ascii="Microsoft JhengHei" w:eastAsia="Microsoft JhengHei"/>
          <w:b/>
          <w:sz w:val="32"/>
        </w:rPr>
        <w:t>部</w:t>
      </w:r>
      <w:r>
        <w:rPr>
          <w:rFonts w:ascii="Microsoft JhengHei" w:eastAsia="Microsoft JhengHei"/>
          <w:b/>
          <w:spacing w:val="-10"/>
          <w:sz w:val="32"/>
        </w:rPr>
        <w:t>分</w:t>
      </w:r>
      <w:r>
        <w:rPr>
          <w:rFonts w:ascii="Microsoft JhengHei" w:eastAsia="Microsoft JhengHei"/>
          <w:b/>
          <w:sz w:val="32"/>
        </w:rPr>
        <w:tab/>
      </w:r>
      <w:r>
        <w:rPr>
          <w:rFonts w:ascii="Microsoft JhengHei" w:eastAsia="Microsoft JhengHei"/>
          <w:b/>
          <w:spacing w:val="-2"/>
          <w:sz w:val="32"/>
        </w:rPr>
        <w:t>检</w:t>
      </w:r>
      <w:r>
        <w:rPr>
          <w:rFonts w:ascii="Microsoft JhengHei" w:eastAsia="Microsoft JhengHei"/>
          <w:b/>
          <w:spacing w:val="-2"/>
          <w:sz w:val="32"/>
        </w:rPr>
        <w:t>测</w:t>
      </w:r>
      <w:r>
        <w:rPr>
          <w:rFonts w:ascii="Microsoft JhengHei" w:eastAsia="Microsoft JhengHei"/>
          <w:b/>
          <w:spacing w:val="-2"/>
          <w:sz w:val="32"/>
        </w:rPr>
        <w:t>技</w:t>
      </w:r>
      <w:r>
        <w:rPr>
          <w:rFonts w:ascii="Microsoft JhengHei" w:eastAsia="Microsoft JhengHei"/>
          <w:b/>
          <w:spacing w:val="-2"/>
          <w:sz w:val="32"/>
        </w:rPr>
        <w:t>术</w:t>
      </w:r>
      <w:r>
        <w:rPr>
          <w:rFonts w:ascii="Microsoft JhengHei" w:eastAsia="Microsoft JhengHei"/>
          <w:b/>
          <w:spacing w:val="-2"/>
          <w:sz w:val="32"/>
        </w:rPr>
        <w:t>创</w:t>
      </w:r>
      <w:r>
        <w:rPr>
          <w:rFonts w:ascii="Microsoft JhengHei" w:eastAsia="Microsoft JhengHei"/>
          <w:b/>
          <w:spacing w:val="-2"/>
          <w:sz w:val="32"/>
        </w:rPr>
        <w:t>新</w:t>
      </w:r>
      <w:r>
        <w:rPr>
          <w:rFonts w:ascii="Microsoft JhengHei" w:eastAsia="Microsoft JhengHei"/>
          <w:b/>
          <w:spacing w:val="-2"/>
          <w:sz w:val="32"/>
        </w:rPr>
        <w:t>：</w:t>
      </w:r>
      <w:r>
        <w:rPr>
          <w:rFonts w:ascii="Microsoft JhengHei" w:eastAsia="Microsoft JhengHei"/>
          <w:b/>
          <w:spacing w:val="-2"/>
          <w:sz w:val="32"/>
        </w:rPr>
        <w:t>非</w:t>
      </w:r>
      <w:r>
        <w:rPr>
          <w:rFonts w:ascii="Microsoft JhengHei" w:eastAsia="Microsoft JhengHei"/>
          <w:b/>
          <w:spacing w:val="-2"/>
          <w:sz w:val="32"/>
        </w:rPr>
        <w:t>破</w:t>
      </w:r>
      <w:r>
        <w:rPr>
          <w:rFonts w:ascii="Microsoft JhengHei" w:eastAsia="Microsoft JhengHei"/>
          <w:b/>
          <w:spacing w:val="-2"/>
          <w:sz w:val="32"/>
        </w:rPr>
        <w:t>坏</w:t>
      </w:r>
      <w:r>
        <w:rPr>
          <w:rFonts w:ascii="Microsoft JhengHei" w:eastAsia="Microsoft JhengHei"/>
          <w:b/>
          <w:spacing w:val="-2"/>
          <w:sz w:val="32"/>
        </w:rPr>
        <w:t>性</w:t>
      </w:r>
      <w:r>
        <w:rPr>
          <w:rFonts w:ascii="Microsoft JhengHei" w:eastAsia="Microsoft JhengHei"/>
          <w:b/>
          <w:spacing w:val="-2"/>
          <w:sz w:val="32"/>
        </w:rPr>
        <w:t>检</w:t>
      </w:r>
      <w:r>
        <w:rPr>
          <w:rFonts w:ascii="Microsoft JhengHei" w:eastAsia="Microsoft JhengHei"/>
          <w:b/>
          <w:spacing w:val="-2"/>
          <w:sz w:val="32"/>
        </w:rPr>
        <w:t>测</w:t>
      </w:r>
      <w:r>
        <w:rPr>
          <w:rFonts w:ascii="Microsoft JhengHei" w:eastAsia="Microsoft JhengHei"/>
          <w:b/>
          <w:spacing w:val="-2"/>
          <w:sz w:val="32"/>
        </w:rPr>
        <w:t>技</w:t>
      </w:r>
      <w:r>
        <w:rPr>
          <w:rFonts w:ascii="Microsoft JhengHei" w:eastAsia="Microsoft JhengHei"/>
          <w:b/>
          <w:spacing w:val="-2"/>
          <w:sz w:val="32"/>
        </w:rPr>
        <w:t>术</w:t>
      </w:r>
      <w:r>
        <w:rPr>
          <w:rFonts w:ascii="Microsoft JhengHei" w:eastAsia="Microsoft JhengHei"/>
          <w:b/>
          <w:spacing w:val="-2"/>
          <w:sz w:val="32"/>
        </w:rPr>
        <w:t>应</w:t>
      </w:r>
      <w:r>
        <w:rPr>
          <w:rFonts w:ascii="Microsoft JhengHei" w:eastAsia="Microsoft JhengHei"/>
          <w:b/>
          <w:spacing w:val="-2"/>
          <w:sz w:val="32"/>
        </w:rPr>
        <w:t>用</w:t>
      </w:r>
      <w:r>
        <w:rPr>
          <w:rFonts w:ascii="Microsoft JhengHei" w:eastAsia="Microsoft JhengHei"/>
          <w:b/>
          <w:spacing w:val="-2"/>
          <w:sz w:val="32"/>
        </w:rPr>
        <w:t>、</w:t>
      </w:r>
      <w:r>
        <w:rPr>
          <w:rFonts w:ascii="Microsoft JhengHei" w:eastAsia="Microsoft JhengHei"/>
          <w:b/>
          <w:spacing w:val="-2"/>
          <w:sz w:val="32"/>
        </w:rPr>
        <w:t>智</w:t>
      </w:r>
      <w:r>
        <w:rPr>
          <w:rFonts w:ascii="Microsoft JhengHei" w:eastAsia="Microsoft JhengHei"/>
          <w:b/>
          <w:spacing w:val="-2"/>
          <w:sz w:val="32"/>
        </w:rPr>
        <w:t>慧</w:t>
      </w:r>
      <w:r>
        <w:rPr>
          <w:rFonts w:ascii="Microsoft JhengHei" w:eastAsia="Microsoft JhengHei"/>
          <w:b/>
          <w:spacing w:val="-10"/>
          <w:sz w:val="32"/>
        </w:rPr>
        <w:t>路</w:t>
      </w:r>
    </w:p>
    <w:p>
      <w:pPr>
        <w:spacing w:before="35"/>
        <w:ind w:left="120" w:right="0" w:firstLine="0"/>
        <w:jc w:val="lef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pacing w:val="-2"/>
          <w:sz w:val="32"/>
        </w:rPr>
        <w:t>面在线监测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非破坏性检测技术应用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利用电磁波、声波等非破坏性检测技术，对沥青路面进</w:t>
            </w:r>
            <w:r>
              <w:rPr>
                <w:spacing w:val="-2"/>
                <w:sz w:val="21"/>
              </w:rPr>
              <w:t>行快速、准确、无损害的检测，及时发现路面存在的空洞、</w:t>
            </w:r>
            <w:r>
              <w:rPr>
                <w:spacing w:val="-2"/>
                <w:sz w:val="21"/>
              </w:rPr>
              <w:t>裂缝、剥落等缺陷。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结合人工智能、大数据等技术，对采集到的检测数据进</w:t>
            </w:r>
            <w:r>
              <w:rPr>
                <w:spacing w:val="-2"/>
                <w:sz w:val="21"/>
              </w:rPr>
              <w:t>行分析处理，实现路面缺陷的自动识别和分类，提高检测</w:t>
            </w:r>
            <w:r>
              <w:rPr>
                <w:spacing w:val="-2"/>
                <w:sz w:val="21"/>
              </w:rPr>
              <w:t>效率和准确率。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开发基于无人机、移动式激光扫描仪等先进设备的非破</w:t>
            </w:r>
            <w:r>
              <w:rPr>
                <w:spacing w:val="-2"/>
                <w:sz w:val="21"/>
              </w:rPr>
              <w:t>坏性检测系统，实现沥青路面全方位、多角度的检测，全</w:t>
            </w:r>
            <w:r>
              <w:rPr>
                <w:spacing w:val="-2"/>
                <w:sz w:val="21"/>
              </w:rPr>
              <w:t>面掌握路面状况。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智慧路面在线监测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利用物联网、云计算等技术，在沥青路面中嵌入智能传</w:t>
            </w:r>
            <w:r>
              <w:rPr>
                <w:spacing w:val="-2"/>
                <w:sz w:val="21"/>
              </w:rPr>
              <w:t>感器，实现对路面温度、应变、位移等参数的实时监测。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通过数据传输网络将监测数据上传至云平台，进行集中</w:t>
            </w:r>
            <w:r>
              <w:rPr>
                <w:spacing w:val="-2"/>
                <w:sz w:val="21"/>
              </w:rPr>
              <w:t>存储和分析处理，及时发现路面存在的异常情况，并及时</w:t>
            </w:r>
            <w:r>
              <w:rPr>
                <w:spacing w:val="-4"/>
                <w:sz w:val="21"/>
              </w:rPr>
              <w:t>预警。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基于大数据分析和人工智能算法，建立路面健康状况评</w:t>
            </w:r>
            <w:r>
              <w:rPr>
                <w:spacing w:val="-2"/>
                <w:sz w:val="21"/>
              </w:rPr>
              <w:t>估模型，对路面性能和使用寿命进行预测，为路面养护和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维修决策提供科学依据。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/>
        <w:ind w:left="820"/>
      </w:pPr>
      <w:r>
        <w:rPr>
          <w:spacing w:val="-1"/>
        </w:rPr>
        <w:t>检测技术创新：非破坏性检测技术应用、智慧路面在线监测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  <w:jc w:val="both"/>
      </w:pPr>
      <w:r>
        <w:t>#</w:t>
      </w:r>
      <w:r>
        <w:rPr>
          <w:spacing w:val="70"/>
          <w:w w:val="150"/>
        </w:rPr>
        <w:t xml:space="preserve"> </w:t>
      </w:r>
      <w:r>
        <w:rPr>
          <w:spacing w:val="-1"/>
        </w:rPr>
        <w:t>非破坏性检测技术应用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2"/>
        </w:rPr>
        <w:t>非破坏性检测技术（NDT）是利用物理、化学或其他原理，对材料、</w:t>
      </w:r>
      <w:r>
        <w:rPr>
          <w:spacing w:val="-4"/>
        </w:rPr>
        <w:t>结构或部件进行无损检测的技术。在沥青路面施工质量控制中，非破</w:t>
      </w:r>
      <w:r>
        <w:rPr>
          <w:spacing w:val="-4"/>
        </w:rPr>
        <w:t>坏性检测技术主要用于检测路面的厚度、密实度、强度、平整度等指</w:t>
      </w:r>
      <w:r>
        <w:rPr>
          <w:spacing w:val="-6"/>
        </w:rPr>
        <w:t>标。</w:t>
      </w: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雷达检测技术</w:t>
      </w:r>
    </w:p>
    <w:p>
      <w:pPr>
        <w:pStyle w:val="BodyText"/>
        <w:spacing w:before="4" w:line="620" w:lineRule="atLeast"/>
        <w:ind w:left="120" w:right="285"/>
      </w:pPr>
      <w:r>
        <w:rPr>
          <w:spacing w:val="-9"/>
        </w:rPr>
        <w:t>雷达检测技术利用电磁波对沥青路面进行扫描，可以获取路面的厚度、</w:t>
      </w:r>
      <w:r>
        <w:rPr>
          <w:spacing w:val="-2"/>
        </w:rPr>
        <w:t>密实度、强度等信息。雷达检测技术具有检测速度快、精度高、不受</w:t>
      </w:r>
    </w:p>
    <w:p>
      <w:pPr>
        <w:spacing w:after="0" w:line="620" w:lineRule="atLeast"/>
        <w:sectPr>
          <w:footerReference w:type="default" r:id="rId11"/>
          <w:pgSz w:w="11910" w:h="16840"/>
          <w:pgMar w:top="150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天气影响等优点，但成本较高。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激光检测技术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9"/>
        </w:rPr>
        <w:t>激光检测技术利用激光对沥青路面进行扫描，可以获取路面的平整度、</w:t>
      </w:r>
      <w:r>
        <w:rPr>
          <w:spacing w:val="-2"/>
        </w:rPr>
        <w:t>坡度等信息。激光检测技术具有精度高、速度快、成本低等优点，但</w:t>
      </w:r>
    </w:p>
    <w:p>
      <w:pPr>
        <w:pStyle w:val="BodyText"/>
        <w:spacing w:line="358" w:lineRule="exact"/>
        <w:ind w:left="120"/>
      </w:pPr>
      <w:r>
        <w:rPr>
          <w:spacing w:val="-2"/>
        </w:rPr>
        <w:t>受天气影响较大。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超声波检测技术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7"/>
        </w:rPr>
        <w:t>超声波检测技术利用超声波对沥青路面进行扫描，可以获取路面的厚</w:t>
      </w:r>
      <w:r>
        <w:rPr>
          <w:spacing w:val="-4"/>
        </w:rPr>
        <w:t>度、密实度、强度等信息。超声波检测技术具有精度高、速度快、成</w:t>
      </w:r>
      <w:r>
        <w:rPr>
          <w:spacing w:val="-2"/>
        </w:rPr>
        <w:t>本低等优点，但受路面结构的影响较大。</w:t>
      </w:r>
    </w:p>
    <w:p>
      <w:pPr>
        <w:pStyle w:val="BodyText"/>
        <w:spacing w:line="358" w:lineRule="exact"/>
        <w:ind w:left="120"/>
        <w:jc w:val="both"/>
      </w:pPr>
      <w:r>
        <w:rPr>
          <w:spacing w:val="-1"/>
        </w:rPr>
        <w:t># 智慧路面在线监测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智慧路面在线监测系统是利用物联网、云计算、大数据等技术，对沥</w:t>
      </w:r>
      <w:r>
        <w:rPr>
          <w:spacing w:val="-8"/>
        </w:rPr>
        <w:t>青路面的状态进行实时监测的系统。智慧路面在线监测系统可以及时</w:t>
      </w:r>
      <w:r>
        <w:rPr>
          <w:spacing w:val="-4"/>
        </w:rPr>
        <w:t>发现路面的损坏情况，并及时采取维修措施，有效延长路面的使用寿</w:t>
      </w:r>
      <w:r>
        <w:rPr>
          <w:spacing w:val="-6"/>
        </w:rPr>
        <w:t>命。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智慧路面在线监测系统主要包括以下几个组成部分：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4"/>
          <w:sz w:val="28"/>
        </w:rPr>
        <w:t>传感器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7"/>
        </w:rPr>
        <w:t>传感器是智慧路面在线监测系统的重要组成部分，主要用于采集路面</w:t>
      </w:r>
      <w:r>
        <w:rPr>
          <w:spacing w:val="-4"/>
        </w:rPr>
        <w:t>的各种信息，如温度、应变、位移等。传感器的种类很多，常用的传</w:t>
      </w:r>
      <w:r>
        <w:rPr>
          <w:spacing w:val="-2"/>
        </w:rPr>
        <w:t>感器包括应变片、光纤传感器、地磁传感器等。</w:t>
      </w: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数据采集系统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6"/>
        </w:rPr>
        <w:t>数据采集系统是智慧路面在线监测系统的重要组成部分，主要用于采</w:t>
      </w:r>
      <w:r>
        <w:rPr>
          <w:spacing w:val="-5"/>
        </w:rPr>
        <w:t>集传感器采集到的数据。数据采集系统可以是有线或无线的，有线数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据采集系统具有稳定性好、传输速度快等优点，无线数据采集系统具</w:t>
      </w:r>
      <w:r>
        <w:rPr>
          <w:spacing w:val="-2"/>
        </w:rPr>
        <w:t>有安装方便、成本低等优点。</w:t>
      </w: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数据传输系统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6"/>
        </w:rPr>
        <w:t>数据传输系统是智慧路面在线监测系统的重要组成部分，主要用于将</w:t>
      </w:r>
      <w:r>
        <w:rPr>
          <w:spacing w:val="-7"/>
        </w:rPr>
        <w:t>传感器采集到的数据传输到数据处理中心。数据传输系统可以是专用</w:t>
      </w:r>
      <w:r>
        <w:rPr>
          <w:spacing w:val="-2"/>
        </w:rPr>
        <w:t>的数据传输网络，也可以是现有的通信网络。</w:t>
      </w: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数据处理中心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6"/>
        </w:rPr>
        <w:t>数据处理中心是智慧路面在线监测系统的重要组成部分，主要用于对</w:t>
      </w:r>
      <w:r>
        <w:rPr>
          <w:spacing w:val="-2"/>
        </w:rPr>
        <w:t xml:space="preserve"> </w:t>
      </w:r>
      <w:r>
        <w:rPr>
          <w:spacing w:val="-2"/>
        </w:rPr>
        <w:t>传感器采集到的数据进行处理和分析。数据处理中心可以是云平台，</w:t>
      </w:r>
      <w:r>
        <w:rPr>
          <w:spacing w:val="-2"/>
        </w:rPr>
        <w:t>也可以是本地服务器。</w:t>
      </w: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应用系统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7"/>
        </w:rPr>
        <w:t>应用系统是智慧路面在线监测系统的重要组成部分，主要用于将数据</w:t>
      </w:r>
      <w:r>
        <w:rPr>
          <w:spacing w:val="-5"/>
        </w:rPr>
        <w:t xml:space="preserve">处理中心处理好的数据展示给用户。应用系统可以是手机 </w:t>
      </w:r>
      <w:r>
        <w:rPr>
          <w:spacing w:val="-4"/>
        </w:rPr>
        <w:t>APP，也可</w:t>
      </w:r>
      <w:r>
        <w:rPr>
          <w:spacing w:val="-8"/>
        </w:rPr>
        <w:t xml:space="preserve">以是 </w:t>
      </w:r>
      <w:r>
        <w:t>PC</w:t>
      </w:r>
      <w:r>
        <w:rPr>
          <w:spacing w:val="-5"/>
        </w:rPr>
        <w:t xml:space="preserve"> 端软件。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智慧路面在线监测系统具有以下几个优点：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实时性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7"/>
        </w:rPr>
        <w:t>智慧路面在线监测系统可以实时监测路面的状态，及时发现路面的损</w:t>
      </w:r>
      <w:r>
        <w:rPr>
          <w:spacing w:val="-4"/>
        </w:rPr>
        <w:t>坏情况。</w:t>
      </w:r>
    </w:p>
    <w:p>
      <w:pPr>
        <w:pStyle w:val="ListParagraph"/>
        <w:numPr>
          <w:ilvl w:val="0"/>
          <w:numId w:val="2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准确性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智慧路面在线监测系统可以准确地测量路面的各种信息，如温度、应</w:t>
      </w:r>
      <w:r>
        <w:rPr>
          <w:spacing w:val="-2"/>
        </w:rPr>
        <w:t>变、位移等。</w:t>
      </w:r>
    </w:p>
    <w:p>
      <w:pPr>
        <w:pStyle w:val="ListParagraph"/>
        <w:numPr>
          <w:ilvl w:val="0"/>
          <w:numId w:val="2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全面性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6"/>
        </w:rPr>
        <w:t>智慧路面在线监测系统可以全面监测路面的各种信息，为路面的养护</w:t>
      </w:r>
      <w:r>
        <w:rPr>
          <w:spacing w:val="-2"/>
        </w:rPr>
        <w:t>和管理提供全面的数据支持。</w:t>
      </w:r>
    </w:p>
    <w:p>
      <w:pPr>
        <w:pStyle w:val="ListParagraph"/>
        <w:numPr>
          <w:ilvl w:val="0"/>
          <w:numId w:val="2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经济性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7"/>
        </w:rPr>
        <w:t>智慧路面在线监测系统可以提高路面的使用寿命，减少路面的维修费</w:t>
      </w:r>
      <w:r>
        <w:rPr>
          <w:spacing w:val="-6"/>
        </w:rPr>
        <w:t>用。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line="254" w:lineRule="auto"/>
      </w:pPr>
      <w:bookmarkStart w:id="2" w:name="_TOC_250004"/>
      <w:r>
        <w:rPr>
          <w:spacing w:val="-4"/>
        </w:rPr>
        <w:t>第</w:t>
      </w:r>
      <w:r>
        <w:rPr>
          <w:spacing w:val="-4"/>
        </w:rPr>
        <w:t>四</w:t>
      </w:r>
      <w:r>
        <w:rPr>
          <w:spacing w:val="-4"/>
        </w:rPr>
        <w:t>部</w:t>
      </w:r>
      <w:r>
        <w:rPr>
          <w:spacing w:val="-4"/>
        </w:rPr>
        <w:t>分</w:t>
      </w:r>
      <w:r>
        <w:tab/>
      </w:r>
      <w:r>
        <w:rPr>
          <w:spacing w:val="-2"/>
        </w:rPr>
        <w:t>质</w:t>
      </w:r>
      <w:r>
        <w:rPr>
          <w:spacing w:val="-2"/>
        </w:rPr>
        <w:t>量</w:t>
      </w:r>
      <w:r>
        <w:rPr>
          <w:spacing w:val="-2"/>
        </w:rPr>
        <w:t>控</w:t>
      </w:r>
      <w:r>
        <w:rPr>
          <w:spacing w:val="-2"/>
        </w:rPr>
        <w:t>制</w:t>
      </w:r>
      <w:r>
        <w:rPr>
          <w:spacing w:val="-2"/>
        </w:rPr>
        <w:t>体</w:t>
      </w:r>
      <w:r>
        <w:rPr>
          <w:spacing w:val="-2"/>
        </w:rPr>
        <w:t>系</w:t>
      </w:r>
      <w:r>
        <w:rPr>
          <w:spacing w:val="-2"/>
        </w:rPr>
        <w:t>：</w:t>
      </w:r>
      <w:r>
        <w:rPr>
          <w:spacing w:val="-2"/>
        </w:rPr>
        <w:t>质</w:t>
      </w:r>
      <w:r>
        <w:rPr>
          <w:spacing w:val="-2"/>
        </w:rPr>
        <w:t>量</w:t>
      </w:r>
      <w:r>
        <w:rPr>
          <w:spacing w:val="-2"/>
        </w:rPr>
        <w:t>管</w:t>
      </w:r>
      <w:r>
        <w:rPr>
          <w:spacing w:val="-2"/>
        </w:rPr>
        <w:t>理</w:t>
      </w:r>
      <w:r>
        <w:rPr>
          <w:spacing w:val="-2"/>
        </w:rPr>
        <w:t>体</w:t>
      </w:r>
      <w:r>
        <w:rPr>
          <w:spacing w:val="-2"/>
        </w:rPr>
        <w:t>系</w:t>
      </w:r>
      <w:r>
        <w:rPr>
          <w:spacing w:val="-2"/>
        </w:rPr>
        <w:t>构</w:t>
      </w:r>
      <w:r>
        <w:rPr>
          <w:spacing w:val="-2"/>
        </w:rPr>
        <w:t>建</w:t>
      </w:r>
      <w:r>
        <w:rPr>
          <w:spacing w:val="-2"/>
        </w:rPr>
        <w:t>、</w:t>
      </w:r>
      <w:r>
        <w:rPr>
          <w:spacing w:val="-2"/>
        </w:rPr>
        <w:t>内</w:t>
      </w:r>
      <w:r>
        <w:rPr>
          <w:spacing w:val="-2"/>
        </w:rPr>
        <w:t>部</w:t>
      </w:r>
      <w:r>
        <w:rPr>
          <w:spacing w:val="-2"/>
        </w:rPr>
        <w:t>质</w:t>
      </w:r>
      <w:r>
        <w:rPr>
          <w:spacing w:val="-2"/>
        </w:rPr>
        <w:t>量</w:t>
      </w:r>
      <w:r>
        <w:rPr>
          <w:spacing w:val="-2"/>
        </w:rPr>
        <w:t>控</w:t>
      </w:r>
      <w:r>
        <w:rPr>
          <w:spacing w:val="-2"/>
        </w:rPr>
        <w:t>制</w:t>
      </w:r>
      <w:r>
        <w:rPr>
          <w:spacing w:val="-2"/>
        </w:rPr>
        <w:t>与</w:t>
      </w:r>
      <w:r>
        <w:rPr>
          <w:spacing w:val="-2"/>
        </w:rPr>
        <w:t>外</w:t>
      </w:r>
      <w:r>
        <w:rPr>
          <w:spacing w:val="-2"/>
        </w:rPr>
        <w:t>部</w:t>
      </w:r>
      <w:r>
        <w:rPr>
          <w:spacing w:val="-2"/>
        </w:rPr>
        <w:t>监</w:t>
      </w:r>
      <w:r>
        <w:rPr>
          <w:spacing w:val="-2"/>
        </w:rPr>
        <w:t>督</w:t>
      </w:r>
      <w:r>
        <w:rPr>
          <w:spacing w:val="-2"/>
        </w:rPr>
        <w:t>相</w:t>
      </w:r>
      <w:r>
        <w:rPr>
          <w:spacing w:val="-2"/>
        </w:rPr>
        <w:t>结</w:t>
      </w:r>
      <w:bookmarkEnd w:id="2"/>
      <w:r>
        <w:rPr>
          <w:spacing w:val="-2"/>
        </w:rPr>
        <w:t>合</w:t>
      </w:r>
    </w:p>
    <w:p>
      <w:pPr>
        <w:pStyle w:val="BodyText"/>
        <w:spacing w:before="18"/>
        <w:rPr>
          <w:rFonts w:ascii="Microsoft JhengHei"/>
          <w:b/>
          <w:sz w:val="13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质量管理体系构建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质量管理体系：质量控制的核心，包括质量目标、质量</w:t>
            </w:r>
            <w:r>
              <w:rPr>
                <w:spacing w:val="-2"/>
                <w:sz w:val="21"/>
              </w:rPr>
              <w:t>责任、质量检查、质量评定、质量改进等环节。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质量目标：清晰定义道路施工质量的目标、要求和可接</w:t>
            </w:r>
            <w:r>
              <w:rPr>
                <w:spacing w:val="-2"/>
                <w:sz w:val="21"/>
              </w:rPr>
              <w:t>受的偏差范围，以确保施工质量满足设计要求和使用要求。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质量责任：明确各相关方的质量责任，包括项目经理、</w:t>
            </w:r>
            <w:r>
              <w:rPr>
                <w:spacing w:val="-2"/>
                <w:sz w:val="21"/>
              </w:rPr>
              <w:t>施工单位、监理单位、质量检测单位等，并建立相应的奖</w:t>
            </w:r>
            <w:r>
              <w:rPr>
                <w:spacing w:val="-4"/>
                <w:sz w:val="21"/>
              </w:rPr>
              <w:t>惩制度。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内部质量控制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施工工艺控制：严格按照施工技术标准和规范进行施工，</w:t>
            </w:r>
            <w:r>
              <w:rPr>
                <w:spacing w:val="1"/>
                <w:sz w:val="21"/>
              </w:rPr>
              <w:t>对施工过程中的关键环节进行重点控制，防止质量问题发生。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材料质量控制：对沥青、石料、填料等材料进行严格的</w:t>
            </w:r>
            <w:r>
              <w:rPr>
                <w:spacing w:val="-2"/>
                <w:sz w:val="21"/>
              </w:rPr>
              <w:t>质量检测，确保材料质量符合要求，并对材料的运输、储</w:t>
            </w:r>
            <w:r>
              <w:rPr>
                <w:spacing w:val="-2"/>
                <w:sz w:val="21"/>
              </w:rPr>
              <w:t>存和使用进行管理。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施工设备控制：对施工机械和设备进行定期检查和维护，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确保施工设备处于良好状态，提高施工效率和质量。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518" w:firstLine="700"/>
      </w:pPr>
      <w:r>
        <w:rPr>
          <w:spacing w:val="-2"/>
        </w:rPr>
        <w:t>质量控制体系：质量管理体系构建、内部质量控制与外部监督</w:t>
      </w:r>
      <w:r>
        <w:rPr>
          <w:spacing w:val="-4"/>
        </w:rPr>
        <w:t>相结合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一、质量管理体系构建</w:t>
      </w:r>
    </w:p>
    <w:p>
      <w:pPr>
        <w:spacing w:after="0" w:line="358" w:lineRule="exact"/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质量目标(控制指标)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根据国家相关标准和规范，结合工程实际情况，制定详细的质量目标</w:t>
      </w:r>
      <w:r>
        <w:rPr>
          <w:spacing w:val="-2"/>
        </w:rPr>
        <w:t>和控制指标。包括但不限于：</w:t>
      </w: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z w:val="28"/>
        </w:rPr>
        <w:t>沥青路面平整度：允许偏差范围为±3mm/3m</w:t>
      </w:r>
      <w:r>
        <w:rPr>
          <w:spacing w:val="-10"/>
          <w:sz w:val="28"/>
        </w:rPr>
        <w:t>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z w:val="28"/>
        </w:rPr>
        <w:t>沥青路面纵坡：允许偏差范围为±0.1%</w:t>
      </w:r>
      <w:r>
        <w:rPr>
          <w:spacing w:val="-10"/>
          <w:sz w:val="28"/>
        </w:rPr>
        <w:t>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z w:val="28"/>
        </w:rPr>
        <w:t>沥青路面横坡：允许偏差范围为±0.5%</w:t>
      </w:r>
      <w:r>
        <w:rPr>
          <w:spacing w:val="-10"/>
          <w:sz w:val="28"/>
        </w:rPr>
        <w:t>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5"/>
          <w:sz w:val="28"/>
        </w:rPr>
        <w:t xml:space="preserve">沥青路面抗滑性能：摩擦系数不低于 </w:t>
      </w:r>
      <w:r>
        <w:rPr>
          <w:sz w:val="28"/>
        </w:rPr>
        <w:t>0.45</w:t>
      </w:r>
      <w:r>
        <w:rPr>
          <w:spacing w:val="-10"/>
          <w:sz w:val="28"/>
        </w:rPr>
        <w:t>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6"/>
          <w:sz w:val="28"/>
        </w:rPr>
        <w:t xml:space="preserve">沥青路面压实度：不低于 </w:t>
      </w:r>
      <w:r>
        <w:rPr>
          <w:sz w:val="28"/>
        </w:rPr>
        <w:t>98%</w:t>
      </w:r>
      <w:r>
        <w:rPr>
          <w:spacing w:val="-10"/>
          <w:sz w:val="28"/>
        </w:rPr>
        <w:t>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z w:val="28"/>
        </w:rPr>
        <w:t>沥青路面厚度：允许偏差范围为±5mm</w:t>
      </w:r>
      <w:r>
        <w:rPr>
          <w:spacing w:val="-10"/>
          <w:sz w:val="28"/>
        </w:rPr>
        <w:t>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6"/>
          <w:sz w:val="28"/>
        </w:rPr>
        <w:t xml:space="preserve">沥青路面密实度：不低于 </w:t>
      </w:r>
      <w:r>
        <w:rPr>
          <w:sz w:val="28"/>
        </w:rPr>
        <w:t>2.3g/cm</w:t>
      </w:r>
      <w:r>
        <w:rPr>
          <w:rFonts w:ascii="Calibri" w:eastAsia="Calibri" w:hAnsi="Calibri"/>
          <w:sz w:val="28"/>
        </w:rPr>
        <w:t>³</w:t>
      </w:r>
      <w:r>
        <w:rPr>
          <w:spacing w:val="-10"/>
          <w:sz w:val="28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265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质量管理机构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建立健全的质量管理机构，明确各部门的质量职责。包括但不限于：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0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项目经理部：全面负责工程质量管理工作。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技术管理部：负责制定质量管理制度和标准，监督质量管理工作的</w:t>
      </w:r>
      <w:r>
        <w:rPr>
          <w:spacing w:val="-2"/>
          <w:sz w:val="28"/>
        </w:rPr>
        <w:t>执行情况。</w:t>
      </w: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施工管理部：负责组织施工生产，确保施工质量符合要求。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0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质检部：负责质量检查和验收，确保工程质量符合设计要求。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质量管理制度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建立健全质量管理制度，明确各个环节的质量控制要求。包括但不限</w:t>
      </w:r>
      <w:r>
        <w:rPr>
          <w:spacing w:val="-6"/>
        </w:rPr>
        <w:t>于：</w:t>
      </w:r>
    </w:p>
    <w:p>
      <w:pPr>
        <w:pStyle w:val="ListParagraph"/>
        <w:numPr>
          <w:ilvl w:val="1"/>
          <w:numId w:val="17"/>
        </w:numPr>
        <w:tabs>
          <w:tab w:val="left" w:pos="407"/>
        </w:tabs>
        <w:spacing w:before="0" w:after="0" w:line="358" w:lineRule="exact"/>
        <w:ind w:left="406" w:right="0" w:hanging="287"/>
        <w:jc w:val="left"/>
        <w:rPr>
          <w:sz w:val="28"/>
        </w:rPr>
      </w:pPr>
      <w:r>
        <w:rPr>
          <w:spacing w:val="-1"/>
          <w:sz w:val="28"/>
        </w:rPr>
        <w:t>原材料质量控制制度：包括原材料的采购、验收、储存和使用等。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7"/>
        </w:numPr>
        <w:tabs>
          <w:tab w:val="left" w:pos="400"/>
        </w:tabs>
        <w:spacing w:before="0" w:after="0" w:line="240" w:lineRule="auto"/>
        <w:ind w:left="400" w:right="0" w:hanging="280"/>
        <w:jc w:val="left"/>
        <w:rPr>
          <w:sz w:val="28"/>
        </w:rPr>
      </w:pPr>
      <w:r>
        <w:rPr>
          <w:spacing w:val="-5"/>
          <w:sz w:val="28"/>
        </w:rPr>
        <w:t>施工工艺质量控制制度：包括沥青混合料的拌制、摊铺、碾压、养</w:t>
      </w:r>
    </w:p>
    <w:p>
      <w:pPr>
        <w:spacing w:after="0" w:line="240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https://d.book118.com/078013023024006044</w:t>
        </w:r>
      </w:hyperlink>
    </w:p>
    <w:p>
      <w:pPr>
        <w:spacing w:after="0" w:line="240" w:lineRule="auto"/>
        <w:jc w:val="left"/>
        <w:rPr>
          <w:sz w:val="28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886C8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1"/>
      </w:pPr>
      <w:rPr>
        <w:rFonts w:hint="default"/>
        <w:lang w:val="en-US" w:eastAsia="zh-CN" w:bidi="ar-SA"/>
      </w:rPr>
    </w:lvl>
  </w:abstractNum>
  <w:abstractNum w:abstractNumId="1">
    <w:nsid w:val="088BB40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1387F6F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">
    <w:nsid w:val="14BE191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1"/>
      </w:pPr>
      <w:rPr>
        <w:rFonts w:hint="default"/>
        <w:lang w:val="en-US" w:eastAsia="zh-CN" w:bidi="ar-SA"/>
      </w:rPr>
    </w:lvl>
  </w:abstractNum>
  <w:abstractNum w:abstractNumId="4">
    <w:nsid w:val="1A6401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2651C8A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7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7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7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7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7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7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7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70"/>
      </w:pPr>
      <w:rPr>
        <w:rFonts w:hint="default"/>
        <w:lang w:val="en-US" w:eastAsia="zh-CN" w:bidi="ar-SA"/>
      </w:rPr>
    </w:lvl>
  </w:abstractNum>
  <w:abstractNum w:abstractNumId="6">
    <w:nsid w:val="2829BA0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7">
    <w:nsid w:val="283EA98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8">
    <w:nsid w:val="2A1F96B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4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90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1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92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74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93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44" w:hanging="280"/>
      </w:pPr>
      <w:rPr>
        <w:rFonts w:hint="default"/>
        <w:lang w:val="en-US" w:eastAsia="zh-CN" w:bidi="ar-SA"/>
      </w:rPr>
    </w:lvl>
  </w:abstractNum>
  <w:abstractNum w:abstractNumId="9">
    <w:nsid w:val="35EA363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0">
    <w:nsid w:val="3A16FDB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11">
    <w:nsid w:val="3B239B8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2">
    <w:nsid w:val="3BF489B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3">
    <w:nsid w:val="3D5E837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4896CA7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4B5F08C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6">
    <w:nsid w:val="4BB924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abstractNum w:abstractNumId="17">
    <w:nsid w:val="4F462E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abstractNum w:abstractNumId="18">
    <w:nsid w:val="534FB4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54529E6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56A05F6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0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1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2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3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3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04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75" w:hanging="175"/>
      </w:pPr>
      <w:rPr>
        <w:rFonts w:hint="default"/>
        <w:lang w:val="en-US" w:eastAsia="zh-CN" w:bidi="ar-SA"/>
      </w:rPr>
    </w:lvl>
  </w:abstractNum>
  <w:abstractNum w:abstractNumId="21">
    <w:nsid w:val="579B864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5875E14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98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16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35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5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72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9" w:hanging="560"/>
      </w:pPr>
      <w:rPr>
        <w:rFonts w:hint="default"/>
        <w:lang w:val="en-US" w:eastAsia="zh-CN" w:bidi="ar-SA"/>
      </w:rPr>
    </w:lvl>
  </w:abstractNum>
  <w:abstractNum w:abstractNumId="23">
    <w:nsid w:val="58CDFA3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4">
    <w:nsid w:val="59F4464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40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4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90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1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92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74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93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44" w:hanging="280"/>
      </w:pPr>
      <w:rPr>
        <w:rFonts w:hint="default"/>
        <w:lang w:val="en-US" w:eastAsia="zh-CN" w:bidi="ar-SA"/>
      </w:rPr>
    </w:lvl>
  </w:abstractNum>
  <w:abstractNum w:abstractNumId="25">
    <w:nsid w:val="5CCF236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6">
    <w:nsid w:val="60157D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619C9B4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0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1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2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3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3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04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75" w:hanging="175"/>
      </w:pPr>
      <w:rPr>
        <w:rFonts w:hint="default"/>
        <w:lang w:val="en-US" w:eastAsia="zh-CN" w:bidi="ar-SA"/>
      </w:rPr>
    </w:lvl>
  </w:abstractNum>
  <w:abstractNum w:abstractNumId="28">
    <w:nsid w:val="68FE9A1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9">
    <w:nsid w:val="73F9DFB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7449B0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22"/>
  </w:num>
  <w:num w:numId="2">
    <w:abstractNumId w:val="27"/>
  </w:num>
  <w:num w:numId="3">
    <w:abstractNumId w:val="20"/>
  </w:num>
  <w:num w:numId="4">
    <w:abstractNumId w:val="15"/>
  </w:num>
  <w:num w:numId="5">
    <w:abstractNumId w:val="14"/>
  </w:num>
  <w:num w:numId="6">
    <w:abstractNumId w:val="29"/>
  </w:num>
  <w:num w:numId="7">
    <w:abstractNumId w:val="4"/>
  </w:num>
  <w:num w:numId="8">
    <w:abstractNumId w:val="3"/>
  </w:num>
  <w:num w:numId="9">
    <w:abstractNumId w:val="0"/>
  </w:num>
  <w:num w:numId="10">
    <w:abstractNumId w:val="21"/>
  </w:num>
  <w:num w:numId="11">
    <w:abstractNumId w:val="18"/>
  </w:num>
  <w:num w:numId="12">
    <w:abstractNumId w:val="11"/>
  </w:num>
  <w:num w:numId="13">
    <w:abstractNumId w:val="12"/>
  </w:num>
  <w:num w:numId="14">
    <w:abstractNumId w:val="25"/>
  </w:num>
  <w:num w:numId="15">
    <w:abstractNumId w:val="23"/>
  </w:num>
  <w:num w:numId="16">
    <w:abstractNumId w:val="8"/>
  </w:num>
  <w:num w:numId="17">
    <w:abstractNumId w:val="24"/>
  </w:num>
  <w:num w:numId="18">
    <w:abstractNumId w:val="13"/>
  </w:num>
  <w:num w:numId="19">
    <w:abstractNumId w:val="26"/>
  </w:num>
  <w:num w:numId="20">
    <w:abstractNumId w:val="28"/>
  </w:num>
  <w:num w:numId="21">
    <w:abstractNumId w:val="2"/>
  </w:num>
  <w:num w:numId="22">
    <w:abstractNumId w:val="9"/>
  </w:num>
  <w:num w:numId="23">
    <w:abstractNumId w:val="30"/>
  </w:num>
  <w:num w:numId="24">
    <w:abstractNumId w:val="19"/>
  </w:num>
  <w:num w:numId="25">
    <w:abstractNumId w:val="6"/>
  </w:num>
  <w:num w:numId="26">
    <w:abstractNumId w:val="10"/>
  </w:num>
  <w:num w:numId="27">
    <w:abstractNumId w:val="17"/>
  </w:num>
  <w:num w:numId="28">
    <w:abstractNumId w:val="16"/>
  </w:num>
  <w:num w:numId="29">
    <w:abstractNumId w:val="7"/>
  </w:num>
  <w:num w:numId="30">
    <w:abstractNumId w:val="1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 w:right="519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383" w:right="178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07801302302400604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2024-03-05T04:13:56Z</dcterms:created>
  <dcterms:modified xsi:type="dcterms:W3CDTF">2024-03-05T04:13:56Z</dcterms:modified>
</cp:coreProperties>
</file>