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2018-2023年南京旅游职业学院高职单招（数学／语文／英语）历年常考试题库含答案解析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D.六斤裹脚事件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下面哪部作品的出版成为中国现代小说的开端（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朱自清早期参加的文学社团是（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A.“新月社”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B.“文学研究会”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C.“创造社”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D.“左翼作家联盟”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表现莺莺对现实不满更为强烈的曲词是（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A.前暮私情，昨夜成亲，今日别离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B.有梦也难寻觅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C.蜗角虚名，蝇头微利，拆鸳鸯在两下里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D.但得一个并头莲，煞强如状元及第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《季氏将伐颛臾》本文中，孔子用“危而不持，颠而不扶”批驳冉有，所用的修辞手法是（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从李清照《声声慢》（寻寻觅觅）一词中“将息”“怎生”“次第”“了得”等词语来看，这首词语言上的一个特点是（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A.采用典故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B.采用口语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C.采用经史语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D.采用前人诗词成句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杜甫《蜀相》“长使英雄泪满襟”的前一句是（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A.三十从军今白发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B.三顾频烦天下计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D.出师未捷身先死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《谏逐客书》本文中，作者用“五帝三王之所以无敌”的做法来论证秦王的错误，这里采用的论证方法是（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《诗经》中保存民歌最多的是（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A.国风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《秋水》中北海若对“自多”的态度是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C.无所谓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D.顺其自然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《关山月》一诗的作者是（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巴金创作的最著名的长篇小说三部曲是（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https://d.book118.com/078021056132006040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78021056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