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bookmarkStart w:id="0" w:name="_GoBack"/>
      <w:r>
        <w:rPr>
          <w:sz w:val="52"/>
          <w:szCs w:val="52"/>
        </w:rPr>
        <w:t>联邦学习应用安全研究报告</w:t>
      </w:r>
      <w:bookmarkEnd w:id="0"/>
    </w:p>
    <w:p>
      <w:pPr>
        <w:pStyle w:val="BodyText"/>
        <w:spacing w:before="9"/>
        <w:rPr>
          <w:rFonts w:ascii="黑体"/>
          <w:b/>
          <w:sz w:val="95"/>
        </w:rPr>
      </w:pPr>
    </w:p>
    <w:p>
      <w:pPr>
        <w:spacing w:before="1"/>
        <w:ind w:left="97" w:right="97" w:firstLine="0"/>
        <w:jc w:val="center"/>
        <w:rPr>
          <w:rFonts w:ascii="黑体" w:eastAsia="黑体" w:hint="eastAsia"/>
          <w:b/>
          <w:sz w:val="52"/>
        </w:rPr>
      </w:pPr>
      <w:r>
        <w:rPr>
          <w:rFonts w:ascii="黑体" w:eastAsia="黑体" w:hint="eastAsia"/>
          <w:b/>
          <w:sz w:val="52"/>
        </w:rPr>
        <w:t>(2023 年)</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4"/>
        <w:rPr>
          <w:rFonts w:ascii="黑体"/>
          <w:b/>
          <w:sz w:val="19"/>
        </w:rPr>
      </w:pPr>
    </w:p>
    <w:p>
      <w:pPr>
        <w:spacing w:before="0"/>
        <w:ind w:left="1" w:right="0" w:firstLine="0"/>
        <w:jc w:val="center"/>
        <w:rPr>
          <w:rFonts w:ascii="Times New Roman"/>
          <w:sz w:val="18"/>
        </w:rPr>
      </w:pPr>
      <w:r>
        <w:rPr>
          <w:rFonts w:ascii="Times New Roman"/>
          <w:sz w:val="18"/>
        </w:rPr>
        <w:t>1</w:t>
      </w:r>
    </w:p>
    <w:p>
      <w:pPr>
        <w:spacing w:after="0"/>
        <w:jc w:val="center"/>
        <w:rPr>
          <w:rFonts w:ascii="Times New Roman"/>
          <w:sz w:val="18"/>
        </w:rPr>
        <w:sectPr>
          <w:type w:val="continuous"/>
          <w:pgSz w:w="11910" w:h="16840"/>
          <w:pgMar w:top="1580" w:right="1500" w:bottom="280" w:left="1500" w:header="720" w:footer="720" w:gutter="0"/>
          <w:cols w:num="1" w:space="720"/>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18" w:line="417" w:lineRule="auto"/>
        <w:ind w:left="297" w:right="415" w:firstLine="559"/>
        <w:jc w:val="both"/>
      </w:pPr>
      <w:r>
        <w:t>“数据孤岛”，是数据为“王”的时代的一个不可被忽视的现象，各组织机构的数据如同大洋上的岛屿，隔海相望、孤立无援。这种现象来源于组织机构对敏感数据域外共享的数据安全担忧，随着数据安全法律法规日趋严格，各组织机构难以承担数据泄露所带来的严重后果，使数据既出不去，也进不来。</w:t>
      </w:r>
    </w:p>
    <w:p>
      <w:pPr>
        <w:pStyle w:val="BodyText"/>
        <w:spacing w:line="417" w:lineRule="auto"/>
        <w:ind w:left="297" w:right="415" w:firstLine="559"/>
        <w:jc w:val="both"/>
      </w:pPr>
      <w:r>
        <w:t>在追求数据要素高效高质流通的当下，“数据孤岛”现象无疑是数据要素市场化建设进程中的障碍，于是“原始数据不出域，数据可用不可见”的新范式被提出，联邦学习也作为能够实现该范式的代表技术之一，得到了快速的发展。联邦学习技术可避免原始数</w:t>
      </w:r>
      <w:r>
        <w:rPr>
          <w:spacing w:val="-10"/>
        </w:rPr>
        <w:t xml:space="preserve">据流出本地，转而通过“本地存储 </w:t>
      </w:r>
      <w:r>
        <w:rPr>
          <w:rFonts w:ascii="Times New Roman" w:eastAsia="Times New Roman" w:hAnsi="Times New Roman"/>
          <w:spacing w:val="3"/>
        </w:rPr>
        <w:t xml:space="preserve">+ </w:t>
      </w:r>
      <w:r>
        <w:rPr>
          <w:spacing w:val="-7"/>
        </w:rPr>
        <w:t>分布式学习”的联合机器学习建模方式完成多方数据价值的释放，很好地解决了数据流通与数据</w:t>
      </w:r>
      <w:r>
        <w:rPr>
          <w:spacing w:val="-3"/>
        </w:rPr>
        <w:t>安全之间的矛盾。</w:t>
      </w:r>
    </w:p>
    <w:p>
      <w:pPr>
        <w:pStyle w:val="BodyText"/>
        <w:spacing w:line="417" w:lineRule="auto"/>
        <w:ind w:left="297" w:right="415" w:firstLine="559"/>
        <w:jc w:val="both"/>
      </w:pPr>
      <w:r>
        <w:t>联邦学习作为能够打破“数据孤岛”的有力技术工具，为实现保障数据安全流通的初衷，仍然需要确保其自身的各属性的安全可靠。本研究报告着眼于联邦学习技术产品、系统、平台等形式的应用的安全，介绍了联邦学习应用的安全现状，分析了联邦学习在应用中面临的安全问题，并针对以上痛点问题，提出了联邦学习应用的未来发展建议。本报告的编写得到了不少业界同仁的大力支持， 希望本报告能为社会各界深入了解联邦学习应用安全的现状与发展提供有价值的参考。</w:t>
      </w:r>
    </w:p>
    <w:p>
      <w:pPr>
        <w:spacing w:after="0" w:line="417" w:lineRule="auto"/>
        <w:jc w:val="both"/>
        <w:sectPr>
          <w:headerReference w:type="default" r:id="rId5"/>
          <w:pgSz w:w="11910" w:h="16840"/>
          <w:pgMar w:top="1900" w:right="1501" w:bottom="280" w:left="1500" w:header="1594" w:footer="0" w:gutter="0"/>
          <w:pgNumType w:start="2"/>
          <w:cols w:num="1" w:space="720"/>
        </w:sectPr>
      </w:pPr>
    </w:p>
    <w:p>
      <w:pPr>
        <w:pStyle w:val="BodyText"/>
        <w:rPr>
          <w:sz w:val="20"/>
        </w:rPr>
      </w:pPr>
    </w:p>
    <w:p>
      <w:pPr>
        <w:pStyle w:val="BodyText"/>
        <w:rPr>
          <w:sz w:val="20"/>
        </w:rPr>
      </w:pPr>
    </w:p>
    <w:p>
      <w:pPr>
        <w:pStyle w:val="BodyText"/>
        <w:rPr>
          <w:sz w:val="20"/>
        </w:rPr>
      </w:pPr>
    </w:p>
    <w:p>
      <w:pPr>
        <w:pStyle w:val="BodyText"/>
        <w:spacing w:before="4"/>
        <w:rPr>
          <w:sz w:val="25"/>
        </w:rPr>
      </w:pPr>
    </w:p>
    <w:sdt>
      <w:sdtPr>
        <w:id w:val="1"/>
        <w:docPartObj>
          <w:docPartGallery w:val="Table of Contents"/>
          <w:docPartUnique/>
        </w:docPartObj>
      </w:sdtPr>
      <w:sdtContent>
        <w:p>
          <w:pPr>
            <w:pStyle w:val="TOC1"/>
            <w:tabs>
              <w:tab w:val="right" w:leader="dot" w:pos="8608"/>
            </w:tabs>
            <w:spacing w:before="74"/>
            <w:rPr>
              <w:rFonts w:ascii="Times New Roman" w:eastAsia="Times New Roman"/>
            </w:rPr>
          </w:pPr>
          <w:hyperlink w:anchor="_bookmark0" w:history="1">
            <w:r>
              <w:t>一、 联邦学习概述</w:t>
            </w:r>
            <w:r>
              <w:tab/>
            </w:r>
            <w:r>
              <w:rPr>
                <w:rFonts w:ascii="Times New Roman" w:eastAsia="Times New Roman"/>
              </w:rPr>
              <w:t>1</w:t>
            </w:r>
          </w:hyperlink>
        </w:p>
        <w:p>
          <w:pPr>
            <w:pStyle w:val="TOC2"/>
            <w:tabs>
              <w:tab w:val="right" w:leader="dot" w:pos="8608"/>
            </w:tabs>
            <w:rPr>
              <w:rFonts w:ascii="Times New Roman" w:eastAsia="Times New Roman"/>
            </w:rPr>
          </w:pPr>
          <w:hyperlink w:anchor="_bookmark1" w:history="1">
            <w:r>
              <w:rPr>
                <w:rFonts w:ascii="Times New Roman" w:eastAsia="Times New Roman"/>
              </w:rPr>
              <w:t>(</w:t>
            </w:r>
            <w:r>
              <w:t>一</w:t>
            </w:r>
            <w:r>
              <w:rPr>
                <w:rFonts w:ascii="Times New Roman" w:eastAsia="Times New Roman"/>
              </w:rPr>
              <w:t>)</w:t>
            </w:r>
            <w:r>
              <w:rPr>
                <w:rFonts w:ascii="Times New Roman" w:eastAsia="Times New Roman"/>
                <w:spacing w:val="58"/>
              </w:rPr>
              <w:t xml:space="preserve"> </w:t>
            </w:r>
            <w:r>
              <w:t>背景</w:t>
            </w:r>
            <w:r>
              <w:tab/>
            </w:r>
            <w:r>
              <w:rPr>
                <w:rFonts w:ascii="Times New Roman" w:eastAsia="Times New Roman"/>
              </w:rPr>
              <w:t>1</w:t>
            </w:r>
          </w:hyperlink>
        </w:p>
        <w:p>
          <w:pPr>
            <w:pStyle w:val="TOC2"/>
            <w:tabs>
              <w:tab w:val="right" w:leader="dot" w:pos="8608"/>
            </w:tabs>
            <w:spacing w:before="161"/>
            <w:rPr>
              <w:rFonts w:ascii="Times New Roman" w:eastAsia="Times New Roman"/>
            </w:rPr>
          </w:pPr>
          <w:hyperlink w:anchor="_bookmark3" w:history="1">
            <w:r>
              <w:rPr>
                <w:rFonts w:ascii="Times New Roman" w:eastAsia="Times New Roman"/>
              </w:rPr>
              <w:t>(</w:t>
            </w:r>
            <w:r>
              <w:t>二</w:t>
            </w:r>
            <w:r>
              <w:rPr>
                <w:rFonts w:ascii="Times New Roman" w:eastAsia="Times New Roman"/>
              </w:rPr>
              <w:t>)</w:t>
            </w:r>
            <w:r>
              <w:rPr>
                <w:rFonts w:ascii="Times New Roman" w:eastAsia="Times New Roman"/>
                <w:spacing w:val="58"/>
              </w:rPr>
              <w:t xml:space="preserve"> </w:t>
            </w:r>
            <w:r>
              <w:t>联邦学习技术体系</w:t>
            </w:r>
            <w:r>
              <w:tab/>
            </w:r>
            <w:r>
              <w:rPr>
                <w:rFonts w:ascii="Times New Roman" w:eastAsia="Times New Roman"/>
              </w:rPr>
              <w:t>2</w:t>
            </w:r>
          </w:hyperlink>
        </w:p>
        <w:p>
          <w:pPr>
            <w:pStyle w:val="TOC1"/>
            <w:tabs>
              <w:tab w:val="right" w:leader="dot" w:pos="8608"/>
            </w:tabs>
            <w:rPr>
              <w:rFonts w:ascii="Times New Roman" w:eastAsia="Times New Roman"/>
            </w:rPr>
          </w:pPr>
          <w:hyperlink w:anchor="_bookmark7" w:history="1">
            <w:r>
              <w:t>二、 联邦学习应用概况</w:t>
            </w:r>
            <w:r>
              <w:tab/>
            </w:r>
            <w:r>
              <w:rPr>
                <w:rFonts w:ascii="Times New Roman" w:eastAsia="Times New Roman"/>
              </w:rPr>
              <w:t>4</w:t>
            </w:r>
          </w:hyperlink>
        </w:p>
        <w:p>
          <w:pPr>
            <w:pStyle w:val="TOC2"/>
            <w:tabs>
              <w:tab w:val="right" w:leader="dot" w:pos="8608"/>
            </w:tabs>
            <w:spacing w:before="161"/>
            <w:rPr>
              <w:rFonts w:ascii="Times New Roman" w:eastAsia="Times New Roman"/>
            </w:rPr>
          </w:pPr>
          <w:hyperlink w:anchor="_bookmark8" w:history="1">
            <w:r>
              <w:rPr>
                <w:rFonts w:ascii="Times New Roman" w:eastAsia="Times New Roman"/>
              </w:rPr>
              <w:t>(</w:t>
            </w:r>
            <w:r>
              <w:t>一</w:t>
            </w:r>
            <w:r>
              <w:rPr>
                <w:rFonts w:ascii="Times New Roman" w:eastAsia="Times New Roman"/>
              </w:rPr>
              <w:t>)</w:t>
            </w:r>
            <w:r>
              <w:rPr>
                <w:rFonts w:ascii="Times New Roman" w:eastAsia="Times New Roman"/>
                <w:spacing w:val="58"/>
              </w:rPr>
              <w:t xml:space="preserve"> </w:t>
            </w:r>
            <w:r>
              <w:t>跨机构应用是国内联邦学习应用的主要形态</w:t>
            </w:r>
            <w:r>
              <w:tab/>
            </w:r>
            <w:r>
              <w:rPr>
                <w:rFonts w:ascii="Times New Roman" w:eastAsia="Times New Roman"/>
              </w:rPr>
              <w:t>4</w:t>
            </w:r>
          </w:hyperlink>
        </w:p>
        <w:p>
          <w:pPr>
            <w:pStyle w:val="TOC2"/>
            <w:tabs>
              <w:tab w:val="right" w:leader="dot" w:pos="8608"/>
            </w:tabs>
            <w:rPr>
              <w:rFonts w:ascii="Times New Roman" w:eastAsia="Times New Roman"/>
            </w:rPr>
          </w:pPr>
          <w:hyperlink w:anchor="_bookmark10" w:history="1">
            <w:r>
              <w:rPr>
                <w:rFonts w:ascii="Times New Roman" w:eastAsia="Times New Roman"/>
              </w:rPr>
              <w:t>(</w:t>
            </w:r>
            <w:r>
              <w:t>二</w:t>
            </w:r>
            <w:r>
              <w:rPr>
                <w:rFonts w:ascii="Times New Roman" w:eastAsia="Times New Roman"/>
              </w:rPr>
              <w:t>)</w:t>
            </w:r>
            <w:r>
              <w:rPr>
                <w:rFonts w:ascii="Times New Roman" w:eastAsia="Times New Roman"/>
                <w:spacing w:val="58"/>
              </w:rPr>
              <w:t xml:space="preserve"> </w:t>
            </w:r>
            <w:r>
              <w:t>中心化架构在联邦学习产品中占比最多</w:t>
            </w:r>
            <w:r>
              <w:tab/>
            </w:r>
            <w:r>
              <w:rPr>
                <w:rFonts w:ascii="Times New Roman" w:eastAsia="Times New Roman"/>
              </w:rPr>
              <w:t>5</w:t>
            </w:r>
          </w:hyperlink>
        </w:p>
        <w:p>
          <w:pPr>
            <w:pStyle w:val="TOC2"/>
            <w:tabs>
              <w:tab w:val="right" w:leader="dot" w:pos="8608"/>
            </w:tabs>
            <w:spacing w:before="161"/>
            <w:rPr>
              <w:rFonts w:ascii="Times New Roman" w:eastAsia="Times New Roman"/>
            </w:rPr>
          </w:pPr>
          <w:hyperlink w:anchor="_bookmark15" w:history="1">
            <w:r>
              <w:rPr>
                <w:rFonts w:ascii="Times New Roman" w:eastAsia="Times New Roman"/>
              </w:rPr>
              <w:t>(</w:t>
            </w:r>
            <w:r>
              <w:t>三</w:t>
            </w:r>
            <w:r>
              <w:rPr>
                <w:rFonts w:ascii="Times New Roman" w:eastAsia="Times New Roman"/>
              </w:rPr>
              <w:t>)</w:t>
            </w:r>
            <w:r>
              <w:rPr>
                <w:rFonts w:ascii="Times New Roman" w:eastAsia="Times New Roman"/>
                <w:spacing w:val="58"/>
              </w:rPr>
              <w:t xml:space="preserve"> </w:t>
            </w:r>
            <w:r>
              <w:t>半诚实敌手环境是当下联邦学习主要的应用环境</w:t>
            </w:r>
            <w:r>
              <w:tab/>
            </w:r>
            <w:r>
              <w:rPr>
                <w:rFonts w:ascii="Times New Roman" w:eastAsia="Times New Roman"/>
              </w:rPr>
              <w:t>7</w:t>
            </w:r>
          </w:hyperlink>
        </w:p>
        <w:p>
          <w:pPr>
            <w:pStyle w:val="TOC2"/>
            <w:tabs>
              <w:tab w:val="right" w:leader="dot" w:pos="8608"/>
            </w:tabs>
            <w:rPr>
              <w:rFonts w:ascii="Times New Roman" w:eastAsia="Times New Roman"/>
            </w:rPr>
          </w:pPr>
          <w:hyperlink w:anchor="_bookmark17" w:history="1">
            <w:r>
              <w:rPr>
                <w:rFonts w:ascii="Times New Roman" w:eastAsia="Times New Roman"/>
              </w:rPr>
              <w:t>(</w:t>
            </w:r>
            <w:r>
              <w:t>四</w:t>
            </w:r>
            <w:r>
              <w:rPr>
                <w:rFonts w:ascii="Times New Roman" w:eastAsia="Times New Roman"/>
              </w:rPr>
              <w:t>)</w:t>
            </w:r>
            <w:r>
              <w:rPr>
                <w:rFonts w:ascii="Times New Roman" w:eastAsia="Times New Roman"/>
                <w:spacing w:val="58"/>
              </w:rPr>
              <w:t xml:space="preserve"> </w:t>
            </w:r>
            <w:r>
              <w:t>密码技术是当下联邦学习产品的主要安全保护技术</w:t>
            </w:r>
            <w:r>
              <w:tab/>
            </w:r>
            <w:r>
              <w:rPr>
                <w:rFonts w:ascii="Times New Roman" w:eastAsia="Times New Roman"/>
              </w:rPr>
              <w:t>9</w:t>
            </w:r>
          </w:hyperlink>
        </w:p>
        <w:p>
          <w:pPr>
            <w:pStyle w:val="TOC1"/>
            <w:tabs>
              <w:tab w:val="right" w:leader="dot" w:pos="8613"/>
            </w:tabs>
            <w:spacing w:before="161"/>
            <w:rPr>
              <w:rFonts w:ascii="Times New Roman" w:eastAsia="Times New Roman"/>
            </w:rPr>
          </w:pPr>
          <w:hyperlink w:anchor="_bookmark19" w:history="1">
            <w:r>
              <w:t>三、 联邦学习应用安全现状与问题分析</w:t>
            </w:r>
            <w:r>
              <w:tab/>
            </w:r>
            <w:r>
              <w:rPr>
                <w:rFonts w:ascii="Times New Roman" w:eastAsia="Times New Roman"/>
                <w:spacing w:val="-3"/>
              </w:rPr>
              <w:t>11</w:t>
            </w:r>
          </w:hyperlink>
        </w:p>
        <w:p>
          <w:pPr>
            <w:pStyle w:val="TOC2"/>
            <w:tabs>
              <w:tab w:val="right" w:leader="dot" w:pos="8613"/>
            </w:tabs>
            <w:rPr>
              <w:rFonts w:ascii="Times New Roman" w:eastAsia="Times New Roman"/>
            </w:rPr>
          </w:pPr>
          <w:hyperlink w:anchor="_bookmark20" w:history="1">
            <w:r>
              <w:rPr>
                <w:rFonts w:ascii="Times New Roman" w:eastAsia="Times New Roman"/>
              </w:rPr>
              <w:t>(</w:t>
            </w:r>
            <w:r>
              <w:t>一</w:t>
            </w:r>
            <w:r>
              <w:rPr>
                <w:rFonts w:ascii="Times New Roman" w:eastAsia="Times New Roman"/>
              </w:rPr>
              <w:t>)</w:t>
            </w:r>
            <w:r>
              <w:rPr>
                <w:rFonts w:ascii="Times New Roman" w:eastAsia="Times New Roman"/>
                <w:spacing w:val="59"/>
              </w:rPr>
              <w:t xml:space="preserve"> </w:t>
            </w:r>
            <w:r>
              <w:t>数据泄露类风险是联邦学习产品最易出现的安全风险</w:t>
            </w:r>
            <w:r>
              <w:tab/>
            </w:r>
            <w:r>
              <w:rPr>
                <w:rFonts w:ascii="Times New Roman" w:eastAsia="Times New Roman"/>
                <w:spacing w:val="-3"/>
              </w:rPr>
              <w:t>11</w:t>
            </w:r>
          </w:hyperlink>
        </w:p>
        <w:p>
          <w:pPr>
            <w:pStyle w:val="TOC2"/>
            <w:tabs>
              <w:tab w:val="right" w:leader="dot" w:pos="8608"/>
            </w:tabs>
            <w:spacing w:before="161"/>
            <w:rPr>
              <w:rFonts w:ascii="Times New Roman" w:eastAsia="Times New Roman"/>
            </w:rPr>
          </w:pPr>
          <w:hyperlink w:anchor="_bookmark23" w:history="1">
            <w:r>
              <w:rPr>
                <w:rFonts w:ascii="Times New Roman" w:eastAsia="Times New Roman"/>
              </w:rPr>
              <w:t>(</w:t>
            </w:r>
            <w:r>
              <w:t>二</w:t>
            </w:r>
            <w:r>
              <w:rPr>
                <w:rFonts w:ascii="Times New Roman" w:eastAsia="Times New Roman"/>
              </w:rPr>
              <w:t>)</w:t>
            </w:r>
            <w:r>
              <w:rPr>
                <w:rFonts w:ascii="Times New Roman" w:eastAsia="Times New Roman"/>
                <w:spacing w:val="58"/>
              </w:rPr>
              <w:t xml:space="preserve"> </w:t>
            </w:r>
            <w:r>
              <w:t>联邦学习应用安全风险的隐蔽性高</w:t>
            </w:r>
            <w:r>
              <w:tab/>
            </w:r>
            <w:r>
              <w:rPr>
                <w:rFonts w:ascii="Times New Roman" w:eastAsia="Times New Roman"/>
              </w:rPr>
              <w:t>14</w:t>
            </w:r>
          </w:hyperlink>
        </w:p>
        <w:p>
          <w:pPr>
            <w:pStyle w:val="TOC2"/>
            <w:tabs>
              <w:tab w:val="right" w:leader="dot" w:pos="8608"/>
            </w:tabs>
            <w:rPr>
              <w:rFonts w:ascii="Times New Roman" w:eastAsia="Times New Roman"/>
            </w:rPr>
          </w:pPr>
          <w:hyperlink w:anchor="_bookmark24" w:history="1">
            <w:r>
              <w:rPr>
                <w:rFonts w:ascii="Times New Roman" w:eastAsia="Times New Roman"/>
              </w:rPr>
              <w:t>(</w:t>
            </w:r>
            <w:r>
              <w:t>三</w:t>
            </w:r>
            <w:r>
              <w:rPr>
                <w:rFonts w:ascii="Times New Roman" w:eastAsia="Times New Roman"/>
              </w:rPr>
              <w:t>)</w:t>
            </w:r>
            <w:r>
              <w:rPr>
                <w:rFonts w:ascii="Times New Roman" w:eastAsia="Times New Roman"/>
                <w:spacing w:val="58"/>
              </w:rPr>
              <w:t xml:space="preserve"> </w:t>
            </w:r>
            <w:r>
              <w:t>协调方的存在为联邦学习应用带来了安全方面的不确定因素</w:t>
            </w:r>
            <w:r>
              <w:tab/>
            </w:r>
            <w:r>
              <w:rPr>
                <w:rFonts w:ascii="Times New Roman" w:eastAsia="Times New Roman"/>
              </w:rPr>
              <w:t>15</w:t>
            </w:r>
          </w:hyperlink>
        </w:p>
        <w:p>
          <w:pPr>
            <w:pStyle w:val="TOC2"/>
            <w:tabs>
              <w:tab w:val="right" w:leader="dot" w:pos="8608"/>
            </w:tabs>
            <w:spacing w:before="161"/>
            <w:rPr>
              <w:rFonts w:ascii="Times New Roman" w:eastAsia="Times New Roman"/>
            </w:rPr>
          </w:pPr>
          <w:hyperlink w:anchor="_bookmark25" w:history="1">
            <w:r>
              <w:rPr>
                <w:rFonts w:ascii="Times New Roman" w:eastAsia="Times New Roman"/>
              </w:rPr>
              <w:t>(</w:t>
            </w:r>
            <w:r>
              <w:t>四</w:t>
            </w:r>
            <w:r>
              <w:rPr>
                <w:rFonts w:ascii="Times New Roman" w:eastAsia="Times New Roman"/>
              </w:rPr>
              <w:t>)</w:t>
            </w:r>
            <w:r>
              <w:rPr>
                <w:rFonts w:ascii="Times New Roman" w:eastAsia="Times New Roman"/>
                <w:spacing w:val="58"/>
              </w:rPr>
              <w:t xml:space="preserve"> </w:t>
            </w:r>
            <w:r>
              <w:t>联邦学习应用的安全保护强度与性能要求在一定程度上相互制约</w:t>
            </w:r>
            <w:r>
              <w:tab/>
            </w:r>
            <w:r>
              <w:rPr>
                <w:rFonts w:ascii="Times New Roman" w:eastAsia="Times New Roman"/>
              </w:rPr>
              <w:t>16</w:t>
            </w:r>
          </w:hyperlink>
        </w:p>
        <w:p>
          <w:pPr>
            <w:pStyle w:val="TOC2"/>
            <w:tabs>
              <w:tab w:val="right" w:leader="dot" w:pos="8608"/>
            </w:tabs>
            <w:rPr>
              <w:rFonts w:ascii="Times New Roman" w:eastAsia="Times New Roman"/>
            </w:rPr>
          </w:pPr>
          <w:hyperlink w:anchor="_bookmark26" w:history="1">
            <w:r>
              <w:rPr>
                <w:rFonts w:ascii="Times New Roman" w:eastAsia="Times New Roman"/>
              </w:rPr>
              <w:t>(</w:t>
            </w:r>
            <w:r>
              <w:t>五</w:t>
            </w:r>
            <w:r>
              <w:rPr>
                <w:rFonts w:ascii="Times New Roman" w:eastAsia="Times New Roman"/>
              </w:rPr>
              <w:t>)</w:t>
            </w:r>
            <w:r>
              <w:rPr>
                <w:rFonts w:ascii="Times New Roman" w:eastAsia="Times New Roman"/>
                <w:spacing w:val="58"/>
              </w:rPr>
              <w:t xml:space="preserve"> </w:t>
            </w:r>
            <w:r>
              <w:t>联邦学习应用安全相关标准尚未健全</w:t>
            </w:r>
            <w:r>
              <w:tab/>
            </w:r>
            <w:r>
              <w:rPr>
                <w:rFonts w:ascii="Times New Roman" w:eastAsia="Times New Roman"/>
              </w:rPr>
              <w:t>18</w:t>
            </w:r>
          </w:hyperlink>
        </w:p>
        <w:p>
          <w:pPr>
            <w:pStyle w:val="TOC1"/>
            <w:tabs>
              <w:tab w:val="right" w:leader="dot" w:pos="8608"/>
            </w:tabs>
            <w:spacing w:before="161"/>
            <w:rPr>
              <w:rFonts w:ascii="Times New Roman" w:eastAsia="Times New Roman"/>
            </w:rPr>
          </w:pPr>
          <w:hyperlink w:anchor="_bookmark27" w:history="1">
            <w:r>
              <w:t>四、 联邦学习应用安全学界研究现状</w:t>
            </w:r>
            <w:r>
              <w:tab/>
            </w:r>
            <w:r>
              <w:rPr>
                <w:rFonts w:ascii="Times New Roman" w:eastAsia="Times New Roman"/>
              </w:rPr>
              <w:t>19</w:t>
            </w:r>
          </w:hyperlink>
        </w:p>
        <w:p>
          <w:pPr>
            <w:pStyle w:val="TOC2"/>
            <w:tabs>
              <w:tab w:val="right" w:leader="dot" w:pos="8608"/>
            </w:tabs>
            <w:rPr>
              <w:rFonts w:ascii="Times New Roman" w:eastAsia="Times New Roman"/>
            </w:rPr>
          </w:pPr>
          <w:hyperlink w:anchor="_bookmark28" w:history="1">
            <w:r>
              <w:rPr>
                <w:rFonts w:ascii="Times New Roman" w:eastAsia="Times New Roman"/>
              </w:rPr>
              <w:t>(</w:t>
            </w:r>
            <w:r>
              <w:t>一</w:t>
            </w:r>
            <w:r>
              <w:rPr>
                <w:rFonts w:ascii="Times New Roman" w:eastAsia="Times New Roman"/>
              </w:rPr>
              <w:t>)</w:t>
            </w:r>
            <w:r>
              <w:rPr>
                <w:rFonts w:ascii="Times New Roman" w:eastAsia="Times New Roman"/>
                <w:spacing w:val="58"/>
              </w:rPr>
              <w:t xml:space="preserve"> </w:t>
            </w:r>
            <w:r>
              <w:t>偏重于恶意安全环境下的安全研究</w:t>
            </w:r>
            <w:r>
              <w:tab/>
            </w:r>
            <w:r>
              <w:rPr>
                <w:rFonts w:ascii="Times New Roman" w:eastAsia="Times New Roman"/>
              </w:rPr>
              <w:t>19</w:t>
            </w:r>
          </w:hyperlink>
        </w:p>
        <w:p>
          <w:pPr>
            <w:pStyle w:val="TOC2"/>
            <w:tabs>
              <w:tab w:val="right" w:leader="dot" w:pos="8608"/>
            </w:tabs>
            <w:spacing w:before="161"/>
            <w:rPr>
              <w:rFonts w:ascii="Times New Roman" w:eastAsia="Times New Roman"/>
            </w:rPr>
          </w:pPr>
          <w:hyperlink w:anchor="_bookmark29" w:history="1">
            <w:r>
              <w:rPr>
                <w:rFonts w:ascii="Times New Roman" w:eastAsia="Times New Roman"/>
              </w:rPr>
              <w:t>(</w:t>
            </w:r>
            <w:r>
              <w:t>二</w:t>
            </w:r>
            <w:r>
              <w:rPr>
                <w:rFonts w:ascii="Times New Roman" w:eastAsia="Times New Roman"/>
              </w:rPr>
              <w:t>)</w:t>
            </w:r>
            <w:r>
              <w:rPr>
                <w:rFonts w:ascii="Times New Roman" w:eastAsia="Times New Roman"/>
                <w:spacing w:val="58"/>
              </w:rPr>
              <w:t xml:space="preserve"> </w:t>
            </w:r>
            <w:r>
              <w:t>如何优化性能是热门研究方向</w:t>
            </w:r>
            <w:r>
              <w:tab/>
            </w:r>
            <w:r>
              <w:rPr>
                <w:rFonts w:ascii="Times New Roman" w:eastAsia="Times New Roman"/>
              </w:rPr>
              <w:t>20</w:t>
            </w:r>
          </w:hyperlink>
        </w:p>
        <w:p>
          <w:pPr>
            <w:pStyle w:val="TOC1"/>
            <w:tabs>
              <w:tab w:val="right" w:leader="dot" w:pos="8608"/>
            </w:tabs>
            <w:rPr>
              <w:rFonts w:ascii="Times New Roman" w:eastAsia="Times New Roman"/>
            </w:rPr>
          </w:pPr>
          <w:hyperlink w:anchor="_bookmark30" w:history="1">
            <w:r>
              <w:t>五、 联邦学习应用安全发展建议</w:t>
            </w:r>
            <w:r>
              <w:tab/>
            </w:r>
            <w:r>
              <w:rPr>
                <w:rFonts w:ascii="Times New Roman" w:eastAsia="Times New Roman"/>
              </w:rPr>
              <w:t>21</w:t>
            </w:r>
          </w:hyperlink>
        </w:p>
        <w:p>
          <w:pPr>
            <w:pStyle w:val="TOC2"/>
            <w:tabs>
              <w:tab w:val="right" w:leader="dot" w:pos="8608"/>
            </w:tabs>
            <w:spacing w:before="161"/>
            <w:rPr>
              <w:rFonts w:ascii="Times New Roman" w:eastAsia="Times New Roman"/>
            </w:rPr>
          </w:pPr>
          <w:hyperlink w:anchor="_bookmark31" w:history="1">
            <w:r>
              <w:rPr>
                <w:rFonts w:ascii="Times New Roman" w:eastAsia="Times New Roman"/>
              </w:rPr>
              <w:t>(</w:t>
            </w:r>
            <w:r>
              <w:t>一</w:t>
            </w:r>
            <w:r>
              <w:rPr>
                <w:rFonts w:ascii="Times New Roman" w:eastAsia="Times New Roman"/>
              </w:rPr>
              <w:t>)</w:t>
            </w:r>
            <w:r>
              <w:rPr>
                <w:rFonts w:ascii="Times New Roman" w:eastAsia="Times New Roman"/>
                <w:spacing w:val="58"/>
              </w:rPr>
              <w:t xml:space="preserve"> </w:t>
            </w:r>
            <w:r>
              <w:t>加速联邦学习应用安全的标准化建设</w:t>
            </w:r>
            <w:r>
              <w:tab/>
            </w:r>
            <w:r>
              <w:rPr>
                <w:rFonts w:ascii="Times New Roman" w:eastAsia="Times New Roman"/>
              </w:rPr>
              <w:t>21</w:t>
            </w:r>
          </w:hyperlink>
        </w:p>
        <w:p>
          <w:pPr>
            <w:pStyle w:val="TOC2"/>
            <w:tabs>
              <w:tab w:val="right" w:leader="dot" w:pos="8608"/>
            </w:tabs>
            <w:rPr>
              <w:rFonts w:ascii="Times New Roman" w:eastAsia="Times New Roman"/>
            </w:rPr>
          </w:pPr>
          <w:hyperlink w:anchor="_bookmark32" w:history="1">
            <w:r>
              <w:rPr>
                <w:rFonts w:ascii="Times New Roman" w:eastAsia="Times New Roman"/>
              </w:rPr>
              <w:t>(</w:t>
            </w:r>
            <w:r>
              <w:t>二</w:t>
            </w:r>
            <w:r>
              <w:rPr>
                <w:rFonts w:ascii="Times New Roman" w:eastAsia="Times New Roman"/>
              </w:rPr>
              <w:t>)</w:t>
            </w:r>
            <w:r>
              <w:rPr>
                <w:rFonts w:ascii="Times New Roman" w:eastAsia="Times New Roman"/>
                <w:spacing w:val="58"/>
              </w:rPr>
              <w:t xml:space="preserve"> </w:t>
            </w:r>
            <w:r>
              <w:t>加强联邦学习应用安全的研究</w:t>
            </w:r>
            <w:r>
              <w:tab/>
            </w:r>
            <w:r>
              <w:rPr>
                <w:rFonts w:ascii="Times New Roman" w:eastAsia="Times New Roman"/>
              </w:rPr>
              <w:t>22</w:t>
            </w:r>
          </w:hyperlink>
        </w:p>
        <w:p>
          <w:pPr>
            <w:pStyle w:val="TOC2"/>
            <w:tabs>
              <w:tab w:val="right" w:leader="dot" w:pos="8608"/>
            </w:tabs>
            <w:spacing w:before="161"/>
            <w:rPr>
              <w:rFonts w:ascii="Times New Roman" w:eastAsia="Times New Roman"/>
            </w:rPr>
          </w:pPr>
          <w:hyperlink w:anchor="_bookmark33" w:history="1">
            <w:r>
              <w:rPr>
                <w:rFonts w:ascii="Times New Roman" w:eastAsia="Times New Roman"/>
              </w:rPr>
              <w:t>(</w:t>
            </w:r>
            <w:r>
              <w:t>三</w:t>
            </w:r>
            <w:r>
              <w:rPr>
                <w:rFonts w:ascii="Times New Roman" w:eastAsia="Times New Roman"/>
              </w:rPr>
              <w:t>)</w:t>
            </w:r>
            <w:r>
              <w:rPr>
                <w:rFonts w:ascii="Times New Roman" w:eastAsia="Times New Roman"/>
                <w:spacing w:val="58"/>
              </w:rPr>
              <w:t xml:space="preserve"> </w:t>
            </w:r>
            <w:r>
              <w:t>推动联邦学习应用安全的基础设施建设</w:t>
            </w:r>
            <w:r>
              <w:tab/>
            </w:r>
            <w:r>
              <w:rPr>
                <w:rFonts w:ascii="Times New Roman" w:eastAsia="Times New Roman"/>
              </w:rPr>
              <w:t>23</w:t>
            </w:r>
          </w:hyperlink>
        </w:p>
      </w:sdtContent>
    </w:sdt>
    <w:p>
      <w:pPr>
        <w:spacing w:after="0"/>
        <w:rPr>
          <w:rFonts w:ascii="Times New Roman" w:eastAsia="Times New Roman"/>
        </w:rPr>
        <w:sectPr>
          <w:headerReference w:type="default" r:id="rId6"/>
          <w:pgSz w:w="11910" w:h="16840"/>
          <w:pgMar w:top="1900" w:right="1501" w:bottom="280" w:left="1500" w:header="1594" w:footer="0" w:gutter="0"/>
          <w:pgNumType w:start="3"/>
          <w:cols w:num="1" w:space="720"/>
        </w:sectPr>
      </w:pPr>
    </w:p>
    <w:p>
      <w:pPr>
        <w:pStyle w:val="BodyText"/>
        <w:rPr>
          <w:rFonts w:ascii="Times New Roman"/>
          <w:sz w:val="26"/>
        </w:rPr>
      </w:pPr>
    </w:p>
    <w:p>
      <w:pPr>
        <w:pStyle w:val="BodyText"/>
        <w:rPr>
          <w:rFonts w:ascii="Times New Roman"/>
          <w:sz w:val="26"/>
        </w:rPr>
      </w:pPr>
    </w:p>
    <w:p>
      <w:pPr>
        <w:pStyle w:val="BodyText"/>
        <w:spacing w:before="4"/>
        <w:rPr>
          <w:rFonts w:ascii="Times New Roman"/>
          <w:sz w:val="22"/>
        </w:rPr>
      </w:pPr>
    </w:p>
    <w:p>
      <w:pPr>
        <w:tabs>
          <w:tab w:val="left" w:pos="979"/>
          <w:tab w:val="left" w:leader="dot" w:pos="8479"/>
        </w:tabs>
        <w:spacing w:before="0"/>
        <w:ind w:left="319" w:right="0" w:firstLine="0"/>
        <w:jc w:val="left"/>
        <w:rPr>
          <w:rFonts w:ascii="Times New Roman" w:eastAsia="Times New Roman"/>
          <w:sz w:val="24"/>
        </w:rPr>
      </w:pPr>
      <w:hyperlink w:anchor="_bookmark6" w:history="1">
        <w:r>
          <w:rPr>
            <w:sz w:val="24"/>
          </w:rPr>
          <w:t>图</w:t>
        </w:r>
        <w:r>
          <w:rPr>
            <w:spacing w:val="-60"/>
            <w:sz w:val="24"/>
          </w:rPr>
          <w:t xml:space="preserve"> </w:t>
        </w:r>
        <w:r>
          <w:rPr>
            <w:rFonts w:ascii="Times New Roman" w:eastAsia="Times New Roman"/>
            <w:sz w:val="24"/>
          </w:rPr>
          <w:t>1</w:t>
        </w:r>
        <w:r>
          <w:rPr>
            <w:rFonts w:ascii="Times New Roman" w:eastAsia="Times New Roman"/>
            <w:sz w:val="24"/>
          </w:rPr>
          <w:tab/>
        </w:r>
        <w:r>
          <w:rPr>
            <w:sz w:val="24"/>
          </w:rPr>
          <w:t>联邦学习架构</w:t>
        </w:r>
        <w:r>
          <w:rPr>
            <w:sz w:val="24"/>
          </w:rPr>
          <w:tab/>
        </w:r>
        <w:r>
          <w:rPr>
            <w:rFonts w:ascii="Times New Roman" w:eastAsia="Times New Roman"/>
            <w:sz w:val="24"/>
          </w:rPr>
          <w:t>4</w:t>
        </w:r>
      </w:hyperlink>
    </w:p>
    <w:p>
      <w:pPr>
        <w:tabs>
          <w:tab w:val="left" w:pos="979"/>
          <w:tab w:val="left" w:leader="dot" w:pos="8479"/>
        </w:tabs>
        <w:spacing w:before="160"/>
        <w:ind w:left="319" w:right="0" w:firstLine="0"/>
        <w:jc w:val="left"/>
        <w:rPr>
          <w:rFonts w:ascii="Times New Roman" w:eastAsia="Times New Roman"/>
          <w:sz w:val="24"/>
        </w:rPr>
      </w:pPr>
      <w:hyperlink w:anchor="_bookmark11" w:history="1">
        <w:r>
          <w:rPr>
            <w:sz w:val="24"/>
          </w:rPr>
          <w:t>图</w:t>
        </w:r>
        <w:r>
          <w:rPr>
            <w:spacing w:val="-60"/>
            <w:sz w:val="24"/>
          </w:rPr>
          <w:t xml:space="preserve"> </w:t>
        </w:r>
        <w:r>
          <w:rPr>
            <w:rFonts w:ascii="Times New Roman" w:eastAsia="Times New Roman"/>
            <w:sz w:val="24"/>
          </w:rPr>
          <w:t>2</w:t>
        </w:r>
        <w:r>
          <w:rPr>
            <w:rFonts w:ascii="Times New Roman" w:eastAsia="Times New Roman"/>
            <w:sz w:val="24"/>
          </w:rPr>
          <w:tab/>
        </w:r>
        <w:r>
          <w:rPr>
            <w:sz w:val="24"/>
          </w:rPr>
          <w:t>联邦学习产品架构总体分布统计</w:t>
        </w:r>
        <w:r>
          <w:rPr>
            <w:sz w:val="24"/>
          </w:rPr>
          <w:tab/>
        </w:r>
        <w:r>
          <w:rPr>
            <w:rFonts w:ascii="Times New Roman" w:eastAsia="Times New Roman"/>
            <w:sz w:val="24"/>
          </w:rPr>
          <w:t>6</w:t>
        </w:r>
      </w:hyperlink>
    </w:p>
    <w:p>
      <w:pPr>
        <w:tabs>
          <w:tab w:val="left" w:pos="979"/>
          <w:tab w:val="left" w:leader="dot" w:pos="8479"/>
        </w:tabs>
        <w:spacing w:before="161"/>
        <w:ind w:left="319" w:right="0" w:firstLine="0"/>
        <w:jc w:val="left"/>
        <w:rPr>
          <w:rFonts w:ascii="Times New Roman" w:eastAsia="Times New Roman"/>
          <w:sz w:val="24"/>
        </w:rPr>
      </w:pPr>
      <w:hyperlink w:anchor="_bookmark14" w:history="1">
        <w:r>
          <w:rPr>
            <w:sz w:val="24"/>
          </w:rPr>
          <w:t>图</w:t>
        </w:r>
        <w:r>
          <w:rPr>
            <w:spacing w:val="-60"/>
            <w:sz w:val="24"/>
          </w:rPr>
          <w:t xml:space="preserve"> </w:t>
        </w:r>
        <w:r>
          <w:rPr>
            <w:rFonts w:ascii="Times New Roman" w:eastAsia="Times New Roman"/>
            <w:sz w:val="24"/>
          </w:rPr>
          <w:t>3</w:t>
        </w:r>
        <w:r>
          <w:rPr>
            <w:rFonts w:ascii="Times New Roman" w:eastAsia="Times New Roman"/>
            <w:sz w:val="24"/>
          </w:rPr>
          <w:tab/>
        </w:r>
        <w:r>
          <w:rPr>
            <w:sz w:val="24"/>
          </w:rPr>
          <w:t>不同场景中的联邦学习产品架构分布统计</w:t>
        </w:r>
        <w:r>
          <w:rPr>
            <w:sz w:val="24"/>
          </w:rPr>
          <w:tab/>
        </w:r>
        <w:r>
          <w:rPr>
            <w:rFonts w:ascii="Times New Roman" w:eastAsia="Times New Roman"/>
            <w:sz w:val="24"/>
          </w:rPr>
          <w:t>7</w:t>
        </w:r>
      </w:hyperlink>
    </w:p>
    <w:p>
      <w:pPr>
        <w:tabs>
          <w:tab w:val="left" w:pos="979"/>
          <w:tab w:val="left" w:leader="dot" w:pos="8359"/>
        </w:tabs>
        <w:spacing w:before="160"/>
        <w:ind w:left="319" w:right="0" w:firstLine="0"/>
        <w:jc w:val="left"/>
        <w:rPr>
          <w:rFonts w:ascii="Times New Roman" w:eastAsia="Times New Roman"/>
          <w:sz w:val="24"/>
        </w:rPr>
      </w:pPr>
      <w:hyperlink w:anchor="_bookmark18" w:history="1">
        <w:r>
          <w:rPr>
            <w:sz w:val="24"/>
          </w:rPr>
          <w:t>图</w:t>
        </w:r>
        <w:r>
          <w:rPr>
            <w:spacing w:val="-60"/>
            <w:sz w:val="24"/>
          </w:rPr>
          <w:t xml:space="preserve"> </w:t>
        </w:r>
        <w:r>
          <w:rPr>
            <w:rFonts w:ascii="Times New Roman" w:eastAsia="Times New Roman"/>
            <w:sz w:val="24"/>
          </w:rPr>
          <w:t>4</w:t>
        </w:r>
        <w:r>
          <w:rPr>
            <w:rFonts w:ascii="Times New Roman" w:eastAsia="Times New Roman"/>
            <w:sz w:val="24"/>
          </w:rPr>
          <w:tab/>
        </w:r>
        <w:r>
          <w:rPr>
            <w:sz w:val="24"/>
          </w:rPr>
          <w:t>联邦学习产品安全保护技术使用占比统计</w:t>
        </w:r>
        <w:r>
          <w:rPr>
            <w:sz w:val="24"/>
          </w:rPr>
          <w:tab/>
        </w:r>
        <w:r>
          <w:rPr>
            <w:rFonts w:ascii="Times New Roman" w:eastAsia="Times New Roman"/>
            <w:sz w:val="24"/>
          </w:rPr>
          <w:t>10</w:t>
        </w:r>
      </w:hyperlink>
    </w:p>
    <w:p>
      <w:pPr>
        <w:tabs>
          <w:tab w:val="left" w:pos="979"/>
          <w:tab w:val="left" w:leader="dot" w:pos="8368"/>
        </w:tabs>
        <w:spacing w:before="161"/>
        <w:ind w:left="319" w:right="0" w:firstLine="0"/>
        <w:jc w:val="left"/>
        <w:rPr>
          <w:rFonts w:ascii="Times New Roman" w:eastAsia="Times New Roman"/>
          <w:sz w:val="24"/>
        </w:rPr>
      </w:pPr>
      <w:hyperlink w:anchor="_bookmark21" w:history="1">
        <w:r>
          <w:rPr>
            <w:sz w:val="24"/>
          </w:rPr>
          <w:t>图</w:t>
        </w:r>
        <w:r>
          <w:rPr>
            <w:spacing w:val="-60"/>
            <w:sz w:val="24"/>
          </w:rPr>
          <w:t xml:space="preserve"> </w:t>
        </w:r>
        <w:r>
          <w:rPr>
            <w:rFonts w:ascii="Times New Roman" w:eastAsia="Times New Roman"/>
            <w:sz w:val="24"/>
          </w:rPr>
          <w:t>5</w:t>
        </w:r>
        <w:r>
          <w:rPr>
            <w:rFonts w:ascii="Times New Roman" w:eastAsia="Times New Roman"/>
            <w:sz w:val="24"/>
          </w:rPr>
          <w:tab/>
        </w:r>
        <w:r>
          <w:rPr>
            <w:sz w:val="24"/>
          </w:rPr>
          <w:t>联邦学产品安全风险占比统计（半诚实环境）</w:t>
        </w:r>
        <w:r>
          <w:rPr>
            <w:sz w:val="24"/>
          </w:rPr>
          <w:tab/>
        </w:r>
        <w:r>
          <w:rPr>
            <w:rFonts w:ascii="Times New Roman" w:eastAsia="Times New Roman"/>
            <w:spacing w:val="-3"/>
            <w:sz w:val="24"/>
          </w:rPr>
          <w:t>11</w:t>
        </w:r>
      </w:hyperlink>
    </w:p>
    <w:p>
      <w:pPr>
        <w:tabs>
          <w:tab w:val="left" w:pos="979"/>
          <w:tab w:val="left" w:leader="dot" w:pos="8359"/>
        </w:tabs>
        <w:spacing w:before="160"/>
        <w:ind w:left="319" w:right="0" w:firstLine="0"/>
        <w:jc w:val="left"/>
        <w:rPr>
          <w:rFonts w:ascii="Times New Roman" w:eastAsia="Times New Roman"/>
          <w:sz w:val="24"/>
        </w:rPr>
      </w:pPr>
      <w:hyperlink w:anchor="_bookmark22" w:history="1">
        <w:r>
          <w:rPr>
            <w:sz w:val="24"/>
          </w:rPr>
          <w:t>图</w:t>
        </w:r>
        <w:r>
          <w:rPr>
            <w:spacing w:val="-60"/>
            <w:sz w:val="24"/>
          </w:rPr>
          <w:t xml:space="preserve"> </w:t>
        </w:r>
        <w:r>
          <w:rPr>
            <w:rFonts w:ascii="Times New Roman" w:eastAsia="Times New Roman"/>
            <w:sz w:val="24"/>
          </w:rPr>
          <w:t>6</w:t>
        </w:r>
        <w:r>
          <w:rPr>
            <w:rFonts w:ascii="Times New Roman" w:eastAsia="Times New Roman"/>
            <w:sz w:val="24"/>
          </w:rPr>
          <w:tab/>
        </w:r>
        <w:r>
          <w:rPr>
            <w:sz w:val="24"/>
          </w:rPr>
          <w:t>联邦学习产品安全风险分布统计（半诚实环境）</w:t>
        </w:r>
        <w:r>
          <w:rPr>
            <w:sz w:val="24"/>
          </w:rPr>
          <w:tab/>
        </w:r>
        <w:r>
          <w:rPr>
            <w:rFonts w:ascii="Times New Roman" w:eastAsia="Times New Roman"/>
            <w:sz w:val="24"/>
          </w:rPr>
          <w:t>12</w:t>
        </w:r>
      </w:hyperlink>
    </w:p>
    <w:p>
      <w:pPr>
        <w:spacing w:after="0"/>
        <w:jc w:val="left"/>
        <w:rPr>
          <w:rFonts w:ascii="Times New Roman" w:eastAsia="Times New Roman"/>
          <w:sz w:val="24"/>
        </w:rPr>
        <w:sectPr>
          <w:headerReference w:type="default" r:id="rId7"/>
          <w:pgSz w:w="11910" w:h="16840"/>
          <w:pgMar w:top="1900" w:right="1501" w:bottom="280" w:left="1500" w:header="1594" w:footer="0" w:gutter="0"/>
          <w:pgNumType w:start="4"/>
          <w:cols w:num="1" w:space="720"/>
        </w:sectPr>
      </w:pPr>
    </w:p>
    <w:p>
      <w:pPr>
        <w:pStyle w:val="BodyText"/>
        <w:rPr>
          <w:rFonts w:ascii="Times New Roman"/>
          <w:sz w:val="20"/>
        </w:rPr>
      </w:pPr>
    </w:p>
    <w:p>
      <w:pPr>
        <w:pStyle w:val="BodyText"/>
        <w:rPr>
          <w:rFonts w:ascii="Times New Roman"/>
          <w:sz w:val="20"/>
        </w:rPr>
      </w:pPr>
    </w:p>
    <w:p>
      <w:pPr>
        <w:pStyle w:val="BodyText"/>
        <w:spacing w:before="10"/>
        <w:rPr>
          <w:rFonts w:ascii="Times New Roman"/>
          <w:sz w:val="27"/>
        </w:rPr>
      </w:pPr>
    </w:p>
    <w:p>
      <w:pPr>
        <w:tabs>
          <w:tab w:val="left" w:pos="979"/>
          <w:tab w:val="right" w:leader="dot" w:pos="8599"/>
        </w:tabs>
        <w:spacing w:before="74"/>
        <w:ind w:left="319" w:right="0" w:firstLine="0"/>
        <w:jc w:val="left"/>
        <w:rPr>
          <w:rFonts w:ascii="Times New Roman" w:eastAsia="Times New Roman"/>
          <w:sz w:val="24"/>
        </w:rPr>
      </w:pPr>
      <w:hyperlink w:anchor="_bookmark5" w:history="1">
        <w:r>
          <w:rPr>
            <w:sz w:val="24"/>
          </w:rPr>
          <w:t>表</w:t>
        </w:r>
        <w:r>
          <w:rPr>
            <w:spacing w:val="-60"/>
            <w:sz w:val="24"/>
          </w:rPr>
          <w:t xml:space="preserve"> </w:t>
        </w:r>
        <w:r>
          <w:rPr>
            <w:rFonts w:ascii="Times New Roman" w:eastAsia="Times New Roman"/>
            <w:sz w:val="24"/>
          </w:rPr>
          <w:t>1</w:t>
        </w:r>
        <w:r>
          <w:rPr>
            <w:rFonts w:ascii="Times New Roman" w:eastAsia="Times New Roman"/>
            <w:sz w:val="24"/>
          </w:rPr>
          <w:tab/>
        </w:r>
        <w:r>
          <w:rPr>
            <w:sz w:val="24"/>
          </w:rPr>
          <w:t>联邦学习应用分类</w:t>
        </w:r>
        <w:r>
          <w:rPr>
            <w:sz w:val="24"/>
          </w:rPr>
          <w:tab/>
        </w:r>
        <w:r>
          <w:rPr>
            <w:rFonts w:ascii="Times New Roman" w:eastAsia="Times New Roman"/>
            <w:sz w:val="24"/>
          </w:rPr>
          <w:t>3</w:t>
        </w:r>
      </w:hyperlink>
    </w:p>
    <w:p>
      <w:pPr>
        <w:tabs>
          <w:tab w:val="left" w:pos="979"/>
          <w:tab w:val="right" w:leader="dot" w:pos="8599"/>
        </w:tabs>
        <w:spacing w:before="161"/>
        <w:ind w:left="319" w:right="0" w:firstLine="0"/>
        <w:jc w:val="left"/>
        <w:rPr>
          <w:rFonts w:ascii="Times New Roman" w:eastAsia="Times New Roman"/>
          <w:sz w:val="24"/>
        </w:rPr>
      </w:pPr>
      <w:hyperlink w:anchor="_bookmark16" w:history="1">
        <w:r>
          <w:rPr>
            <w:sz w:val="24"/>
          </w:rPr>
          <w:t>表</w:t>
        </w:r>
        <w:r>
          <w:rPr>
            <w:spacing w:val="-60"/>
            <w:sz w:val="24"/>
          </w:rPr>
          <w:t xml:space="preserve"> </w:t>
        </w:r>
        <w:r>
          <w:rPr>
            <w:rFonts w:ascii="Times New Roman" w:eastAsia="Times New Roman"/>
            <w:sz w:val="24"/>
          </w:rPr>
          <w:t>2</w:t>
        </w:r>
        <w:r>
          <w:rPr>
            <w:rFonts w:ascii="Times New Roman" w:eastAsia="Times New Roman"/>
            <w:sz w:val="24"/>
          </w:rPr>
          <w:tab/>
        </w:r>
        <w:r>
          <w:rPr>
            <w:sz w:val="24"/>
          </w:rPr>
          <w:t>联邦学习应用的安全假设</w:t>
        </w:r>
        <w:r>
          <w:rPr>
            <w:sz w:val="24"/>
          </w:rPr>
          <w:tab/>
        </w:r>
        <w:r>
          <w:rPr>
            <w:rFonts w:ascii="Times New Roman" w:eastAsia="Times New Roman"/>
            <w:sz w:val="24"/>
          </w:rPr>
          <w:t>8</w:t>
        </w:r>
      </w:hyperlink>
    </w:p>
    <w:p>
      <w:pPr>
        <w:spacing w:after="0"/>
        <w:jc w:val="left"/>
        <w:rPr>
          <w:rFonts w:ascii="Times New Roman" w:eastAsia="Times New Roman"/>
          <w:sz w:val="24"/>
        </w:rPr>
        <w:sectPr>
          <w:headerReference w:type="default" r:id="rId8"/>
          <w:pgSz w:w="11910" w:h="16840"/>
          <w:pgMar w:top="1900" w:right="1501" w:bottom="280" w:left="1500" w:header="1594" w:footer="0" w:gutter="0"/>
          <w:pgNumType w:start="5"/>
          <w:cols w:num="1" w:space="720"/>
        </w:sectPr>
      </w:pPr>
    </w:p>
    <w:p>
      <w:pPr>
        <w:pStyle w:val="BodyText"/>
        <w:rPr>
          <w:rFonts w:ascii="Times New Roman"/>
          <w:sz w:val="32"/>
        </w:rPr>
      </w:pPr>
    </w:p>
    <w:p>
      <w:pPr>
        <w:pStyle w:val="BodyText"/>
        <w:spacing w:before="5"/>
        <w:rPr>
          <w:rFonts w:ascii="Times New Roman"/>
          <w:sz w:val="32"/>
        </w:rPr>
      </w:pPr>
    </w:p>
    <w:p>
      <w:pPr>
        <w:pStyle w:val="Heading2"/>
        <w:spacing w:before="1"/>
        <w:ind w:left="1999"/>
        <w:jc w:val="left"/>
      </w:pPr>
      <w:r>
        <w:t>一、联邦学习概述</w:t>
      </w:r>
    </w:p>
    <w:p>
      <w:pPr>
        <w:pStyle w:val="Heading1"/>
        <w:spacing w:before="214"/>
        <w:ind w:left="936"/>
      </w:pPr>
      <w:bookmarkStart w:id="1" w:name="（一）背景"/>
      <w:bookmarkEnd w:id="1"/>
      <w:bookmarkStart w:id="2" w:name="_bookmark1"/>
      <w:bookmarkEnd w:id="2"/>
      <w:r>
        <w:t>（一）背景</w:t>
      </w:r>
    </w:p>
    <w:p>
      <w:pPr>
        <w:pStyle w:val="BodyText"/>
        <w:spacing w:before="4"/>
        <w:rPr>
          <w:rFonts w:ascii="楷体"/>
          <w:b/>
          <w:sz w:val="23"/>
        </w:rPr>
      </w:pPr>
    </w:p>
    <w:p>
      <w:pPr>
        <w:pStyle w:val="BodyText"/>
        <w:spacing w:line="417" w:lineRule="auto"/>
        <w:ind w:left="297" w:right="275" w:firstLine="566"/>
      </w:pPr>
      <w:r>
        <w:t>在数据价值被充分重视的大数据时代，数据流通成为了数据价</w:t>
      </w:r>
      <w:r>
        <w:rPr>
          <w:spacing w:val="-3"/>
        </w:rPr>
        <w:t>值释放的重要步骤。</w:t>
      </w:r>
      <w:r>
        <w:rPr>
          <w:rFonts w:ascii="Times New Roman" w:eastAsia="Times New Roman" w:hAnsi="Times New Roman"/>
        </w:rPr>
        <w:t xml:space="preserve">2022 </w:t>
      </w:r>
      <w:r>
        <w:rPr>
          <w:spacing w:val="-35"/>
        </w:rPr>
        <w:t xml:space="preserve">年 </w:t>
      </w:r>
      <w:r>
        <w:rPr>
          <w:rFonts w:ascii="Times New Roman" w:eastAsia="Times New Roman" w:hAnsi="Times New Roman"/>
        </w:rPr>
        <w:t xml:space="preserve">1 </w:t>
      </w:r>
      <w:r>
        <w:rPr>
          <w:spacing w:val="-36"/>
        </w:rPr>
        <w:t xml:space="preserve">月 </w:t>
      </w:r>
      <w:r>
        <w:rPr>
          <w:rFonts w:ascii="Times New Roman" w:eastAsia="Times New Roman" w:hAnsi="Times New Roman"/>
        </w:rPr>
        <w:t xml:space="preserve">6 </w:t>
      </w:r>
      <w:r>
        <w:rPr>
          <w:spacing w:val="-3"/>
        </w:rPr>
        <w:t>日印发的《要素市</w:t>
      </w:r>
      <w:r>
        <w:rPr>
          <w:spacing w:val="-8"/>
        </w:rPr>
        <w:t>场化配置综合改革试点总体方案》提出了要探索“原始数据不出域、数据可用不可见”的数据交易范式。联邦学习技术是实现该交易范式的典型代表技术之一，具有巨大的发展潜力。近年来，联邦学习</w:t>
      </w:r>
      <w:r>
        <w:rPr>
          <w:spacing w:val="-3"/>
        </w:rPr>
        <w:t>的应用实践正在不断落地，其实用性已经得到了反复印证。</w:t>
      </w:r>
    </w:p>
    <w:p>
      <w:pPr>
        <w:pStyle w:val="BodyText"/>
        <w:spacing w:line="417" w:lineRule="auto"/>
        <w:ind w:left="297" w:right="275" w:firstLine="566"/>
      </w:pPr>
      <w:r>
        <w:t>联邦学习作为数据流通领域的重要技术应用，一旦其出现安全问题，则保护数据的初衷将无法实现。因此，联邦学习的使用者对其安全性要求普遍较高。目前，联邦学习多被用于金融、医疗、政</w:t>
      </w:r>
      <w:r>
        <w:rPr>
          <w:spacing w:val="-15"/>
        </w:rPr>
        <w:t xml:space="preserve">务等行业 </w:t>
      </w:r>
      <w:r>
        <w:rPr>
          <w:rFonts w:ascii="Times New Roman" w:eastAsia="Times New Roman"/>
          <w:spacing w:val="-24"/>
          <w:vertAlign w:val="superscript"/>
        </w:rPr>
        <w:t>1</w:t>
      </w:r>
      <w:r>
        <w:rPr>
          <w:spacing w:val="-8"/>
          <w:vertAlign w:val="baseline"/>
        </w:rPr>
        <w:t xml:space="preserve">，这些行业对数据安全及个人隐私保护有着严格要求，一旦联邦学习应用的安全性存疑，数据系统将面临着数据泄露的风险， </w:t>
      </w:r>
      <w:r>
        <w:rPr>
          <w:spacing w:val="-3"/>
          <w:vertAlign w:val="baseline"/>
        </w:rPr>
        <w:t>并可能对企业或组织机构造成巨大损失。</w:t>
      </w:r>
    </w:p>
    <w:p>
      <w:pPr>
        <w:pStyle w:val="BodyText"/>
        <w:spacing w:line="417" w:lineRule="auto"/>
        <w:ind w:left="297" w:right="395" w:firstLine="566"/>
        <w:jc w:val="both"/>
      </w:pPr>
      <w:r>
        <w:t>近年来，联邦学习安全已经得到了学界的高度重视。从研究热</w:t>
      </w:r>
      <w:r>
        <w:rPr>
          <w:spacing w:val="-10"/>
        </w:rPr>
        <w:t xml:space="preserve">度上看，在 </w:t>
      </w:r>
      <w:r>
        <w:rPr>
          <w:rFonts w:ascii="Times New Roman" w:eastAsia="Times New Roman"/>
        </w:rPr>
        <w:t xml:space="preserve">2016 </w:t>
      </w:r>
      <w:r>
        <w:rPr>
          <w:spacing w:val="-20"/>
        </w:rPr>
        <w:t xml:space="preserve">年至 </w:t>
      </w:r>
      <w:r>
        <w:rPr>
          <w:rFonts w:ascii="Times New Roman" w:eastAsia="Times New Roman"/>
        </w:rPr>
        <w:t xml:space="preserve">2022 </w:t>
      </w:r>
      <w:r>
        <w:t>年的区间内，联邦学习安全方面的论文</w:t>
      </w:r>
      <w:r>
        <w:rPr>
          <w:spacing w:val="-3"/>
        </w:rPr>
        <w:t>数量持续增加</w:t>
      </w:r>
      <w:hyperlink w:anchor="_bookmark2" w:history="1">
        <w:r>
          <w:rPr>
            <w:rFonts w:ascii="Times New Roman" w:eastAsia="Times New Roman"/>
            <w:spacing w:val="-1"/>
            <w:vertAlign w:val="superscript"/>
          </w:rPr>
          <w:t>1</w:t>
        </w:r>
      </w:hyperlink>
      <w:r>
        <w:rPr>
          <w:spacing w:val="-3"/>
          <w:vertAlign w:val="baseline"/>
        </w:rPr>
        <w:t>，整体研究热度呈现上升的趋势。从研究广度上看， 联邦学习安全方面的研究主题已经涵盖了恶意攻击、网络安全、隐</w:t>
      </w:r>
      <w:r>
        <w:rPr>
          <w:spacing w:val="-12"/>
          <w:vertAlign w:val="baseline"/>
        </w:rPr>
        <w:t xml:space="preserve">私泄漏、容错、以及与其他隐私保护技术融合应用等多个领域 </w:t>
      </w:r>
      <w:r>
        <w:rPr>
          <w:rFonts w:ascii="Times New Roman" w:eastAsia="Times New Roman"/>
          <w:vertAlign w:val="superscript"/>
        </w:rPr>
        <w:t>1</w:t>
      </w:r>
      <w:r>
        <w:rPr>
          <w:spacing w:val="-15"/>
          <w:vertAlign w:val="baseline"/>
        </w:rPr>
        <w:t>。联</w:t>
      </w:r>
      <w:r>
        <w:rPr>
          <w:spacing w:val="-5"/>
          <w:vertAlign w:val="baseline"/>
        </w:rPr>
        <w:t>邦学习应用的安全风险发现和防御理论持续得到更新。</w:t>
      </w:r>
    </w:p>
    <w:p>
      <w:pPr>
        <w:pStyle w:val="BodyText"/>
      </w:pPr>
    </w:p>
    <w:p>
      <w:pPr>
        <w:pStyle w:val="BodyText"/>
        <w:spacing w:before="8"/>
        <w:rPr>
          <w:sz w:val="22"/>
        </w:rPr>
      </w:pPr>
    </w:p>
    <w:p>
      <w:pPr>
        <w:spacing w:after="0"/>
        <w:jc w:val="left"/>
        <w:rPr>
          <w:rFonts w:ascii="Times New Roman" w:eastAsia="Times New Roman"/>
          <w:sz w:val="18"/>
        </w:rPr>
      </w:pPr>
      <w:r>
        <w:rPr>
          <w:rFonts w:ascii="Times New Roman" w:eastAsia="Times New Roman"/>
          <w:sz w:val="18"/>
        </w:rPr>
        <w:br/>
      </w:r>
      <w:r>
        <w:rPr>
          <w:rFonts w:ascii="Times New Roman" w:eastAsia="Times New Roman"/>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https://d.book118.com/078026033044006034</w:t>
        </w:r>
      </w:hyperlink>
    </w:p>
    <w:p>
      <w:pPr>
        <w:spacing w:after="0"/>
        <w:jc w:val="left"/>
        <w:rPr>
          <w:rFonts w:ascii="Times New Roman" w:eastAsia="Times New Roman"/>
          <w:sz w:val="18"/>
        </w:rPr>
      </w:pPr>
    </w:p>
    <w:sectPr>
      <w:headerReference w:type="default" r:id="rId10"/>
      <w:footerReference w:type="default" r:id="rId11"/>
      <w:pgSz w:w="11910" w:h="16840"/>
      <w:pgMar w:top="1100" w:right="1501" w:bottom="1380" w:left="1500" w:header="873" w:footer="1194" w:gutter="0"/>
      <w:pgNumType w:start="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楷体">
    <w:panose1 w:val="02010609060101010101"/>
    <w:charset w:val="86"/>
    <w:family w:val="modern"/>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o:spid="_x0000_s2057" type="#_x0000_t202" style="width:6.5pt;height:12pt;margin-top:771.25pt;margin-left:294.4pt;mso-height-relative:page;mso-position-horizontal-relative:page;mso-position-vertical-relative:page;mso-width-relative:page;position:absolute;z-index:-251658240" coordsize="21600,21600" filled="f" stroked="f">
          <v:stroke joinstyle="miter"/>
          <v:textbox inset="0,0,0,0">
            <w:txbxContent>
              <w:p>
                <w:pPr>
                  <w:spacing w:before="12"/>
                  <w:ind w:left="20" w:right="0" w:firstLine="0"/>
                  <w:jc w:val="left"/>
                  <w:rPr>
                    <w:rFonts w:ascii="Times New Roman"/>
                    <w:sz w:val="18"/>
                  </w:rPr>
                </w:pPr>
                <w:r>
                  <w:rPr>
                    <w:rFonts w:ascii="Times New Roman"/>
                    <w:sz w:val="18"/>
                  </w:rPr>
                  <w:t>1</w:t>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17.95pt;height:17.95pt;margin-top:78.7pt;margin-left:269.6pt;mso-height-relative:page;mso-position-horizontal-relative:page;mso-position-vertical-relative:page;mso-width-relative:page;position:absolute;z-index:-251658240" coordsize="21600,21600" filled="f" stroked="f">
          <v:stroke joinstyle="miter"/>
          <v:textbox inset="0,0,0,0">
            <w:txbxContent>
              <w:p>
                <w:pPr>
                  <w:spacing w:before="0" w:line="359" w:lineRule="exact"/>
                  <w:ind w:left="20" w:right="0" w:firstLine="0"/>
                  <w:jc w:val="left"/>
                  <w:rPr>
                    <w:rFonts w:ascii="黑体" w:eastAsia="黑体" w:hint="eastAsia"/>
                    <w:b/>
                    <w:sz w:val="32"/>
                  </w:rPr>
                </w:pPr>
                <w:r>
                  <w:rPr>
                    <w:rFonts w:ascii="黑体" w:eastAsia="黑体" w:hint="eastAsia"/>
                    <w:b/>
                    <w:w w:val="99"/>
                    <w:sz w:val="32"/>
                  </w:rPr>
                  <w:t>前</w:t>
                </w:r>
              </w:p>
            </w:txbxContent>
          </v:textbox>
        </v:shape>
      </w:pict>
    </w:r>
    <w:r>
      <w:pict>
        <v:shape id="_x0000_s2050" o:spid="_x0000_s2050" type="#_x0000_t202" style="width:17.95pt;height:17.95pt;margin-top:78.7pt;margin-left:301.6pt;mso-height-relative:page;mso-position-horizontal-relative:page;mso-position-vertical-relative:page;mso-width-relative:page;position:absolute;z-index:-251657216" coordsize="21600,21600" filled="f" stroked="f">
          <v:stroke joinstyle="miter"/>
          <v:textbox inset="0,0,0,0">
            <w:txbxContent>
              <w:p>
                <w:pPr>
                  <w:spacing w:before="0" w:line="359" w:lineRule="exact"/>
                  <w:ind w:left="20" w:right="0" w:firstLine="0"/>
                  <w:jc w:val="left"/>
                  <w:rPr>
                    <w:rFonts w:ascii="黑体" w:eastAsia="黑体" w:hint="eastAsia"/>
                    <w:b/>
                    <w:sz w:val="32"/>
                  </w:rPr>
                </w:pPr>
                <w:r>
                  <w:rPr>
                    <w:rFonts w:ascii="黑体" w:eastAsia="黑体" w:hint="eastAsia"/>
                    <w:b/>
                    <w:w w:val="99"/>
                    <w:sz w:val="32"/>
                  </w:rPr>
                  <w:t>言</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51" type="#_x0000_t202" style="width:17.95pt;height:17.95pt;margin-top:78.7pt;margin-left:272.6pt;mso-height-relative:page;mso-position-horizontal-relative:page;mso-position-vertical-relative:page;mso-width-relative:page;position:absolute;z-index:-251656192" coordsize="21600,21600" filled="f" stroked="f">
          <v:stroke joinstyle="miter"/>
          <v:textbox inset="0,0,0,0">
            <w:txbxContent>
              <w:p>
                <w:pPr>
                  <w:spacing w:before="0" w:line="359" w:lineRule="exact"/>
                  <w:ind w:left="20" w:right="0" w:firstLine="0"/>
                  <w:jc w:val="left"/>
                  <w:rPr>
                    <w:rFonts w:ascii="黑体" w:eastAsia="黑体" w:hint="eastAsia"/>
                    <w:b/>
                    <w:sz w:val="32"/>
                  </w:rPr>
                </w:pPr>
                <w:r>
                  <w:rPr>
                    <w:rFonts w:ascii="黑体" w:eastAsia="黑体" w:hint="eastAsia"/>
                    <w:b/>
                    <w:w w:val="99"/>
                    <w:sz w:val="32"/>
                  </w:rPr>
                  <w:t>目</w:t>
                </w:r>
              </w:p>
            </w:txbxContent>
          </v:textbox>
        </v:shape>
      </w:pict>
    </w:r>
    <w:r>
      <w:pict>
        <v:shape id="_x0000_s2052" o:spid="_x0000_s2052" type="#_x0000_t202" style="width:17.95pt;height:17.95pt;margin-top:78.7pt;margin-left:304.6pt;mso-height-relative:page;mso-position-horizontal-relative:page;mso-position-vertical-relative:page;mso-width-relative:page;position:absolute;z-index:-251655168" coordsize="21600,21600" filled="f" stroked="f">
          <v:stroke joinstyle="miter"/>
          <v:textbox inset="0,0,0,0">
            <w:txbxContent>
              <w:p>
                <w:pPr>
                  <w:spacing w:before="0" w:line="359" w:lineRule="exact"/>
                  <w:ind w:left="20" w:right="0" w:firstLine="0"/>
                  <w:jc w:val="left"/>
                  <w:rPr>
                    <w:rFonts w:ascii="黑体" w:eastAsia="黑体" w:hint="eastAsia"/>
                    <w:b/>
                    <w:sz w:val="32"/>
                  </w:rPr>
                </w:pPr>
                <w:r>
                  <w:rPr>
                    <w:rFonts w:ascii="黑体" w:eastAsia="黑体" w:hint="eastAsia"/>
                    <w:b/>
                    <w:w w:val="99"/>
                    <w:sz w:val="32"/>
                  </w:rPr>
                  <w:t>录</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o:spid="_x0000_s2053" type="#_x0000_t202" style="width:66.1pt;height:17.95pt;margin-top:78.7pt;margin-left:264.55pt;mso-height-relative:page;mso-position-horizontal-relative:page;mso-position-vertical-relative:page;mso-width-relative:page;position:absolute;z-index:-251654144" coordsize="21600,21600" filled="f" stroked="f">
          <v:stroke joinstyle="miter"/>
          <v:textbox inset="0,0,0,0">
            <w:txbxContent>
              <w:p>
                <w:pPr>
                  <w:spacing w:before="0" w:line="359" w:lineRule="exact"/>
                  <w:ind w:left="20" w:right="0" w:firstLine="0"/>
                  <w:jc w:val="left"/>
                  <w:rPr>
                    <w:rFonts w:ascii="黑体" w:eastAsia="黑体" w:hint="eastAsia"/>
                    <w:b/>
                    <w:sz w:val="32"/>
                  </w:rPr>
                </w:pPr>
                <w:r>
                  <w:rPr>
                    <w:rFonts w:ascii="黑体" w:eastAsia="黑体" w:hint="eastAsia"/>
                    <w:b/>
                    <w:sz w:val="32"/>
                  </w:rPr>
                  <w:t>图 目 录</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o:spid="_x0000_s2054" type="#_x0000_t202" style="width:66.1pt;height:17.95pt;margin-top:78.7pt;margin-left:264.55pt;mso-height-relative:page;mso-position-horizontal-relative:page;mso-position-vertical-relative:page;mso-width-relative:page;position:absolute;z-index:-251653120" coordsize="21600,21600" filled="f" stroked="f">
          <v:stroke joinstyle="miter"/>
          <v:textbox inset="0,0,0,0">
            <w:txbxContent>
              <w:p>
                <w:pPr>
                  <w:spacing w:before="0" w:line="359" w:lineRule="exact"/>
                  <w:ind w:left="20" w:right="0" w:firstLine="0"/>
                  <w:jc w:val="left"/>
                  <w:rPr>
                    <w:rFonts w:ascii="黑体" w:eastAsia="黑体" w:hint="eastAsia"/>
                    <w:b/>
                    <w:sz w:val="32"/>
                  </w:rPr>
                </w:pPr>
                <w:r>
                  <w:rPr>
                    <w:rFonts w:ascii="黑体" w:eastAsia="黑体" w:hint="eastAsia"/>
                    <w:b/>
                    <w:sz w:val="32"/>
                  </w:rPr>
                  <w:t>表 目 录</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o:spid="_x0000_s2055" style="mso-height-relative:page;mso-position-horizontal-relative:page;mso-position-vertical-relative:page;mso-width-relative:page;position:absolute;z-index:-251652096" from="89.8pt,55.55pt" to="505.45pt,55.55pt" coordsize="21600,21600" stroked="t" strokecolor="black"/>
      </w:pict>
    </w:r>
    <w:r>
      <w:pict>
        <v:shapetype id="_x0000_t202" coordsize="21600,21600" o:spt="202" path="m,l,21600r21600,l21600,xe">
          <v:stroke joinstyle="miter"/>
          <v:path gradientshapeok="t" o:connecttype="rect"/>
        </v:shapetype>
        <v:shape id="_x0000_s2056" o:spid="_x0000_s2056" type="#_x0000_t202" style="width:157.2pt;height:12pt;margin-top:42.6pt;margin-left:219.05pt;mso-height-relative:page;mso-position-horizontal-relative:page;mso-position-vertical-relative:page;mso-width-relative:page;position:absolute;z-index:-251651072" coordsize="21600,21600" filled="f" stroked="f">
          <v:stroke joinstyle="miter"/>
          <v:textbox inset="0,0,0,0">
            <w:txbxContent>
              <w:p>
                <w:pPr>
                  <w:spacing w:before="0"/>
                  <w:ind w:left="20" w:right="0" w:firstLine="0"/>
                  <w:jc w:val="left"/>
                  <w:rPr>
                    <w:sz w:val="18"/>
                  </w:rPr>
                </w:pPr>
                <w:r>
                  <w:rPr>
                    <w:sz w:val="18"/>
                  </w:rPr>
                  <w:t>联邦学习应用安全研究报告（</w:t>
                </w:r>
                <w:r>
                  <w:rPr>
                    <w:rFonts w:ascii="Times New Roman" w:eastAsia="Times New Roman"/>
                    <w:sz w:val="18"/>
                  </w:rPr>
                  <w:t xml:space="preserve">2023 </w:t>
                </w:r>
                <w:r>
                  <w:rPr>
                    <w:sz w:val="18"/>
                  </w:rPr>
                  <w:t>年）</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2224AD6"/>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1"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ind w:left="859"/>
      <w:outlineLvl w:val="0"/>
    </w:pPr>
    <w:rPr>
      <w:rFonts w:ascii="楷体" w:eastAsia="楷体" w:hAnsi="楷体" w:cs="楷体"/>
      <w:b/>
      <w:bCs/>
      <w:sz w:val="32"/>
      <w:szCs w:val="32"/>
      <w:lang w:val="zh-CN" w:eastAsia="zh-CN" w:bidi="zh-CN"/>
    </w:rPr>
  </w:style>
  <w:style w:type="paragraph" w:styleId="Heading2">
    <w:name w:val="heading 2"/>
    <w:basedOn w:val="Normal"/>
    <w:next w:val="Normal"/>
    <w:uiPriority w:val="1"/>
    <w:qFormat/>
    <w:pPr>
      <w:ind w:left="1583"/>
      <w:jc w:val="center"/>
      <w:outlineLvl w:val="1"/>
    </w:pPr>
    <w:rPr>
      <w:rFonts w:ascii="黑体" w:eastAsia="黑体" w:hAnsi="黑体" w:cs="黑体"/>
      <w:sz w:val="32"/>
      <w:szCs w:val="32"/>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8"/>
      <w:szCs w:val="28"/>
      <w:lang w:val="zh-CN" w:eastAsia="zh-CN" w:bidi="zh-CN"/>
    </w:rPr>
  </w:style>
  <w:style w:type="paragraph" w:styleId="TOC1">
    <w:name w:val="toc 1"/>
    <w:basedOn w:val="Normal"/>
    <w:next w:val="Normal"/>
    <w:uiPriority w:val="1"/>
    <w:qFormat/>
    <w:pPr>
      <w:spacing w:before="160"/>
      <w:ind w:left="297"/>
    </w:pPr>
    <w:rPr>
      <w:rFonts w:ascii="宋体" w:eastAsia="宋体" w:hAnsi="宋体" w:cs="宋体"/>
      <w:sz w:val="24"/>
      <w:szCs w:val="24"/>
      <w:lang w:val="zh-CN" w:eastAsia="zh-CN" w:bidi="zh-CN"/>
    </w:rPr>
  </w:style>
  <w:style w:type="paragraph" w:styleId="TOC2">
    <w:name w:val="toc 2"/>
    <w:basedOn w:val="Normal"/>
    <w:next w:val="Normal"/>
    <w:uiPriority w:val="1"/>
    <w:qFormat/>
    <w:pPr>
      <w:spacing w:before="160"/>
      <w:ind w:left="717"/>
    </w:pPr>
    <w:rPr>
      <w:rFonts w:ascii="宋体" w:eastAsia="宋体" w:hAnsi="宋体" w:cs="宋体"/>
      <w:sz w:val="24"/>
      <w:szCs w:val="24"/>
      <w:lang w:val="zh-CN" w:eastAsia="zh-CN" w:bidi="zh-CN"/>
    </w:rPr>
  </w:style>
  <w:style w:type="paragraph" w:styleId="Title">
    <w:name w:val="Title"/>
    <w:basedOn w:val="Normal"/>
    <w:uiPriority w:val="1"/>
    <w:qFormat/>
    <w:pPr>
      <w:spacing w:before="125"/>
      <w:ind w:left="97" w:right="99"/>
      <w:jc w:val="center"/>
    </w:pPr>
    <w:rPr>
      <w:rFonts w:ascii="黑体" w:eastAsia="黑体" w:hAnsi="黑体" w:cs="黑体"/>
      <w:b/>
      <w:bCs/>
      <w:sz w:val="72"/>
      <w:szCs w:val="72"/>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rPr>
      <w:lang w:val="zh-CN" w:eastAsia="zh-CN" w:bidi="zh-CN"/>
    </w:rPr>
  </w:style>
  <w:style w:type="paragraph" w:customStyle="1" w:styleId="TableParagraph">
    <w:name w:val="Table Paragraph"/>
    <w:basedOn w:val="Normal"/>
    <w:uiPriority w:val="1"/>
    <w:qFormat/>
    <w:pPr>
      <w:spacing w:before="134"/>
      <w:jc w:val="center"/>
    </w:pPr>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footer" Target="footer1.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yperlink" Target="https://d.book118.com/078026033044006034"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26"/>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0744</dc:creator>
  <cp:lastModifiedBy>0744</cp:lastModifiedBy>
  <cp:revision>0</cp:revision>
  <dcterms:created xsi:type="dcterms:W3CDTF">2024-02-06T07:57:00Z</dcterms:created>
  <dcterms:modified xsi:type="dcterms:W3CDTF">2024-02-06T07:58:22Z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2024-02-01T00:00:00Z</vt:filetime>
  </property>
  <property fmtid="{D5CDD505-2E9C-101B-9397-08002B2CF9AE}" pid="3" name="Creator">
    <vt:lpwstr>WPS 文字</vt:lpwstr>
  </property>
  <property fmtid="{D5CDD505-2E9C-101B-9397-08002B2CF9AE}" pid="4" name="ICV">
    <vt:lpwstr>6CDFB897A2DC4E11840234942AF9A38D</vt:lpwstr>
  </property>
  <property fmtid="{D5CDD505-2E9C-101B-9397-08002B2CF9AE}" pid="5" name="KSOProductBuildVer">
    <vt:lpwstr>2052-11.8.2.11718</vt:lpwstr>
  </property>
  <property fmtid="{D5CDD505-2E9C-101B-9397-08002B2CF9AE}" pid="6" name="LastSaved">
    <vt:filetime>2024-02-06T00:00:00Z</vt:filetime>
  </property>
</Properties>
</file>