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5"/>
          <w:w w:val="105"/>
        </w:rPr>
        <w:t xml:space="preserve">先进 </w:t>
      </w:r>
      <w:r>
        <w:rPr>
          <w:color w:val="70AD47"/>
          <w:w w:val="110"/>
        </w:rPr>
        <w:t>ҽ</w:t>
      </w:r>
      <w:r>
        <w:rPr>
          <w:color w:val="70AD47"/>
          <w:spacing w:val="-17"/>
          <w:w w:val="110"/>
        </w:rPr>
        <w:t xml:space="preserve"> </w:t>
      </w:r>
      <w:r>
        <w:rPr>
          <w:color w:val="70AD47"/>
          <w:w w:val="105"/>
        </w:rPr>
        <w:t>协</w:t>
      </w:r>
      <w:r>
        <w:rPr>
          <w:color w:val="70AD47"/>
          <w:w w:val="105"/>
        </w:rPr>
        <w:t>议</w:t>
      </w:r>
      <w:r>
        <w:rPr>
          <w:color w:val="70AD47"/>
          <w:w w:val="105"/>
        </w:rPr>
        <w:t>标</w:t>
      </w:r>
      <w:r>
        <w:rPr>
          <w:color w:val="70AD47"/>
          <w:w w:val="105"/>
        </w:rPr>
        <w:t>准</w:t>
      </w:r>
      <w:r>
        <w:rPr>
          <w:color w:val="70AD47"/>
          <w:w w:val="105"/>
        </w:rPr>
        <w:t>化</w:t>
      </w:r>
      <w:r>
        <w:rPr>
          <w:color w:val="70AD47"/>
          <w:w w:val="105"/>
        </w:rPr>
        <w:t>推</w:t>
      </w:r>
      <w:r>
        <w:rPr>
          <w:color w:val="70AD47"/>
          <w:spacing w:val="-10"/>
          <w:w w:val="105"/>
        </w:rPr>
        <w:t>进</w:t>
      </w: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rPr>
          <w:rFonts w:ascii="Microsoft JhengHei"/>
          <w:b/>
          <w:sz w:val="20"/>
        </w:rPr>
      </w:pPr>
    </w:p>
    <w:p>
      <w:pPr>
        <w:pStyle w:val="BodyText"/>
        <w:spacing w:before="11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Microsoft JhengHei"/>
          <w:b/>
          <w:sz w:val="14"/>
        </w:rPr>
      </w:pPr>
    </w:p>
    <w:sdt>
      <w:sdtPr>
        <w:id w:val="191858553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1"/>
            <w:rPr>
              <w:rFonts w:ascii="Calibri" w:eastAsia="Calibri" w:hAnsi="Calibri"/>
              <w:i w:val="0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引言</w:t>
            </w:r>
            <w:r>
              <w:rPr>
                <w:rFonts w:ascii="仿宋" w:eastAsia="仿宋" w:hAnsi="仿宋"/>
                <w:i w:val="0"/>
              </w:rPr>
              <w:t>-</w:t>
            </w:r>
            <w:r>
              <w:t>先进</w:t>
            </w:r>
            <w:r>
              <w:rPr>
                <w:spacing w:val="-53"/>
              </w:rPr>
              <w:t xml:space="preserve"> </w:t>
            </w:r>
            <w:r>
              <w:rPr>
                <w:rFonts w:ascii="Calibri" w:eastAsia="Calibri" w:hAnsi="Calibri"/>
                <w:i w:val="0"/>
              </w:rPr>
              <w:t>ҽ</w:t>
            </w:r>
            <w:r>
              <w:rPr>
                <w:rFonts w:ascii="Calibri" w:eastAsia="Calibri" w:hAnsi="Calibri"/>
                <w:i w:val="0"/>
                <w:spacing w:val="5"/>
              </w:rPr>
              <w:t xml:space="preserve"> </w:t>
            </w:r>
            <w:r>
              <w:t>协议标准化的重要性和背</w:t>
            </w:r>
            <w:r>
              <w:rPr>
                <w:spacing w:val="-10"/>
              </w:rPr>
              <w:t>景</w:t>
            </w:r>
            <w:r>
              <w:rPr>
                <w:rFonts w:ascii="Times New Roman" w:eastAsia="Times New Roman" w:hAnsi="Times New Roman"/>
                <w:i w:val="0"/>
              </w:rPr>
              <w:tab/>
            </w:r>
            <w:r>
              <w:rPr>
                <w:rFonts w:ascii="Calibri" w:eastAsia="Calibri" w:hAnsi="Calibri"/>
                <w:i w:val="0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  <w:i w:val="0"/>
            </w:rPr>
          </w:pPr>
          <w:hyperlink w:anchor="_TOC_250008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乙烯协议发展现状与存在问</w:t>
            </w:r>
            <w:r>
              <w:rPr>
                <w:spacing w:val="-10"/>
              </w:rPr>
              <w:t>题</w:t>
            </w:r>
            <w:r>
              <w:rPr>
                <w:rFonts w:ascii="Times New Roman" w:eastAsia="Times New Roman"/>
                <w:i w:val="0"/>
              </w:rPr>
              <w:tab/>
            </w:r>
            <w:r>
              <w:rPr>
                <w:rFonts w:ascii="Calibri" w:eastAsia="Calibri"/>
                <w:i w:val="0"/>
                <w:spacing w:val="-10"/>
              </w:rPr>
              <w:t>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  <w:i w:val="0"/>
            </w:rPr>
          </w:pPr>
          <w:hyperlink w:anchor="_TOC_250007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先进化工标准体系架构及特</w:t>
            </w:r>
            <w:r>
              <w:rPr>
                <w:spacing w:val="-10"/>
              </w:rPr>
              <w:t>点</w:t>
            </w:r>
            <w:r>
              <w:rPr>
                <w:rFonts w:ascii="Times New Roman" w:eastAsia="Times New Roman"/>
                <w:i w:val="0"/>
              </w:rPr>
              <w:tab/>
            </w:r>
            <w:r>
              <w:rPr>
                <w:rFonts w:ascii="Calibri" w:eastAsia="Calibri"/>
                <w:i w:val="0"/>
                <w:spacing w:val="-10"/>
              </w:rPr>
              <w:t>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  <w:i w:val="0"/>
            </w:rPr>
          </w:pPr>
          <w:hyperlink w:anchor="_TOC_250006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国内外先进伦理协议对比分</w:t>
            </w:r>
            <w:r>
              <w:rPr>
                <w:spacing w:val="-10"/>
              </w:rPr>
              <w:t>析</w:t>
            </w:r>
            <w:r>
              <w:rPr>
                <w:rFonts w:ascii="Times New Roman" w:eastAsia="Times New Roman"/>
                <w:i w:val="0"/>
              </w:rPr>
              <w:tab/>
            </w:r>
            <w:r>
              <w:rPr>
                <w:rFonts w:ascii="Calibri" w:eastAsia="Calibri"/>
                <w:i w:val="0"/>
                <w:spacing w:val="-10"/>
              </w:rPr>
              <w:t>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  <w:i w:val="0"/>
            </w:rPr>
          </w:pPr>
          <w:hyperlink w:anchor="_TOC_250005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先进繧协议的制定原则和流</w:t>
            </w:r>
            <w:r>
              <w:rPr>
                <w:spacing w:val="-10"/>
              </w:rPr>
              <w:t>程</w:t>
            </w:r>
            <w:r>
              <w:rPr>
                <w:rFonts w:ascii="Times New Roman" w:eastAsia="Times New Roman"/>
                <w:i w:val="0"/>
              </w:rPr>
              <w:tab/>
            </w:r>
            <w:r>
              <w:rPr>
                <w:rFonts w:ascii="Calibri" w:eastAsia="Calibri"/>
                <w:i w:val="0"/>
                <w:spacing w:val="-5"/>
              </w:rPr>
              <w:t>11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  <w:i w:val="0"/>
            </w:rPr>
          </w:pPr>
          <w:hyperlink w:anchor="_TOC_250004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实施先进繧协议的关键技术挑</w:t>
            </w:r>
            <w:r>
              <w:rPr>
                <w:spacing w:val="-10"/>
              </w:rPr>
              <w:t>战</w:t>
            </w:r>
            <w:r>
              <w:rPr>
                <w:rFonts w:ascii="Times New Roman" w:eastAsia="Times New Roman"/>
                <w:i w:val="0"/>
              </w:rPr>
              <w:tab/>
            </w:r>
            <w:r>
              <w:rPr>
                <w:rFonts w:ascii="Calibri" w:eastAsia="Calibri"/>
                <w:i w:val="0"/>
                <w:spacing w:val="-5"/>
              </w:rPr>
              <w:t>14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Calibri" w:eastAsia="Calibri"/>
              <w:i w:val="0"/>
            </w:rPr>
          </w:pPr>
          <w:hyperlink w:anchor="_TOC_250003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标准化对先进繧协议推广的影</w:t>
            </w:r>
            <w:r>
              <w:rPr>
                <w:spacing w:val="-10"/>
              </w:rPr>
              <w:t>响</w:t>
            </w:r>
            <w:r>
              <w:rPr>
                <w:rFonts w:ascii="Times New Roman" w:eastAsia="Times New Roman"/>
                <w:i w:val="0"/>
              </w:rPr>
              <w:tab/>
            </w:r>
            <w:r>
              <w:rPr>
                <w:rFonts w:ascii="Calibri" w:eastAsia="Calibri"/>
                <w:i w:val="0"/>
                <w:spacing w:val="-5"/>
              </w:rPr>
              <w:t>16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  <w:i w:val="0"/>
            </w:rPr>
          </w:pPr>
          <w:hyperlink w:anchor="_TOC_250002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先进繧协议在实际应用中的成功案</w:t>
            </w:r>
            <w:r>
              <w:rPr>
                <w:spacing w:val="-10"/>
              </w:rPr>
              <w:t>例</w:t>
            </w:r>
            <w:r>
              <w:rPr>
                <w:rFonts w:ascii="Times New Roman" w:eastAsia="Times New Roman"/>
                <w:i w:val="0"/>
              </w:rPr>
              <w:tab/>
            </w:r>
            <w:r>
              <w:rPr>
                <w:rFonts w:ascii="Calibri" w:eastAsia="Calibri"/>
                <w:i w:val="0"/>
                <w:spacing w:val="-5"/>
              </w:rPr>
              <w:t>18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  <w:i w:val="0"/>
            </w:rPr>
          </w:pPr>
          <w:hyperlink w:anchor="_TOC_250001" w:history="1">
            <w:r>
              <w:t>第九部</w:t>
            </w:r>
            <w:r>
              <w:rPr>
                <w:spacing w:val="-10"/>
              </w:rPr>
              <w:t>分</w:t>
            </w:r>
            <w:r>
              <w:tab/>
              <w:t>针对先进繧协议标准化推进策略建</w:t>
            </w:r>
            <w:r>
              <w:rPr>
                <w:spacing w:val="-10"/>
              </w:rPr>
              <w:t>议</w:t>
            </w:r>
            <w:r>
              <w:rPr>
                <w:rFonts w:ascii="Times New Roman" w:eastAsia="Times New Roman"/>
                <w:i w:val="0"/>
              </w:rPr>
              <w:tab/>
            </w:r>
            <w:r>
              <w:rPr>
                <w:rFonts w:ascii="Calibri" w:eastAsia="Calibri"/>
                <w:i w:val="0"/>
                <w:spacing w:val="-5"/>
              </w:rPr>
              <w:t>21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Calibri" w:eastAsia="Calibri"/>
              <w:i w:val="0"/>
            </w:rPr>
          </w:pPr>
          <w:hyperlink w:anchor="_TOC_250000" w:history="1">
            <w:r>
              <w:t>第十部</w:t>
            </w:r>
            <w:r>
              <w:rPr>
                <w:spacing w:val="-10"/>
              </w:rPr>
              <w:t>分</w:t>
            </w:r>
            <w:r>
              <w:tab/>
              <w:t>结论</w:t>
            </w:r>
            <w:r>
              <w:rPr>
                <w:rFonts w:ascii="仿宋" w:eastAsia="仿宋"/>
                <w:i w:val="0"/>
              </w:rPr>
              <w:t>-</w:t>
            </w:r>
            <w:r>
              <w:t>展望先进繧协议标准化未</w:t>
            </w:r>
            <w:r>
              <w:rPr>
                <w:spacing w:val="-10"/>
              </w:rPr>
              <w:t>来</w:t>
            </w:r>
            <w:r>
              <w:rPr>
                <w:rFonts w:ascii="Times New Roman" w:eastAsia="Times New Roman"/>
                <w:i w:val="0"/>
              </w:rPr>
              <w:tab/>
            </w:r>
            <w:r>
              <w:rPr>
                <w:rFonts w:ascii="Calibri" w:eastAsia="Calibri"/>
                <w:i w:val="0"/>
                <w:spacing w:val="-5"/>
              </w:rPr>
              <w:t>24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280" w:bottom="1380" w:left="1680" w:header="0" w:footer="1195"/>
          <w:pgNumType w:start="1"/>
          <w:cols w:space="708"/>
        </w:sectPr>
      </w:pPr>
    </w:p>
    <w:p>
      <w:pPr>
        <w:pStyle w:val="Heading1"/>
        <w:spacing w:before="0" w:line="514" w:lineRule="exact"/>
      </w:pPr>
      <w:bookmarkStart w:id="0" w:name="_bookmark0"/>
      <w:bookmarkEnd w:id="0"/>
      <w:r>
        <w:rPr>
          <w:spacing w:val="34"/>
        </w:rPr>
        <w:t>第一部分  引言</w:t>
      </w:r>
      <w:r>
        <w:rPr>
          <w:rFonts w:ascii="Arial" w:eastAsia="Arial" w:hAnsi="Arial"/>
        </w:rPr>
        <w:t>-</w:t>
      </w:r>
      <w:r>
        <w:rPr>
          <w:spacing w:val="10"/>
        </w:rPr>
        <w:t xml:space="preserve">先进 </w:t>
      </w:r>
      <w:r>
        <w:rPr>
          <w:rFonts w:ascii="Arial" w:eastAsia="Arial" w:hAnsi="Arial"/>
        </w:rPr>
        <w:t>ҽ</w:t>
      </w:r>
      <w:r>
        <w:rPr>
          <w:rFonts w:ascii="Arial" w:eastAsia="Arial" w:hAnsi="Arial"/>
          <w:spacing w:val="21"/>
        </w:rPr>
        <w:t xml:space="preserve"> </w:t>
      </w:r>
      <w:r>
        <w:rPr>
          <w:spacing w:val="-1"/>
        </w:rPr>
        <w:t>协议标准化的重要性和背景</w:t>
      </w:r>
    </w:p>
    <w:p>
      <w:pPr>
        <w:pStyle w:val="BodyText"/>
        <w:spacing w:before="3"/>
        <w:rPr>
          <w:rFonts w:ascii="Microsoft JhengHei"/>
          <w:b/>
          <w:sz w:val="23"/>
        </w:rPr>
      </w:pPr>
    </w:p>
    <w:p>
      <w:pPr>
        <w:spacing w:before="0"/>
        <w:ind w:left="680" w:right="0" w:firstLine="0"/>
        <w:jc w:val="left"/>
        <w:rPr>
          <w:i/>
          <w:sz w:val="28"/>
        </w:rPr>
      </w:pPr>
      <w:r>
        <w:rPr>
          <w:i/>
          <w:spacing w:val="-12"/>
          <w:sz w:val="28"/>
        </w:rPr>
        <w:t xml:space="preserve">引言：先进 </w:t>
      </w:r>
      <w:r>
        <w:rPr>
          <w:rFonts w:ascii="仿宋" w:eastAsia="仿宋" w:hAnsi="仿宋"/>
          <w:sz w:val="28"/>
        </w:rPr>
        <w:t>ҽ</w:t>
      </w:r>
      <w:r>
        <w:rPr>
          <w:rFonts w:ascii="仿宋" w:eastAsia="仿宋" w:hAnsi="仿宋"/>
          <w:spacing w:val="-70"/>
          <w:sz w:val="28"/>
        </w:rPr>
        <w:t xml:space="preserve"> </w:t>
      </w:r>
      <w:r>
        <w:rPr>
          <w:i/>
          <w:spacing w:val="-1"/>
          <w:sz w:val="28"/>
        </w:rPr>
        <w:t>协议标准化的重要性和背景</w:t>
      </w:r>
    </w:p>
    <w:p>
      <w:pPr>
        <w:pStyle w:val="BodyText"/>
        <w:rPr>
          <w:i/>
        </w:rPr>
      </w:pPr>
    </w:p>
    <w:p>
      <w:pPr>
        <w:pStyle w:val="BodyText"/>
        <w:spacing w:before="5"/>
        <w:rPr>
          <w:i/>
          <w:sz w:val="41"/>
        </w:rPr>
      </w:pPr>
    </w:p>
    <w:p>
      <w:pPr>
        <w:spacing w:before="0" w:line="417" w:lineRule="auto"/>
        <w:ind w:left="120" w:right="518" w:firstLine="0"/>
        <w:jc w:val="both"/>
        <w:rPr>
          <w:i/>
          <w:sz w:val="28"/>
        </w:rPr>
      </w:pPr>
      <w:r>
        <w:rPr>
          <w:i/>
          <w:spacing w:val="-10"/>
          <w:sz w:val="28"/>
        </w:rPr>
        <w:t>随着信息技术的快速发展，网络通信已经成为人们日常生活中不可或</w:t>
      </w:r>
      <w:r>
        <w:rPr>
          <w:i/>
          <w:spacing w:val="-4"/>
          <w:sz w:val="28"/>
        </w:rPr>
        <w:t>缺的一部分。而在这个过程中，先进的网络通信协议扮演着至关重要</w:t>
      </w:r>
      <w:r>
        <w:rPr>
          <w:i/>
          <w:spacing w:val="-5"/>
          <w:sz w:val="28"/>
        </w:rPr>
        <w:t xml:space="preserve">的角色。本文旨在介绍先进 </w:t>
      </w:r>
      <w:r>
        <w:rPr>
          <w:rFonts w:ascii="仿宋" w:eastAsia="仿宋" w:hAnsi="仿宋"/>
          <w:spacing w:val="-2"/>
          <w:sz w:val="28"/>
        </w:rPr>
        <w:t>ҽ</w:t>
      </w:r>
      <w:r>
        <w:rPr>
          <w:rFonts w:ascii="仿宋" w:eastAsia="仿宋" w:hAnsi="仿宋"/>
          <w:spacing w:val="-33"/>
          <w:sz w:val="28"/>
        </w:rPr>
        <w:t xml:space="preserve"> </w:t>
      </w:r>
      <w:r>
        <w:rPr>
          <w:i/>
          <w:spacing w:val="-2"/>
          <w:sz w:val="28"/>
        </w:rPr>
        <w:t>协议标准化的重要性以及其背后的背</w:t>
      </w:r>
      <w:r>
        <w:rPr>
          <w:i/>
          <w:spacing w:val="-6"/>
          <w:sz w:val="28"/>
        </w:rPr>
        <w:t>景。</w:t>
      </w: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0"/>
        </w:rPr>
      </w:pPr>
    </w:p>
    <w:p>
      <w:pPr>
        <w:spacing w:before="1"/>
        <w:ind w:left="120" w:right="0" w:firstLine="0"/>
        <w:jc w:val="left"/>
        <w:rPr>
          <w:i/>
          <w:sz w:val="28"/>
        </w:rPr>
      </w:pPr>
      <w:r>
        <w:rPr>
          <w:i/>
          <w:spacing w:val="-14"/>
          <w:sz w:val="28"/>
        </w:rPr>
        <w:t xml:space="preserve">一、先进 </w:t>
      </w:r>
      <w:r>
        <w:rPr>
          <w:rFonts w:ascii="仿宋" w:eastAsia="仿宋" w:hAnsi="仿宋"/>
          <w:sz w:val="28"/>
        </w:rPr>
        <w:t>ҽ</w:t>
      </w:r>
      <w:r>
        <w:rPr>
          <w:rFonts w:ascii="仿宋" w:eastAsia="仿宋" w:hAnsi="仿宋"/>
          <w:spacing w:val="-70"/>
          <w:sz w:val="28"/>
        </w:rPr>
        <w:t xml:space="preserve"> </w:t>
      </w:r>
      <w:r>
        <w:rPr>
          <w:i/>
          <w:spacing w:val="-2"/>
          <w:sz w:val="28"/>
        </w:rPr>
        <w:t>协议的作用与意义</w:t>
      </w:r>
    </w:p>
    <w:p>
      <w:pPr>
        <w:pStyle w:val="BodyText"/>
        <w:spacing w:before="8"/>
        <w:rPr>
          <w:i/>
          <w:sz w:val="20"/>
        </w:rPr>
      </w:pPr>
    </w:p>
    <w:p>
      <w:pPr>
        <w:spacing w:before="1" w:line="417" w:lineRule="auto"/>
        <w:ind w:left="120" w:right="285" w:firstLine="0"/>
        <w:jc w:val="left"/>
        <w:rPr>
          <w:i/>
          <w:sz w:val="28"/>
        </w:rPr>
      </w:pPr>
      <w:r>
        <w:rPr>
          <w:i/>
          <w:spacing w:val="-14"/>
          <w:sz w:val="28"/>
        </w:rPr>
        <w:t>在网络通信中，协议是保证不同设备之间数据传输和交互的关键要素。</w:t>
      </w:r>
      <w:r>
        <w:rPr>
          <w:i/>
          <w:spacing w:val="-5"/>
          <w:sz w:val="28"/>
        </w:rPr>
        <w:t xml:space="preserve">先进的 </w:t>
      </w:r>
      <w:r>
        <w:rPr>
          <w:rFonts w:ascii="仿宋" w:eastAsia="仿宋" w:hAnsi="仿宋"/>
          <w:sz w:val="28"/>
        </w:rPr>
        <w:t>ҽ</w:t>
      </w:r>
      <w:r>
        <w:rPr>
          <w:rFonts w:ascii="仿宋" w:eastAsia="仿宋" w:hAnsi="仿宋"/>
          <w:spacing w:val="-20"/>
          <w:sz w:val="28"/>
        </w:rPr>
        <w:t xml:space="preserve"> </w:t>
      </w:r>
      <w:r>
        <w:rPr>
          <w:i/>
          <w:sz w:val="28"/>
        </w:rPr>
        <w:t>协议能够提供高效、安全、可靠的数据传输服务，为用户</w:t>
      </w:r>
      <w:r>
        <w:rPr>
          <w:i/>
          <w:spacing w:val="-2"/>
          <w:sz w:val="28"/>
        </w:rPr>
        <w:t>带来更好的使用体验。这些协议可以应用于各种场景，如物联网、云</w:t>
      </w:r>
      <w:r>
        <w:rPr>
          <w:i/>
          <w:spacing w:val="-2"/>
          <w:sz w:val="28"/>
        </w:rPr>
        <w:t>计算、大数据等新兴领域，促进了信息社会的发展。</w:t>
      </w:r>
    </w:p>
    <w:p>
      <w:pPr>
        <w:pStyle w:val="BodyText"/>
        <w:rPr>
          <w:i/>
        </w:rPr>
      </w:pPr>
    </w:p>
    <w:p>
      <w:pPr>
        <w:pStyle w:val="BodyText"/>
        <w:spacing w:before="7"/>
        <w:rPr>
          <w:i/>
          <w:sz w:val="20"/>
        </w:rPr>
      </w:pPr>
    </w:p>
    <w:p>
      <w:pPr>
        <w:spacing w:before="1"/>
        <w:ind w:left="120" w:right="0" w:firstLine="0"/>
        <w:jc w:val="left"/>
        <w:rPr>
          <w:i/>
          <w:sz w:val="28"/>
        </w:rPr>
      </w:pPr>
      <w:r>
        <w:rPr>
          <w:i/>
          <w:spacing w:val="-1"/>
          <w:sz w:val="28"/>
        </w:rPr>
        <w:t>二、协议标准化的重要性</w:t>
      </w:r>
    </w:p>
    <w:p>
      <w:pPr>
        <w:pStyle w:val="BodyText"/>
        <w:spacing w:before="8"/>
        <w:rPr>
          <w:i/>
          <w:sz w:val="20"/>
        </w:rPr>
      </w:pPr>
    </w:p>
    <w:p>
      <w:pPr>
        <w:spacing w:before="1" w:line="417" w:lineRule="auto"/>
        <w:ind w:left="120" w:right="518" w:firstLine="0"/>
        <w:jc w:val="both"/>
        <w:rPr>
          <w:i/>
          <w:sz w:val="28"/>
        </w:rPr>
      </w:pPr>
      <w:r>
        <w:rPr>
          <w:i/>
          <w:spacing w:val="-4"/>
          <w:sz w:val="28"/>
        </w:rPr>
        <w:t>在协议的发展历程中，标准化一直是一个关键环节。标准化不仅有利</w:t>
      </w:r>
      <w:r>
        <w:rPr>
          <w:i/>
          <w:spacing w:val="-4"/>
          <w:sz w:val="28"/>
        </w:rPr>
        <w:t>于提高协议的质量和稳定性，还能够降低开发成本，促进技术创新和</w:t>
      </w:r>
      <w:r>
        <w:rPr>
          <w:i/>
          <w:spacing w:val="-4"/>
          <w:sz w:val="28"/>
        </w:rPr>
        <w:t>产业合作。通过制定统一的标准，可以避免市场上的碎片化现象，增</w:t>
      </w:r>
      <w:r>
        <w:rPr>
          <w:i/>
          <w:spacing w:val="-12"/>
          <w:sz w:val="28"/>
        </w:rPr>
        <w:t>强系统的互操作性，使得更多的设备和服务能够在同一平台上协同工</w:t>
      </w:r>
      <w:r>
        <w:rPr>
          <w:i/>
          <w:spacing w:val="-6"/>
          <w:sz w:val="28"/>
        </w:rPr>
        <w:t>作。</w:t>
      </w:r>
    </w:p>
    <w:p>
      <w:pPr>
        <w:pStyle w:val="BodyText"/>
        <w:rPr>
          <w:i/>
        </w:rPr>
      </w:pPr>
    </w:p>
    <w:p>
      <w:pPr>
        <w:pStyle w:val="BodyText"/>
        <w:spacing w:before="7"/>
        <w:rPr>
          <w:i/>
          <w:sz w:val="20"/>
        </w:rPr>
      </w:pPr>
    </w:p>
    <w:p>
      <w:pPr>
        <w:spacing w:before="1"/>
        <w:ind w:left="120" w:right="0" w:firstLine="0"/>
        <w:jc w:val="left"/>
        <w:rPr>
          <w:i/>
          <w:sz w:val="28"/>
        </w:rPr>
      </w:pPr>
      <w:r>
        <w:rPr>
          <w:i/>
          <w:spacing w:val="-1"/>
          <w:sz w:val="28"/>
        </w:rPr>
        <w:t>三、协议标准化的挑战与机遇</w:t>
      </w:r>
    </w:p>
    <w:p>
      <w:pPr>
        <w:spacing w:after="0"/>
        <w:jc w:val="left"/>
        <w:rPr>
          <w:sz w:val="28"/>
        </w:rPr>
        <w:sectPr>
          <w:footerReference w:type="default" r:id="rId6"/>
          <w:pgSz w:w="11910" w:h="16840"/>
          <w:pgMar w:top="1500" w:right="1280" w:bottom="1380" w:left="1680" w:header="0" w:footer="1195"/>
          <w:pgNumType w:start="2"/>
          <w:cols w:space="708"/>
        </w:sectPr>
      </w:pPr>
    </w:p>
    <w:p>
      <w:pPr>
        <w:spacing w:before="37" w:line="417" w:lineRule="auto"/>
        <w:ind w:left="120" w:right="98" w:firstLine="0"/>
        <w:jc w:val="left"/>
        <w:rPr>
          <w:i/>
          <w:sz w:val="28"/>
        </w:rPr>
      </w:pPr>
      <w:r>
        <w:rPr>
          <w:i/>
          <w:spacing w:val="-11"/>
          <w:sz w:val="28"/>
        </w:rPr>
        <w:t>尽管协议标准化具有显著的优势，但在实际操作中也面临着一些挑战。</w:t>
      </w:r>
      <w:r>
        <w:rPr>
          <w:i/>
          <w:spacing w:val="-2"/>
          <w:sz w:val="28"/>
        </w:rPr>
        <w:t>一方面，不同的厂商和技术团队可能存在各自的利益冲突，难以达成</w:t>
      </w:r>
    </w:p>
    <w:p>
      <w:pPr>
        <w:spacing w:before="0" w:line="417" w:lineRule="auto"/>
        <w:ind w:left="120" w:right="238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共识；另一方面，随着技术的不断发展，新的需求和问题不断涌现，</w:t>
      </w:r>
      <w:r>
        <w:rPr>
          <w:i/>
          <w:spacing w:val="-2"/>
          <w:sz w:val="28"/>
        </w:rPr>
        <w:t>需要不断地调整和完善标准。然而，这也为协议标准化带来了无限的</w:t>
      </w:r>
      <w:r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机遇。在应对挑战的过程中，我们可以推动技术进步，开拓新的应用</w:t>
      </w:r>
      <w:r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领域，实现整个行业的繁荣发展。</w:t>
      </w:r>
    </w:p>
    <w:p>
      <w:pPr>
        <w:pStyle w:val="BodyText"/>
        <w:rPr>
          <w:i/>
        </w:rPr>
      </w:pPr>
    </w:p>
    <w:p>
      <w:pPr>
        <w:pStyle w:val="BodyText"/>
        <w:spacing w:before="7"/>
        <w:rPr>
          <w:i/>
          <w:sz w:val="20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spacing w:val="-1"/>
          <w:sz w:val="28"/>
        </w:rPr>
        <w:t>四、中国在协议标准化中的地位与贡献</w:t>
      </w:r>
    </w:p>
    <w:p>
      <w:pPr>
        <w:pStyle w:val="BodyText"/>
        <w:spacing w:before="9"/>
        <w:rPr>
          <w:i/>
          <w:sz w:val="20"/>
        </w:rPr>
      </w:pPr>
    </w:p>
    <w:p>
      <w:pPr>
        <w:spacing w:before="0" w:line="417" w:lineRule="auto"/>
        <w:ind w:left="120" w:right="518" w:firstLine="0"/>
        <w:jc w:val="both"/>
        <w:rPr>
          <w:i/>
          <w:sz w:val="28"/>
        </w:rPr>
      </w:pPr>
      <w:r>
        <w:rPr>
          <w:i/>
          <w:spacing w:val="-9"/>
          <w:sz w:val="28"/>
        </w:rPr>
        <w:t>作为全球最大的互联网市场之一，中国在协议标准化方面发挥了重要</w:t>
      </w:r>
      <w:r>
        <w:rPr>
          <w:i/>
          <w:spacing w:val="-4"/>
          <w:sz w:val="28"/>
        </w:rPr>
        <w:t>作用。中国的科技企业积极参与国际标准组织的工作，并在某些关键</w:t>
      </w:r>
      <w:r>
        <w:rPr>
          <w:i/>
          <w:spacing w:val="-4"/>
          <w:sz w:val="28"/>
        </w:rPr>
        <w:t>技术领域取得了领先优势。此外，中国政府也在积极推动国内的协议</w:t>
      </w:r>
      <w:r>
        <w:rPr>
          <w:i/>
          <w:spacing w:val="-2"/>
          <w:sz w:val="28"/>
        </w:rPr>
        <w:t>标准化进程，以期在全球范围内发挥更大的影响力。</w:t>
      </w: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0"/>
        </w:rPr>
      </w:pPr>
    </w:p>
    <w:p>
      <w:pPr>
        <w:spacing w:before="0"/>
        <w:ind w:left="120" w:right="0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五、未来展望</w:t>
      </w:r>
    </w:p>
    <w:p>
      <w:pPr>
        <w:pStyle w:val="BodyText"/>
        <w:spacing w:before="9"/>
        <w:rPr>
          <w:i/>
          <w:sz w:val="20"/>
        </w:rPr>
      </w:pPr>
    </w:p>
    <w:p>
      <w:pPr>
        <w:spacing w:before="0" w:line="417" w:lineRule="auto"/>
        <w:ind w:left="120" w:right="238" w:firstLine="0"/>
        <w:jc w:val="left"/>
        <w:rPr>
          <w:i/>
          <w:sz w:val="28"/>
        </w:rPr>
      </w:pPr>
      <w:r>
        <w:rPr>
          <w:i/>
          <w:spacing w:val="-2"/>
          <w:sz w:val="28"/>
        </w:rPr>
        <w:t>面对未来的挑战与机遇，我们需要继续努力推动协议标准化的进程。</w:t>
      </w:r>
      <w:r>
        <w:rPr>
          <w:i/>
          <w:spacing w:val="-2"/>
          <w:sz w:val="28"/>
        </w:rPr>
        <w:t>这包括加强国际合作，增进各方的理解与信任，共同制定出更高质量</w:t>
      </w:r>
      <w:r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的标准。同时，我们也应该关注新兴技术的发展趋势，及时调整标准</w:t>
      </w:r>
      <w:r>
        <w:rPr>
          <w:i/>
          <w:spacing w:val="-2"/>
          <w:sz w:val="28"/>
        </w:rPr>
        <w:t xml:space="preserve"> </w:t>
      </w:r>
      <w:r>
        <w:rPr>
          <w:i/>
          <w:spacing w:val="-2"/>
          <w:sz w:val="28"/>
        </w:rPr>
        <w:t>的内容，确保其符合市场需求。</w:t>
      </w: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20"/>
        </w:rPr>
      </w:pPr>
    </w:p>
    <w:p>
      <w:pPr>
        <w:spacing w:before="0" w:line="417" w:lineRule="auto"/>
        <w:ind w:left="120" w:right="518" w:firstLine="0"/>
        <w:jc w:val="both"/>
        <w:rPr>
          <w:i/>
          <w:sz w:val="28"/>
        </w:rPr>
      </w:pPr>
      <w:r>
        <w:rPr>
          <w:i/>
          <w:spacing w:val="-8"/>
          <w:sz w:val="28"/>
        </w:rPr>
        <w:t xml:space="preserve">总之，先进 </w:t>
      </w:r>
      <w:r>
        <w:rPr>
          <w:rFonts w:ascii="仿宋" w:eastAsia="仿宋" w:hAnsi="仿宋"/>
          <w:spacing w:val="-2"/>
          <w:sz w:val="28"/>
        </w:rPr>
        <w:t>ҽ</w:t>
      </w:r>
      <w:r>
        <w:rPr>
          <w:rFonts w:ascii="仿宋" w:eastAsia="仿宋" w:hAnsi="仿宋"/>
          <w:spacing w:val="-33"/>
          <w:sz w:val="28"/>
        </w:rPr>
        <w:t xml:space="preserve"> </w:t>
      </w:r>
      <w:r>
        <w:rPr>
          <w:i/>
          <w:spacing w:val="-2"/>
          <w:sz w:val="28"/>
        </w:rPr>
        <w:t>协议标准化对于网络通信领域的持续发展具有重要意</w:t>
      </w:r>
      <w:r>
        <w:rPr>
          <w:i/>
          <w:spacing w:val="-4"/>
          <w:sz w:val="28"/>
        </w:rPr>
        <w:t>义。我们应该充分认识到这一点，并积极投入到这个过程中去，为构</w:t>
      </w:r>
      <w:r>
        <w:rPr>
          <w:i/>
          <w:spacing w:val="-2"/>
          <w:sz w:val="28"/>
        </w:rPr>
        <w:t>建更加美好的数字世界做出贡献。</w:t>
      </w:r>
    </w:p>
    <w:p>
      <w:pPr>
        <w:spacing w:after="0" w:line="417" w:lineRule="auto"/>
        <w:jc w:val="both"/>
        <w:rPr>
          <w:sz w:val="28"/>
        </w:rPr>
        <w:sectPr>
          <w:footerReference w:type="default" r:id="rId7"/>
          <w:pgSz w:w="11910" w:h="16840"/>
          <w:pgMar w:top="1520" w:right="1280" w:bottom="1380" w:left="1680" w:header="0" w:footer="1195"/>
          <w:pgNumType w:start="3"/>
          <w:cols w:space="708"/>
        </w:sectPr>
      </w:pPr>
    </w:p>
    <w:p>
      <w:pPr>
        <w:pStyle w:val="BodyText"/>
        <w:spacing w:before="2"/>
        <w:rPr>
          <w:i/>
          <w:sz w:val="22"/>
        </w:rPr>
      </w:pPr>
    </w:p>
    <w:p>
      <w:pPr>
        <w:pStyle w:val="Heading1"/>
        <w:spacing w:before="0" w:line="538" w:lineRule="exact"/>
      </w:pPr>
      <w:bookmarkStart w:id="1" w:name="_TOC_250008"/>
      <w:r>
        <w:t>第二部分</w:t>
      </w:r>
      <w:r>
        <w:rPr>
          <w:spacing w:val="216"/>
          <w:w w:val="150"/>
        </w:rPr>
        <w:t xml:space="preserve"> </w:t>
      </w:r>
      <w:bookmarkEnd w:id="1"/>
      <w:r>
        <w:rPr>
          <w:spacing w:val="-1"/>
        </w:rPr>
        <w:t>乙烯协议发展现状与存在问题</w:t>
      </w:r>
    </w:p>
    <w:p>
      <w:pPr>
        <w:pStyle w:val="BodyText"/>
        <w:spacing w:before="3"/>
        <w:rPr>
          <w:rFonts w:ascii="Microsoft JhengHei"/>
          <w:b/>
          <w:sz w:val="23"/>
        </w:rPr>
      </w:pPr>
    </w:p>
    <w:p>
      <w:pPr>
        <w:pStyle w:val="BodyText"/>
        <w:spacing w:line="417" w:lineRule="auto"/>
        <w:ind w:left="120" w:right="518" w:firstLine="560"/>
      </w:pPr>
      <w:r>
        <w:rPr>
          <w:spacing w:val="-6"/>
        </w:rPr>
        <w:t>乙烯协议是化工行业中广泛使用的一种工业通信协议，其发展现</w:t>
      </w:r>
      <w:r>
        <w:rPr>
          <w:spacing w:val="-2"/>
        </w:rPr>
        <w:t>状与存在问题对于推进化工行业的现代化和智能化具有重要意义。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当前，乙烯协议在化工行业中的应用已经相当普遍。据统计，目前全</w:t>
      </w:r>
      <w:r>
        <w:rPr>
          <w:spacing w:val="5"/>
        </w:rPr>
        <w:t>球范围内有超过</w:t>
      </w:r>
      <w:r>
        <w:rPr>
          <w:rFonts w:ascii="仿宋" w:eastAsia="仿宋"/>
        </w:rPr>
        <w:t>50%</w:t>
      </w:r>
      <w:r>
        <w:t>的大型石化企业采用了乙烯协议作为其自动化控</w:t>
      </w:r>
      <w:r>
        <w:rPr>
          <w:spacing w:val="-4"/>
        </w:rPr>
        <w:t>制系统中的通信协议。同时，随着工业互联网的发展，乙烯协议也被</w:t>
      </w:r>
      <w:r>
        <w:rPr>
          <w:spacing w:val="-2"/>
        </w:rPr>
        <w:t>越来越多地应用于数据采集、远程监控和故障诊断等领域。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238"/>
      </w:pPr>
      <w:r>
        <w:rPr>
          <w:spacing w:val="-2"/>
        </w:rPr>
        <w:t>然而，在乙烯协议的应用过程中也存在一些问题。首先，乙烯协议的</w:t>
      </w:r>
      <w:r>
        <w:rPr>
          <w:spacing w:val="-2"/>
        </w:rPr>
        <w:t xml:space="preserve"> </w:t>
      </w:r>
      <w:r>
        <w:rPr>
          <w:spacing w:val="-2"/>
        </w:rPr>
        <w:t>标准不统一。由于乙烯协议是由不同的制造商和组织开发和推广的，</w:t>
      </w:r>
      <w:r>
        <w:rPr>
          <w:spacing w:val="-2"/>
        </w:rPr>
        <w:t>因此存在多个版本和变种，这给系统的互操作性和维护带来了困难。</w:t>
      </w:r>
      <w:r>
        <w:rPr>
          <w:spacing w:val="-2"/>
        </w:rPr>
        <w:t>其次，乙烯协议的安全性有待提高。虽然乙烯协议具有一定的安全机</w:t>
      </w:r>
      <w:r>
        <w:rPr>
          <w:spacing w:val="-2"/>
        </w:rPr>
        <w:t xml:space="preserve"> 制，但是在实际应用中仍有可能受到攻击或篡改。最后，乙烯协议的</w:t>
      </w:r>
      <w:r>
        <w:rPr>
          <w:spacing w:val="-2"/>
        </w:rPr>
        <w:t xml:space="preserve"> </w:t>
      </w:r>
      <w:r>
        <w:rPr>
          <w:spacing w:val="-12"/>
        </w:rPr>
        <w:t>升级和更新速度较慢。由于乙烯协议涉及到大量的硬件设备和软件系</w:t>
      </w:r>
      <w:r>
        <w:rPr>
          <w:spacing w:val="-2"/>
        </w:rPr>
        <w:t xml:space="preserve"> 统，因此升级和更新需要耗费大量的人力和物力，这也限制了乙烯协</w:t>
      </w:r>
      <w:r>
        <w:rPr>
          <w:spacing w:val="-2"/>
        </w:rPr>
        <w:t xml:space="preserve"> </w:t>
      </w:r>
      <w:r>
        <w:rPr>
          <w:spacing w:val="-2"/>
        </w:rPr>
        <w:t>议的发展速度。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line="417" w:lineRule="auto"/>
        <w:ind w:left="120" w:right="285"/>
      </w:pPr>
      <w:r>
        <w:rPr>
          <w:spacing w:val="-2"/>
        </w:rPr>
        <w:t>为了推动乙烯协议的标准化和发展，需要采取一系列措施。首先，需</w:t>
      </w:r>
      <w:r>
        <w:rPr>
          <w:spacing w:val="-13"/>
        </w:rPr>
        <w:t>要制定统一的乙烯协议标准，以保证不同厂商的产品之间的互操作性，</w:t>
      </w:r>
    </w:p>
    <w:p>
      <w:pPr>
        <w:spacing w:after="0" w:line="417" w:lineRule="auto"/>
        <w:sectPr>
          <w:footerReference w:type="default" r:id="rId8"/>
          <w:pgSz w:w="11910" w:h="16840"/>
          <w:pgMar w:top="1920" w:right="1280" w:bottom="1380" w:left="1680" w:header="0" w:footer="1195"/>
          <w:pgNumType w:start="4"/>
          <w:cols w:space="708"/>
        </w:sectPr>
      </w:pPr>
    </w:p>
    <w:p>
      <w:pPr>
        <w:pStyle w:val="BodyText"/>
        <w:spacing w:before="37" w:line="417" w:lineRule="auto"/>
        <w:ind w:left="120" w:right="518"/>
        <w:jc w:val="both"/>
      </w:pPr>
      <w:r>
        <w:rPr>
          <w:spacing w:val="-4"/>
        </w:rPr>
        <w:t>并简化系统的集成和维护工作。其次，需要加强乙烯协议的安全性研究，开发更加安全可靠的加密算法和身份认证机制，防止数据泄露和</w:t>
      </w:r>
      <w:r>
        <w:rPr>
          <w:spacing w:val="-4"/>
        </w:rPr>
        <w:t>被篡改。最后，需要加快乙烯协议的升级和更新速度，采用模块化设</w:t>
      </w:r>
      <w:r>
        <w:rPr>
          <w:spacing w:val="-2"/>
        </w:rPr>
        <w:t>计和云计算等技术，降低升级和更新的成本和难度。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 w:line="417" w:lineRule="auto"/>
        <w:ind w:left="120" w:right="518"/>
        <w:jc w:val="both"/>
      </w:pPr>
      <w:r>
        <w:rPr>
          <w:spacing w:val="-4"/>
        </w:rPr>
        <w:t>总之，乙烯协议在化工行业中的应用已经取得了显著的成绩，但是仍</w:t>
      </w:r>
      <w:r>
        <w:rPr>
          <w:spacing w:val="-4"/>
        </w:rPr>
        <w:t>然面临着一些挑战和问题。通过制定统一的协议标准、加强安全性研</w:t>
      </w:r>
      <w:r>
        <w:rPr>
          <w:spacing w:val="-9"/>
        </w:rPr>
        <w:t>究和加快升级更新速度等措施，可以进一步推进乙烯协议的标准化和</w:t>
      </w:r>
      <w:r>
        <w:rPr>
          <w:spacing w:val="-2"/>
        </w:rPr>
        <w:t>普及化进程，为化工行业的现代化和智能化提供更好的技术支持。</w:t>
      </w:r>
    </w:p>
    <w:p>
      <w:pPr>
        <w:pStyle w:val="BodyText"/>
      </w:pPr>
    </w:p>
    <w:p>
      <w:pPr>
        <w:pStyle w:val="Heading1"/>
      </w:pPr>
      <w:bookmarkStart w:id="2" w:name="_TOC_250007"/>
      <w:r>
        <w:t>第三部分</w:t>
      </w:r>
      <w:r>
        <w:rPr>
          <w:spacing w:val="216"/>
          <w:w w:val="150"/>
        </w:rPr>
        <w:t xml:space="preserve"> </w:t>
      </w:r>
      <w:bookmarkEnd w:id="2"/>
      <w:r>
        <w:rPr>
          <w:spacing w:val="-1"/>
        </w:rPr>
        <w:t>先进化工标准体系架构及特点</w:t>
      </w:r>
    </w:p>
    <w:p>
      <w:pPr>
        <w:pStyle w:val="BodyText"/>
        <w:spacing w:before="3"/>
        <w:rPr>
          <w:rFonts w:ascii="Microsoft JhengHei"/>
          <w:b/>
          <w:sz w:val="23"/>
        </w:rPr>
      </w:pPr>
    </w:p>
    <w:p>
      <w:pPr>
        <w:pStyle w:val="BodyText"/>
        <w:spacing w:before="1"/>
        <w:ind w:left="680"/>
      </w:pPr>
      <w:r>
        <w:rPr>
          <w:spacing w:val="-1"/>
        </w:rPr>
        <w:t>《先进化工标准体系架构及特点》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在化学工业中，标准起着至关重要的作用。随着科技的发展和市场环</w:t>
      </w:r>
      <w:r>
        <w:rPr>
          <w:spacing w:val="-4"/>
        </w:rPr>
        <w:t>境的变化，先进的化工标准体系应运而生。它以其独特的架构和显著</w:t>
      </w:r>
      <w:r>
        <w:rPr>
          <w:spacing w:val="-2"/>
        </w:rPr>
        <w:t>的特点，为推动化学工业的创新发展提供了有力的支持。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一、先进化工标准体系的架构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10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标准层级结构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9"/>
          <w:pgSz w:w="11910" w:h="16840"/>
          <w:pgMar w:top="1520" w:right="1280" w:bottom="1380" w:left="1680" w:header="0" w:footer="1195"/>
          <w:pgNumType w:start="5"/>
          <w:cols w:space="708"/>
        </w:sectPr>
      </w:pPr>
    </w:p>
    <w:p>
      <w:pPr>
        <w:pStyle w:val="BodyText"/>
        <w:spacing w:before="37" w:line="417" w:lineRule="auto"/>
        <w:ind w:left="120" w:right="98"/>
      </w:pPr>
      <w:r>
        <w:rPr>
          <w:spacing w:val="-9"/>
        </w:rPr>
        <w:t>先进的化工标准体系采用了层次化的组织形式，主要由基础通用标准、</w:t>
      </w:r>
      <w:r>
        <w:rPr>
          <w:spacing w:val="-2"/>
        </w:rPr>
        <w:t>产品标准、方法标准、安全环保标准、管理标准五大类构成。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518"/>
      </w:pPr>
      <w:r>
        <w:rPr>
          <w:spacing w:val="-4"/>
        </w:rPr>
        <w:t>基础通用标准主要包括术语、符号、分类、编码等基本技术规定，为</w:t>
      </w:r>
      <w:r>
        <w:rPr>
          <w:spacing w:val="-2"/>
        </w:rPr>
        <w:t>整个标准体系提供共同遵循的基本原则。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238"/>
      </w:pPr>
      <w:r>
        <w:rPr>
          <w:spacing w:val="-2"/>
        </w:rPr>
        <w:t>产品标准是针对具体化工产品的质量要求和技术指标所制定的标准，</w:t>
      </w:r>
      <w:r>
        <w:rPr>
          <w:spacing w:val="-2"/>
        </w:rPr>
        <w:t>是衡量产品质量的重要依据。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518"/>
      </w:pPr>
      <w:r>
        <w:rPr>
          <w:spacing w:val="-2"/>
        </w:rPr>
        <w:t>方法标准是对化工生产过程中所涉及的各种操作方法和技术规程进</w:t>
      </w:r>
      <w:r>
        <w:rPr>
          <w:spacing w:val="-2"/>
        </w:rPr>
        <w:t>行规范的标准，确保生产过程的安全性和稳定性。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417" w:lineRule="auto"/>
        <w:ind w:left="120" w:right="518"/>
      </w:pPr>
      <w:r>
        <w:rPr>
          <w:spacing w:val="-7"/>
        </w:rPr>
        <w:t>安全环保标准则围绕化工生产的安全性与环保性，规定了相应的技术</w:t>
      </w:r>
      <w:r>
        <w:rPr>
          <w:spacing w:val="-2"/>
        </w:rPr>
        <w:t>和管理措施，以保障人员安全和环境保护。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518"/>
      </w:pPr>
      <w:r>
        <w:rPr>
          <w:spacing w:val="-6"/>
        </w:rPr>
        <w:t>管理标准主要是对企业内部管理活动进行规范的标准，涵盖了质量管</w:t>
      </w:r>
      <w:r>
        <w:rPr>
          <w:spacing w:val="-2"/>
        </w:rPr>
        <w:t>理体系、环境管理体系等多个方面。</w:t>
      </w:r>
    </w:p>
    <w:p>
      <w:pPr>
        <w:pStyle w:val="BodyText"/>
      </w:pP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10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标准协调机制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</w:pPr>
      <w:r>
        <w:rPr>
          <w:spacing w:val="-7"/>
        </w:rPr>
        <w:t>先进的化工标准体系通过建立完善的协调机制，保证各标准之间的协</w:t>
      </w:r>
      <w:r>
        <w:rPr>
          <w:spacing w:val="-5"/>
        </w:rPr>
        <w:t>调一致。这一机制包括标准立项评审、征求意见、修订更新等多个环</w:t>
      </w:r>
    </w:p>
    <w:p>
      <w:pPr>
        <w:spacing w:after="0" w:line="417" w:lineRule="auto"/>
        <w:sectPr>
          <w:footerReference w:type="default" r:id="rId10"/>
          <w:pgSz w:w="11910" w:h="16840"/>
          <w:pgMar w:top="1520" w:right="1280" w:bottom="1380" w:left="1680" w:header="0" w:footer="1195"/>
          <w:pgNumType w:start="6"/>
          <w:cols w:space="708"/>
        </w:sectPr>
      </w:pPr>
    </w:p>
    <w:p>
      <w:pPr>
        <w:pStyle w:val="BodyText"/>
        <w:spacing w:before="37"/>
        <w:ind w:left="120"/>
      </w:pPr>
      <w:r>
        <w:rPr>
          <w:spacing w:val="-1"/>
        </w:rPr>
        <w:t>节，有效避免了标准之间的冲突和重复。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ind w:left="120"/>
      </w:pPr>
      <w:r>
        <w:rPr>
          <w:spacing w:val="-1"/>
        </w:rPr>
        <w:t>二、先进化工标准体系的特点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ListParagraph"/>
        <w:numPr>
          <w:ilvl w:val="0"/>
          <w:numId w:val="9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4"/>
          <w:sz w:val="28"/>
        </w:rPr>
        <w:t>全面性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7"/>
        </w:rPr>
        <w:t>先进的化工标准体系涵盖了化工领域的各个层面，从基础研究到产品</w:t>
      </w:r>
      <w:r>
        <w:rPr>
          <w:spacing w:val="-4"/>
        </w:rPr>
        <w:t>开发，再到生产过程控制以及后期服务，几乎无所不包。这种全面性</w:t>
      </w:r>
      <w:r>
        <w:rPr>
          <w:spacing w:val="-2"/>
        </w:rPr>
        <w:t>使得标准能够对化工产业进行全面的引导和约束。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4"/>
          <w:sz w:val="28"/>
        </w:rPr>
        <w:t>科学性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before="1" w:line="417" w:lineRule="auto"/>
        <w:ind w:left="120" w:right="518"/>
        <w:jc w:val="both"/>
      </w:pPr>
      <w:r>
        <w:rPr>
          <w:spacing w:val="-7"/>
        </w:rPr>
        <w:t>先进的化工标准体系基于科学原理和技术发展动态，通过对各种标准</w:t>
      </w:r>
      <w:r>
        <w:rPr>
          <w:spacing w:val="-4"/>
        </w:rPr>
        <w:t>进行科学分析和合理规划，确保标准的科学性和实用性。同时，标准</w:t>
      </w:r>
      <w:r>
        <w:rPr>
          <w:spacing w:val="-7"/>
        </w:rPr>
        <w:t>体系还充分考虑了社会经济因素和环境因素，实现了可持续发展的目</w:t>
      </w:r>
      <w:r>
        <w:rPr>
          <w:spacing w:val="-6"/>
        </w:rPr>
        <w:t>标。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val="left" w:pos="540"/>
        </w:tabs>
        <w:spacing w:before="0" w:after="0" w:line="240" w:lineRule="auto"/>
        <w:ind w:left="540" w:right="0" w:hanging="420"/>
        <w:jc w:val="left"/>
        <w:rPr>
          <w:sz w:val="28"/>
        </w:rPr>
      </w:pPr>
      <w:r>
        <w:rPr>
          <w:spacing w:val="-4"/>
          <w:sz w:val="28"/>
        </w:rPr>
        <w:t>动态性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7"/>
        </w:rPr>
        <w:t>先进的化工标准体系具有较强的动态适应性。随着科学技术的进步和</w:t>
      </w:r>
      <w:r>
        <w:rPr>
          <w:spacing w:val="-4"/>
        </w:rPr>
        <w:t>社会需求的变化，标准体系可以及时进行调整和优化，保持其先进性</w:t>
      </w:r>
      <w:r>
        <w:rPr>
          <w:spacing w:val="-2"/>
        </w:rPr>
        <w:t>和适用性。</w:t>
      </w:r>
    </w:p>
    <w:p>
      <w:pPr>
        <w:spacing w:after="0" w:line="417" w:lineRule="auto"/>
        <w:jc w:val="both"/>
        <w:sectPr>
          <w:footerReference w:type="default" r:id="rId11"/>
          <w:pgSz w:w="11910" w:h="16840"/>
          <w:pgMar w:top="1520" w:right="1280" w:bottom="1380" w:left="1680" w:header="0" w:footer="1195"/>
          <w:pgNumType w:start="7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9"/>
        </w:numPr>
        <w:tabs>
          <w:tab w:val="left" w:pos="540"/>
        </w:tabs>
        <w:spacing w:before="60" w:after="0" w:line="240" w:lineRule="auto"/>
        <w:ind w:left="540" w:right="0" w:hanging="420"/>
        <w:jc w:val="left"/>
        <w:rPr>
          <w:sz w:val="28"/>
        </w:rPr>
      </w:pPr>
      <w:r>
        <w:rPr>
          <w:spacing w:val="-4"/>
          <w:sz w:val="28"/>
        </w:rPr>
        <w:t>开放性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before="1" w:line="417" w:lineRule="auto"/>
        <w:ind w:left="120" w:right="238"/>
      </w:pPr>
      <w:r>
        <w:rPr>
          <w:spacing w:val="-2"/>
        </w:rPr>
        <w:t>先进的化工标准体系注重与其他行业和国际标准体系的交流与合作，</w:t>
      </w:r>
      <w:r>
        <w:rPr>
          <w:spacing w:val="-7"/>
        </w:rPr>
        <w:t>以便更好地借鉴和吸收先进的技术和经验，促进本国化工标准的国际</w:t>
      </w:r>
      <w:r>
        <w:rPr>
          <w:spacing w:val="-2"/>
        </w:rPr>
        <w:t xml:space="preserve"> </w:t>
      </w:r>
      <w:r>
        <w:rPr>
          <w:spacing w:val="-4"/>
        </w:rPr>
        <w:t>化进程。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4"/>
        </w:rPr>
        <w:t>总结：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7"/>
        </w:rPr>
        <w:t>先进的化工标准体系以其科学的架构和显著的特点，在化学工业领域</w:t>
      </w:r>
      <w:r>
        <w:rPr>
          <w:spacing w:val="-4"/>
        </w:rPr>
        <w:t>发挥着重要作用。它为推动化工行业的技术创新、提高产品质量、保</w:t>
      </w:r>
      <w:r>
        <w:rPr>
          <w:spacing w:val="-4"/>
        </w:rPr>
        <w:t>障安全生产和环境保护等方面做出了重要贡献。然而，随着全球化和</w:t>
      </w:r>
      <w:r>
        <w:rPr>
          <w:spacing w:val="-4"/>
        </w:rPr>
        <w:t>信息化的发展，化工标准体系也面临着新的挑战。因此，我们需要不</w:t>
      </w:r>
      <w:r>
        <w:rPr>
          <w:spacing w:val="-2"/>
        </w:rPr>
        <w:t>断探索和完善标准体系，以应对未来的机遇和挑战。</w:t>
      </w:r>
    </w:p>
    <w:p>
      <w:pPr>
        <w:pStyle w:val="BodyText"/>
      </w:pPr>
    </w:p>
    <w:p>
      <w:pPr>
        <w:pStyle w:val="Heading1"/>
      </w:pPr>
      <w:bookmarkStart w:id="3" w:name="_TOC_250006"/>
      <w:r>
        <w:t>第四部分</w:t>
      </w:r>
      <w:r>
        <w:rPr>
          <w:spacing w:val="216"/>
          <w:w w:val="150"/>
        </w:rPr>
        <w:t xml:space="preserve"> </w:t>
      </w:r>
      <w:bookmarkEnd w:id="3"/>
      <w:r>
        <w:rPr>
          <w:spacing w:val="-1"/>
        </w:rPr>
        <w:t>国内外先进伦理协议对比分析</w:t>
      </w:r>
    </w:p>
    <w:p>
      <w:pPr>
        <w:pStyle w:val="BodyText"/>
        <w:spacing w:before="4"/>
        <w:rPr>
          <w:rFonts w:ascii="Microsoft JhengHei"/>
          <w:b/>
          <w:sz w:val="23"/>
        </w:rPr>
      </w:pPr>
    </w:p>
    <w:p>
      <w:pPr>
        <w:pStyle w:val="BodyText"/>
        <w:spacing w:line="417" w:lineRule="auto"/>
        <w:ind w:left="120" w:right="285" w:firstLine="560"/>
      </w:pPr>
      <w:r>
        <w:rPr>
          <w:spacing w:val="-6"/>
        </w:rPr>
        <w:t>在当前全球科技飞速发展的背景下，伦理协议作为保障科技创新</w:t>
      </w:r>
      <w:r>
        <w:rPr>
          <w:spacing w:val="-12"/>
        </w:rPr>
        <w:t>和社会发展的重要工具，对于推动科技进步、保护个人隐私以及维护</w:t>
      </w:r>
      <w:r>
        <w:rPr>
          <w:spacing w:val="-18"/>
        </w:rPr>
        <w:t>社会稳定具有重要意义。本文将对国内外先进伦理协议进行对比分析。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一、国内先进伦理协议</w:t>
      </w:r>
    </w:p>
    <w:p>
      <w:pPr>
        <w:spacing w:after="0"/>
        <w:sectPr>
          <w:footerReference w:type="default" r:id="rId12"/>
          <w:pgSz w:w="11910" w:h="16840"/>
          <w:pgMar w:top="1920" w:right="1280" w:bottom="1380" w:left="1680" w:header="0" w:footer="1195"/>
          <w:pgNumType w:start="8"/>
          <w:cols w:space="708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BodyText"/>
        <w:spacing w:before="60" w:line="417" w:lineRule="auto"/>
        <w:ind w:left="120" w:right="518"/>
        <w:jc w:val="both"/>
      </w:pPr>
      <w:r>
        <w:rPr>
          <w:spacing w:val="-4"/>
        </w:rPr>
        <w:t>在国内，伦理协议的制定和实施主要由政府和相关行业协会主导。近</w:t>
      </w:r>
      <w:r>
        <w:rPr>
          <w:spacing w:val="-4"/>
        </w:rPr>
        <w:t>年来，随着人工智能、大数据等新兴技术的发展，我国政府及相关部</w:t>
      </w:r>
      <w:r>
        <w:rPr>
          <w:spacing w:val="-2"/>
        </w:rPr>
        <w:t>门发布了一系列关于科技伦理的规定和指导意见。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518"/>
        <w:jc w:val="both"/>
      </w:pPr>
      <w:r>
        <w:t>例如，</w:t>
      </w:r>
      <w:r>
        <w:rPr>
          <w:rFonts w:ascii="仿宋" w:eastAsia="仿宋"/>
        </w:rPr>
        <w:t>2019</w:t>
      </w:r>
      <w:r>
        <w:rPr>
          <w:rFonts w:ascii="仿宋" w:eastAsia="仿宋"/>
          <w:spacing w:val="-35"/>
        </w:rPr>
        <w:t xml:space="preserve"> </w:t>
      </w:r>
      <w:r>
        <w:rPr>
          <w:spacing w:val="-18"/>
        </w:rPr>
        <w:t xml:space="preserve">年 </w:t>
      </w:r>
      <w:r>
        <w:rPr>
          <w:rFonts w:ascii="仿宋" w:eastAsia="仿宋"/>
        </w:rPr>
        <w:t>8</w:t>
      </w:r>
      <w:r>
        <w:rPr>
          <w:rFonts w:ascii="仿宋" w:eastAsia="仿宋"/>
          <w:spacing w:val="-35"/>
        </w:rPr>
        <w:t xml:space="preserve"> </w:t>
      </w:r>
      <w:r>
        <w:t>月，国家卫生健康委员会发布了《医学科研诚信和</w:t>
      </w:r>
      <w:r>
        <w:rPr>
          <w:spacing w:val="-14"/>
        </w:rPr>
        <w:t>相关行为规范》，规定了医学科研活动中应当遵守的行为准则，包括</w:t>
      </w:r>
      <w:r>
        <w:t xml:space="preserve">科研诚信、科研数据管理等方面的内容。此外，中国科学院于 </w:t>
      </w:r>
      <w:r>
        <w:rPr>
          <w:rFonts w:ascii="仿宋" w:eastAsia="仿宋"/>
        </w:rPr>
        <w:t>2017</w:t>
      </w:r>
      <w:r>
        <w:rPr>
          <w:spacing w:val="-4"/>
        </w:rPr>
        <w:t>年发布了《中国科学院科技伦理审查办法（试行</w:t>
      </w:r>
      <w:r>
        <w:rPr>
          <w:spacing w:val="-140"/>
        </w:rPr>
        <w:t>）</w:t>
      </w:r>
      <w:r>
        <w:rPr>
          <w:spacing w:val="-21"/>
        </w:rPr>
        <w:t>》，明确了科技伦理</w:t>
      </w:r>
      <w:r>
        <w:rPr>
          <w:spacing w:val="-2"/>
        </w:rPr>
        <w:t>审查的程序和要求。</w:t>
      </w:r>
    </w:p>
    <w:p>
      <w:pPr>
        <w:pStyle w:val="BodyText"/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 w:line="417" w:lineRule="auto"/>
        <w:ind w:left="120" w:right="518"/>
        <w:jc w:val="both"/>
      </w:pPr>
      <w:r>
        <w:rPr>
          <w:spacing w:val="-4"/>
        </w:rPr>
        <w:t>除此之外，一些行业组织也制定了相应的伦理指南。例如，中国人工</w:t>
      </w:r>
      <w:r>
        <w:rPr>
          <w:spacing w:val="-10"/>
        </w:rPr>
        <w:t xml:space="preserve">智能产业发展联盟于 </w:t>
      </w:r>
      <w:r>
        <w:rPr>
          <w:rFonts w:ascii="仿宋" w:eastAsia="仿宋"/>
          <w:spacing w:val="-8"/>
        </w:rPr>
        <w:t>2019</w:t>
      </w:r>
      <w:r>
        <w:rPr>
          <w:rFonts w:ascii="仿宋" w:eastAsia="仿宋"/>
          <w:spacing w:val="-27"/>
        </w:rPr>
        <w:t xml:space="preserve"> </w:t>
      </w:r>
      <w:r>
        <w:rPr>
          <w:spacing w:val="-8"/>
        </w:rPr>
        <w:t>年发布了《</w:t>
      </w:r>
      <w:r>
        <w:rPr>
          <w:rFonts w:ascii="仿宋" w:eastAsia="仿宋"/>
          <w:spacing w:val="-8"/>
        </w:rPr>
        <w:t>AI</w:t>
      </w:r>
      <w:r>
        <w:rPr>
          <w:rFonts w:ascii="仿宋" w:eastAsia="仿宋"/>
          <w:spacing w:val="-27"/>
        </w:rPr>
        <w:t xml:space="preserve"> </w:t>
      </w:r>
      <w:r>
        <w:rPr>
          <w:spacing w:val="-24"/>
        </w:rPr>
        <w:t xml:space="preserve">伦理倡议书》，强调了 </w:t>
      </w:r>
      <w:r>
        <w:rPr>
          <w:rFonts w:ascii="仿宋" w:eastAsia="仿宋"/>
          <w:spacing w:val="-8"/>
        </w:rPr>
        <w:t>AI</w:t>
      </w:r>
      <w:r>
        <w:rPr>
          <w:rFonts w:ascii="仿宋" w:eastAsia="仿宋"/>
          <w:spacing w:val="-27"/>
        </w:rPr>
        <w:t xml:space="preserve"> </w:t>
      </w:r>
      <w:r>
        <w:rPr>
          <w:spacing w:val="-8"/>
        </w:rPr>
        <w:t>领</w:t>
      </w:r>
      <w:r>
        <w:rPr>
          <w:spacing w:val="-2"/>
        </w:rPr>
        <w:t>域应当遵循的原则和准则，包括公平、透明、可控等。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二、国外先进伦理协议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</w:pPr>
      <w:r>
        <w:rPr>
          <w:spacing w:val="-4"/>
        </w:rPr>
        <w:t>在国外，伦理协议的制定和实施主体更多样化，除了政府和相关机构</w:t>
      </w:r>
      <w:r>
        <w:rPr>
          <w:spacing w:val="-2"/>
        </w:rPr>
        <w:t>外，还包括学术界、企业界以及非政府组织等。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518"/>
      </w:pPr>
      <w:r>
        <w:rPr>
          <w:spacing w:val="-2"/>
        </w:rPr>
        <w:t>以美国为例，其科技伦理规定主要体现在法律法规中。例如，</w:t>
      </w:r>
      <w:r>
        <w:rPr>
          <w:rFonts w:ascii="仿宋" w:eastAsia="仿宋"/>
          <w:spacing w:val="-2"/>
        </w:rPr>
        <w:t>1974</w:t>
      </w:r>
      <w:r>
        <w:rPr>
          <w:spacing w:val="-14"/>
        </w:rPr>
        <w:t>年的《健康保险流通与责任法案》</w:t>
      </w:r>
      <w:r>
        <w:rPr>
          <w:spacing w:val="-4"/>
        </w:rPr>
        <w:t>（</w:t>
      </w:r>
      <w:r>
        <w:rPr>
          <w:rFonts w:ascii="仿宋" w:eastAsia="仿宋"/>
          <w:spacing w:val="-4"/>
        </w:rPr>
        <w:t>HIPAA</w:t>
      </w:r>
      <w:r>
        <w:rPr>
          <w:spacing w:val="-4"/>
        </w:rPr>
        <w:t>）</w:t>
      </w:r>
      <w:r>
        <w:rPr>
          <w:spacing w:val="-5"/>
        </w:rPr>
        <w:t>规定了医疗信息的管理和</w:t>
      </w:r>
    </w:p>
    <w:p>
      <w:pPr>
        <w:spacing w:after="0" w:line="417" w:lineRule="auto"/>
        <w:sectPr>
          <w:footerReference w:type="default" r:id="rId13"/>
          <w:pgSz w:w="11910" w:h="16840"/>
          <w:pgMar w:top="1920" w:right="1280" w:bottom="1380" w:left="1680" w:header="0" w:footer="1195"/>
          <w:pgNumType w:start="9"/>
          <w:cols w:space="708"/>
        </w:sectPr>
      </w:pPr>
    </w:p>
    <w:p>
      <w:pPr>
        <w:pStyle w:val="BodyText"/>
        <w:spacing w:before="37" w:line="417" w:lineRule="auto"/>
        <w:ind w:left="120" w:right="518"/>
        <w:jc w:val="both"/>
      </w:pPr>
      <w:r>
        <w:rPr>
          <w:spacing w:val="-4"/>
        </w:rPr>
        <w:t>使用，旨在保护患者的隐私权。此外，联邦政府还成立了专门的科技</w:t>
      </w:r>
      <w:r>
        <w:rPr>
          <w:spacing w:val="-4"/>
        </w:rPr>
        <w:t>伦理委员会，如总统科学技术顾问委员会下设的伦理委员会，负责审</w:t>
      </w:r>
      <w:r>
        <w:rPr>
          <w:spacing w:val="-2"/>
        </w:rPr>
        <w:t>查新技术的影响并提出建议。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2"/>
        </w:rPr>
        <w:t xml:space="preserve">欧洲在科技伦理方面也有严格的规范。例如，欧洲议会和理事会于 </w:t>
      </w:r>
      <w:r>
        <w:rPr>
          <w:rFonts w:ascii="仿宋" w:eastAsia="仿宋"/>
          <w:spacing w:val="-4"/>
        </w:rPr>
        <w:t xml:space="preserve">2016 </w:t>
      </w:r>
      <w:r>
        <w:rPr>
          <w:spacing w:val="-14"/>
        </w:rPr>
        <w:t>年通过了《一般数据保护条例》</w:t>
      </w:r>
      <w:r>
        <w:rPr>
          <w:spacing w:val="18"/>
        </w:rPr>
        <w:t>（</w:t>
      </w:r>
      <w:r>
        <w:rPr>
          <w:rFonts w:ascii="仿宋" w:eastAsia="仿宋"/>
          <w:spacing w:val="14"/>
        </w:rPr>
        <w:t>GDPR</w:t>
      </w:r>
      <w:r>
        <w:rPr>
          <w:spacing w:val="-122"/>
        </w:rPr>
        <w:t>）</w:t>
      </w:r>
      <w:r>
        <w:rPr>
          <w:spacing w:val="-4"/>
        </w:rPr>
        <w:t>，为欧盟内的个人信息</w:t>
      </w:r>
      <w:r>
        <w:rPr>
          <w:spacing w:val="-4"/>
        </w:rPr>
        <w:t>保护提供了统一的标准。此外，欧盟还成立了道德委员会，负责评估</w:t>
      </w:r>
      <w:r>
        <w:rPr>
          <w:spacing w:val="-2"/>
        </w:rPr>
        <w:t>新的科技项目是否符合伦理标准。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1"/>
        </w:rPr>
        <w:t>三、国内外先进伦理协议对比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</w:pPr>
      <w:r>
        <w:rPr>
          <w:spacing w:val="-4"/>
        </w:rPr>
        <w:t>从对比来看，国内外的先进伦理协议都重视科技伦理的重要性，并且</w:t>
      </w:r>
      <w:r>
        <w:rPr>
          <w:spacing w:val="-2"/>
        </w:rPr>
        <w:t>在实践中逐步完善。但在具体规定上存在一些差异。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 w:line="417" w:lineRule="auto"/>
        <w:ind w:left="120" w:right="518"/>
      </w:pPr>
      <w:r>
        <w:rPr>
          <w:spacing w:val="-4"/>
        </w:rPr>
        <w:t>首先，在制定主体上，国内主要由政府和相关协会主导，而国外则更</w:t>
      </w:r>
      <w:r>
        <w:rPr>
          <w:spacing w:val="-2"/>
        </w:rPr>
        <w:t>加多元化，包括政府、学术界、企业界以及非政府组织等。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其次，在内容上，国内的伦理协议更注重科研诚信和数据管理等方面</w:t>
      </w:r>
      <w:r>
        <w:rPr>
          <w:spacing w:val="-4"/>
        </w:rPr>
        <w:t>的规范，而国外的伦理协议则更加强调保护个人隐私和权益，以及对</w:t>
      </w:r>
      <w:r>
        <w:rPr>
          <w:spacing w:val="-2"/>
        </w:rPr>
        <w:t>新技术的社会影响进行全面评估。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120"/>
      </w:pPr>
      <w:r>
        <w:rPr>
          <w:spacing w:val="-5"/>
        </w:rPr>
        <w:t>最后，在执行力度上，由于法律体系和文化背景的不同，国内外的伦</w:t>
      </w:r>
    </w:p>
    <w:p>
      <w:pPr>
        <w:spacing w:after="0"/>
        <w:sectPr>
          <w:footerReference w:type="default" r:id="rId14"/>
          <w:pgSz w:w="11910" w:h="16840"/>
          <w:pgMar w:top="1520" w:right="1280" w:bottom="1380" w:left="1680" w:header="0" w:footer="1195"/>
          <w:pgNumType w:start="10"/>
          <w:cols w:space="708"/>
        </w:sectPr>
      </w:pPr>
    </w:p>
    <w:p>
      <w:pPr>
        <w:pStyle w:val="BodyText"/>
        <w:spacing w:before="37" w:line="417" w:lineRule="auto"/>
        <w:ind w:left="120" w:right="238"/>
      </w:pPr>
      <w:r>
        <w:t>理协议在实际执行中可能存在一定的差距。例如，</w:t>
      </w:r>
      <w:r>
        <w:rPr>
          <w:rFonts w:ascii="仿宋" w:eastAsia="仿宋"/>
        </w:rPr>
        <w:t>GDPR</w:t>
      </w:r>
      <w:r>
        <w:rPr>
          <w:rFonts w:ascii="仿宋" w:eastAsia="仿宋"/>
          <w:spacing w:val="-41"/>
        </w:rPr>
        <w:t xml:space="preserve"> </w:t>
      </w:r>
      <w:r>
        <w:t>的执行力度</w:t>
      </w:r>
      <w:r>
        <w:t xml:space="preserve"> </w:t>
      </w:r>
      <w:r>
        <w:rPr>
          <w:spacing w:val="-2"/>
        </w:rPr>
        <w:t>相对较强，违反规定的处罚较为严厉；而在国内，尽管有相关规定，</w:t>
      </w:r>
      <w:r>
        <w:rPr>
          <w:spacing w:val="-2"/>
        </w:rPr>
        <w:t>但实际执行情况可能因地域和行业不同而有所差异。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left="120"/>
      </w:pPr>
      <w:r>
        <w:rPr>
          <w:spacing w:val="-3"/>
        </w:rPr>
        <w:t>四、结论</w:t>
      </w:r>
    </w:p>
    <w:p>
      <w:pPr>
        <w:pStyle w:val="BodyText"/>
      </w:pPr>
    </w:p>
    <w:p>
      <w:pPr>
        <w:pStyle w:val="BodyText"/>
        <w:spacing w:before="5"/>
        <w:rPr>
          <w:sz w:val="41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8"/>
        </w:rPr>
        <w:t>通过对国内外先进伦理协议的对比分析，可以看出科技伦理在全球范</w:t>
      </w:r>
      <w:r>
        <w:rPr>
          <w:spacing w:val="-11"/>
        </w:rPr>
        <w:t>围内都受到了广泛关注，并且各国都在积极探索和完善自己的伦理规</w:t>
      </w:r>
      <w:r>
        <w:rPr>
          <w:spacing w:val="-4"/>
        </w:rPr>
        <w:t>范。这不仅有利于保障科技创新的健康发展，也是实现可持续发展目</w:t>
      </w:r>
      <w:r>
        <w:rPr>
          <w:spacing w:val="-2"/>
        </w:rPr>
        <w:t>标的重要手段之一。</w:t>
      </w:r>
    </w:p>
    <w:p>
      <w:pPr>
        <w:pStyle w:val="BodyText"/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spacing w:line="417" w:lineRule="auto"/>
        <w:ind w:left="120" w:right="518"/>
        <w:jc w:val="both"/>
      </w:pPr>
      <w:r>
        <w:rPr>
          <w:spacing w:val="-4"/>
        </w:rPr>
        <w:t>未来，随着科技的不断进步和全球化进程的加速，伦理协议将进一步</w:t>
      </w:r>
      <w:r>
        <w:rPr>
          <w:spacing w:val="-4"/>
        </w:rPr>
        <w:t>发展和完善。我们期待看到更多的国际交流和合作，共同推动科技伦</w:t>
      </w:r>
      <w:r>
        <w:rPr>
          <w:spacing w:val="-2"/>
        </w:rPr>
        <w:t>理的发展，为人类社会的进步做出贡献。</w:t>
      </w:r>
    </w:p>
    <w:p>
      <w:pPr>
        <w:pStyle w:val="BodyText"/>
      </w:pPr>
    </w:p>
    <w:p>
      <w:pPr>
        <w:pStyle w:val="Heading1"/>
        <w:spacing w:before="238"/>
      </w:pPr>
      <w:bookmarkStart w:id="4" w:name="_TOC_250005"/>
      <w:r>
        <w:t>第五部分</w:t>
      </w:r>
      <w:r>
        <w:rPr>
          <w:spacing w:val="216"/>
          <w:w w:val="150"/>
        </w:rPr>
        <w:t xml:space="preserve"> </w:t>
      </w:r>
      <w:bookmarkEnd w:id="4"/>
      <w:r>
        <w:rPr>
          <w:spacing w:val="-1"/>
        </w:rPr>
        <w:t>先进繧协议的制定原则和流程</w:t>
      </w:r>
    </w:p>
    <w:p>
      <w:pPr>
        <w:pStyle w:val="BodyText"/>
        <w:spacing w:before="3"/>
        <w:rPr>
          <w:rFonts w:ascii="Microsoft JhengHei"/>
          <w:b/>
          <w:sz w:val="23"/>
        </w:rPr>
      </w:pPr>
    </w:p>
    <w:p>
      <w:pPr>
        <w:pStyle w:val="BodyText"/>
        <w:spacing w:line="417" w:lineRule="auto"/>
        <w:ind w:left="120" w:right="518" w:firstLine="560"/>
        <w:jc w:val="both"/>
      </w:pPr>
      <w:r>
        <w:rPr>
          <w:spacing w:val="-2"/>
        </w:rPr>
        <w:t>在现代信息社会中，先进的繧协议（以下简称</w:t>
      </w:r>
      <w:r>
        <w:rPr>
          <w:rFonts w:ascii="仿宋" w:eastAsia="仿宋" w:hAnsi="仿宋"/>
          <w:spacing w:val="-2"/>
        </w:rPr>
        <w:t>“</w:t>
      </w:r>
      <w:r>
        <w:rPr>
          <w:spacing w:val="-2"/>
        </w:rPr>
        <w:t>先进协议</w:t>
      </w:r>
      <w:r>
        <w:rPr>
          <w:rFonts w:ascii="仿宋" w:eastAsia="仿宋" w:hAnsi="仿宋"/>
          <w:spacing w:val="-140"/>
        </w:rPr>
        <w:t>”</w:t>
      </w:r>
      <w:r>
        <w:rPr>
          <w:spacing w:val="1"/>
        </w:rPr>
        <w:t>）</w:t>
      </w:r>
      <w:r>
        <w:rPr>
          <w:spacing w:val="-2"/>
        </w:rPr>
        <w:t>作</w:t>
      </w:r>
      <w:r>
        <w:rPr>
          <w:spacing w:val="-10"/>
        </w:rPr>
        <w:t>为信息技术的重要组成部分，其标准化的推进对于促进信息技术的发</w:t>
      </w:r>
      <w:r>
        <w:rPr>
          <w:spacing w:val="-4"/>
        </w:rPr>
        <w:t>展、提高信息系统的安全性和可靠性具有重要意义。本文将从制定原</w:t>
      </w:r>
      <w:r>
        <w:rPr>
          <w:spacing w:val="-2"/>
        </w:rPr>
        <w:t>则和流程两个方面介绍先进协议标准化的过程。</w:t>
      </w:r>
    </w:p>
    <w:p>
      <w:pPr>
        <w:spacing w:after="0" w:line="417" w:lineRule="auto"/>
        <w:jc w:val="both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https://d.book118.com/078042050065006043</w:t>
        </w:r>
      </w:hyperlink>
    </w:p>
    <w:p>
      <w:pPr>
        <w:spacing w:after="0" w:line="417" w:lineRule="auto"/>
        <w:jc w:val="both"/>
      </w:pPr>
    </w:p>
    <w:sectPr>
      <w:footerReference w:type="default" r:id="rId16"/>
      <w:pgSz w:w="11910" w:h="16840"/>
      <w:pgMar w:top="1520" w:right="1280" w:bottom="1380" w:left="1680" w:header="0" w:footer="1195"/>
      <w:pgNumType w:start="1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Calibri">
    <w:altName w:val="Calibri"/>
    <w:charset w:val="00"/>
    <w:family w:val="swiss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8pt;height:11pt;margin-top:771.15pt;margin-left:28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1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8pt;height:11pt;margin-top:771.15pt;margin-left:28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10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8pt;height:11pt;margin-top:771.15pt;margin-left:28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11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8pt;height:11pt;margin-top:771.15pt;margin-left:28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2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8pt;height:11pt;margin-top:771.15pt;margin-left:28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3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8pt;height:11pt;margin-top:771.15pt;margin-left:28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4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8pt;height:11pt;margin-top:771.15pt;margin-left:28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5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8pt;height:11pt;margin-top:771.15pt;margin-left:28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6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8pt;height:11pt;margin-top:771.15pt;margin-left:28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7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8pt;height:11pt;margin-top:771.15pt;margin-left:28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8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8pt;height:11pt;margin-top:771.15pt;margin-left:28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0" w:line="203" w:lineRule="exact"/>
                  <w:ind w:left="60" w:right="0" w:firstLine="0"/>
                  <w:jc w:val="left"/>
                  <w:rPr>
                    <w:rFonts w:ascii="Calibri"/>
                    <w:b/>
                    <w:sz w:val="18"/>
                  </w:rPr>
                </w:pPr>
                <w:r>
                  <w:rPr>
                    <w:rFonts w:ascii="Calibri"/>
                    <w:b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Calibri"/>
                    <w:b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z w:val="18"/>
                  </w:rPr>
                  <w:t>9</w:t>
                </w:r>
                <w:r>
                  <w:rPr>
                    <w:rFonts w:ascii="Calibri"/>
                    <w:b/>
                    <w:sz w:val="18"/>
                  </w:rPr>
                  <w:fldChar w:fldCharType="end"/>
                </w:r>
                <w:r>
                  <w:rPr>
                    <w:rFonts w:ascii="Calibri"/>
                    <w:b/>
                    <w:sz w:val="18"/>
                  </w:rPr>
                  <w:t xml:space="preserve"> </w:t>
                </w:r>
                <w:r>
                  <w:rPr>
                    <w:rFonts w:ascii="Calibri"/>
                    <w:sz w:val="18"/>
                  </w:rPr>
                  <w:t>/</w:t>
                </w:r>
                <w:r>
                  <w:rPr>
                    <w:rFonts w:ascii="Calibri"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t>11</w:t>
                </w:r>
                <w:r>
                  <w:rPr>
                    <w:rFonts w:ascii="Calibri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7A8498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1">
    <w:nsid w:val="0E9608D6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2">
    <w:nsid w:val="13748C25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3">
    <w:nsid w:val="298B7C9F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0"/>
      </w:pPr>
      <w:rPr>
        <w:rFonts w:hint="default"/>
        <w:lang w:val="en-US" w:eastAsia="zh-CN" w:bidi="ar-SA"/>
      </w:rPr>
    </w:lvl>
  </w:abstractNum>
  <w:abstractNum w:abstractNumId="4">
    <w:nsid w:val="46EA3D24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5">
    <w:nsid w:val="5323642B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6">
    <w:nsid w:val="5D8B61E7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0"/>
      </w:pPr>
      <w:rPr>
        <w:rFonts w:hint="default"/>
        <w:lang w:val="en-US" w:eastAsia="zh-CN" w:bidi="ar-SA"/>
      </w:rPr>
    </w:lvl>
  </w:abstractNum>
  <w:abstractNum w:abstractNumId="7">
    <w:nsid w:val="609F9B4C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8">
    <w:nsid w:val="6BB0EDB0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9">
    <w:nsid w:val="6FD573DE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-"/>
      <w:lvlJc w:val="left"/>
      <w:pPr>
        <w:ind w:left="120" w:hanging="280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74" w:hanging="28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408" w:hanging="28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342" w:hanging="28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276" w:hanging="28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210" w:hanging="28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144" w:hanging="28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078" w:hanging="280"/>
      </w:pPr>
      <w:rPr>
        <w:rFonts w:hint="default"/>
        <w:lang w:val="en-US" w:eastAsia="zh-CN" w:bidi="ar-SA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en-US" w:eastAsia="zh-CN" w:bidi="ar-SA"/>
    </w:rPr>
  </w:style>
  <w:style w:type="paragraph" w:styleId="Heading1">
    <w:name w:val="heading 1"/>
    <w:basedOn w:val="Normal"/>
    <w:uiPriority w:val="1"/>
    <w:qFormat/>
    <w:pPr>
      <w:spacing w:before="237"/>
      <w:ind w:left="120"/>
      <w:jc w:val="both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宋体" w:eastAsia="宋体" w:hAnsi="宋体" w:cs="宋体"/>
      <w:i/>
      <w:iCs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2370" w:right="2589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540" w:hanging="420"/>
    </w:pPr>
    <w:rPr>
      <w:rFonts w:ascii="宋体" w:eastAsia="宋体" w:hAnsi="宋体" w:cs="宋体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rPr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hyperlink" Target="https://d.book118.com/078042050065006043" TargetMode="External" /><Relationship Id="rId16" Type="http://schemas.openxmlformats.org/officeDocument/2006/relationships/footer" Target="footer11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2024-03-05T05:12:12Z</dcterms:created>
  <dcterms:modified xsi:type="dcterms:W3CDTF">2024-03-05T05:12:12Z</dcterms:modified>
</cp:coreProperties>
</file>