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before="156" w:beforeLines="50" w:after="156" w:afterLines="50"/>
        <w:rPr>
          <w:rFonts w:ascii="ˎ̥" w:hAnsi="ˎ̥" w:cs="宋体"/>
          <w:color w:val="AF0E0A"/>
          <w:szCs w:val="21"/>
        </w:rPr>
      </w:pPr>
    </w:p>
    <w:p>
      <w:pPr>
        <w:spacing w:before="156" w:beforeLines="50" w:after="156" w:afterLines="50"/>
        <w:rPr>
          <w:rFonts w:ascii="ˎ̥" w:hAnsi="ˎ̥" w:cs="宋体"/>
          <w:color w:val="AF0E0A"/>
          <w:szCs w:val="21"/>
        </w:rPr>
      </w:pPr>
    </w:p>
    <w:p>
      <w:pPr>
        <w:spacing w:before="156" w:beforeLines="50" w:after="156" w:afterLines="50"/>
        <w:rPr>
          <w:rFonts w:ascii="ˎ̥" w:hAnsi="ˎ̥" w:cs="宋体"/>
          <w:color w:val="AF0E0A"/>
          <w:szCs w:val="21"/>
        </w:rPr>
      </w:pPr>
    </w:p>
    <w:p>
      <w:pPr>
        <w:spacing w:before="156" w:beforeLines="50" w:after="156" w:afterLines="50"/>
        <w:rPr>
          <w:rFonts w:ascii="ˎ̥" w:hAnsi="ˎ̥" w:cs="宋体"/>
          <w:color w:val="AF0E0A"/>
          <w:szCs w:val="21"/>
        </w:rPr>
      </w:pPr>
    </w:p>
    <w:p>
      <w:pPr>
        <w:spacing w:before="156" w:beforeLines="50" w:after="156" w:afterLines="50"/>
        <w:rPr>
          <w:rFonts w:ascii="ˎ̥" w:hAnsi="ˎ̥" w:cs="宋体"/>
          <w:color w:val="AF0E0A"/>
          <w:szCs w:val="21"/>
        </w:rPr>
      </w:pPr>
    </w:p>
    <w:p>
      <w:pPr>
        <w:spacing w:before="156" w:beforeLines="50" w:after="156" w:afterLines="50"/>
        <w:rPr>
          <w:rFonts w:ascii="ˎ̥" w:hAnsi="ˎ̥" w:cs="宋体"/>
          <w:color w:val="AF0E0A"/>
          <w:szCs w:val="21"/>
        </w:rPr>
      </w:pPr>
    </w:p>
    <w:p>
      <w:pPr>
        <w:jc w:val="center"/>
        <w:rPr>
          <w:rFonts w:ascii="微软雅黑" w:eastAsia="微软雅黑" w:hAnsi="微软雅黑" w:cs="微软雅黑" w:hint="eastAsia"/>
          <w:b/>
          <w:bCs/>
          <w:sz w:val="52"/>
          <w:szCs w:val="72"/>
        </w:rPr>
      </w:pPr>
      <w:r>
        <w:rPr>
          <w:rFonts w:ascii="ˎ̥" w:hAnsi="ˎ̥" w:cs="宋体" w:hint="eastAsia"/>
          <w:color w:val="AF0E0A"/>
          <w:szCs w:val="21"/>
        </w:rPr>
        <w:t xml:space="preserve"> </w:t>
      </w:r>
      <w:r>
        <w:rPr>
          <w:rFonts w:ascii="微软雅黑" w:eastAsia="微软雅黑" w:hAnsi="微软雅黑" w:cs="微软雅黑" w:hint="eastAsia"/>
          <w:b/>
          <w:bCs/>
          <w:sz w:val="84"/>
          <w:szCs w:val="84"/>
          <w:lang w:eastAsia="zh-CN"/>
        </w:rPr>
        <w:t>BBGJ</w:t>
      </w:r>
    </w:p>
    <w:p>
      <w:pPr>
        <w:jc w:val="center"/>
        <w:rPr>
          <w:rFonts w:ascii="微软雅黑" w:eastAsia="微软雅黑" w:hAnsi="微软雅黑" w:cs="微软雅黑"/>
          <w:b/>
          <w:bCs/>
          <w:sz w:val="52"/>
          <w:szCs w:val="72"/>
        </w:rPr>
      </w:pPr>
      <w:r>
        <w:rPr>
          <w:rFonts w:ascii="微软雅黑" w:eastAsia="微软雅黑" w:hAnsi="微软雅黑" w:cs="微软雅黑" w:hint="eastAsia"/>
          <w:b/>
          <w:bCs/>
          <w:sz w:val="52"/>
          <w:szCs w:val="72"/>
        </w:rPr>
        <w:t>品牌定</w:t>
      </w:r>
      <w:bookmarkStart w:id="0" w:name="_GoBack"/>
      <w:bookmarkEnd w:id="0"/>
      <w:r>
        <w:rPr>
          <w:rFonts w:ascii="微软雅黑" w:eastAsia="微软雅黑" w:hAnsi="微软雅黑" w:cs="微软雅黑" w:hint="eastAsia"/>
          <w:b/>
          <w:bCs/>
          <w:sz w:val="52"/>
          <w:szCs w:val="72"/>
        </w:rPr>
        <w:t>位及营销策略</w:t>
      </w:r>
    </w:p>
    <w:p>
      <w:pPr>
        <w:jc w:val="both"/>
        <w:rPr>
          <w:b/>
          <w:sz w:val="28"/>
          <w:szCs w:val="28"/>
        </w:rPr>
      </w:pPr>
    </w:p>
    <w:p>
      <w:pPr>
        <w:jc w:val="center"/>
        <w:rPr>
          <w:b/>
          <w:sz w:val="28"/>
          <w:szCs w:val="28"/>
        </w:rPr>
      </w:pPr>
    </w:p>
    <w:p>
      <w:pPr>
        <w:jc w:val="center"/>
        <w:rPr>
          <w:b/>
          <w:sz w:val="28"/>
          <w:szCs w:val="28"/>
        </w:rPr>
      </w:pPr>
    </w:p>
    <w:p>
      <w:pPr>
        <w:jc w:val="center"/>
        <w:rPr>
          <w:rFonts w:ascii="隶书" w:eastAsia="隶书"/>
          <w:b/>
          <w:bCs/>
          <w:sz w:val="52"/>
          <w:szCs w:val="72"/>
        </w:rPr>
        <w:sectPr>
          <w:headerReference w:type="even" r:id="rId5"/>
          <w:headerReference w:type="default" r:id="rId6"/>
          <w:footerReference w:type="even" r:id="rId7"/>
          <w:footerReference w:type="default" r:id="rId8"/>
          <w:headerReference w:type="first" r:id="rId9"/>
          <w:footerReference w:type="first" r:id="rId10"/>
          <w:pgSz w:w="11906" w:h="16838"/>
          <w:pgMar w:top="1440" w:right="1800" w:bottom="1440" w:left="1800" w:header="851" w:footer="992" w:gutter="0"/>
          <w:cols w:num="1" w:space="425"/>
          <w:docGrid w:type="lines" w:linePitch="312" w:charSpace="0"/>
        </w:sectPr>
      </w:pPr>
    </w:p>
    <w:p>
      <w:pPr>
        <w:jc w:val="center"/>
        <w:rPr>
          <w:szCs w:val="21"/>
        </w:rPr>
      </w:pPr>
      <w:r>
        <w:rPr>
          <w:rFonts w:ascii="隶书" w:eastAsia="隶书" w:hint="eastAsia"/>
          <w:b/>
          <w:bCs/>
          <w:sz w:val="52"/>
          <w:szCs w:val="72"/>
        </w:rPr>
        <w:t>目录</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TOC \o "1-1" \h \z \u </w:instrText>
      </w:r>
      <w:r>
        <w:rPr>
          <w:rFonts w:ascii="仿宋_GB2312" w:eastAsia="仿宋_GB2312" w:hint="eastAsia"/>
        </w:rPr>
        <w:fldChar w:fldCharType="separate"/>
      </w:r>
      <w:hyperlink w:anchor="_Toc245611930" w:history="1">
        <w:r>
          <w:rPr>
            <w:rFonts w:ascii="仿宋_GB2312" w:eastAsia="仿宋_GB2312" w:hint="eastAsia"/>
            <w:b/>
            <w:bCs/>
          </w:rPr>
          <w:t>项目战略</w:t>
        </w:r>
        <w:r>
          <w:rPr>
            <w:rFonts w:ascii="仿宋_GB2312" w:eastAsia="仿宋_GB2312" w:hint="eastAsia"/>
            <w:b/>
            <w:bCs/>
          </w:rPr>
          <w:tab/>
        </w:r>
        <w:r>
          <w:rPr>
            <w:rFonts w:ascii="仿宋_GB2312" w:eastAsia="仿宋_GB2312" w:hint="eastAsia"/>
            <w:b/>
            <w:bCs/>
          </w:rPr>
          <w:t>1</w:t>
        </w:r>
      </w:hyperlink>
    </w:p>
    <w:p>
      <w:pPr>
        <w:pStyle w:val="TOC1"/>
        <w:tabs>
          <w:tab w:val="right" w:leader="dot" w:pos="8296"/>
        </w:tabs>
        <w:spacing w:before="156" w:beforeLines="50" w:after="156" w:afterLines="50"/>
        <w:rPr>
          <w:rFonts w:ascii="仿宋_GB2312" w:eastAsia="仿宋_GB2312"/>
        </w:rPr>
      </w:pPr>
      <w:hyperlink w:anchor="_Toc245611930" w:history="1">
        <w:r>
          <w:rPr>
            <w:rFonts w:ascii="仿宋_GB2312" w:eastAsia="仿宋_GB2312" w:hint="eastAsia"/>
          </w:rPr>
          <w:t>第一章 项目战略背景</w:t>
        </w:r>
        <w:r>
          <w:rPr>
            <w:rFonts w:ascii="仿宋_GB2312" w:eastAsia="仿宋_GB2312" w:hint="eastAsia"/>
          </w:rPr>
          <w:tab/>
        </w:r>
        <w:r>
          <w:rPr>
            <w:rFonts w:ascii="仿宋_GB2312" w:eastAsia="仿宋_GB2312" w:hint="eastAsia"/>
          </w:rPr>
          <w:t>1</w:t>
        </w:r>
      </w:hyperlink>
    </w:p>
    <w:p>
      <w:pPr>
        <w:pStyle w:val="TOC1"/>
        <w:tabs>
          <w:tab w:val="right" w:leader="dot" w:pos="8296"/>
        </w:tabs>
        <w:spacing w:before="156" w:beforeLines="50" w:after="156" w:afterLines="50"/>
        <w:rPr>
          <w:rFonts w:ascii="仿宋_GB2312" w:eastAsia="仿宋_GB2312"/>
        </w:rPr>
      </w:pPr>
      <w:hyperlink w:anchor="_Toc245611932" w:history="1">
        <w:r>
          <w:rPr>
            <w:rFonts w:ascii="仿宋_GB2312" w:eastAsia="仿宋_GB2312" w:hint="eastAsia"/>
          </w:rPr>
          <w:t>第二章 项目市场背景</w:t>
        </w:r>
        <w:r>
          <w:rPr>
            <w:rFonts w:ascii="仿宋_GB2312" w:eastAsia="仿宋_GB2312" w:hint="eastAsia"/>
          </w:rPr>
          <w:tab/>
        </w:r>
        <w:r>
          <w:rPr>
            <w:rFonts w:ascii="仿宋_GB2312" w:eastAsia="仿宋_GB2312" w:hint="eastAsia"/>
          </w:rPr>
          <w:t>1</w:t>
        </w:r>
      </w:hyperlink>
    </w:p>
    <w:p>
      <w:pPr>
        <w:pStyle w:val="TOC1"/>
        <w:tabs>
          <w:tab w:val="right" w:leader="dot" w:pos="8296"/>
        </w:tabs>
        <w:spacing w:before="156" w:beforeLines="50" w:after="156" w:afterLines="50"/>
        <w:rPr>
          <w:rFonts w:ascii="仿宋_GB2312" w:eastAsia="仿宋_GB2312"/>
        </w:rPr>
      </w:pPr>
      <w:hyperlink w:anchor="_Toc245611934" w:history="1">
        <w:r>
          <w:rPr>
            <w:rFonts w:ascii="仿宋_GB2312" w:eastAsia="仿宋_GB2312" w:hint="eastAsia"/>
          </w:rPr>
          <w:t xml:space="preserve">第三章 </w:t>
        </w:r>
        <w:r>
          <w:rPr>
            <w:rFonts w:ascii="仿宋_GB2312" w:eastAsia="仿宋_GB2312" w:hint="eastAsia"/>
            <w:lang w:eastAsia="zh-CN"/>
          </w:rPr>
          <w:t>BBGJ</w:t>
        </w:r>
        <w:r>
          <w:rPr>
            <w:rFonts w:ascii="仿宋_GB2312" w:eastAsia="仿宋_GB2312" w:hint="eastAsia"/>
          </w:rPr>
          <w:t>运营体系</w:t>
        </w:r>
        <w:r>
          <w:rPr>
            <w:rFonts w:ascii="仿宋_GB2312" w:eastAsia="仿宋_GB2312" w:hint="eastAsia"/>
          </w:rPr>
          <w:tab/>
        </w:r>
        <w:r>
          <w:rPr>
            <w:rFonts w:ascii="仿宋_GB2312" w:eastAsia="仿宋_GB2312" w:hint="eastAsia"/>
          </w:rPr>
          <w:t>3</w:t>
        </w:r>
      </w:hyperlink>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一、</w:t>
      </w:r>
      <w:r>
        <w:rPr>
          <w:rFonts w:ascii="仿宋_GB2312" w:eastAsia="仿宋_GB2312" w:hint="eastAsia"/>
          <w:lang w:eastAsia="zh-CN"/>
        </w:rPr>
        <w:t>BBGJ</w:t>
      </w:r>
      <w:r>
        <w:rPr>
          <w:rFonts w:ascii="仿宋_GB2312" w:eastAsia="仿宋_GB2312" w:hint="eastAsia"/>
        </w:rPr>
        <w:t>SDB抗衰老体系结构</w:t>
      </w:r>
      <w:hyperlink w:anchor="_Toc245611934" w:history="1">
        <w:r>
          <w:rPr>
            <w:rFonts w:ascii="仿宋_GB2312" w:eastAsia="仿宋_GB2312" w:hint="eastAsia"/>
          </w:rPr>
          <w:tab/>
        </w:r>
        <w:r>
          <w:rPr>
            <w:rFonts w:ascii="仿宋_GB2312" w:eastAsia="仿宋_GB2312" w:hint="eastAsia"/>
          </w:rPr>
          <w:t>3</w:t>
        </w:r>
      </w:hyperlink>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（一）、表层工作 → 表面年轻化 → 医疗美容</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（二）、基层工作 → 基础年轻化 → 健康管理</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（三）、深层工作 → 深度年轻化 → 逆龄抗衰老</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二、</w:t>
      </w:r>
      <w:r>
        <w:rPr>
          <w:rFonts w:ascii="仿宋_GB2312" w:eastAsia="仿宋_GB2312" w:hint="eastAsia"/>
          <w:lang w:eastAsia="zh-CN"/>
        </w:rPr>
        <w:t>BBGJ</w:t>
      </w:r>
      <w:r>
        <w:rPr>
          <w:rFonts w:ascii="仿宋_GB2312" w:eastAsia="仿宋_GB2312" w:hint="eastAsia"/>
        </w:rPr>
        <w:t>SDB抗衰老体系流程解析</w:t>
      </w:r>
      <w:hyperlink w:anchor="_Toc245611934" w:history="1">
        <w:r>
          <w:rPr>
            <w:rFonts w:ascii="仿宋_GB2312" w:eastAsia="仿宋_GB2312" w:hint="eastAsia"/>
          </w:rPr>
          <w:tab/>
        </w:r>
        <w:r>
          <w:rPr>
            <w:rFonts w:ascii="仿宋_GB2312" w:eastAsia="仿宋_GB2312" w:hint="eastAsia"/>
          </w:rPr>
          <w:t>6</w:t>
        </w:r>
      </w:hyperlink>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（一）、SDB抗衰老体系运行模式：PCDA循环</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（二）、SDB抗衰老体系操作流程</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（三）、</w:t>
      </w:r>
      <w:r>
        <w:rPr>
          <w:rFonts w:ascii="仿宋_GB2312" w:eastAsia="仿宋_GB2312"/>
        </w:rPr>
        <w:t>SDB</w:t>
      </w:r>
      <w:r>
        <w:rPr>
          <w:rFonts w:ascii="仿宋_GB2312" w:eastAsia="仿宋_GB2312" w:hint="eastAsia"/>
        </w:rPr>
        <w:t>抗衰老体系经营特色</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三、</w:t>
      </w:r>
      <w:r>
        <w:rPr>
          <w:rFonts w:ascii="仿宋_GB2312" w:eastAsia="仿宋_GB2312" w:hint="eastAsia"/>
          <w:lang w:eastAsia="zh-CN"/>
        </w:rPr>
        <w:t>BBGJ</w:t>
      </w:r>
      <w:r>
        <w:rPr>
          <w:rFonts w:ascii="仿宋_GB2312" w:eastAsia="仿宋_GB2312" w:hint="eastAsia"/>
        </w:rPr>
        <w:t>项目特色</w:t>
      </w:r>
      <w:hyperlink w:anchor="_Toc245611934" w:history="1">
        <w:r>
          <w:rPr>
            <w:rFonts w:ascii="仿宋_GB2312" w:eastAsia="仿宋_GB2312" w:hint="eastAsia"/>
          </w:rPr>
          <w:tab/>
        </w:r>
        <w:r>
          <w:rPr>
            <w:rFonts w:ascii="仿宋_GB2312" w:eastAsia="仿宋_GB2312" w:hint="eastAsia"/>
          </w:rPr>
          <w:t>7</w:t>
        </w:r>
      </w:hyperlink>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四、产品结构四大板块解析</w:t>
      </w:r>
      <w:hyperlink w:anchor="_Toc245611934" w:history="1">
        <w:r>
          <w:rPr>
            <w:rFonts w:ascii="仿宋_GB2312" w:eastAsia="仿宋_GB2312" w:hint="eastAsia"/>
          </w:rPr>
          <w:tab/>
        </w:r>
        <w:r>
          <w:rPr>
            <w:rFonts w:ascii="仿宋_GB2312" w:eastAsia="仿宋_GB2312" w:hint="eastAsia"/>
          </w:rPr>
          <w:t>8</w:t>
        </w:r>
      </w:hyperlink>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健康管理概念</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健康管理十大项目</w:t>
      </w:r>
      <w:r>
        <w:rPr>
          <w:rFonts w:ascii="仿宋_GB2312" w:eastAsia="仿宋_GB2312" w:hint="eastAsia"/>
        </w:rPr>
        <w:fldChar w:fldCharType="begin"/>
      </w:r>
      <w:r>
        <w:rPr>
          <w:rFonts w:ascii="仿宋_GB2312" w:eastAsia="仿宋_GB2312" w:hint="eastAsia"/>
        </w:rPr>
        <w:instrText xml:space="preserve"> HYPERLINK \l "_Toc245611934" </w:instrText>
      </w:r>
      <w:r>
        <w:rPr>
          <w:rFonts w:ascii="仿宋_GB2312" w:eastAsia="仿宋_GB2312" w:hint="eastAsia"/>
        </w:rPr>
        <w:fldChar w:fldCharType="separate"/>
      </w:r>
    </w:p>
    <w:p>
      <w:pPr>
        <w:pStyle w:val="TOC1"/>
        <w:tabs>
          <w:tab w:val="right" w:leader="dot" w:pos="8296"/>
        </w:tabs>
        <w:spacing w:before="156" w:beforeLines="50" w:after="156" w:afterLines="50"/>
        <w:rPr>
          <w:rFonts w:ascii="仿宋_GB2312" w:eastAsia="仿宋_GB2312"/>
        </w:rPr>
      </w:pPr>
      <w:r>
        <w:rPr>
          <w:rFonts w:ascii="仿宋_GB2312" w:eastAsia="仿宋_GB2312" w:hint="eastAsia"/>
          <w:b/>
          <w:bCs/>
        </w:rPr>
        <w:t>品牌战略</w:t>
      </w:r>
      <w:r>
        <w:rPr>
          <w:rFonts w:ascii="仿宋_GB2312" w:eastAsia="仿宋_GB2312" w:hint="eastAsia"/>
          <w:b/>
          <w:bCs/>
        </w:rPr>
        <w:tab/>
      </w:r>
      <w:r>
        <w:rPr>
          <w:rFonts w:ascii="仿宋_GB2312" w:eastAsia="仿宋_GB2312" w:hint="eastAsia"/>
          <w:b/>
          <w:bCs/>
        </w:rPr>
        <w:t>9</w:t>
      </w:r>
      <w:r>
        <w:rPr>
          <w:rFonts w:ascii="仿宋_GB2312" w:eastAsia="仿宋_GB2312" w:hint="eastAsia"/>
        </w:rPr>
        <w:fldChar w:fldCharType="end"/>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第四章 </w:t>
      </w:r>
      <w:r>
        <w:rPr>
          <w:rFonts w:ascii="仿宋_GB2312" w:eastAsia="仿宋_GB2312" w:hint="eastAsia"/>
          <w:lang w:eastAsia="zh-CN"/>
        </w:rPr>
        <w:t>BBGJ</w:t>
      </w:r>
      <w:r>
        <w:rPr>
          <w:rFonts w:ascii="仿宋_GB2312" w:eastAsia="仿宋_GB2312" w:hint="eastAsia"/>
        </w:rPr>
        <w:t>品牌</w:t>
      </w:r>
      <w:hyperlink w:anchor="_Toc245611934" w:history="1">
        <w:r>
          <w:rPr>
            <w:rFonts w:ascii="仿宋_GB2312" w:eastAsia="仿宋_GB2312" w:hint="eastAsia"/>
          </w:rPr>
          <w:t>策略</w:t>
        </w:r>
        <w:r>
          <w:rPr>
            <w:rFonts w:ascii="仿宋_GB2312" w:eastAsia="仿宋_GB2312" w:hint="eastAsia"/>
          </w:rPr>
          <w:tab/>
        </w:r>
        <w:r>
          <w:rPr>
            <w:rFonts w:ascii="仿宋_GB2312" w:eastAsia="仿宋_GB2312" w:hint="eastAsia"/>
          </w:rPr>
          <w:t>9</w:t>
        </w:r>
      </w:hyperlink>
    </w:p>
    <w:p>
      <w:pPr>
        <w:pStyle w:val="TOC1"/>
        <w:tabs>
          <w:tab w:val="right" w:leader="dot" w:pos="8296"/>
        </w:tabs>
        <w:spacing w:before="156" w:beforeLines="50" w:after="156" w:afterLines="50"/>
      </w:pPr>
      <w:r>
        <w:rPr>
          <w:rFonts w:ascii="仿宋_GB2312" w:eastAsia="仿宋_GB2312" w:hint="eastAsia"/>
        </w:rPr>
        <w:t xml:space="preserve">       一、医院品牌结构</w:t>
      </w:r>
      <w:hyperlink w:anchor="_Toc245611934" w:history="1">
        <w:r>
          <w:rPr>
            <w:rFonts w:ascii="仿宋_GB2312" w:eastAsia="仿宋_GB2312" w:hint="eastAsia"/>
          </w:rPr>
          <w:tab/>
        </w:r>
        <w:r>
          <w:rPr>
            <w:rFonts w:ascii="仿宋_GB2312" w:eastAsia="仿宋_GB2312" w:hint="eastAsia"/>
          </w:rPr>
          <w:t>9</w:t>
        </w:r>
      </w:hyperlink>
    </w:p>
    <w:p>
      <w:pPr>
        <w:pStyle w:val="TOC1"/>
        <w:tabs>
          <w:tab w:val="right" w:leader="dot" w:pos="8296"/>
        </w:tabs>
        <w:spacing w:before="156" w:beforeLines="50" w:after="156" w:afterLines="50"/>
        <w:rPr>
          <w:rFonts w:ascii="仿宋_GB2312" w:eastAsia="仿宋_GB2312"/>
        </w:rPr>
      </w:pPr>
      <w:r>
        <w:rPr>
          <w:rFonts w:ascii="仿宋_GB2312" w:eastAsia="仿宋_GB2312"/>
        </w:rPr>
        <w:t xml:space="preserve">   </w:t>
      </w:r>
      <w:r>
        <w:rPr>
          <w:rFonts w:ascii="仿宋_GB2312" w:eastAsia="仿宋_GB2312" w:hint="eastAsia"/>
        </w:rPr>
        <w:t xml:space="preserve">       </w:t>
      </w:r>
      <w:r>
        <w:rPr>
          <w:rFonts w:ascii="仿宋_GB2312" w:eastAsia="仿宋_GB2312"/>
        </w:rPr>
        <w:t xml:space="preserve"> 1</w:t>
      </w:r>
      <w:r>
        <w:rPr>
          <w:rFonts w:ascii="仿宋_GB2312" w:eastAsia="仿宋_GB2312" w:hint="eastAsia"/>
        </w:rPr>
        <w:t>、医疗服务品牌具有三个重要特征</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2、医院的品牌构成内容</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3、</w:t>
      </w:r>
      <w:r>
        <w:rPr>
          <w:rFonts w:ascii="仿宋_GB2312" w:eastAsia="仿宋_GB2312" w:hint="eastAsia"/>
          <w:lang w:eastAsia="zh-CN"/>
        </w:rPr>
        <w:t>BBGJ</w:t>
      </w:r>
      <w:r>
        <w:rPr>
          <w:rFonts w:ascii="仿宋_GB2312" w:eastAsia="仿宋_GB2312" w:hint="eastAsia"/>
        </w:rPr>
        <w:t>的品牌结构</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二、</w:t>
      </w:r>
      <w:r>
        <w:rPr>
          <w:rFonts w:ascii="仿宋_GB2312" w:eastAsia="仿宋_GB2312" w:hint="eastAsia"/>
          <w:lang w:eastAsia="zh-CN"/>
        </w:rPr>
        <w:t>BBGJ</w:t>
      </w:r>
      <w:r>
        <w:rPr>
          <w:rFonts w:ascii="仿宋_GB2312" w:eastAsia="仿宋_GB2312" w:hint="eastAsia"/>
        </w:rPr>
        <w:t>的品牌定位策略</w:t>
      </w:r>
      <w:hyperlink w:anchor="_Toc245611934" w:history="1">
        <w:r>
          <w:rPr>
            <w:rFonts w:ascii="仿宋_GB2312" w:eastAsia="仿宋_GB2312" w:hint="eastAsia"/>
          </w:rPr>
          <w:tab/>
        </w:r>
        <w:r>
          <w:rPr>
            <w:rFonts w:ascii="仿宋_GB2312" w:eastAsia="仿宋_GB2312" w:hint="eastAsia"/>
          </w:rPr>
          <w:t>1</w:t>
        </w:r>
      </w:hyperlink>
      <w:r>
        <w:rPr>
          <w:rFonts w:ascii="仿宋_GB2312" w:eastAsia="仿宋_GB2312" w:hint="eastAsia"/>
        </w:rPr>
        <w:t>0</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第五章 </w:t>
      </w:r>
      <w:r>
        <w:rPr>
          <w:rFonts w:ascii="仿宋_GB2312" w:eastAsia="仿宋_GB2312" w:hint="eastAsia"/>
          <w:lang w:eastAsia="zh-CN"/>
        </w:rPr>
        <w:t>BBGJ</w:t>
      </w:r>
      <w:r>
        <w:rPr>
          <w:rFonts w:ascii="仿宋_GB2312" w:eastAsia="仿宋_GB2312" w:hint="eastAsia"/>
        </w:rPr>
        <w:t>企业文化</w:t>
      </w:r>
      <w:hyperlink w:anchor="_Toc245611934" w:history="1">
        <w:r>
          <w:rPr>
            <w:rFonts w:ascii="仿宋_GB2312" w:eastAsia="仿宋_GB2312" w:hint="eastAsia"/>
          </w:rPr>
          <w:tab/>
        </w:r>
        <w:r>
          <w:rPr>
            <w:rFonts w:ascii="仿宋_GB2312" w:eastAsia="仿宋_GB2312" w:hint="eastAsia"/>
          </w:rPr>
          <w:t>1</w:t>
        </w:r>
      </w:hyperlink>
      <w:r>
        <w:rPr>
          <w:rFonts w:ascii="仿宋_GB2312" w:eastAsia="仿宋_GB2312" w:hint="eastAsia"/>
        </w:rPr>
        <w:t>2</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一、</w:t>
      </w:r>
      <w:r>
        <w:rPr>
          <w:rFonts w:ascii="仿宋_GB2312" w:eastAsia="仿宋_GB2312" w:hint="eastAsia"/>
          <w:lang w:eastAsia="zh-CN"/>
        </w:rPr>
        <w:t>BBGJ</w:t>
      </w:r>
      <w:r>
        <w:rPr>
          <w:rFonts w:ascii="仿宋_GB2312" w:eastAsia="仿宋_GB2312" w:hint="eastAsia"/>
        </w:rPr>
        <w:t>的品牌元素释义</w:t>
      </w:r>
      <w:hyperlink w:anchor="_Toc245611934" w:history="1">
        <w:r>
          <w:rPr>
            <w:rFonts w:ascii="仿宋_GB2312" w:eastAsia="仿宋_GB2312" w:hint="eastAsia"/>
          </w:rPr>
          <w:tab/>
        </w:r>
        <w:r>
          <w:rPr>
            <w:rFonts w:ascii="仿宋_GB2312" w:eastAsia="仿宋_GB2312" w:hint="eastAsia"/>
          </w:rPr>
          <w:t>12</w:t>
        </w:r>
      </w:hyperlink>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二、</w:t>
      </w:r>
      <w:r>
        <w:rPr>
          <w:rFonts w:ascii="仿宋_GB2312" w:eastAsia="仿宋_GB2312" w:hint="eastAsia"/>
          <w:lang w:eastAsia="zh-CN"/>
        </w:rPr>
        <w:t>BBGJ</w:t>
      </w:r>
      <w:r>
        <w:rPr>
          <w:rFonts w:ascii="仿宋_GB2312" w:eastAsia="仿宋_GB2312" w:hint="eastAsia"/>
        </w:rPr>
        <w:t>企业文化内涵</w:t>
      </w:r>
      <w:hyperlink w:anchor="_Toc245611934" w:history="1">
        <w:r>
          <w:rPr>
            <w:rFonts w:ascii="仿宋_GB2312" w:eastAsia="仿宋_GB2312" w:hint="eastAsia"/>
          </w:rPr>
          <w:tab/>
        </w:r>
        <w:r>
          <w:rPr>
            <w:rFonts w:ascii="仿宋_GB2312" w:eastAsia="仿宋_GB2312" w:hint="eastAsia"/>
          </w:rPr>
          <w:t>13</w:t>
        </w:r>
      </w:hyperlink>
    </w:p>
    <w:p>
      <w:pPr>
        <w:pStyle w:val="TOC1"/>
        <w:tabs>
          <w:tab w:val="right" w:leader="dot" w:pos="8296"/>
        </w:tabs>
        <w:spacing w:before="156" w:beforeLines="50" w:after="156" w:afterLines="50"/>
        <w:rPr>
          <w:rFonts w:ascii="仿宋_GB2312" w:eastAsia="仿宋_GB2312"/>
        </w:rPr>
      </w:pPr>
    </w:p>
    <w:p>
      <w:pPr>
        <w:pStyle w:val="TOC1"/>
        <w:tabs>
          <w:tab w:val="right" w:leader="dot" w:pos="8296"/>
        </w:tabs>
        <w:spacing w:before="156" w:beforeLines="50" w:after="156" w:afterLines="50"/>
        <w:rPr>
          <w:rFonts w:ascii="仿宋_GB2312" w:eastAsia="仿宋_GB2312"/>
        </w:rPr>
        <w:sectPr>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start="1"/>
          <w:cols w:num="1" w:space="425"/>
          <w:docGrid w:type="lines" w:linePitch="312" w:charSpace="0"/>
        </w:sectPr>
      </w:pP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三、</w:t>
      </w:r>
      <w:r>
        <w:rPr>
          <w:rFonts w:ascii="仿宋_GB2312" w:eastAsia="仿宋_GB2312" w:hint="eastAsia"/>
          <w:lang w:eastAsia="zh-CN"/>
        </w:rPr>
        <w:t>BBGJ</w:t>
      </w:r>
      <w:r>
        <w:rPr>
          <w:rFonts w:ascii="仿宋_GB2312" w:eastAsia="仿宋_GB2312" w:hint="eastAsia"/>
        </w:rPr>
        <w:t>企业文化要素</w:t>
      </w:r>
      <w:hyperlink w:anchor="_Toc245611934" w:history="1">
        <w:r>
          <w:rPr>
            <w:rFonts w:ascii="仿宋_GB2312" w:eastAsia="仿宋_GB2312" w:hint="eastAsia"/>
          </w:rPr>
          <w:tab/>
        </w:r>
        <w:r>
          <w:rPr>
            <w:rFonts w:ascii="仿宋_GB2312" w:eastAsia="仿宋_GB2312" w:hint="eastAsia"/>
          </w:rPr>
          <w:t>15</w:t>
        </w:r>
      </w:hyperlink>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四、</w:t>
      </w:r>
      <w:r>
        <w:rPr>
          <w:rFonts w:ascii="仿宋_GB2312" w:eastAsia="仿宋_GB2312" w:hint="eastAsia"/>
          <w:lang w:eastAsia="zh-CN"/>
        </w:rPr>
        <w:t>BBGJ</w:t>
      </w:r>
      <w:r>
        <w:rPr>
          <w:rFonts w:ascii="仿宋_GB2312" w:eastAsia="仿宋_GB2312" w:hint="eastAsia"/>
        </w:rPr>
        <w:t>品牌元素</w:t>
      </w:r>
      <w:hyperlink w:anchor="_Toc245611934" w:history="1">
        <w:r>
          <w:rPr>
            <w:rFonts w:ascii="仿宋_GB2312" w:eastAsia="仿宋_GB2312" w:hint="eastAsia"/>
          </w:rPr>
          <w:tab/>
        </w:r>
        <w:r>
          <w:rPr>
            <w:rFonts w:ascii="仿宋_GB2312" w:eastAsia="仿宋_GB2312" w:hint="eastAsia"/>
          </w:rPr>
          <w:t>18</w:t>
        </w:r>
      </w:hyperlink>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企业统一信息</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w:t>
      </w:r>
      <w:r>
        <w:rPr>
          <w:rFonts w:ascii="仿宋_GB2312" w:eastAsia="仿宋_GB2312" w:hint="eastAsia"/>
          <w:lang w:eastAsia="zh-CN"/>
        </w:rPr>
        <w:t>BB</w:t>
      </w:r>
      <w:r>
        <w:rPr>
          <w:rFonts w:ascii="仿宋_GB2312" w:eastAsia="仿宋_GB2312" w:hint="eastAsia"/>
        </w:rPr>
        <w:t>品牌元素</w:t>
      </w:r>
    </w:p>
    <w:p>
      <w:pPr>
        <w:pStyle w:val="TOC1"/>
        <w:tabs>
          <w:tab w:val="right" w:leader="dot" w:pos="8296"/>
        </w:tabs>
        <w:spacing w:before="156" w:beforeLines="50" w:after="156" w:afterLines="50"/>
        <w:rPr>
          <w:rFonts w:ascii="仿宋_GB2312" w:eastAsia="仿宋_GB2312"/>
        </w:rPr>
      </w:pPr>
      <w:hyperlink w:anchor="_Toc245611930" w:history="1">
        <w:r>
          <w:rPr>
            <w:rFonts w:ascii="仿宋_GB2312" w:eastAsia="仿宋_GB2312" w:hint="eastAsia"/>
            <w:b/>
            <w:bCs/>
          </w:rPr>
          <w:t>营销策略</w:t>
        </w:r>
        <w:r>
          <w:rPr>
            <w:rFonts w:ascii="仿宋_GB2312" w:eastAsia="仿宋_GB2312" w:hint="eastAsia"/>
            <w:b/>
            <w:bCs/>
          </w:rPr>
          <w:tab/>
        </w:r>
        <w:r>
          <w:rPr>
            <w:rFonts w:ascii="仿宋_GB2312" w:eastAsia="仿宋_GB2312" w:hint="eastAsia"/>
            <w:b/>
            <w:bCs/>
          </w:rPr>
          <w:t>2</w:t>
        </w:r>
      </w:hyperlink>
      <w:r>
        <w:rPr>
          <w:rFonts w:ascii="仿宋_GB2312" w:eastAsia="仿宋_GB2312" w:hint="eastAsia"/>
          <w:b/>
          <w:bCs/>
        </w:rPr>
        <w:t>0</w:t>
      </w:r>
    </w:p>
    <w:p>
      <w:pPr>
        <w:pStyle w:val="TOC1"/>
        <w:tabs>
          <w:tab w:val="right" w:leader="dot" w:pos="8296"/>
        </w:tabs>
        <w:spacing w:before="156" w:beforeLines="50" w:after="156" w:afterLines="50"/>
      </w:pPr>
      <w:r>
        <w:rPr>
          <w:rFonts w:ascii="仿宋_GB2312" w:eastAsia="仿宋_GB2312" w:hint="eastAsia"/>
        </w:rPr>
        <w:t xml:space="preserve">第六章 </w:t>
      </w:r>
      <w:r>
        <w:rPr>
          <w:rFonts w:ascii="仿宋_GB2312" w:eastAsia="仿宋_GB2312" w:hint="eastAsia"/>
          <w:lang w:eastAsia="zh-CN"/>
        </w:rPr>
        <w:t>BBGJ</w:t>
      </w:r>
      <w:r>
        <w:rPr>
          <w:rFonts w:ascii="仿宋_GB2312" w:eastAsia="仿宋_GB2312" w:hint="eastAsia"/>
        </w:rPr>
        <w:t>营销策略</w:t>
      </w:r>
      <w:hyperlink w:anchor="_Toc245611934" w:history="1">
        <w:r>
          <w:rPr>
            <w:rFonts w:ascii="仿宋_GB2312" w:eastAsia="仿宋_GB2312" w:hint="eastAsia"/>
          </w:rPr>
          <w:tab/>
        </w:r>
        <w:r>
          <w:rPr>
            <w:rFonts w:ascii="仿宋_GB2312" w:eastAsia="仿宋_GB2312" w:hint="eastAsia"/>
          </w:rPr>
          <w:t>2</w:t>
        </w:r>
      </w:hyperlink>
      <w:r>
        <w:rPr>
          <w:rFonts w:ascii="仿宋_GB2312" w:eastAsia="仿宋_GB2312" w:hint="eastAsia"/>
        </w:rPr>
        <w:t>0</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fldChar w:fldCharType="end"/>
      </w:r>
      <w:r>
        <w:rPr>
          <w:rFonts w:ascii="仿宋_GB2312" w:eastAsia="仿宋_GB2312" w:hint="eastAsia"/>
        </w:rPr>
        <w:t xml:space="preserve">       一、产品如何设计</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二、产品如何定义</w:t>
      </w:r>
      <w:hyperlink w:anchor="_Toc245611934" w:history="1">
        <w:r>
          <w:rPr>
            <w:rFonts w:ascii="仿宋_GB2312" w:eastAsia="仿宋_GB2312" w:hint="eastAsia"/>
          </w:rPr>
          <w:tab/>
        </w:r>
        <w:r>
          <w:rPr>
            <w:rFonts w:ascii="仿宋_GB2312" w:eastAsia="仿宋_GB2312" w:hint="eastAsia"/>
          </w:rPr>
          <w:t>21</w:t>
        </w:r>
      </w:hyperlink>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三、初创品牌推广策略医院品牌结构</w:t>
      </w:r>
      <w:hyperlink w:anchor="_Toc245611934" w:history="1">
        <w:r>
          <w:rPr>
            <w:rFonts w:ascii="仿宋_GB2312" w:eastAsia="仿宋_GB2312" w:hint="eastAsia"/>
          </w:rPr>
          <w:tab/>
        </w:r>
        <w:r>
          <w:rPr>
            <w:rFonts w:ascii="仿宋_GB2312" w:eastAsia="仿宋_GB2312" w:hint="eastAsia"/>
          </w:rPr>
          <w:t>2</w:t>
        </w:r>
      </w:hyperlink>
      <w:r>
        <w:rPr>
          <w:rFonts w:ascii="仿宋_GB2312" w:eastAsia="仿宋_GB2312" w:hint="eastAsia"/>
        </w:rPr>
        <w:t>2</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（一）营销推广通路</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（二）就医体验=服务+超预期服务</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（三）私人订制=个性化设计+针对性执行</w:t>
      </w:r>
    </w:p>
    <w:p>
      <w:pPr>
        <w:pStyle w:val="TOC1"/>
        <w:tabs>
          <w:tab w:val="right" w:leader="dot" w:pos="8296"/>
        </w:tabs>
        <w:spacing w:before="156" w:beforeLines="50" w:after="156" w:afterLines="50"/>
        <w:rPr>
          <w:rFonts w:ascii="仿宋_GB2312" w:eastAsia="仿宋_GB2312"/>
        </w:rPr>
      </w:pPr>
      <w:r>
        <w:rPr>
          <w:rFonts w:ascii="仿宋_GB2312" w:eastAsia="仿宋_GB2312" w:hint="eastAsia"/>
        </w:rPr>
        <w:t xml:space="preserve">          （四）医疗本质的本源——医疗质量+就医体验</w:t>
      </w:r>
    </w:p>
    <w:p>
      <w:pPr>
        <w:pStyle w:val="TOC1"/>
        <w:tabs>
          <w:tab w:val="right" w:leader="dot" w:pos="8296"/>
        </w:tabs>
        <w:spacing w:before="156" w:beforeLines="50" w:after="156" w:afterLines="50"/>
      </w:pPr>
      <w:r>
        <w:rPr>
          <w:rFonts w:ascii="仿宋_GB2312" w:eastAsia="仿宋_GB2312" w:hint="eastAsia"/>
        </w:rPr>
        <w:t xml:space="preserve">          （五）互联网+医院风生水起 互联网+医疗乃大势所趋</w:t>
      </w:r>
    </w:p>
    <w:p/>
    <w:p>
      <w:pPr>
        <w:pStyle w:val="TOC1"/>
        <w:tabs>
          <w:tab w:val="right" w:leader="dot" w:pos="8296"/>
        </w:tabs>
        <w:spacing w:before="156" w:beforeLines="50" w:after="156" w:afterLines="50"/>
        <w:rPr>
          <w:rFonts w:ascii="仿宋_GB2312" w:eastAsia="仿宋_GB2312"/>
        </w:rPr>
      </w:pPr>
    </w:p>
    <w:p>
      <w:pPr>
        <w:spacing w:before="156" w:beforeLines="50" w:after="156" w:afterLines="50"/>
        <w:jc w:val="center"/>
        <w:rPr>
          <w:b/>
          <w:bCs/>
          <w:sz w:val="32"/>
          <w:szCs w:val="32"/>
        </w:rPr>
        <w:sectPr>
          <w:headerReference w:type="even" r:id="rId17"/>
          <w:headerReference w:type="default" r:id="rId18"/>
          <w:footerReference w:type="even" r:id="rId19"/>
          <w:footerReference w:type="default" r:id="rId20"/>
          <w:headerReference w:type="first" r:id="rId21"/>
          <w:footerReference w:type="first" r:id="rId22"/>
          <w:pgSz w:w="11906" w:h="16838"/>
          <w:pgMar w:top="1440" w:right="1800" w:bottom="1440" w:left="1800" w:header="851" w:footer="992" w:gutter="0"/>
          <w:pgNumType w:start="1"/>
          <w:cols w:num="1" w:space="425"/>
          <w:docGrid w:type="lines" w:linePitch="312" w:charSpace="0"/>
        </w:sectPr>
      </w:pPr>
    </w:p>
    <w:p>
      <w:pPr>
        <w:rPr>
          <w:szCs w:val="21"/>
        </w:rPr>
      </w:pPr>
    </w:p>
    <w:p>
      <w:pPr>
        <w:jc w:val="center"/>
        <w:rPr>
          <w:rFonts w:ascii="仿宋" w:eastAsia="仿宋" w:hAnsi="仿宋"/>
          <w:b/>
          <w:bCs/>
          <w:sz w:val="32"/>
          <w:szCs w:val="32"/>
        </w:rPr>
      </w:pPr>
      <w:r>
        <w:rPr>
          <w:rFonts w:ascii="仿宋" w:eastAsia="仿宋" w:hAnsi="仿宋" w:hint="eastAsia"/>
          <w:b/>
          <w:bCs/>
          <w:sz w:val="32"/>
          <w:szCs w:val="32"/>
        </w:rPr>
        <w:t>项目战略</w:t>
      </w:r>
    </w:p>
    <w:p>
      <w:pPr>
        <w:spacing w:before="156" w:beforeLines="50" w:after="156" w:afterLines="50"/>
        <w:rPr>
          <w:rFonts w:ascii="仿宋" w:eastAsia="仿宋" w:hAnsi="仿宋" w:cs="Tahoma"/>
          <w:b/>
          <w:bCs/>
          <w:color w:val="000000"/>
          <w:sz w:val="28"/>
          <w:szCs w:val="28"/>
        </w:rPr>
      </w:pPr>
      <w:r>
        <w:rPr>
          <w:rFonts w:ascii="仿宋" w:eastAsia="仿宋" w:hAnsi="仿宋" w:cs="宋体" w:hint="eastAsia"/>
          <w:b/>
          <w:bCs/>
          <w:color w:val="0000FF"/>
          <w:sz w:val="28"/>
          <w:szCs w:val="28"/>
        </w:rPr>
        <w:t>第一章 项目战略背景</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 xml:space="preserve">中国健康管理市场行业研究显示：2014年产值约1075亿元。研究告诉我们，人群中最不健康的1%和患慢性病的19%共用了70%的医疗卫生费用。最健康的70%人口只用了10%的医疗费用。 </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研究还发现了一个令人震惊的统计数字：80%的医疗支出用在了治疗那些可以预防的疾病上。如果预防了，就不需要治疗。这就意味着，现有的医疗思路和手段是在浪费。对于那些需要昂贵治疗费用的疾病，如心脏病、糖尿病和中风来说，如果我们提前预防，即使是很小的改善，就可以节约大量直接的医疗费用。</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中国2013年卫生消费总额为3.2万亿元，是2004年的4.2倍，年复合增长率17.2%。虽然卫生消费增长飞速，在GDP总额中的占比仍仅为5.6%，低于高收入和中高等收入国家水平，如果该占比能在2020年达到卫计委在《健康中国2020 战略研究报告》中所提出的6.5%-7%的目标，中国卫生消费市场将达到6.2–6.7万亿元规模。</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ahoma"/>
          <w:color w:val="000000"/>
        </w:rPr>
        <w:t>中国的健康管理产业正处在急剧的变革和快速的发展之中，这种变革和发展带来了历史性的巨大商机。在中国健康管理产业一定是下一个能创造万亿元以上产值的全新的朝阳产业。</w:t>
      </w:r>
      <w:r>
        <w:rPr>
          <w:rFonts w:ascii="仿宋" w:eastAsia="仿宋" w:hAnsi="仿宋" w:cstheme="minorBidi" w:hint="eastAsia"/>
          <w:kern w:val="2"/>
        </w:rPr>
        <w:t>另据近期整形美容行业数据显示：2013年中国整形美容市场实现产值已达4635亿元左右，增速保持在20%左右，到2020年，预计将达到11800亿左右。</w:t>
      </w:r>
    </w:p>
    <w:p>
      <w:pPr>
        <w:pStyle w:val="NormalWeb"/>
        <w:spacing w:before="156" w:beforeLines="50" w:beforeAutospacing="0" w:after="156" w:afterLines="50" w:afterAutospacing="0" w:line="360" w:lineRule="auto"/>
        <w:ind w:firstLine="480" w:firstLineChars="200"/>
        <w:rPr>
          <w:rFonts w:ascii="仿宋" w:eastAsia="仿宋" w:hAnsi="仿宋"/>
          <w:b/>
        </w:rPr>
      </w:pPr>
      <w:r>
        <w:rPr>
          <w:rFonts w:ascii="仿宋" w:eastAsia="仿宋" w:hAnsi="仿宋" w:cstheme="minorBidi" w:hint="eastAsia"/>
          <w:kern w:val="2"/>
        </w:rPr>
        <w:t>医学美容将成为继房地产、汽车、电子通讯、旅游后，第五大“消费热点”。为了把握最新的第五消费热点，为了赶上</w:t>
      </w:r>
      <w:r>
        <w:rPr>
          <w:rFonts w:ascii="仿宋" w:eastAsia="仿宋" w:hAnsi="仿宋" w:cs="Tahoma"/>
          <w:color w:val="000000"/>
        </w:rPr>
        <w:t>中国健康管理产业</w:t>
      </w:r>
      <w:r>
        <w:rPr>
          <w:rFonts w:ascii="仿宋" w:eastAsia="仿宋" w:hAnsi="仿宋" w:cs="Tahoma" w:hint="eastAsia"/>
          <w:color w:val="000000"/>
        </w:rPr>
        <w:t>快速发展的节奏，</w:t>
      </w:r>
      <w:r>
        <w:rPr>
          <w:rFonts w:ascii="仿宋" w:eastAsia="仿宋" w:hAnsi="仿宋" w:cs="Tahoma" w:hint="eastAsia"/>
          <w:color w:val="000000"/>
          <w:lang w:eastAsia="zh-CN"/>
        </w:rPr>
        <w:t>BB</w:t>
      </w:r>
      <w:r>
        <w:rPr>
          <w:rFonts w:ascii="仿宋" w:eastAsia="仿宋" w:hAnsi="仿宋" w:cs="Tahoma" w:hint="eastAsia"/>
          <w:color w:val="000000"/>
        </w:rPr>
        <w:t>不仅仅立足于健康管理产业，还引进了医疗美容产业。着眼于健康管理与医疗美容两大医疗行业中的朝阳产业，创新结合</w:t>
      </w:r>
      <w:r>
        <w:rPr>
          <w:rFonts w:ascii="仿宋" w:eastAsia="仿宋" w:hAnsi="仿宋" w:cstheme="minorBidi" w:hint="eastAsia"/>
          <w:kern w:val="2"/>
        </w:rPr>
        <w:t>非医疗性服务与医疗服务，开创新的产业模式，</w:t>
      </w:r>
      <w:r>
        <w:rPr>
          <w:rFonts w:ascii="仿宋" w:eastAsia="仿宋" w:hAnsi="仿宋" w:cs="Tahoma"/>
          <w:color w:val="000000"/>
        </w:rPr>
        <w:t>满足高端人群的高端健康医疗服务需求，使之享受到一站式有针对性的诊疗服务、享受个性化有针对性的全程健康管理</w:t>
      </w:r>
      <w:r>
        <w:rPr>
          <w:rFonts w:ascii="仿宋" w:eastAsia="仿宋" w:hAnsi="仿宋" w:cs="Tahoma" w:hint="eastAsia"/>
          <w:color w:val="000000"/>
        </w:rPr>
        <w:t>、订制化医疗美容服务的</w:t>
      </w:r>
      <w:r>
        <w:rPr>
          <w:rFonts w:ascii="仿宋" w:eastAsia="仿宋" w:hAnsi="仿宋" w:cs="Tahoma"/>
          <w:color w:val="000000"/>
        </w:rPr>
        <w:t>顶级高品质待遇。</w:t>
      </w:r>
    </w:p>
    <w:p>
      <w:pPr>
        <w:spacing w:line="360" w:lineRule="auto"/>
        <w:ind w:firstLine="480" w:firstLineChars="200"/>
        <w:rPr>
          <w:rFonts w:ascii="仿宋" w:eastAsia="仿宋" w:hAnsi="仿宋" w:cstheme="minorBidi"/>
          <w:kern w:val="2"/>
        </w:rPr>
        <w:sectPr>
          <w:headerReference w:type="even" r:id="rId23"/>
          <w:headerReference w:type="default" r:id="rId24"/>
          <w:footerReference w:type="even" r:id="rId25"/>
          <w:footerReference w:type="default" r:id="rId26"/>
          <w:headerReference w:type="first" r:id="rId27"/>
          <w:footerReference w:type="first" r:id="rId28"/>
          <w:pgSz w:w="11906" w:h="16838"/>
          <w:pgMar w:top="1134" w:right="1701" w:bottom="1134" w:left="1701" w:header="851" w:footer="992" w:gutter="0"/>
          <w:pgNumType w:start="1"/>
          <w:cols w:num="1" w:space="425"/>
          <w:docGrid w:type="lines" w:linePitch="312" w:charSpace="0"/>
        </w:sectPr>
      </w:pPr>
    </w:p>
    <w:p>
      <w:pPr>
        <w:spacing w:before="156" w:beforeLines="50" w:after="156" w:afterLines="50" w:line="360" w:lineRule="auto"/>
        <w:rPr>
          <w:rFonts w:ascii="仿宋" w:eastAsia="仿宋" w:hAnsi="仿宋" w:cs="宋体"/>
          <w:b/>
          <w:bCs/>
          <w:color w:val="0000FF"/>
          <w:sz w:val="28"/>
          <w:szCs w:val="28"/>
        </w:rPr>
      </w:pPr>
      <w:r>
        <w:rPr>
          <w:rFonts w:ascii="仿宋" w:eastAsia="仿宋" w:hAnsi="仿宋" w:cs="宋体" w:hint="eastAsia"/>
          <w:b/>
          <w:bCs/>
          <w:color w:val="0000FF"/>
          <w:sz w:val="28"/>
          <w:szCs w:val="28"/>
        </w:rPr>
        <w:t>第二章 项目市场背景</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w:t>
      </w:r>
      <w:r>
        <w:rPr>
          <w:rFonts w:ascii="仿宋" w:eastAsia="仿宋" w:hAnsi="仿宋" w:cs="Tahoma" w:hint="eastAsia"/>
          <w:color w:val="000000"/>
        </w:rPr>
        <w:t>人们</w:t>
      </w:r>
      <w:r>
        <w:rPr>
          <w:rFonts w:ascii="仿宋" w:eastAsia="仿宋" w:hAnsi="仿宋" w:cs="Tahoma"/>
          <w:color w:val="000000"/>
        </w:rPr>
        <w:t>要健康长寿与以下四部分是紧密相连的：</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第一部分，医疗及相关服务，包括各级医院、社区医院、诊所等。</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第二部分</w:t>
      </w:r>
      <w:r>
        <w:rPr>
          <w:rFonts w:ascii="仿宋" w:eastAsia="仿宋" w:hAnsi="仿宋" w:cs="Tahoma" w:hint="eastAsia"/>
          <w:color w:val="000000"/>
        </w:rPr>
        <w:t>，</w:t>
      </w:r>
      <w:r>
        <w:rPr>
          <w:rFonts w:ascii="仿宋" w:eastAsia="仿宋" w:hAnsi="仿宋" w:cs="Tahoma"/>
          <w:color w:val="000000"/>
        </w:rPr>
        <w:t>药品，药品包括研发，还有药厂的生产，中医的配方，药店的销售等等。</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第三部分</w:t>
      </w:r>
      <w:r>
        <w:rPr>
          <w:rFonts w:ascii="仿宋" w:eastAsia="仿宋" w:hAnsi="仿宋" w:cs="Tahoma" w:hint="eastAsia"/>
          <w:color w:val="000000"/>
        </w:rPr>
        <w:t>，</w:t>
      </w:r>
      <w:r>
        <w:rPr>
          <w:rFonts w:ascii="仿宋" w:eastAsia="仿宋" w:hAnsi="仿宋" w:cs="Tahoma"/>
          <w:color w:val="000000"/>
        </w:rPr>
        <w:t>保健品和化妆品这些相关的服务，这三部分大家都比较了解，也比较熟悉。</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color w:val="000000"/>
        </w:rPr>
        <w:t>第</w:t>
      </w:r>
      <w:r>
        <w:rPr>
          <w:rFonts w:ascii="仿宋" w:eastAsia="仿宋" w:hAnsi="仿宋" w:cs="Tahoma" w:hint="eastAsia"/>
          <w:color w:val="000000"/>
        </w:rPr>
        <w:t>四</w:t>
      </w:r>
      <w:r>
        <w:rPr>
          <w:rFonts w:ascii="仿宋" w:eastAsia="仿宋" w:hAnsi="仿宋" w:cs="Tahoma"/>
          <w:color w:val="000000"/>
        </w:rPr>
        <w:t>部分，2005年的9月中国出现了一个新的职业，叫健康管理师，催生了一个新的行业叫健康管理。</w:t>
      </w:r>
    </w:p>
    <w:p>
      <w:pPr>
        <w:pStyle w:val="NormalWeb"/>
        <w:spacing w:before="156" w:beforeLines="50" w:beforeAutospacing="0" w:after="156" w:afterLines="50" w:afterAutospacing="0" w:line="360" w:lineRule="auto"/>
        <w:rPr>
          <w:rFonts w:ascii="仿宋" w:eastAsia="仿宋" w:hAnsi="仿宋" w:cs="Tahoma"/>
          <w:b/>
          <w:bCs/>
          <w:color w:val="000000"/>
        </w:rPr>
      </w:pPr>
      <w:r>
        <w:rPr>
          <w:rFonts w:ascii="仿宋" w:eastAsia="仿宋" w:hAnsi="仿宋" w:cs="Tahoma"/>
          <w:b/>
          <w:bCs/>
          <w:color w:val="000000"/>
        </w:rPr>
        <w:t>　　</w:t>
      </w:r>
      <w:r>
        <w:rPr>
          <w:rFonts w:ascii="仿宋" w:eastAsia="仿宋" w:hAnsi="仿宋" w:cs="Tahoma" w:hint="eastAsia"/>
          <w:b/>
          <w:bCs/>
          <w:color w:val="000000"/>
          <w:lang w:eastAsia="zh-CN"/>
        </w:rPr>
        <w:t>GJ</w:t>
      </w:r>
      <w:r>
        <w:rPr>
          <w:rFonts w:ascii="仿宋" w:eastAsia="仿宋" w:hAnsi="仿宋" w:cs="Tahoma"/>
          <w:b/>
          <w:bCs/>
          <w:color w:val="000000"/>
        </w:rPr>
        <w:t>上的健康管理：</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美国的健康管理：DeeW.Edington美国密执安大学健康管理研究中心主任有这样一个理论叫9010定律：健康管理对于任何群体及个人都有这样一个秘密，即90%和10%。具体地说就是90%的个人和群体通过健康管理后，医疗费用降到原来的10%。10%的个人和群体未做健康管理，医疗费用比原来上升90%。</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高层健康管理计划的效果更佳</w:t>
      </w:r>
      <w:r>
        <w:rPr>
          <w:rFonts w:ascii="仿宋" w:eastAsia="仿宋" w:hAnsi="仿宋" w:cs="Tahoma" w:hint="eastAsia"/>
          <w:color w:val="000000"/>
        </w:rPr>
        <w:t>，</w:t>
      </w:r>
      <w:r>
        <w:rPr>
          <w:rFonts w:ascii="仿宋" w:eastAsia="仿宋" w:hAnsi="仿宋" w:cs="Tahoma"/>
          <w:color w:val="000000"/>
        </w:rPr>
        <w:t>美国密执安大学健康管理研究中心通过20多年的跟踪证明参与了健康管理的人群平均健康寿命延长了6岁以上。</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日本的健康管理最全面、普及率很高，所以日本人平均寿命是世界之最：87.6岁有效的健康管理让日本的平均寿命延长了10岁以上。</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他们把听保健课作为一个制度, 特别是大企业家与公务员,只要缺席就必须补课,我国现在听保健课还需要动员,因此今后必须加强保健意识,重视健康的科普宣传教育。</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疾病治疗方向遇到瓶颈后，人类开始转向了预防。力求用更少的钱做更多的事，达到更好的效果。</w:t>
      </w:r>
    </w:p>
    <w:p>
      <w:pPr>
        <w:pStyle w:val="NormalWeb"/>
        <w:spacing w:before="156" w:beforeLines="50" w:beforeAutospacing="0" w:after="156" w:afterLines="50" w:afterAutospacing="0" w:line="360" w:lineRule="auto"/>
        <w:rPr>
          <w:rFonts w:ascii="仿宋" w:eastAsia="仿宋" w:hAnsi="仿宋" w:cs="Tahoma"/>
          <w:color w:val="000000"/>
        </w:rPr>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134" w:right="1701" w:bottom="1134" w:left="1701" w:header="851" w:footer="992" w:gutter="0"/>
          <w:pgNumType w:start="2"/>
          <w:cols w:num="1" w:space="425"/>
          <w:titlePg w:val="0"/>
          <w:docGrid w:type="lines" w:linePitch="312" w:charSpace="0"/>
        </w:sectPr>
      </w:pPr>
      <w:r>
        <w:rPr>
          <w:rFonts w:ascii="仿宋" w:eastAsia="仿宋" w:hAnsi="仿宋" w:cs="Tahoma"/>
          <w:color w:val="000000"/>
        </w:rPr>
        <w:t>　　在国外是由政府卫生局，家庭医生，社区护士，社会工作者，职业病医生，健康师、营养师，保险公司来满足各种非医疗服务而是健康管理的需求。</w:t>
      </w:r>
    </w:p>
    <w:p>
      <w:pPr>
        <w:pStyle w:val="NormalWeb"/>
        <w:spacing w:before="156" w:beforeLines="50" w:beforeAutospacing="0" w:after="156" w:afterLines="50" w:afterAutospacing="0" w:line="360" w:lineRule="auto"/>
        <w:ind w:firstLine="480" w:firstLineChars="200"/>
        <w:rPr>
          <w:rFonts w:ascii="仿宋" w:eastAsia="仿宋" w:hAnsi="仿宋" w:cs="Tahoma"/>
          <w:color w:val="000000"/>
        </w:rPr>
      </w:pPr>
      <w:r>
        <w:rPr>
          <w:rFonts w:ascii="仿宋" w:eastAsia="仿宋" w:hAnsi="仿宋" w:cs="Tahoma"/>
          <w:color w:val="000000"/>
        </w:rPr>
        <w:t>随着城市化速度的加快，建筑和装修及新的建筑材料给环境带来了巨大的污染源，这些污染给人类带来了巨大的疾病源，联合国卫生组织公布的数据显示室内污染每天造成的死亡人数已经超过304人。</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高端人群首先踊跃提出享受室内无污染而且能达到1000个/cm3负离子的浓度，并且每年享受高品质的无创健康普查和健康管理的需求，有这种需求的人群在不断增加。</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美国每年花费2万亿美金在医疗卫生系统与维护“诊断和治疗”系统上。中国2009年已经开始计划为全民建设电子健康档案并把医疗投入的方向改为以预防为主，治疗为补。</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黄帝内经》中有一段专门论述医学境界的文字：“圣人不治已病治未病”、“上医治未病，中医治欲病，下医治已病”。这两段话明确指出，医学的最高境界就是在疾病没发生之前采取预防保健措施，这是“圣人”和“上医”所为。我们有理由相信，科学的健康普查和健康评估技术将会引导现代医学不断进入上医的境界。</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良好的健康管理，能减少50%的死亡率。人类1/3的疾病通过预防保健是可以避免的，1/3的疾病通过早期的发现是可以得到有效控制的，1/3的疾病通过信息的有效沟通能够提高治疗效果。</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没有一个国家，单位，个人愿意为疯狂增长的医疗卫生费用买单，关键是投入1元钱用于健康普查和有针对性的预防疾病上，最少可以节约7-9元钱的医疗费用，所以国家医疗政策已经改为以预防为主，治疗为补。保险公司应该把医疗保险的大部分资金投入到预防疾病上，发达国家已经证明疾病预防和健康管理系统的重要性和有效性，所以中国在此行业上拥有史无前例的发展机会。</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新时代的医学方向和健康管理的发展方向提出了3P理念。这才是提高人们健康水平的重要方法!</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b/>
          <w:bCs/>
          <w:kern w:val="2"/>
        </w:rPr>
        <w:t>Perspective 预见性、Prevention 预防性、Personal 个性化</w:t>
      </w:r>
      <w:r>
        <w:rPr>
          <w:rFonts w:ascii="仿宋" w:eastAsia="仿宋" w:hAnsi="仿宋" w:cstheme="minorBidi" w:hint="eastAsia"/>
          <w:kern w:val="2"/>
        </w:rPr>
        <w:t>　　　　</w:t>
      </w:r>
    </w:p>
    <w:p>
      <w:pPr>
        <w:spacing w:before="156" w:beforeLines="50" w:after="156" w:afterLines="50" w:line="360" w:lineRule="auto"/>
        <w:ind w:firstLine="480" w:firstLineChars="200"/>
        <w:rPr>
          <w:rFonts w:ascii="仿宋" w:eastAsia="仿宋" w:hAnsi="仿宋" w:cstheme="minorBidi"/>
          <w:kern w:val="2"/>
        </w:r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134" w:right="1701" w:bottom="1134" w:left="1701" w:header="851" w:footer="992" w:gutter="0"/>
          <w:pgNumType w:start="3"/>
          <w:cols w:num="1" w:space="425"/>
          <w:titlePg w:val="0"/>
          <w:docGrid w:type="lines" w:linePitch="312" w:charSpace="0"/>
        </w:sectPr>
      </w:pPr>
      <w:r>
        <w:rPr>
          <w:rFonts w:ascii="仿宋" w:eastAsia="仿宋" w:hAnsi="仿宋" w:cstheme="minorBidi" w:hint="eastAsia"/>
          <w:kern w:val="2"/>
        </w:rPr>
        <w:t>2003年SARS危机的出现和2005年健康管理师国家职业的设立，有力地推动了健康管理在中国的发展。中国人口与卫生科技发展战略确定了“战略前移”、“重心下移”的方针，为开展健康管理服务指明了方向。</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第一个方面健康管理产业正从单一的，向多元化发展，需要做的更加完善一些；</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第二个方面正从松散型向集约化综合服务转变；</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第三个方面，就是从医疗型向预防型转变，那么在很多疾病需要预防的时候，其实有一个很重要的概念就是时间的预防（提前预防）。</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卫生部已将健康产业（非医疗性服务）的主题定为健康管理。卫生部、保监会及劳动和社会保障部明确健康管理为医疗保险风险控制的有效策略。截至2011年，北京市开展体检工作的医疗机构为500余家，年体检人数达650万人，上海开展体检业务的医疗机构达600余家，年体检人数达850万人，全国年体检收入达数百亿人民币。我国每年参加体检的人数是全国总人口的7%左右，主动体检人数不到0.5%。</w:t>
      </w:r>
    </w:p>
    <w:p>
      <w:pPr>
        <w:spacing w:before="156" w:beforeLines="50" w:after="156" w:afterLines="50" w:line="360" w:lineRule="auto"/>
        <w:ind w:firstLine="480" w:firstLineChars="200"/>
        <w:rPr>
          <w:rFonts w:ascii="仿宋" w:eastAsia="仿宋" w:hAnsi="仿宋" w:cstheme="minorBidi"/>
          <w:kern w:val="2"/>
        </w:rPr>
      </w:pPr>
      <w:r>
        <w:rPr>
          <w:rFonts w:ascii="仿宋" w:eastAsia="仿宋" w:hAnsi="仿宋" w:cstheme="minorBidi" w:hint="eastAsia"/>
          <w:kern w:val="2"/>
        </w:rPr>
        <w:t>中国慢性病人已超过2.6亿，主要集中在冠心病、糖尿病和高血压，将为慢性病康复治疗的发展带来巨大的市场空间。目前国内健康产业发展非常快，已经成为一个令人瞩目的朝阳产业。但中国的健康普查和健康评估行业尚属起步阶段，未来可能随着市场容量的不断扩大，出现各种类型的健康普查和健康评估机构，以满足市场的需要。</w:t>
      </w:r>
    </w:p>
    <w:p>
      <w:pPr>
        <w:pStyle w:val="NormalWeb"/>
        <w:spacing w:before="156" w:beforeLines="50" w:beforeAutospacing="0" w:after="156" w:afterLines="50" w:afterAutospacing="0" w:line="360" w:lineRule="auto"/>
        <w:ind w:firstLine="480" w:firstLineChars="200"/>
        <w:rPr>
          <w:rFonts w:ascii="仿宋" w:eastAsia="仿宋" w:hAnsi="仿宋" w:cs="Tahoma"/>
          <w:color w:val="000000"/>
        </w:rPr>
      </w:pPr>
      <w:r>
        <w:rPr>
          <w:rFonts w:ascii="仿宋" w:eastAsia="仿宋" w:hAnsi="仿宋" w:cs="Tahoma"/>
          <w:color w:val="000000"/>
        </w:rPr>
        <w:t>中国卫生部又提出了</w:t>
      </w:r>
      <w:r>
        <w:rPr>
          <w:rFonts w:ascii="仿宋" w:eastAsia="仿宋" w:hAnsi="仿宋" w:cs="Tahoma" w:hint="eastAsia"/>
          <w:color w:val="000000"/>
        </w:rPr>
        <w:t>“</w:t>
      </w:r>
      <w:r>
        <w:rPr>
          <w:rFonts w:ascii="仿宋" w:eastAsia="仿宋" w:hAnsi="仿宋" w:cs="Tahoma"/>
          <w:color w:val="000000"/>
        </w:rPr>
        <w:t>健康中国2020战略</w:t>
      </w:r>
      <w:r>
        <w:rPr>
          <w:rFonts w:ascii="仿宋" w:eastAsia="仿宋" w:hAnsi="仿宋" w:cs="Tahoma" w:hint="eastAsia"/>
          <w:color w:val="000000"/>
        </w:rPr>
        <w:t>”</w:t>
      </w:r>
      <w:r>
        <w:rPr>
          <w:rFonts w:ascii="仿宋" w:eastAsia="仿宋" w:hAnsi="仿宋" w:cs="Tahoma"/>
          <w:color w:val="000000"/>
        </w:rPr>
        <w:t>，也提出了新的医改方案，这些新的举措综合起来表明中国的健康产业正在快速地向前发展，同时也给我们中国提供了一个巨大的健康管理产业发展机会。</w:t>
      </w:r>
    </w:p>
    <w:p>
      <w:pPr>
        <w:pStyle w:val="NormalWeb"/>
        <w:spacing w:before="156" w:beforeLines="50" w:beforeAutospacing="0" w:after="156" w:afterLines="50" w:afterAutospacing="0" w:line="360" w:lineRule="auto"/>
        <w:ind w:firstLine="480" w:firstLineChars="200"/>
        <w:rPr>
          <w:rFonts w:ascii="仿宋" w:eastAsia="仿宋" w:hAnsi="仿宋"/>
          <w:b/>
        </w:rPr>
      </w:pPr>
      <w:r>
        <w:rPr>
          <w:rFonts w:ascii="仿宋" w:eastAsia="仿宋" w:hAnsi="仿宋" w:cs="Tahoma"/>
          <w:color w:val="000000"/>
        </w:rPr>
        <w:t>健康管理连锁机构与国内各级医院的疾病诊疗则是一个相互补充、互惠互利的关系。我们在疾病诊疗方面的重点在于提供目标客户与各级医院资源连接的平台，满足高端人群的高端健康医疗服务需求，使之享受到一站式有针对性的诊疗服务、享受个性化有针对性的全程健康管理顶级高品质待遇。</w:t>
      </w:r>
    </w:p>
    <w:p>
      <w:pPr>
        <w:pStyle w:val="NormalWeb"/>
        <w:spacing w:before="156" w:beforeLines="50" w:beforeAutospacing="0" w:after="156" w:afterLines="50" w:afterAutospacing="0"/>
        <w:rPr>
          <w:rFonts w:ascii="仿宋" w:eastAsia="仿宋" w:hAnsi="仿宋" w:cs="Tahoma"/>
          <w:color w:val="000000"/>
          <w:sz w:val="21"/>
          <w:szCs w:val="21"/>
        </w:rPr>
      </w:pPr>
    </w:p>
    <w:p>
      <w:pPr>
        <w:pStyle w:val="NormalWeb"/>
        <w:spacing w:before="156" w:beforeLines="50" w:beforeAutospacing="0" w:after="156" w:afterLines="50" w:afterAutospacing="0"/>
        <w:rPr>
          <w:rFonts w:ascii="仿宋" w:eastAsia="仿宋" w:hAnsi="仿宋" w:cs="宋体"/>
          <w:color w:val="000000"/>
          <w:szCs w:val="21"/>
        </w:rPr>
      </w:pPr>
      <w:r>
        <w:rPr>
          <w:rFonts w:ascii="仿宋" w:eastAsia="仿宋" w:hAnsi="仿宋" w:cs="宋体" w:hint="eastAsia"/>
          <w:b/>
          <w:bCs/>
          <w:color w:val="0000FF"/>
          <w:sz w:val="28"/>
          <w:szCs w:val="28"/>
        </w:rPr>
        <w:t xml:space="preserve">第三章 </w:t>
      </w:r>
      <w:r>
        <w:rPr>
          <w:rFonts w:ascii="仿宋" w:eastAsia="仿宋" w:hAnsi="仿宋" w:cs="宋体" w:hint="eastAsia"/>
          <w:b/>
          <w:bCs/>
          <w:color w:val="0000FF"/>
          <w:sz w:val="28"/>
          <w:szCs w:val="28"/>
          <w:lang w:eastAsia="zh-CN"/>
        </w:rPr>
        <w:t>BBGJ</w:t>
      </w:r>
      <w:r>
        <w:rPr>
          <w:rFonts w:ascii="仿宋" w:eastAsia="仿宋" w:hAnsi="仿宋" w:cs="宋体" w:hint="eastAsia"/>
          <w:b/>
          <w:bCs/>
          <w:color w:val="0000FF"/>
          <w:sz w:val="28"/>
          <w:szCs w:val="28"/>
        </w:rPr>
        <w:t xml:space="preserve">运营体系构想 </w:t>
      </w:r>
      <w:r>
        <w:rPr>
          <w:rFonts w:ascii="仿宋" w:eastAsia="仿宋" w:hAnsi="仿宋" w:cs="Tahoma" w:hint="eastAsia"/>
          <w:color w:val="000000"/>
          <w:sz w:val="21"/>
          <w:szCs w:val="21"/>
        </w:rPr>
        <w:t xml:space="preserve"> </w:t>
      </w:r>
    </w:p>
    <w:p>
      <w:pPr>
        <w:pStyle w:val="NormalWeb"/>
        <w:spacing w:before="156" w:beforeLines="50" w:beforeAutospacing="0" w:after="156" w:afterLines="50" w:afterAutospacing="0" w:line="360" w:lineRule="auto"/>
        <w:ind w:firstLine="420"/>
        <w:rPr>
          <w:rFonts w:ascii="仿宋" w:eastAsia="仿宋" w:hAnsi="仿宋" w:cs="Tahoma"/>
          <w:b/>
          <w:bCs/>
          <w:color w:val="000000"/>
        </w:rPr>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134" w:right="1701" w:bottom="1134" w:left="1701" w:header="851" w:footer="992" w:gutter="0"/>
          <w:pgNumType w:start="4"/>
          <w:cols w:num="1" w:space="425"/>
          <w:titlePg w:val="0"/>
          <w:docGrid w:type="lines" w:linePitch="312" w:charSpace="0"/>
        </w:sectPr>
      </w:pPr>
      <w:r>
        <w:rPr>
          <w:rFonts w:ascii="仿宋" w:eastAsia="仿宋" w:hAnsi="仿宋" w:cs="Tahoma" w:hint="eastAsia"/>
          <w:b/>
          <w:bCs/>
          <w:color w:val="000000"/>
        </w:rPr>
        <w:t>一、</w:t>
      </w:r>
      <w:r>
        <w:rPr>
          <w:rFonts w:ascii="仿宋" w:eastAsia="仿宋" w:hAnsi="仿宋" w:cs="Tahoma" w:hint="eastAsia"/>
          <w:b/>
          <w:bCs/>
          <w:color w:val="000000"/>
          <w:lang w:eastAsia="zh-CN"/>
        </w:rPr>
        <w:t>BBGJ</w:t>
      </w:r>
      <w:r>
        <w:rPr>
          <w:rFonts w:ascii="仿宋" w:eastAsia="仿宋" w:hAnsi="仿宋" w:cs="Tahoma" w:hint="eastAsia"/>
          <w:b/>
          <w:bCs/>
          <w:color w:val="000000"/>
        </w:rPr>
        <w:t>SDB抗衰老体系结构</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lang w:eastAsia="zh-CN"/>
        </w:rPr>
        <w:t>BBGJ</w:t>
      </w:r>
      <w:r>
        <w:rPr>
          <w:rFonts w:ascii="仿宋" w:eastAsia="仿宋" w:hAnsi="仿宋" w:cs="Tahoma" w:hint="eastAsia"/>
          <w:color w:val="000000"/>
        </w:rPr>
        <w:t>SDB Level抗衰老体系，SDB名称直接来源于抗衰老三个层面表层（Surface）、基层（Basics）、深层（Deep）英文名称首字母。内涵延伸为“标准的”（</w:t>
      </w:r>
      <w:hyperlink r:id="rId47" w:history="1">
        <w:r>
          <w:rPr>
            <w:rStyle w:val="Hyperlink"/>
            <w:rFonts w:ascii="仿宋" w:eastAsia="仿宋" w:hAnsi="仿宋" w:cs="Tahoma" w:hint="eastAsia"/>
            <w:color w:val="000000"/>
          </w:rPr>
          <w:t>Standard Dwarf Bearded</w:t>
        </w:r>
      </w:hyperlink>
      <w:r>
        <w:rPr>
          <w:rFonts w:ascii="仿宋" w:eastAsia="仿宋" w:hAnsi="仿宋" w:cs="Tahoma" w:hint="eastAsia"/>
          <w:color w:val="000000"/>
        </w:rPr>
        <w:t>），意指标准化、层次化的分类抗衰老体系；或者是“逆龄标准的”（Standard decrepitude backspace）意指通过标准化手段促使衰老回退，实现逆龄年轻态。</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lang w:eastAsia="zh-CN"/>
        </w:rPr>
        <w:t>BBGJ</w:t>
      </w:r>
      <w:r>
        <w:rPr>
          <w:rFonts w:ascii="仿宋" w:eastAsia="仿宋" w:hAnsi="仿宋" w:cs="Tahoma" w:hint="eastAsia"/>
          <w:color w:val="000000"/>
        </w:rPr>
        <w:t>SDB Level抗衰老体系以逆龄抗衰老（Inverse age &amp; Anti aging）为核心，将健康管理、逆龄抗衰、医疗美容、美容养生四大板块工作分解归纳到抗衰老工作的三个层面：表层（Surface）、基层（Basics）、深层（Deep）。</w:t>
      </w:r>
    </w:p>
    <w:p>
      <w:pPr>
        <w:pStyle w:val="NormalWeb"/>
        <w:spacing w:before="156" w:beforeLines="50" w:beforeAutospacing="0" w:after="156" w:afterLines="50" w:afterAutospacing="0" w:line="360" w:lineRule="auto"/>
        <w:ind w:firstLine="420"/>
        <w:rPr>
          <w:rFonts w:ascii="仿宋" w:eastAsia="仿宋" w:hAnsi="仿宋" w:cs="Tahoma"/>
          <w:color w:val="000000"/>
        </w:rPr>
      </w:pPr>
    </w:p>
    <w:p>
      <w:pPr>
        <w:pStyle w:val="NormalWeb"/>
        <w:spacing w:before="156" w:beforeLines="50" w:beforeAutospacing="0" w:after="156" w:afterLines="50" w:afterAutospacing="0" w:line="360" w:lineRule="auto"/>
        <w:ind w:firstLine="420"/>
        <w:rPr>
          <w:rFonts w:ascii="仿宋" w:eastAsia="仿宋" w:hAnsi="仿宋" w:cs="Tahoma"/>
          <w:b/>
          <w:bCs/>
          <w:color w:val="000000"/>
        </w:rPr>
      </w:pPr>
      <w:r>
        <w:rPr>
          <w:rFonts w:ascii="仿宋" w:eastAsia="仿宋" w:hAnsi="仿宋" w:cs="Tahoma" w:hint="eastAsia"/>
          <w:b/>
          <w:bCs/>
          <w:color w:val="000000"/>
        </w:rPr>
        <w:t xml:space="preserve">（一）、表层工作 </w:t>
      </w:r>
      <w:r>
        <w:rPr>
          <w:rFonts w:ascii="仿宋" w:eastAsia="仿宋" w:hAnsi="仿宋" w:cs="Arial"/>
          <w:b/>
          <w:bCs/>
          <w:color w:val="000000"/>
        </w:rPr>
        <w:t>→</w:t>
      </w:r>
      <w:r>
        <w:rPr>
          <w:rFonts w:ascii="仿宋" w:eastAsia="仿宋" w:hAnsi="仿宋" w:cs="Arial" w:hint="eastAsia"/>
          <w:b/>
          <w:bCs/>
          <w:color w:val="000000"/>
        </w:rPr>
        <w:t xml:space="preserve"> </w:t>
      </w:r>
      <w:r>
        <w:rPr>
          <w:rFonts w:ascii="仿宋" w:eastAsia="仿宋" w:hAnsi="仿宋" w:cs="Tahoma" w:hint="eastAsia"/>
          <w:b/>
          <w:bCs/>
          <w:color w:val="000000"/>
        </w:rPr>
        <w:t xml:space="preserve">表面年轻化 </w:t>
      </w:r>
      <w:r>
        <w:rPr>
          <w:rFonts w:ascii="仿宋" w:eastAsia="仿宋" w:hAnsi="仿宋" w:cs="Arial"/>
          <w:b/>
          <w:bCs/>
          <w:color w:val="000000"/>
        </w:rPr>
        <w:t>→</w:t>
      </w:r>
      <w:r>
        <w:rPr>
          <w:rFonts w:ascii="仿宋" w:eastAsia="仿宋" w:hAnsi="仿宋" w:cs="Arial" w:hint="eastAsia"/>
          <w:b/>
          <w:bCs/>
          <w:color w:val="000000"/>
        </w:rPr>
        <w:t xml:space="preserve"> 医疗美容</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1、美容养生类：基础层面皮肤保养和护理；</w:t>
      </w:r>
    </w:p>
    <w:p>
      <w:pPr>
        <w:pStyle w:val="NormalWeb"/>
        <w:spacing w:before="156" w:beforeLines="50" w:beforeAutospacing="0" w:after="156" w:afterLines="50" w:afterAutospacing="0" w:line="360" w:lineRule="auto"/>
        <w:ind w:firstLine="420"/>
        <w:rPr>
          <w:rFonts w:ascii="仿宋" w:eastAsia="仿宋" w:hAnsi="仿宋" w:cs="Tahoma"/>
        </w:rPr>
      </w:pPr>
      <w:r>
        <w:rPr>
          <w:rFonts w:ascii="仿宋" w:eastAsia="仿宋" w:hAnsi="仿宋" w:cs="Tahoma" w:hint="eastAsia"/>
          <w:color w:val="000000"/>
        </w:rPr>
        <w:t>2、美</w:t>
      </w:r>
      <w:r>
        <w:rPr>
          <w:rFonts w:ascii="仿宋" w:eastAsia="仿宋" w:hAnsi="仿宋" w:cs="Tahoma" w:hint="eastAsia"/>
        </w:rPr>
        <w:t>容皮肤类：光能治疗、射频治疗、唛素疗法（中胚层疗法、微针疗法）等；</w:t>
      </w:r>
    </w:p>
    <w:p>
      <w:pPr>
        <w:pStyle w:val="NormalWeb"/>
        <w:spacing w:before="156" w:beforeLines="50" w:beforeAutospacing="0" w:after="156" w:afterLines="50" w:afterAutospacing="0" w:line="360" w:lineRule="auto"/>
        <w:ind w:firstLine="420"/>
        <w:rPr>
          <w:rFonts w:ascii="仿宋" w:eastAsia="仿宋" w:hAnsi="仿宋" w:cs="Tahoma"/>
        </w:rPr>
      </w:pPr>
      <w:r>
        <w:rPr>
          <w:rFonts w:ascii="仿宋" w:eastAsia="仿宋" w:hAnsi="仿宋" w:cs="Tahoma" w:hint="eastAsia"/>
        </w:rPr>
        <w:t>3、美容注射类：BOTOX或肉毒素、真皮填充剂、自体填充类等。</w:t>
      </w:r>
    </w:p>
    <w:p>
      <w:pPr>
        <w:pStyle w:val="NormalWeb"/>
        <w:spacing w:before="156" w:beforeLines="50" w:beforeAutospacing="0" w:after="156" w:afterLines="50" w:afterAutospacing="0" w:line="360" w:lineRule="auto"/>
        <w:ind w:firstLine="420"/>
        <w:rPr>
          <w:rFonts w:ascii="仿宋" w:eastAsia="仿宋" w:hAnsi="仿宋" w:cs="Tahoma"/>
        </w:rPr>
      </w:pPr>
      <w:r>
        <w:rPr>
          <w:rFonts w:ascii="仿宋" w:eastAsia="仿宋" w:hAnsi="仿宋" w:cs="Tahoma" w:hint="eastAsia"/>
        </w:rPr>
        <w:t>4、美容外科类：美容外科各类手术项目；</w:t>
      </w:r>
    </w:p>
    <w:p>
      <w:pPr>
        <w:pStyle w:val="NormalWeb"/>
        <w:spacing w:before="156" w:beforeLines="50" w:beforeAutospacing="0" w:after="156" w:afterLines="50" w:afterAutospacing="0" w:line="360" w:lineRule="auto"/>
        <w:ind w:firstLine="420"/>
        <w:rPr>
          <w:rFonts w:ascii="仿宋" w:eastAsia="仿宋" w:hAnsi="仿宋" w:cs="Tahoma"/>
        </w:rPr>
      </w:pPr>
      <w:r>
        <w:rPr>
          <w:rFonts w:ascii="仿宋" w:eastAsia="仿宋" w:hAnsi="仿宋" w:cs="Tahoma" w:hint="eastAsia"/>
        </w:rPr>
        <w:t>5、美容牙科类：口腔美容各类项目。</w:t>
      </w:r>
    </w:p>
    <w:p>
      <w:pPr>
        <w:pStyle w:val="NormalWeb"/>
        <w:spacing w:before="156" w:beforeLines="50" w:beforeAutospacing="0" w:after="156" w:afterLines="50" w:afterAutospacing="0" w:line="360" w:lineRule="auto"/>
        <w:ind w:firstLine="420"/>
        <w:rPr>
          <w:rFonts w:ascii="仿宋" w:eastAsia="仿宋" w:hAnsi="仿宋" w:cs="Tahoma"/>
        </w:rPr>
      </w:pPr>
    </w:p>
    <w:p>
      <w:pPr>
        <w:pStyle w:val="NormalWeb"/>
        <w:spacing w:before="156" w:beforeLines="50" w:beforeAutospacing="0" w:after="156" w:afterLines="50" w:afterAutospacing="0" w:line="360" w:lineRule="auto"/>
        <w:ind w:firstLine="420"/>
        <w:rPr>
          <w:rFonts w:ascii="仿宋" w:eastAsia="仿宋" w:hAnsi="仿宋" w:cs="Tahoma"/>
          <w:b/>
          <w:bCs/>
        </w:rPr>
      </w:pPr>
      <w:r>
        <w:rPr>
          <w:rFonts w:ascii="仿宋" w:eastAsia="仿宋" w:hAnsi="仿宋" w:cs="Tahoma" w:hint="eastAsia"/>
          <w:b/>
          <w:bCs/>
        </w:rPr>
        <w:t xml:space="preserve">（二）、基层工作 </w:t>
      </w:r>
      <w:r>
        <w:rPr>
          <w:rFonts w:ascii="仿宋" w:eastAsia="仿宋" w:hAnsi="仿宋" w:cs="Arial"/>
          <w:b/>
          <w:bCs/>
        </w:rPr>
        <w:t>→</w:t>
      </w:r>
      <w:r>
        <w:rPr>
          <w:rFonts w:ascii="仿宋" w:eastAsia="仿宋" w:hAnsi="仿宋" w:cs="Arial" w:hint="eastAsia"/>
          <w:b/>
          <w:bCs/>
        </w:rPr>
        <w:t xml:space="preserve"> 基础年轻化</w:t>
      </w:r>
      <w:r>
        <w:rPr>
          <w:rFonts w:ascii="仿宋" w:eastAsia="仿宋" w:hAnsi="仿宋" w:cs="Tahoma" w:hint="eastAsia"/>
          <w:b/>
          <w:bCs/>
        </w:rPr>
        <w:t xml:space="preserve"> </w:t>
      </w:r>
      <w:r>
        <w:rPr>
          <w:rFonts w:ascii="仿宋" w:eastAsia="仿宋" w:hAnsi="仿宋" w:cs="Arial"/>
          <w:b/>
          <w:bCs/>
        </w:rPr>
        <w:t>→</w:t>
      </w:r>
      <w:r>
        <w:rPr>
          <w:rFonts w:ascii="仿宋" w:eastAsia="仿宋" w:hAnsi="仿宋" w:cs="Arial" w:hint="eastAsia"/>
          <w:b/>
          <w:bCs/>
        </w:rPr>
        <w:t xml:space="preserve"> </w:t>
      </w:r>
      <w:r>
        <w:rPr>
          <w:rFonts w:ascii="仿宋" w:eastAsia="仿宋" w:hAnsi="仿宋" w:cs="Tahoma" w:hint="eastAsia"/>
          <w:b/>
          <w:bCs/>
        </w:rPr>
        <w:t>健康管理</w:t>
      </w:r>
    </w:p>
    <w:p>
      <w:pPr>
        <w:pStyle w:val="NormalWeb"/>
        <w:spacing w:before="156" w:beforeLines="50" w:beforeAutospacing="0" w:after="156" w:afterLines="50" w:afterAutospacing="0" w:line="360" w:lineRule="auto"/>
        <w:ind w:firstLine="420"/>
        <w:rPr>
          <w:rFonts w:ascii="仿宋" w:eastAsia="仿宋" w:hAnsi="仿宋" w:cs="Tahoma"/>
          <w:color w:val="7F7F7F" w:themeColor="background1" w:themeShade="80"/>
        </w:rPr>
      </w:pPr>
      <w:r>
        <w:rPr>
          <w:rFonts w:ascii="仿宋" w:eastAsia="仿宋" w:hAnsi="仿宋" w:cs="Tahoma" w:hint="eastAsia"/>
          <w:color w:val="7F7F7F" w:themeColor="background1" w:themeShade="80"/>
        </w:rPr>
        <w:t>健康公式：健康=</w:t>
      </w:r>
      <w:r>
        <w:rPr>
          <w:rFonts w:ascii="仿宋" w:eastAsia="仿宋" w:hAnsi="仿宋" w:cs="Tahoma" w:hint="eastAsia"/>
          <w:color w:val="7F7F7F" w:themeColor="background1" w:themeShade="80"/>
          <w:u w:val="single"/>
        </w:rPr>
        <w:t>遗传+环境</w:t>
      </w:r>
      <w:r>
        <w:rPr>
          <w:rFonts w:ascii="仿宋" w:eastAsia="仿宋" w:hAnsi="仿宋" w:cs="Tahoma" w:hint="eastAsia"/>
          <w:color w:val="7F7F7F" w:themeColor="background1" w:themeShade="80"/>
        </w:rPr>
        <w:t>+</w:t>
      </w:r>
      <w:r>
        <w:rPr>
          <w:rFonts w:ascii="仿宋" w:eastAsia="仿宋" w:hAnsi="仿宋" w:cs="Tahoma" w:hint="eastAsia"/>
          <w:color w:val="7F7F7F" w:themeColor="background1" w:themeShade="80"/>
          <w:u w:val="single"/>
        </w:rPr>
        <w:t>营养+生活方式+心理健康+医疗</w:t>
      </w:r>
    </w:p>
    <w:p>
      <w:pPr>
        <w:pStyle w:val="NormalWeb"/>
        <w:spacing w:before="156" w:beforeLines="50" w:beforeAutospacing="0" w:after="156" w:afterLines="50" w:afterAutospacing="0" w:line="360" w:lineRule="auto"/>
        <w:ind w:firstLine="420"/>
        <w:rPr>
          <w:rFonts w:ascii="仿宋" w:eastAsia="仿宋" w:hAnsi="仿宋" w:cs="Tahoma"/>
          <w:color w:val="7F7F7F" w:themeColor="background1" w:themeShade="80"/>
        </w:rPr>
      </w:pPr>
      <w:r>
        <w:rPr>
          <w:rFonts w:ascii="仿宋" w:eastAsia="仿宋" w:hAnsi="仿宋" w:cs="Tahoma" w:hint="eastAsia"/>
          <w:color w:val="7F7F7F" w:themeColor="background1" w:themeShade="80"/>
        </w:rPr>
        <w:t xml:space="preserve">               不可控因素         可控因素</w:t>
      </w:r>
    </w:p>
    <w:p>
      <w:pPr>
        <w:pStyle w:val="NormalWeb"/>
        <w:spacing w:before="156" w:beforeLines="50" w:beforeAutospacing="0" w:after="156" w:afterLines="50" w:afterAutospacing="0" w:line="360" w:lineRule="auto"/>
        <w:ind w:firstLine="420"/>
        <w:rPr>
          <w:rFonts w:ascii="仿宋" w:eastAsia="仿宋" w:hAnsi="仿宋" w:cs="Tahoma"/>
        </w:rPr>
      </w:pPr>
      <w:r>
        <w:rPr>
          <w:rFonts w:ascii="仿宋" w:eastAsia="仿宋" w:hAnsi="仿宋" w:cs="Tahoma" w:hint="eastAsia"/>
        </w:rPr>
        <w:t>基础工作以下三种方式，由（健康管理师）通过对可控因素干预，实现对健康管理：</w:t>
      </w:r>
    </w:p>
    <w:p>
      <w:pPr>
        <w:pStyle w:val="NormalWeb"/>
        <w:spacing w:before="156" w:beforeLines="50" w:beforeAutospacing="0" w:after="156" w:afterLines="50" w:afterAutospacing="0" w:line="360" w:lineRule="auto"/>
        <w:ind w:firstLine="420"/>
        <w:rPr>
          <w:rFonts w:ascii="仿宋" w:eastAsia="仿宋" w:hAnsi="仿宋" w:cs="Tahoma"/>
        </w:rPr>
      </w:pPr>
      <w:r>
        <w:rPr>
          <w:rFonts w:ascii="仿宋" w:eastAsia="仿宋" w:hAnsi="仿宋" w:cs="Tahoma" w:hint="eastAsia"/>
        </w:rPr>
        <w:t>1、医疗级健康管理：欧洲电磁生物学（PEMF）,智能抗衰康复体系</w:t>
      </w:r>
    </w:p>
    <w:p>
      <w:pPr>
        <w:pStyle w:val="NormalWeb"/>
        <w:spacing w:before="156" w:beforeLines="50" w:beforeAutospacing="0" w:after="156" w:afterLines="50" w:afterAutospacing="0" w:line="360" w:lineRule="auto"/>
        <w:ind w:firstLine="420"/>
        <w:rPr>
          <w:rFonts w:ascii="仿宋" w:eastAsia="仿宋" w:hAnsi="仿宋" w:cs="Tahoma"/>
        </w:rPr>
      </w:pPr>
      <w:r>
        <w:rPr>
          <w:rFonts w:ascii="仿宋" w:eastAsia="仿宋" w:hAnsi="仿宋" w:cs="Tahoma" w:hint="eastAsia"/>
        </w:rPr>
        <w:t>2、生活方式管理干预：饮食控制、运动控制、烟酒控制等；</w:t>
      </w:r>
    </w:p>
    <w:p>
      <w:pPr>
        <w:pStyle w:val="NormalWeb"/>
        <w:spacing w:before="156" w:beforeLines="50" w:beforeAutospacing="0" w:after="156" w:afterLines="50" w:afterAutospacing="0" w:line="360" w:lineRule="auto"/>
        <w:ind w:firstLine="420"/>
        <w:rPr>
          <w:rFonts w:ascii="仿宋" w:eastAsia="仿宋" w:hAnsi="仿宋" w:cs="Tahoma"/>
        </w:rPr>
        <w:sectPr>
          <w:headerReference w:type="even" r:id="rId48"/>
          <w:headerReference w:type="default" r:id="rId49"/>
          <w:footerReference w:type="even" r:id="rId50"/>
          <w:footerReference w:type="default" r:id="rId51"/>
          <w:headerReference w:type="first" r:id="rId52"/>
          <w:footerReference w:type="first" r:id="rId53"/>
          <w:type w:val="nextPage"/>
          <w:pgSz w:w="11906" w:h="16838"/>
          <w:pgMar w:top="1134" w:right="1701" w:bottom="1134" w:left="1701" w:header="851" w:footer="992" w:gutter="0"/>
          <w:pgNumType w:start="5"/>
          <w:cols w:num="1" w:space="425"/>
          <w:titlePg w:val="0"/>
          <w:docGrid w:type="lines" w:linePitch="312" w:charSpace="0"/>
        </w:sectPr>
      </w:pPr>
      <w:r>
        <w:rPr>
          <w:rFonts w:ascii="仿宋" w:eastAsia="仿宋" w:hAnsi="仿宋" w:cs="Tahoma" w:hint="eastAsia"/>
        </w:rPr>
        <w:t>3、心理健康管理干预：心理疏导、压力管理、情感陪护等；</w:t>
      </w:r>
    </w:p>
    <w:p>
      <w:pPr>
        <w:pStyle w:val="NormalWeb"/>
        <w:spacing w:before="156" w:beforeLines="50" w:beforeAutospacing="0" w:after="156" w:afterLines="50" w:afterAutospacing="0" w:line="360" w:lineRule="auto"/>
        <w:ind w:firstLine="420"/>
        <w:rPr>
          <w:rFonts w:ascii="仿宋" w:eastAsia="仿宋" w:hAnsi="仿宋" w:cs="Tahoma"/>
        </w:rPr>
      </w:pPr>
      <w:r>
        <w:rPr>
          <w:rFonts w:ascii="仿宋" w:eastAsia="仿宋" w:hAnsi="仿宋" w:cs="Tahoma" w:hint="eastAsia"/>
        </w:rPr>
        <w:t>4、压力管理干预：饮食调理、运动调理、情绪释放、陪同购物、集体活动等。</w:t>
      </w:r>
    </w:p>
    <w:p>
      <w:pPr>
        <w:pStyle w:val="NormalWeb"/>
        <w:spacing w:before="156" w:beforeLines="50" w:beforeAutospacing="0" w:after="156" w:afterLines="50" w:afterAutospacing="0" w:line="360" w:lineRule="auto"/>
        <w:ind w:firstLine="420"/>
        <w:rPr>
          <w:rFonts w:ascii="仿宋" w:eastAsia="仿宋" w:hAnsi="仿宋" w:cs="Tahoma"/>
        </w:rPr>
      </w:pPr>
      <w:r>
        <w:rPr>
          <w:rFonts w:ascii="仿宋" w:eastAsia="仿宋" w:hAnsi="仿宋" w:cs="Tahoma" w:hint="eastAsia"/>
        </w:rPr>
        <w:t>具体项目包括但不限于：三高防治、宫颈癌预防、乳腺癌预防、亚健康调理（颈肩腰腿痛、失眠、慢性疲劳、性欲减退、更年期综合症、产后修复等）。</w:t>
      </w:r>
    </w:p>
    <w:p>
      <w:pPr>
        <w:pStyle w:val="NormalWeb"/>
        <w:spacing w:before="156" w:beforeLines="50" w:beforeAutospacing="0" w:after="156" w:afterLines="50" w:afterAutospacing="0" w:line="360" w:lineRule="auto"/>
        <w:ind w:firstLine="420"/>
        <w:rPr>
          <w:rFonts w:ascii="仿宋" w:eastAsia="仿宋" w:hAnsi="仿宋" w:cs="Tahoma"/>
          <w:color w:val="000000"/>
        </w:rPr>
      </w:pPr>
    </w:p>
    <w:p>
      <w:pPr>
        <w:pStyle w:val="NormalWeb"/>
        <w:spacing w:before="156" w:beforeLines="50" w:beforeAutospacing="0" w:after="156" w:afterLines="50" w:afterAutospacing="0" w:line="360" w:lineRule="auto"/>
        <w:ind w:firstLine="420"/>
        <w:rPr>
          <w:rFonts w:ascii="仿宋" w:eastAsia="仿宋" w:hAnsi="仿宋" w:cs="Tahoma"/>
          <w:b/>
          <w:bCs/>
          <w:color w:val="000000"/>
        </w:rPr>
      </w:pPr>
      <w:r>
        <w:rPr>
          <w:rFonts w:ascii="仿宋" w:eastAsia="仿宋" w:hAnsi="仿宋" w:cs="Tahoma" w:hint="eastAsia"/>
          <w:b/>
          <w:bCs/>
          <w:color w:val="000000"/>
        </w:rPr>
        <w:t xml:space="preserve">（三）、深层工作 </w:t>
      </w:r>
      <w:r>
        <w:rPr>
          <w:rFonts w:ascii="仿宋" w:eastAsia="仿宋" w:hAnsi="仿宋" w:cs="Arial"/>
          <w:b/>
          <w:bCs/>
          <w:color w:val="000000"/>
        </w:rPr>
        <w:t>→</w:t>
      </w:r>
      <w:r>
        <w:rPr>
          <w:rFonts w:ascii="仿宋" w:eastAsia="仿宋" w:hAnsi="仿宋" w:cs="Arial" w:hint="eastAsia"/>
          <w:b/>
          <w:bCs/>
          <w:color w:val="000000"/>
        </w:rPr>
        <w:t xml:space="preserve"> 深度年轻化</w:t>
      </w:r>
      <w:r>
        <w:rPr>
          <w:rFonts w:ascii="仿宋" w:eastAsia="仿宋" w:hAnsi="仿宋" w:cs="Tahoma" w:hint="eastAsia"/>
          <w:b/>
          <w:bCs/>
          <w:color w:val="000000"/>
        </w:rPr>
        <w:t xml:space="preserve"> </w:t>
      </w:r>
      <w:r>
        <w:rPr>
          <w:rFonts w:ascii="仿宋" w:eastAsia="仿宋" w:hAnsi="仿宋" w:cs="Arial"/>
          <w:b/>
          <w:bCs/>
          <w:color w:val="000000"/>
        </w:rPr>
        <w:t>→</w:t>
      </w:r>
      <w:r>
        <w:rPr>
          <w:rFonts w:ascii="仿宋" w:eastAsia="仿宋" w:hAnsi="仿宋" w:cs="Arial" w:hint="eastAsia"/>
          <w:b/>
          <w:bCs/>
          <w:color w:val="000000"/>
        </w:rPr>
        <w:t xml:space="preserve"> 逆龄抗衰老</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外在美，是内部健康状况的直接反映。衰老源于身体器官功能衰退，（健康管理师）通过现代生物医学技术，设法改善器官的功能状态，增强器官功能的储备能力。</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1、干细胞与再生医学</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2、细胞因子与胎盘素：细胞增殖因子疗法</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3、端粒酶与荷尔蒙：荷尔蒙平衡疗法</w:t>
      </w:r>
    </w:p>
    <w:p>
      <w:pPr>
        <w:pStyle w:val="NormalWeb"/>
        <w:spacing w:before="156" w:beforeLines="50" w:beforeAutospacing="0" w:after="156" w:afterLines="50" w:afterAutospacing="0" w:line="360" w:lineRule="auto"/>
        <w:rPr>
          <w:rFonts w:ascii="仿宋" w:eastAsia="仿宋" w:hAnsi="仿宋" w:cs="Tahoma"/>
          <w:color w:val="000000"/>
        </w:rPr>
      </w:pPr>
    </w:p>
    <w:p>
      <w:pPr>
        <w:pStyle w:val="NormalWeb"/>
        <w:spacing w:before="156" w:beforeLines="50" w:beforeAutospacing="0" w:after="156" w:afterLines="50" w:afterAutospacing="0" w:line="360" w:lineRule="auto"/>
        <w:ind w:firstLine="480" w:firstLineChars="200"/>
        <w:rPr>
          <w:rFonts w:ascii="仿宋" w:eastAsia="仿宋" w:hAnsi="仿宋" w:cs="Tahoma"/>
          <w:b/>
          <w:bCs/>
          <w:color w:val="000000"/>
        </w:rPr>
      </w:pPr>
      <w:r>
        <w:rPr>
          <w:rFonts w:ascii="仿宋" w:eastAsia="仿宋" w:hAnsi="仿宋" w:cs="Tahoma" w:hint="eastAsia"/>
          <w:b/>
          <w:bCs/>
          <w:color w:val="000000"/>
          <w:lang w:eastAsia="zh-CN"/>
        </w:rPr>
        <w:t>BBGJ</w:t>
      </w:r>
      <w:r>
        <w:rPr>
          <w:rFonts w:ascii="仿宋" w:eastAsia="仿宋" w:hAnsi="仿宋" w:cs="Tahoma" w:hint="eastAsia"/>
          <w:b/>
          <w:bCs/>
          <w:color w:val="000000"/>
        </w:rPr>
        <w:t>SDB抗衰老体系流程</w:t>
      </w:r>
    </w:p>
    <w:p>
      <w:pPr>
        <w:pStyle w:val="NormalWeb"/>
        <w:spacing w:before="156" w:beforeLines="50" w:beforeAutospacing="0" w:after="156" w:afterLines="50" w:afterAutospacing="0" w:line="360" w:lineRule="auto"/>
        <w:ind w:firstLine="480" w:firstLineChars="200"/>
        <w:rPr>
          <w:rFonts w:ascii="仿宋" w:eastAsia="仿宋" w:hAnsi="仿宋" w:cs="Arial"/>
          <w:b/>
          <w:bCs/>
        </w:rPr>
      </w:pPr>
      <w:r>
        <w:rPr>
          <w:rFonts w:ascii="仿宋" w:eastAsia="仿宋" w:hAnsi="仿宋" w:cs="Tahoma" w:hint="eastAsia"/>
          <w:b/>
          <w:bCs/>
        </w:rPr>
        <w:t xml:space="preserve">检测 </w:t>
      </w:r>
      <w:r>
        <w:rPr>
          <w:rFonts w:ascii="仿宋" w:eastAsia="仿宋" w:hAnsi="仿宋" w:cs="Arial"/>
          <w:b/>
          <w:bCs/>
        </w:rPr>
        <w:t>→</w:t>
      </w:r>
      <w:r>
        <w:rPr>
          <w:rFonts w:ascii="仿宋" w:eastAsia="仿宋" w:hAnsi="仿宋" w:cs="Arial" w:hint="eastAsia"/>
          <w:b/>
          <w:bCs/>
        </w:rPr>
        <w:t xml:space="preserve"> </w:t>
      </w:r>
      <w:r>
        <w:rPr>
          <w:rFonts w:ascii="仿宋" w:eastAsia="仿宋" w:hAnsi="仿宋" w:cs="Tahoma" w:hint="eastAsia"/>
          <w:b/>
          <w:bCs/>
        </w:rPr>
        <w:t xml:space="preserve">评估 </w:t>
      </w:r>
      <w:r>
        <w:rPr>
          <w:rFonts w:ascii="仿宋" w:eastAsia="仿宋" w:hAnsi="仿宋" w:cs="Arial"/>
          <w:b/>
          <w:bCs/>
        </w:rPr>
        <w:t>→</w:t>
      </w:r>
      <w:r>
        <w:rPr>
          <w:rFonts w:ascii="仿宋" w:eastAsia="仿宋" w:hAnsi="仿宋" w:cs="Arial" w:hint="eastAsia"/>
          <w:b/>
          <w:bCs/>
        </w:rPr>
        <w:t xml:space="preserve"> 排毒</w:t>
      </w:r>
      <w:r>
        <w:rPr>
          <w:rFonts w:ascii="仿宋" w:eastAsia="仿宋" w:hAnsi="仿宋" w:cs="Tahoma" w:hint="eastAsia"/>
        </w:rPr>
        <w:t xml:space="preserve"> </w:t>
      </w:r>
      <w:r>
        <w:rPr>
          <w:rFonts w:ascii="仿宋" w:eastAsia="仿宋" w:hAnsi="仿宋" w:cs="Arial"/>
          <w:b/>
          <w:bCs/>
        </w:rPr>
        <w:t>→</w:t>
      </w:r>
      <w:r>
        <w:rPr>
          <w:rFonts w:ascii="仿宋" w:eastAsia="仿宋" w:hAnsi="仿宋" w:cs="Arial" w:hint="eastAsia"/>
          <w:b/>
          <w:bCs/>
        </w:rPr>
        <w:t xml:space="preserve"> 激活</w:t>
      </w:r>
      <w:r>
        <w:rPr>
          <w:rFonts w:ascii="仿宋" w:eastAsia="仿宋" w:hAnsi="仿宋" w:cs="Tahoma" w:hint="eastAsia"/>
        </w:rPr>
        <w:t xml:space="preserve"> </w:t>
      </w:r>
      <w:r>
        <w:rPr>
          <w:rFonts w:ascii="仿宋" w:eastAsia="仿宋" w:hAnsi="仿宋" w:cs="Arial"/>
          <w:b/>
          <w:bCs/>
        </w:rPr>
        <w:t>→</w:t>
      </w:r>
      <w:r>
        <w:rPr>
          <w:rFonts w:ascii="仿宋" w:eastAsia="仿宋" w:hAnsi="仿宋" w:cs="Arial" w:hint="eastAsia"/>
          <w:b/>
          <w:bCs/>
        </w:rPr>
        <w:t xml:space="preserve"> 修复</w:t>
      </w:r>
      <w:r>
        <w:rPr>
          <w:rFonts w:ascii="仿宋" w:eastAsia="仿宋" w:hAnsi="仿宋" w:cs="Tahoma" w:hint="eastAsia"/>
        </w:rPr>
        <w:t xml:space="preserve"> </w:t>
      </w:r>
      <w:r>
        <w:rPr>
          <w:rFonts w:ascii="仿宋" w:eastAsia="仿宋" w:hAnsi="仿宋" w:cs="Arial"/>
          <w:b/>
          <w:bCs/>
        </w:rPr>
        <w:t>→</w:t>
      </w:r>
      <w:r>
        <w:rPr>
          <w:rFonts w:ascii="仿宋" w:eastAsia="仿宋" w:hAnsi="仿宋" w:cs="Arial" w:hint="eastAsia"/>
          <w:b/>
          <w:bCs/>
        </w:rPr>
        <w:t xml:space="preserve"> 逆龄</w:t>
      </w:r>
    </w:p>
    <w:p>
      <w:pPr>
        <w:pStyle w:val="NormalWeb"/>
        <w:spacing w:before="156" w:beforeLines="50" w:beforeAutospacing="0" w:after="156" w:afterLines="50" w:afterAutospacing="0" w:line="360" w:lineRule="auto"/>
        <w:ind w:firstLine="480" w:firstLineChars="200"/>
        <w:rPr>
          <w:rFonts w:ascii="仿宋" w:eastAsia="仿宋" w:hAnsi="仿宋" w:cs="Tahoma"/>
          <w:b/>
          <w:bCs/>
        </w:rPr>
      </w:pPr>
    </w:p>
    <w:p>
      <w:pPr>
        <w:pStyle w:val="NormalWeb"/>
        <w:spacing w:before="156" w:beforeLines="50" w:beforeAutospacing="0" w:after="156" w:afterLines="50" w:afterAutospacing="0" w:line="360" w:lineRule="auto"/>
        <w:ind w:firstLine="480" w:firstLineChars="200"/>
        <w:rPr>
          <w:rFonts w:ascii="仿宋" w:eastAsia="仿宋" w:hAnsi="仿宋" w:cs="Arial"/>
          <w:b/>
          <w:bCs/>
        </w:rPr>
      </w:pPr>
      <w:r>
        <w:rPr>
          <w:rFonts w:ascii="仿宋" w:eastAsia="仿宋" w:hAnsi="仿宋" w:cs="Tahoma" w:hint="eastAsia"/>
          <w:b/>
          <w:bCs/>
        </w:rPr>
        <w:t xml:space="preserve">检测与评估 </w:t>
      </w:r>
      <w:r>
        <w:rPr>
          <w:rFonts w:ascii="仿宋" w:eastAsia="仿宋" w:hAnsi="仿宋" w:cs="Arial" w:hint="eastAsia"/>
          <w:b/>
          <w:bCs/>
        </w:rPr>
        <w:t xml:space="preserve">Evaluation  </w:t>
      </w:r>
    </w:p>
    <w:p>
      <w:pPr>
        <w:pStyle w:val="NormalWeb"/>
        <w:spacing w:before="156" w:beforeLines="50" w:beforeAutospacing="0" w:after="156" w:afterLines="50" w:afterAutospacing="0" w:line="360" w:lineRule="auto"/>
        <w:rPr>
          <w:rFonts w:ascii="仿宋" w:eastAsia="仿宋" w:hAnsi="仿宋" w:cs="Tahoma"/>
        </w:rPr>
      </w:pPr>
      <w:r>
        <w:rPr>
          <w:rFonts w:ascii="仿宋" w:eastAsia="仿宋" w:hAnsi="仿宋" w:cs="Tahoma" w:hint="eastAsia"/>
        </w:rPr>
        <w:t xml:space="preserve">    肝脏解毒功能分析</w:t>
      </w:r>
    </w:p>
    <w:p>
      <w:pPr>
        <w:pStyle w:val="NormalWeb"/>
        <w:spacing w:before="156" w:beforeLines="50" w:beforeAutospacing="0" w:after="156" w:afterLines="50" w:afterAutospacing="0" w:line="360" w:lineRule="auto"/>
        <w:rPr>
          <w:rFonts w:ascii="仿宋" w:eastAsia="仿宋" w:hAnsi="仿宋" w:cs="Tahoma"/>
        </w:rPr>
      </w:pPr>
      <w:r>
        <w:rPr>
          <w:rFonts w:ascii="仿宋" w:eastAsia="仿宋" w:hAnsi="仿宋" w:cs="Tahoma" w:hint="eastAsia"/>
        </w:rPr>
        <w:t xml:space="preserve">    心血管代谢症候群及营养代谢功能分析</w:t>
      </w:r>
    </w:p>
    <w:p>
      <w:pPr>
        <w:pStyle w:val="NormalWeb"/>
        <w:spacing w:before="156" w:beforeLines="50" w:beforeAutospacing="0" w:after="156" w:afterLines="50" w:afterAutospacing="0" w:line="360" w:lineRule="auto"/>
        <w:ind w:firstLine="480" w:firstLineChars="200"/>
        <w:rPr>
          <w:rFonts w:ascii="仿宋" w:eastAsia="仿宋" w:hAnsi="仿宋" w:cs="Tahoma"/>
        </w:rPr>
      </w:pPr>
      <w:r>
        <w:rPr>
          <w:rFonts w:ascii="仿宋" w:eastAsia="仿宋" w:hAnsi="仿宋" w:cs="Tahoma" w:hint="eastAsia"/>
        </w:rPr>
        <w:t>营养与毒性元素分析</w:t>
      </w:r>
    </w:p>
    <w:p>
      <w:pPr>
        <w:pStyle w:val="NormalWeb"/>
        <w:spacing w:before="156" w:beforeLines="50" w:beforeAutospacing="0" w:after="156" w:afterLines="50" w:afterAutospacing="0" w:line="360" w:lineRule="auto"/>
        <w:ind w:firstLine="480" w:firstLineChars="200"/>
        <w:rPr>
          <w:rFonts w:ascii="仿宋" w:eastAsia="仿宋" w:hAnsi="仿宋" w:cs="Tahoma"/>
        </w:rPr>
      </w:pPr>
      <w:r>
        <w:rPr>
          <w:rFonts w:ascii="仿宋" w:eastAsia="仿宋" w:hAnsi="仿宋" w:cs="Tahoma" w:hint="eastAsia"/>
        </w:rPr>
        <w:t>女性荷尔蒙评估</w:t>
      </w:r>
    </w:p>
    <w:p>
      <w:pPr>
        <w:pStyle w:val="NormalWeb"/>
        <w:spacing w:before="156" w:beforeLines="50" w:beforeAutospacing="0" w:after="156" w:afterLines="50" w:afterAutospacing="0" w:line="360" w:lineRule="auto"/>
        <w:ind w:firstLine="480" w:firstLineChars="200"/>
        <w:rPr>
          <w:rFonts w:ascii="仿宋" w:eastAsia="仿宋" w:hAnsi="仿宋" w:cs="Tahoma"/>
        </w:rPr>
      </w:pPr>
      <w:r>
        <w:rPr>
          <w:rFonts w:ascii="仿宋" w:eastAsia="仿宋" w:hAnsi="仿宋" w:cs="Tahoma" w:hint="eastAsia"/>
        </w:rPr>
        <w:t>男性荷尔蒙检测</w:t>
      </w:r>
    </w:p>
    <w:p>
      <w:pPr>
        <w:pStyle w:val="NormalWeb"/>
        <w:spacing w:before="156" w:beforeLines="50" w:beforeAutospacing="0" w:after="156" w:afterLines="50" w:afterAutospacing="0" w:line="360" w:lineRule="auto"/>
        <w:ind w:firstLine="480" w:firstLineChars="200"/>
        <w:rPr>
          <w:rFonts w:ascii="仿宋" w:eastAsia="仿宋" w:hAnsi="仿宋" w:cs="Tahoma"/>
        </w:rPr>
      </w:pPr>
      <w:r>
        <w:rPr>
          <w:rFonts w:ascii="仿宋" w:eastAsia="仿宋" w:hAnsi="仿宋" w:cs="Tahoma" w:hint="eastAsia"/>
        </w:rPr>
        <w:t>环境荷尔蒙检测</w:t>
      </w:r>
    </w:p>
    <w:p>
      <w:pPr>
        <w:pStyle w:val="NormalWeb"/>
        <w:spacing w:before="156" w:beforeLines="50" w:beforeAutospacing="0" w:after="156" w:afterLines="50" w:afterAutospacing="0" w:line="360" w:lineRule="auto"/>
        <w:ind w:firstLine="480" w:firstLineChars="200"/>
        <w:rPr>
          <w:rFonts w:ascii="仿宋" w:eastAsia="仿宋" w:hAnsi="仿宋" w:cs="Tahoma"/>
        </w:rPr>
      </w:pPr>
      <w:r>
        <w:rPr>
          <w:rFonts w:ascii="仿宋" w:eastAsia="仿宋" w:hAnsi="仿宋" w:cs="Tahoma" w:hint="eastAsia"/>
        </w:rPr>
        <w:t>肾上腺皮质压力分析</w:t>
      </w:r>
    </w:p>
    <w:p>
      <w:pPr>
        <w:pStyle w:val="NormalWeb"/>
        <w:spacing w:before="156" w:beforeLines="50" w:beforeAutospacing="0" w:after="156" w:afterLines="50" w:afterAutospacing="0" w:line="360" w:lineRule="auto"/>
        <w:ind w:firstLine="480" w:firstLineChars="200"/>
        <w:rPr>
          <w:rFonts w:ascii="仿宋" w:eastAsia="仿宋" w:hAnsi="仿宋" w:cs="Tahoma"/>
        </w:rPr>
        <w:sectPr>
          <w:headerReference w:type="even" r:id="rId54"/>
          <w:headerReference w:type="default" r:id="rId55"/>
          <w:footerReference w:type="even" r:id="rId56"/>
          <w:footerReference w:type="default" r:id="rId57"/>
          <w:headerReference w:type="first" r:id="rId58"/>
          <w:footerReference w:type="first" r:id="rId59"/>
          <w:type w:val="nextPage"/>
          <w:pgSz w:w="11906" w:h="16838"/>
          <w:pgMar w:top="1134" w:right="1701" w:bottom="1134" w:left="1701" w:header="851" w:footer="992" w:gutter="0"/>
          <w:pgNumType w:start="6"/>
          <w:cols w:num="1" w:space="425"/>
          <w:titlePg w:val="0"/>
          <w:docGrid w:type="lines" w:linePitch="312" w:charSpace="0"/>
        </w:sectPr>
      </w:pPr>
      <w:r>
        <w:rPr>
          <w:rFonts w:ascii="仿宋" w:eastAsia="仿宋" w:hAnsi="仿宋" w:cs="Tahoma" w:hint="eastAsia"/>
        </w:rPr>
        <w:t>氧化压力与抗氧化维生素分析</w:t>
      </w:r>
    </w:p>
    <w:p>
      <w:pPr>
        <w:pStyle w:val="NormalWeb"/>
        <w:spacing w:before="156" w:beforeLines="50" w:beforeAutospacing="0" w:after="156" w:afterLines="50" w:afterAutospacing="0" w:line="360" w:lineRule="auto"/>
        <w:ind w:firstLine="480" w:firstLineChars="200"/>
        <w:rPr>
          <w:rFonts w:ascii="仿宋" w:eastAsia="仿宋" w:hAnsi="仿宋" w:cs="Tahoma"/>
        </w:rPr>
      </w:pPr>
      <w:r>
        <w:rPr>
          <w:rFonts w:ascii="仿宋" w:eastAsia="仿宋" w:hAnsi="仿宋" w:cs="Tahoma" w:hint="eastAsia"/>
        </w:rPr>
        <w:t>综合肠道分析</w:t>
      </w:r>
    </w:p>
    <w:p>
      <w:pPr>
        <w:pStyle w:val="NormalWeb"/>
        <w:spacing w:before="156" w:beforeLines="50" w:beforeAutospacing="0" w:after="156" w:afterLines="50" w:afterAutospacing="0" w:line="360" w:lineRule="auto"/>
        <w:ind w:firstLine="480" w:firstLineChars="200"/>
        <w:rPr>
          <w:rFonts w:ascii="仿宋" w:eastAsia="仿宋" w:hAnsi="仿宋" w:cs="Tahoma"/>
        </w:rPr>
      </w:pPr>
      <w:r>
        <w:rPr>
          <w:rFonts w:ascii="仿宋" w:eastAsia="仿宋" w:hAnsi="仿宋" w:cs="Tahoma" w:hint="eastAsia"/>
        </w:rPr>
        <w:t>肿瘤筛查分析</w:t>
      </w:r>
    </w:p>
    <w:p>
      <w:pPr>
        <w:pStyle w:val="NormalWeb"/>
        <w:spacing w:before="156" w:beforeLines="50" w:beforeAutospacing="0" w:after="156" w:afterLines="50" w:afterAutospacing="0" w:line="360" w:lineRule="auto"/>
        <w:ind w:firstLine="480" w:firstLineChars="200"/>
        <w:rPr>
          <w:rFonts w:ascii="仿宋" w:eastAsia="仿宋" w:hAnsi="仿宋" w:cs="Tahoma"/>
        </w:rPr>
      </w:pPr>
      <w:r>
        <w:rPr>
          <w:rFonts w:ascii="仿宋" w:eastAsia="仿宋" w:hAnsi="仿宋" w:cs="Tahoma" w:hint="eastAsia"/>
        </w:rPr>
        <w:t>未来健康分析</w:t>
      </w:r>
    </w:p>
    <w:p>
      <w:pPr>
        <w:pStyle w:val="NormalWeb"/>
        <w:spacing w:before="156" w:beforeLines="50" w:beforeAutospacing="0" w:after="156" w:afterLines="50" w:afterAutospacing="0" w:line="360" w:lineRule="auto"/>
        <w:ind w:firstLine="480" w:firstLineChars="200"/>
        <w:rPr>
          <w:rFonts w:ascii="仿宋" w:eastAsia="仿宋" w:hAnsi="仿宋" w:cs="Arial"/>
          <w:b/>
          <w:bCs/>
        </w:rPr>
      </w:pPr>
    </w:p>
    <w:p>
      <w:pPr>
        <w:pStyle w:val="NormalWeb"/>
        <w:spacing w:before="156" w:beforeLines="50" w:beforeAutospacing="0" w:after="156" w:afterLines="50" w:afterAutospacing="0" w:line="360" w:lineRule="auto"/>
        <w:ind w:firstLine="480" w:firstLineChars="200"/>
        <w:rPr>
          <w:rFonts w:ascii="仿宋" w:eastAsia="仿宋" w:hAnsi="仿宋" w:cs="Arial"/>
          <w:b/>
          <w:bCs/>
        </w:rPr>
      </w:pPr>
      <w:r>
        <w:rPr>
          <w:rFonts w:ascii="仿宋" w:eastAsia="仿宋" w:hAnsi="仿宋" w:cs="Arial" w:hint="eastAsia"/>
          <w:b/>
          <w:bCs/>
        </w:rPr>
        <w:t>排毒 Expel</w:t>
      </w:r>
      <w:r>
        <w:rPr>
          <w:rFonts w:ascii="Arial" w:eastAsia="仿宋" w:hAnsi="Arial" w:cs="Arial"/>
          <w:b/>
          <w:bCs/>
        </w:rPr>
        <w:t> </w:t>
      </w:r>
      <w:r>
        <w:rPr>
          <w:rFonts w:ascii="仿宋" w:eastAsia="仿宋" w:hAnsi="仿宋" w:cs="Arial"/>
          <w:b/>
          <w:bCs/>
        </w:rPr>
        <w:t>toxins</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血液排毒</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脏器排毒</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细胞排毒</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重金属排毒</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肠道排毒</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心灵与精神排毒</w:t>
      </w:r>
    </w:p>
    <w:p>
      <w:pPr>
        <w:pStyle w:val="NormalWeb"/>
        <w:spacing w:before="156" w:beforeLines="50" w:beforeAutospacing="0" w:after="156" w:afterLines="50" w:afterAutospacing="0" w:line="360" w:lineRule="auto"/>
        <w:ind w:firstLine="420"/>
        <w:rPr>
          <w:rFonts w:ascii="仿宋" w:eastAsia="仿宋" w:hAnsi="仿宋" w:cs="Tahoma"/>
          <w:color w:val="000000"/>
        </w:rPr>
      </w:pPr>
    </w:p>
    <w:p>
      <w:pPr>
        <w:pStyle w:val="NormalWeb"/>
        <w:spacing w:before="156" w:beforeLines="50" w:beforeAutospacing="0" w:after="156" w:afterLines="50" w:afterAutospacing="0" w:line="360" w:lineRule="auto"/>
        <w:ind w:firstLine="420"/>
        <w:rPr>
          <w:rFonts w:ascii="仿宋" w:eastAsia="仿宋" w:hAnsi="仿宋" w:cs="Arial"/>
          <w:b/>
          <w:bCs/>
          <w:color w:val="000000"/>
        </w:rPr>
      </w:pPr>
      <w:r>
        <w:rPr>
          <w:rFonts w:ascii="仿宋" w:eastAsia="仿宋" w:hAnsi="仿宋" w:cs="Arial" w:hint="eastAsia"/>
          <w:b/>
          <w:bCs/>
          <w:color w:val="000000"/>
        </w:rPr>
        <w:t>激活 Revive</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荷尔蒙激活平衡疗法</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免疫细胞增殖因子疗法</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ATP线粒体激活</w:t>
      </w:r>
    </w:p>
    <w:p>
      <w:pPr>
        <w:pStyle w:val="NormalWeb"/>
        <w:spacing w:before="156" w:beforeLines="50" w:beforeAutospacing="0" w:after="156" w:afterLines="50" w:afterAutospacing="0" w:line="360" w:lineRule="auto"/>
        <w:ind w:firstLine="420"/>
        <w:rPr>
          <w:rFonts w:ascii="仿宋" w:eastAsia="仿宋" w:hAnsi="仿宋" w:cs="Arial"/>
          <w:b/>
          <w:bCs/>
          <w:color w:val="000000"/>
        </w:rPr>
      </w:pPr>
    </w:p>
    <w:p>
      <w:pPr>
        <w:pStyle w:val="NormalWeb"/>
        <w:spacing w:before="156" w:beforeLines="50" w:beforeAutospacing="0" w:after="156" w:afterLines="50" w:afterAutospacing="0" w:line="360" w:lineRule="auto"/>
        <w:ind w:firstLine="420"/>
        <w:rPr>
          <w:rFonts w:ascii="仿宋" w:eastAsia="仿宋" w:hAnsi="仿宋" w:cs="Arial"/>
          <w:b/>
          <w:bCs/>
          <w:color w:val="000000"/>
        </w:rPr>
      </w:pPr>
      <w:r>
        <w:rPr>
          <w:rFonts w:ascii="仿宋" w:eastAsia="仿宋" w:hAnsi="仿宋" w:cs="Arial" w:hint="eastAsia"/>
          <w:b/>
          <w:bCs/>
          <w:color w:val="000000"/>
        </w:rPr>
        <w:t>修复 Repair</w:t>
      </w:r>
    </w:p>
    <w:p>
      <w:pPr>
        <w:pStyle w:val="NormalWeb"/>
        <w:spacing w:before="156" w:beforeLines="50" w:beforeAutospacing="0" w:after="156" w:afterLines="50" w:afterAutospacing="0" w:line="360" w:lineRule="auto"/>
        <w:ind w:firstLine="420"/>
        <w:rPr>
          <w:rFonts w:ascii="仿宋" w:eastAsia="仿宋" w:hAnsi="仿宋" w:cs="Arial"/>
          <w:color w:val="000000"/>
        </w:rPr>
      </w:pPr>
      <w:r>
        <w:rPr>
          <w:rFonts w:ascii="仿宋" w:eastAsia="仿宋" w:hAnsi="仿宋" w:cs="Arial" w:hint="eastAsia"/>
          <w:color w:val="000000"/>
        </w:rPr>
        <w:t>活性细胞存储</w:t>
      </w:r>
    </w:p>
    <w:p>
      <w:pPr>
        <w:pStyle w:val="NormalWeb"/>
        <w:spacing w:before="156" w:beforeLines="50" w:beforeAutospacing="0" w:after="156" w:afterLines="50" w:afterAutospacing="0" w:line="360" w:lineRule="auto"/>
        <w:ind w:firstLine="420"/>
        <w:rPr>
          <w:rFonts w:ascii="仿宋" w:eastAsia="仿宋" w:hAnsi="仿宋" w:cs="Arial"/>
          <w:color w:val="000000"/>
        </w:rPr>
      </w:pPr>
      <w:r>
        <w:rPr>
          <w:rFonts w:ascii="仿宋" w:eastAsia="仿宋" w:hAnsi="仿宋" w:cs="Arial" w:hint="eastAsia"/>
          <w:color w:val="000000"/>
        </w:rPr>
        <w:t>活性细胞抗衰老（全身回注、靶向回注）</w:t>
      </w:r>
    </w:p>
    <w:p>
      <w:pPr>
        <w:pStyle w:val="NormalWeb"/>
        <w:spacing w:before="156" w:beforeLines="50" w:beforeAutospacing="0" w:after="156" w:afterLines="50" w:afterAutospacing="0" w:line="360" w:lineRule="auto"/>
        <w:ind w:firstLine="420"/>
        <w:rPr>
          <w:rFonts w:ascii="仿宋" w:eastAsia="仿宋" w:hAnsi="仿宋" w:cs="Arial"/>
          <w:color w:val="000000"/>
        </w:rPr>
      </w:pPr>
      <w:r>
        <w:rPr>
          <w:rFonts w:ascii="仿宋" w:eastAsia="仿宋" w:hAnsi="仿宋" w:cs="Arial" w:hint="eastAsia"/>
          <w:color w:val="000000"/>
        </w:rPr>
        <w:t>基因生物调节</w:t>
      </w:r>
    </w:p>
    <w:p>
      <w:pPr>
        <w:pStyle w:val="NormalWeb"/>
        <w:spacing w:before="156" w:beforeLines="50" w:beforeAutospacing="0" w:after="156" w:afterLines="50" w:afterAutospacing="0" w:line="360" w:lineRule="auto"/>
        <w:ind w:firstLine="420"/>
        <w:rPr>
          <w:rFonts w:ascii="仿宋" w:eastAsia="仿宋" w:hAnsi="仿宋" w:cs="Arial"/>
          <w:color w:val="000000"/>
        </w:rPr>
      </w:pPr>
      <w:r>
        <w:rPr>
          <w:rFonts w:ascii="仿宋" w:eastAsia="仿宋" w:hAnsi="仿宋" w:cs="Arial" w:hint="eastAsia"/>
          <w:color w:val="000000"/>
        </w:rPr>
        <w:t>人胎盘素</w:t>
      </w:r>
    </w:p>
    <w:p>
      <w:pPr>
        <w:pStyle w:val="NormalWeb"/>
        <w:spacing w:before="156" w:beforeLines="50" w:beforeAutospacing="0" w:after="156" w:afterLines="50" w:afterAutospacing="0" w:line="360" w:lineRule="auto"/>
        <w:ind w:firstLine="420"/>
        <w:rPr>
          <w:rFonts w:ascii="仿宋" w:eastAsia="仿宋" w:hAnsi="仿宋" w:cs="Arial"/>
          <w:b/>
          <w:bCs/>
          <w:color w:val="000000"/>
        </w:rPr>
        <w:sectPr>
          <w:headerReference w:type="even" r:id="rId60"/>
          <w:headerReference w:type="default" r:id="rId61"/>
          <w:footerReference w:type="even" r:id="rId62"/>
          <w:footerReference w:type="default" r:id="rId63"/>
          <w:headerReference w:type="first" r:id="rId64"/>
          <w:footerReference w:type="first" r:id="rId65"/>
          <w:type w:val="nextPage"/>
          <w:pgSz w:w="11906" w:h="16838"/>
          <w:pgMar w:top="1134" w:right="1701" w:bottom="1134" w:left="1701" w:header="851" w:footer="992" w:gutter="0"/>
          <w:pgNumType w:start="7"/>
          <w:cols w:num="1" w:space="425"/>
          <w:titlePg w:val="0"/>
          <w:docGrid w:type="lines" w:linePitch="312" w:charSpace="0"/>
        </w:sectPr>
      </w:pPr>
    </w:p>
    <w:p>
      <w:pPr>
        <w:pStyle w:val="NormalWeb"/>
        <w:spacing w:before="156" w:beforeLines="50" w:beforeAutospacing="0" w:after="156" w:afterLines="50" w:afterAutospacing="0" w:line="360" w:lineRule="auto"/>
        <w:ind w:firstLine="420"/>
        <w:rPr>
          <w:rFonts w:ascii="仿宋" w:eastAsia="仿宋" w:hAnsi="仿宋" w:cs="Arial"/>
          <w:b/>
          <w:bCs/>
          <w:color w:val="000000"/>
        </w:rPr>
      </w:pPr>
      <w:r>
        <w:rPr>
          <w:rFonts w:ascii="仿宋" w:eastAsia="仿宋" w:hAnsi="仿宋" w:cs="Arial" w:hint="eastAsia"/>
          <w:b/>
          <w:bCs/>
          <w:color w:val="000000"/>
        </w:rPr>
        <w:t xml:space="preserve">逆龄  Inverse age </w:t>
      </w:r>
    </w:p>
    <w:p>
      <w:pPr>
        <w:pStyle w:val="NormalWeb"/>
        <w:spacing w:before="156" w:beforeLines="50" w:beforeAutospacing="0" w:after="156" w:afterLines="50" w:afterAutospacing="0" w:line="360" w:lineRule="auto"/>
        <w:ind w:firstLine="420"/>
        <w:rPr>
          <w:rFonts w:ascii="仿宋" w:eastAsia="仿宋" w:hAnsi="仿宋" w:cs="Arial"/>
          <w:color w:val="000000"/>
        </w:rPr>
      </w:pPr>
      <w:r>
        <w:rPr>
          <w:rFonts w:ascii="仿宋" w:eastAsia="仿宋" w:hAnsi="仿宋" w:cs="Arial" w:hint="eastAsia"/>
          <w:color w:val="000000"/>
        </w:rPr>
        <w:t>医疗美容：外表年轻化</w:t>
      </w:r>
    </w:p>
    <w:p>
      <w:pPr>
        <w:pStyle w:val="NormalWeb"/>
        <w:spacing w:before="156" w:beforeLines="50" w:beforeAutospacing="0" w:after="156" w:afterLines="50" w:afterAutospacing="0" w:line="360" w:lineRule="auto"/>
        <w:ind w:firstLine="420"/>
        <w:rPr>
          <w:rFonts w:ascii="仿宋" w:eastAsia="仿宋" w:hAnsi="仿宋" w:cs="Arial"/>
          <w:color w:val="000000"/>
        </w:rPr>
      </w:pPr>
      <w:r>
        <w:rPr>
          <w:rFonts w:ascii="仿宋" w:eastAsia="仿宋" w:hAnsi="仿宋" w:cs="Arial" w:hint="eastAsia"/>
          <w:color w:val="000000"/>
        </w:rPr>
        <w:t>健康管理：身心无龄感</w:t>
      </w:r>
    </w:p>
    <w:p>
      <w:pPr>
        <w:pStyle w:val="NormalWeb"/>
        <w:spacing w:before="156" w:beforeLines="50" w:beforeAutospacing="0" w:after="156" w:afterLines="50" w:afterAutospacing="0" w:line="360" w:lineRule="auto"/>
        <w:ind w:firstLine="420"/>
        <w:rPr>
          <w:rFonts w:ascii="仿宋" w:eastAsia="仿宋" w:hAnsi="仿宋" w:cs="Arial"/>
          <w:color w:val="000000"/>
        </w:rPr>
      </w:pPr>
      <w:r>
        <w:rPr>
          <w:rFonts w:ascii="仿宋" w:eastAsia="仿宋" w:hAnsi="仿宋" w:cs="Arial" w:hint="eastAsia"/>
          <w:color w:val="000000"/>
        </w:rPr>
        <w:t>美容养生：肌体全养护</w:t>
      </w:r>
    </w:p>
    <w:p>
      <w:pPr>
        <w:pStyle w:val="NormalWeb"/>
        <w:spacing w:before="156" w:beforeLines="50" w:beforeAutospacing="0" w:after="156" w:afterLines="50" w:afterAutospacing="0"/>
        <w:rPr>
          <w:rFonts w:ascii="仿宋" w:eastAsia="仿宋" w:hAnsi="仿宋" w:cs="Tahoma"/>
          <w:b/>
          <w:bCs/>
          <w:color w:val="000000"/>
          <w:sz w:val="28"/>
          <w:szCs w:val="28"/>
        </w:rPr>
      </w:pPr>
    </w:p>
    <w:p>
      <w:pPr>
        <w:pStyle w:val="NormalWeb"/>
        <w:spacing w:before="156" w:beforeLines="50" w:beforeAutospacing="0" w:after="156" w:afterLines="50" w:afterAutospacing="0"/>
        <w:rPr>
          <w:rFonts w:ascii="仿宋" w:eastAsia="仿宋" w:hAnsi="仿宋" w:cs="Arial"/>
          <w:b/>
          <w:bCs/>
          <w:color w:val="000000"/>
          <w:sz w:val="28"/>
          <w:szCs w:val="28"/>
        </w:rPr>
      </w:pPr>
      <w:r>
        <w:rPr>
          <w:rFonts w:ascii="仿宋" w:eastAsia="仿宋" w:hAnsi="仿宋" w:cs="Tahoma" w:hint="eastAsia"/>
          <w:b/>
          <w:bCs/>
          <w:color w:val="000000"/>
          <w:sz w:val="28"/>
          <w:szCs w:val="28"/>
        </w:rPr>
        <w:t>二、</w:t>
      </w:r>
      <w:r>
        <w:rPr>
          <w:rFonts w:ascii="仿宋" w:eastAsia="仿宋" w:hAnsi="仿宋" w:cs="Tahoma" w:hint="eastAsia"/>
          <w:b/>
          <w:bCs/>
          <w:color w:val="000000"/>
          <w:sz w:val="28"/>
          <w:szCs w:val="28"/>
          <w:lang w:eastAsia="zh-CN"/>
        </w:rPr>
        <w:t>BBGJ</w:t>
      </w:r>
      <w:r>
        <w:rPr>
          <w:rFonts w:ascii="仿宋" w:eastAsia="仿宋" w:hAnsi="仿宋" w:cs="Tahoma" w:hint="eastAsia"/>
          <w:b/>
          <w:bCs/>
          <w:color w:val="000000"/>
          <w:sz w:val="28"/>
          <w:szCs w:val="28"/>
        </w:rPr>
        <w:t>SDB抗衰老体系流程</w:t>
      </w:r>
      <w:r>
        <w:rPr>
          <w:rFonts w:ascii="仿宋" w:eastAsia="仿宋" w:hAnsi="仿宋" w:cs="Arial" w:hint="eastAsia"/>
          <w:b/>
          <w:bCs/>
          <w:color w:val="000000"/>
          <w:sz w:val="28"/>
          <w:szCs w:val="28"/>
        </w:rPr>
        <w:t>解析</w:t>
      </w:r>
    </w:p>
    <w:p>
      <w:pPr>
        <w:pStyle w:val="NormalWeb"/>
        <w:spacing w:before="156" w:beforeLines="50" w:beforeAutospacing="0" w:after="156" w:afterLines="50" w:afterAutospacing="0" w:line="360" w:lineRule="auto"/>
        <w:ind w:firstLine="420"/>
        <w:rPr>
          <w:rFonts w:ascii="仿宋" w:eastAsia="仿宋" w:hAnsi="仿宋" w:cs="Tahoma"/>
          <w:b/>
          <w:bCs/>
          <w:color w:val="000000"/>
        </w:rPr>
      </w:pPr>
      <w:r>
        <w:rPr>
          <w:rFonts w:ascii="仿宋" w:eastAsia="仿宋" w:hAnsi="仿宋" w:cs="Tahoma" w:hint="eastAsia"/>
          <w:b/>
          <w:bCs/>
          <w:color w:val="000000"/>
        </w:rPr>
        <w:t>（一）、SDB抗衰老体系运行模式：PCDA循环</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项目</w:t>
      </w:r>
      <w:r>
        <w:rPr>
          <w:rFonts w:ascii="仿宋" w:eastAsia="仿宋" w:hAnsi="仿宋" w:cs="Tahoma" w:hint="eastAsia"/>
          <w:b/>
          <w:bCs/>
          <w:color w:val="000000"/>
        </w:rPr>
        <w:t xml:space="preserve"> </w:t>
      </w:r>
      <w:r>
        <w:rPr>
          <w:rFonts w:ascii="仿宋" w:eastAsia="仿宋" w:hAnsi="仿宋" w:cs="Arial"/>
          <w:b/>
          <w:bCs/>
          <w:color w:val="000000"/>
        </w:rPr>
        <w:t>→</w:t>
      </w:r>
      <w:r>
        <w:rPr>
          <w:rFonts w:ascii="仿宋" w:eastAsia="仿宋" w:hAnsi="仿宋" w:cs="Arial" w:hint="eastAsia"/>
          <w:b/>
          <w:bCs/>
          <w:color w:val="000000"/>
        </w:rPr>
        <w:t xml:space="preserve"> </w:t>
      </w:r>
      <w:r>
        <w:rPr>
          <w:rFonts w:ascii="仿宋" w:eastAsia="仿宋" w:hAnsi="仿宋" w:cs="Tahoma" w:hint="eastAsia"/>
          <w:color w:val="000000"/>
        </w:rPr>
        <w:t>调研</w:t>
      </w:r>
      <w:r>
        <w:rPr>
          <w:rFonts w:ascii="仿宋" w:eastAsia="仿宋" w:hAnsi="仿宋" w:cs="Tahoma" w:hint="eastAsia"/>
          <w:b/>
          <w:bCs/>
          <w:color w:val="000000"/>
        </w:rPr>
        <w:t xml:space="preserve"> </w:t>
      </w:r>
      <w:r>
        <w:rPr>
          <w:rFonts w:ascii="仿宋" w:eastAsia="仿宋" w:hAnsi="仿宋" w:cs="Arial"/>
          <w:b/>
          <w:bCs/>
          <w:color w:val="000000"/>
        </w:rPr>
        <w:t>→</w:t>
      </w:r>
      <w:r>
        <w:rPr>
          <w:rFonts w:ascii="仿宋" w:eastAsia="仿宋" w:hAnsi="仿宋" w:cs="Arial" w:hint="eastAsia"/>
          <w:b/>
          <w:bCs/>
          <w:color w:val="000000"/>
        </w:rPr>
        <w:t xml:space="preserve"> </w:t>
      </w:r>
      <w:r>
        <w:rPr>
          <w:rFonts w:ascii="仿宋" w:eastAsia="仿宋" w:hAnsi="仿宋" w:cs="Tahoma" w:hint="eastAsia"/>
          <w:color w:val="000000"/>
        </w:rPr>
        <w:t>评价</w:t>
      </w:r>
      <w:r>
        <w:rPr>
          <w:rFonts w:ascii="仿宋" w:eastAsia="仿宋" w:hAnsi="仿宋" w:cs="Tahoma" w:hint="eastAsia"/>
          <w:b/>
          <w:bCs/>
          <w:color w:val="000000"/>
        </w:rPr>
        <w:t xml:space="preserve"> </w:t>
      </w:r>
      <w:r>
        <w:rPr>
          <w:rFonts w:ascii="仿宋" w:eastAsia="仿宋" w:hAnsi="仿宋" w:cs="Arial"/>
          <w:b/>
          <w:bCs/>
          <w:color w:val="000000"/>
        </w:rPr>
        <w:t>→</w:t>
      </w:r>
      <w:r>
        <w:rPr>
          <w:rFonts w:ascii="仿宋" w:eastAsia="仿宋" w:hAnsi="仿宋" w:cs="Arial" w:hint="eastAsia"/>
          <w:b/>
          <w:bCs/>
          <w:color w:val="000000"/>
        </w:rPr>
        <w:t xml:space="preserve"> </w:t>
      </w:r>
      <w:r>
        <w:rPr>
          <w:rFonts w:ascii="仿宋" w:eastAsia="仿宋" w:hAnsi="仿宋" w:cs="Tahoma" w:hint="eastAsia"/>
          <w:color w:val="000000"/>
        </w:rPr>
        <w:t xml:space="preserve">实施  </w:t>
      </w:r>
      <w:r>
        <w:rPr>
          <w:rFonts w:ascii="仿宋" w:eastAsia="仿宋" w:hAnsi="仿宋" w:cs="Arial"/>
          <w:color w:val="000000"/>
        </w:rPr>
        <w:t>→→</w:t>
      </w:r>
      <w:r>
        <w:rPr>
          <w:rFonts w:ascii="仿宋" w:eastAsia="仿宋" w:hAnsi="仿宋" w:cs="Arial" w:hint="eastAsia"/>
          <w:color w:val="000000"/>
        </w:rPr>
        <w:t xml:space="preserve"> 再评价</w:t>
      </w:r>
      <w:r>
        <w:rPr>
          <w:rFonts w:ascii="仿宋" w:eastAsia="仿宋" w:hAnsi="仿宋" w:cs="Tahoma" w:hint="eastAsia"/>
          <w:b/>
          <w:bCs/>
          <w:color w:val="000000"/>
        </w:rPr>
        <w:t xml:space="preserve"> </w:t>
      </w:r>
      <w:r>
        <w:rPr>
          <w:rFonts w:ascii="仿宋" w:eastAsia="仿宋" w:hAnsi="仿宋" w:cs="Arial"/>
          <w:b/>
          <w:bCs/>
          <w:color w:val="000000"/>
        </w:rPr>
        <w:t>→</w:t>
      </w:r>
      <w:r>
        <w:rPr>
          <w:rFonts w:ascii="仿宋" w:eastAsia="仿宋" w:hAnsi="仿宋" w:cs="Arial" w:hint="eastAsia"/>
          <w:b/>
          <w:bCs/>
          <w:color w:val="000000"/>
        </w:rPr>
        <w:t xml:space="preserve"> </w:t>
      </w:r>
      <w:r>
        <w:rPr>
          <w:rFonts w:ascii="仿宋" w:eastAsia="仿宋" w:hAnsi="仿宋" w:cs="Arial" w:hint="eastAsia"/>
          <w:color w:val="000000"/>
        </w:rPr>
        <w:t>再实施</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任何的抗衰老工作，必须是长期追踪、长期分析、长期服务才能取得良效。</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b/>
          <w:bCs/>
          <w:color w:val="000000"/>
        </w:rPr>
        <w:t>PCDA模式的意义</w:t>
      </w:r>
      <w:r>
        <w:rPr>
          <w:rFonts w:ascii="仿宋" w:eastAsia="仿宋" w:hAnsi="仿宋" w:cs="Tahoma" w:hint="eastAsia"/>
          <w:color w:val="000000"/>
        </w:rPr>
        <w:t>：永远不满足于现状，使内容更趋完整与符合实际，最适合于抗衰老工作的开展。PCDA循环，每转动一次，不良就愈少，管理水准就愈高。循环不已，调理不止，抗衰老效果不断得以加强与巩固。</w:t>
      </w:r>
    </w:p>
    <w:p>
      <w:pPr>
        <w:pStyle w:val="NormalWeb"/>
        <w:spacing w:before="156" w:beforeLines="50" w:beforeAutospacing="0" w:after="156" w:afterLines="50" w:afterAutospacing="0" w:line="360" w:lineRule="auto"/>
        <w:ind w:firstLine="420"/>
        <w:rPr>
          <w:rFonts w:ascii="仿宋" w:eastAsia="仿宋" w:hAnsi="仿宋" w:cs="Tahoma"/>
          <w:color w:val="000000"/>
        </w:rPr>
      </w:pPr>
    </w:p>
    <w:p>
      <w:pPr>
        <w:pStyle w:val="NormalWeb"/>
        <w:spacing w:before="156" w:beforeLines="50" w:beforeAutospacing="0" w:after="156" w:afterLines="50" w:afterAutospacing="0" w:line="360" w:lineRule="auto"/>
        <w:ind w:firstLine="420"/>
        <w:rPr>
          <w:rFonts w:ascii="仿宋" w:eastAsia="仿宋" w:hAnsi="仿宋" w:cs="Tahoma"/>
          <w:b/>
          <w:bCs/>
          <w:color w:val="000000"/>
        </w:rPr>
      </w:pPr>
      <w:r>
        <w:rPr>
          <w:rFonts w:ascii="仿宋" w:eastAsia="仿宋" w:hAnsi="仿宋" w:cs="Tahoma" w:hint="eastAsia"/>
          <w:b/>
          <w:bCs/>
          <w:color w:val="000000"/>
        </w:rPr>
        <w:t>（二）、SDB抗衰老体系操作流程</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1、</w:t>
      </w:r>
      <w:r>
        <w:rPr>
          <w:rFonts w:ascii="仿宋" w:eastAsia="仿宋" w:hAnsi="仿宋" w:cs="Tahoma"/>
          <w:color w:val="000000"/>
        </w:rPr>
        <w:t>通过</w:t>
      </w:r>
      <w:r>
        <w:rPr>
          <w:rFonts w:ascii="仿宋" w:eastAsia="仿宋" w:hAnsi="仿宋" w:cs="Tahoma" w:hint="eastAsia"/>
          <w:color w:val="000000"/>
        </w:rPr>
        <w:t>无创全身扫描检测、</w:t>
      </w:r>
      <w:r>
        <w:rPr>
          <w:rFonts w:ascii="仿宋" w:eastAsia="仿宋" w:hAnsi="仿宋" w:cs="Tahoma"/>
          <w:color w:val="000000"/>
        </w:rPr>
        <w:t>无创血液分析仪、无创基因</w:t>
      </w:r>
      <w:r>
        <w:rPr>
          <w:rFonts w:ascii="仿宋" w:eastAsia="仿宋" w:hAnsi="仿宋" w:cs="Tahoma" w:hint="eastAsia"/>
          <w:color w:val="000000"/>
        </w:rPr>
        <w:t>排序</w:t>
      </w:r>
      <w:r>
        <w:rPr>
          <w:rFonts w:ascii="仿宋" w:eastAsia="仿宋" w:hAnsi="仿宋" w:cs="Tahoma"/>
          <w:color w:val="000000"/>
        </w:rPr>
        <w:t>检测</w:t>
      </w:r>
      <w:r>
        <w:rPr>
          <w:rFonts w:ascii="仿宋" w:eastAsia="仿宋" w:hAnsi="仿宋" w:cs="Tahoma" w:hint="eastAsia"/>
          <w:color w:val="000000"/>
        </w:rPr>
        <w:t>、PET-CT肿瘤检测</w:t>
      </w:r>
      <w:r>
        <w:rPr>
          <w:rFonts w:ascii="仿宋" w:eastAsia="仿宋" w:hAnsi="仿宋" w:cs="Tahoma"/>
          <w:color w:val="000000"/>
        </w:rPr>
        <w:t>等科学的健康普查和健康评估技术</w:t>
      </w:r>
      <w:r>
        <w:rPr>
          <w:rFonts w:ascii="仿宋" w:eastAsia="仿宋" w:hAnsi="仿宋" w:cs="Tahoma" w:hint="eastAsia"/>
          <w:color w:val="000000"/>
        </w:rPr>
        <w:t>对消费者身体健康进行全面评测，对未来一定时间内消费者的身体健康发展趋势进行分析预测。</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2、根据科学而详尽的评测报告，针对消费者的个体差异情况，制订全面而个性化的健康管理方案，以</w:t>
      </w:r>
      <w:r>
        <w:rPr>
          <w:rFonts w:ascii="仿宋" w:eastAsia="仿宋" w:hAnsi="仿宋" w:cs="Tahoma"/>
          <w:color w:val="000000"/>
        </w:rPr>
        <w:t>最先进的治未病技术</w:t>
      </w:r>
      <w:r>
        <w:rPr>
          <w:rFonts w:ascii="仿宋" w:eastAsia="仿宋" w:hAnsi="仿宋" w:cs="Tahoma" w:hint="eastAsia"/>
          <w:color w:val="000000"/>
        </w:rPr>
        <w:t>来实施预防干预计划。</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3、通过激活、修复过程促进肌体细胞全面活性化，使肌体平衡、消除或减轻自由基过氧化，从而达到抗衰老治疗目的。</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4、通过健康管</w:t>
      </w:r>
      <w:r>
        <w:rPr>
          <w:rFonts w:ascii="仿宋" w:eastAsia="仿宋" w:hAnsi="仿宋" w:cs="Tahoma" w:hint="eastAsia"/>
        </w:rPr>
        <w:t>理专家、</w:t>
      </w:r>
      <w:r>
        <w:rPr>
          <w:rFonts w:ascii="仿宋" w:eastAsia="仿宋" w:hAnsi="仿宋" w:cs="Tahoma" w:hint="eastAsia"/>
          <w:color w:val="000000"/>
        </w:rPr>
        <w:t>营养师、美容师、美容医生、心理医生、理疗医生、形象设计师等多对一形式全方位配合，实现以消费者为中心，对消费者自内到外，自心理到生理的全面抗衰老干预，进入生机焕发的良性年轻态逆龄康复之旅。</w:t>
      </w:r>
    </w:p>
    <w:p>
      <w:pPr>
        <w:pStyle w:val="NormalWeb"/>
        <w:spacing w:before="156" w:beforeLines="50" w:beforeAutospacing="0" w:after="156" w:afterLines="50" w:afterAutospacing="0" w:line="360" w:lineRule="auto"/>
        <w:ind w:firstLine="420"/>
        <w:rPr>
          <w:rFonts w:ascii="仿宋" w:eastAsia="仿宋" w:hAnsi="仿宋" w:cs="Tahoma"/>
          <w:color w:val="000000"/>
        </w:rPr>
        <w:sectPr>
          <w:headerReference w:type="even" r:id="rId66"/>
          <w:headerReference w:type="default" r:id="rId67"/>
          <w:footerReference w:type="even" r:id="rId68"/>
          <w:footerReference w:type="default" r:id="rId69"/>
          <w:headerReference w:type="first" r:id="rId70"/>
          <w:footerReference w:type="first" r:id="rId71"/>
          <w:type w:val="nextPage"/>
          <w:pgSz w:w="11906" w:h="16838"/>
          <w:pgMar w:top="1134" w:right="1701" w:bottom="1134" w:left="1701" w:header="851" w:footer="992" w:gutter="0"/>
          <w:pgNumType w:start="8"/>
          <w:cols w:num="1" w:space="425"/>
          <w:titlePg w:val="0"/>
          <w:docGrid w:type="lines" w:linePitch="312" w:charSpace="0"/>
        </w:sectPr>
      </w:pPr>
    </w:p>
    <w:p>
      <w:pPr>
        <w:pStyle w:val="NormalWeb"/>
        <w:spacing w:before="156" w:beforeLines="50" w:beforeAutospacing="0" w:after="156" w:afterLines="50" w:afterAutospacing="0" w:line="360" w:lineRule="auto"/>
        <w:ind w:firstLine="420"/>
        <w:rPr>
          <w:rFonts w:ascii="仿宋" w:eastAsia="仿宋" w:hAnsi="仿宋" w:cs="Tahoma"/>
          <w:b/>
          <w:bCs/>
          <w:color w:val="000000"/>
        </w:rPr>
      </w:pPr>
      <w:r>
        <w:rPr>
          <w:rFonts w:ascii="仿宋" w:eastAsia="仿宋" w:hAnsi="仿宋" w:cs="Tahoma" w:hint="eastAsia"/>
          <w:b/>
          <w:bCs/>
          <w:color w:val="000000"/>
        </w:rPr>
        <w:t>（三）、SDB抗衰老体系经营特色</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lang w:eastAsia="zh-CN"/>
        </w:rPr>
        <w:t>BBGJ</w:t>
      </w:r>
      <w:r>
        <w:rPr>
          <w:rFonts w:ascii="仿宋" w:eastAsia="仿宋" w:hAnsi="仿宋" w:cs="Tahoma" w:hint="eastAsia"/>
          <w:color w:val="000000"/>
        </w:rPr>
        <w:t>以先进的生物医学技术和设备，通过</w:t>
      </w:r>
      <w:r>
        <w:rPr>
          <w:rFonts w:ascii="仿宋" w:eastAsia="仿宋" w:hAnsi="仿宋" w:cs="Tahoma"/>
          <w:color w:val="000000"/>
        </w:rPr>
        <w:t>科学的健康普查和健康评估技术</w:t>
      </w:r>
      <w:r>
        <w:rPr>
          <w:rFonts w:ascii="仿宋" w:eastAsia="仿宋" w:hAnsi="仿宋" w:cs="Tahoma" w:hint="eastAsia"/>
          <w:color w:val="000000"/>
        </w:rPr>
        <w:t>实现有效的健康管理规划。以精细化</w:t>
      </w:r>
      <w:r>
        <w:rPr>
          <w:rFonts w:ascii="仿宋" w:eastAsia="仿宋" w:hAnsi="仿宋" w:cs="Tahoma"/>
          <w:color w:val="000000"/>
        </w:rPr>
        <w:t>的服务</w:t>
      </w:r>
      <w:r>
        <w:rPr>
          <w:rFonts w:ascii="仿宋" w:eastAsia="仿宋" w:hAnsi="仿宋" w:cs="Tahoma" w:hint="eastAsia"/>
          <w:color w:val="000000"/>
        </w:rPr>
        <w:t>为辅助</w:t>
      </w:r>
      <w:r>
        <w:rPr>
          <w:rFonts w:ascii="仿宋" w:eastAsia="仿宋" w:hAnsi="仿宋" w:cs="Tahoma"/>
          <w:color w:val="000000"/>
        </w:rPr>
        <w:t>、</w:t>
      </w:r>
      <w:r>
        <w:rPr>
          <w:rFonts w:ascii="仿宋" w:eastAsia="仿宋" w:hAnsi="仿宋" w:cs="Tahoma" w:hint="eastAsia"/>
          <w:color w:val="000000"/>
        </w:rPr>
        <w:t>高端</w:t>
      </w:r>
      <w:r>
        <w:rPr>
          <w:rFonts w:ascii="仿宋" w:eastAsia="仿宋" w:hAnsi="仿宋" w:cs="Tahoma"/>
          <w:color w:val="000000"/>
        </w:rPr>
        <w:t>资源的整合</w:t>
      </w:r>
      <w:r>
        <w:rPr>
          <w:rFonts w:ascii="仿宋" w:eastAsia="仿宋" w:hAnsi="仿宋" w:cs="Tahoma" w:hint="eastAsia"/>
          <w:color w:val="000000"/>
        </w:rPr>
        <w:t>基础</w:t>
      </w:r>
      <w:r>
        <w:rPr>
          <w:rFonts w:ascii="仿宋" w:eastAsia="仿宋" w:hAnsi="仿宋" w:cs="Tahoma"/>
          <w:color w:val="000000"/>
        </w:rPr>
        <w:t>，打造</w:t>
      </w:r>
      <w:r>
        <w:rPr>
          <w:rFonts w:ascii="仿宋" w:eastAsia="仿宋" w:hAnsi="仿宋" w:cs="Tahoma" w:hint="eastAsia"/>
          <w:color w:val="000000"/>
          <w:lang w:eastAsia="zh-CN"/>
        </w:rPr>
        <w:t>BBGJ</w:t>
      </w:r>
      <w:r>
        <w:rPr>
          <w:rFonts w:ascii="仿宋" w:eastAsia="仿宋" w:hAnsi="仿宋" w:cs="Tahoma" w:hint="eastAsia"/>
          <w:color w:val="000000"/>
        </w:rPr>
        <w:t>SDB抗衰老体系的</w:t>
      </w:r>
      <w:r>
        <w:rPr>
          <w:rFonts w:ascii="仿宋" w:eastAsia="仿宋" w:hAnsi="仿宋" w:cs="Tahoma"/>
          <w:color w:val="000000"/>
        </w:rPr>
        <w:t>核心竞争力，亲近客户，</w:t>
      </w:r>
      <w:r>
        <w:rPr>
          <w:rFonts w:ascii="仿宋" w:eastAsia="仿宋" w:hAnsi="仿宋" w:cs="Tahoma" w:hint="eastAsia"/>
          <w:color w:val="000000"/>
        </w:rPr>
        <w:t>创新</w:t>
      </w:r>
      <w:r>
        <w:rPr>
          <w:rFonts w:ascii="仿宋" w:eastAsia="仿宋" w:hAnsi="仿宋" w:cs="Tahoma"/>
          <w:color w:val="000000"/>
        </w:rPr>
        <w:t>运营，把握住目标客户的需求，从而区隔细分市场，找到终身价值最大的客户。</w:t>
      </w:r>
    </w:p>
    <w:p>
      <w:pPr>
        <w:spacing w:line="360" w:lineRule="auto"/>
        <w:rPr>
          <w:rFonts w:ascii="仿宋" w:eastAsia="仿宋" w:hAnsi="仿宋" w:cs="Tahoma"/>
          <w:color w:val="000000"/>
        </w:rPr>
      </w:pPr>
      <w:r>
        <w:rPr>
          <w:rFonts w:ascii="仿宋" w:eastAsia="仿宋" w:hAnsi="仿宋" w:cs="Tahoma" w:hint="eastAsia"/>
          <w:color w:val="000000"/>
        </w:rPr>
        <w:t xml:space="preserve">    </w:t>
      </w:r>
      <w:r>
        <w:rPr>
          <w:rFonts w:ascii="仿宋" w:eastAsia="仿宋" w:hAnsi="仿宋" w:cs="Tahoma" w:hint="eastAsia"/>
          <w:color w:val="000000"/>
          <w:lang w:eastAsia="zh-CN"/>
        </w:rPr>
        <w:t>BBGJ</w:t>
      </w:r>
      <w:r>
        <w:rPr>
          <w:rFonts w:ascii="仿宋" w:eastAsia="仿宋" w:hAnsi="仿宋" w:cs="Tahoma" w:hint="eastAsia"/>
          <w:color w:val="000000"/>
        </w:rPr>
        <w:t>不仅是一家健康管理中心，一家抗衰老中心；</w:t>
      </w:r>
    </w:p>
    <w:p>
      <w:pPr>
        <w:spacing w:line="360" w:lineRule="auto"/>
        <w:rPr>
          <w:rFonts w:ascii="仿宋" w:eastAsia="仿宋" w:hAnsi="仿宋" w:cs="Tahoma"/>
          <w:color w:val="000000"/>
        </w:rPr>
      </w:pPr>
      <w:r>
        <w:rPr>
          <w:rFonts w:ascii="仿宋" w:eastAsia="仿宋" w:hAnsi="仿宋" w:cs="Tahoma" w:hint="eastAsia"/>
          <w:color w:val="000000"/>
        </w:rPr>
        <w:t xml:space="preserve">            不仅是一家整形美容医院，一家养生美容院；</w:t>
      </w:r>
    </w:p>
    <w:p>
      <w:pPr>
        <w:spacing w:line="360" w:lineRule="auto"/>
        <w:rPr>
          <w:rFonts w:ascii="仿宋" w:eastAsia="仿宋" w:hAnsi="仿宋" w:cs="Tahoma"/>
          <w:color w:val="000000"/>
        </w:rPr>
      </w:pPr>
      <w:r>
        <w:rPr>
          <w:rFonts w:ascii="仿宋" w:eastAsia="仿宋" w:hAnsi="仿宋" w:cs="Tahoma" w:hint="eastAsia"/>
          <w:color w:val="000000"/>
        </w:rPr>
        <w:t xml:space="preserve">              还是一家社会名流的聚集会所，成功人士的聚集地；</w:t>
      </w:r>
    </w:p>
    <w:p>
      <w:pPr>
        <w:spacing w:line="360" w:lineRule="auto"/>
        <w:rPr>
          <w:rFonts w:ascii="仿宋" w:eastAsia="仿宋" w:hAnsi="仿宋" w:cs="Tahoma"/>
          <w:color w:val="000000"/>
        </w:rPr>
      </w:pPr>
      <w:r>
        <w:rPr>
          <w:rFonts w:ascii="仿宋" w:eastAsia="仿宋" w:hAnsi="仿宋" w:cs="Tahoma" w:hint="eastAsia"/>
          <w:color w:val="000000"/>
        </w:rPr>
        <w:t xml:space="preserve">              更是一个事业发展的交流平台，一个高端朋友圈交际的平台。</w:t>
      </w:r>
    </w:p>
    <w:p>
      <w:pPr>
        <w:pStyle w:val="NormalWeb"/>
        <w:spacing w:before="156" w:beforeLines="50" w:beforeAutospacing="0" w:after="156" w:afterLines="50" w:afterAutospacing="0" w:line="360" w:lineRule="auto"/>
        <w:ind w:firstLine="420"/>
        <w:rPr>
          <w:rFonts w:ascii="仿宋" w:eastAsia="仿宋" w:hAnsi="仿宋" w:cs="Tahoma"/>
          <w:color w:val="000000"/>
        </w:rPr>
      </w:pPr>
      <w:r>
        <w:rPr>
          <w:rFonts w:ascii="仿宋" w:eastAsia="仿宋" w:hAnsi="仿宋" w:cs="Tahoma" w:hint="eastAsia"/>
          <w:color w:val="000000"/>
        </w:rPr>
        <w:t>细节服务、亲情服务、感动服务形成以消费者为中心将是</w:t>
      </w:r>
      <w:r>
        <w:rPr>
          <w:rFonts w:ascii="仿宋" w:eastAsia="仿宋" w:hAnsi="仿宋" w:cs="Tahoma" w:hint="eastAsia"/>
          <w:color w:val="000000"/>
          <w:lang w:eastAsia="zh-CN"/>
        </w:rPr>
        <w:t>BBGJ</w:t>
      </w:r>
      <w:r>
        <w:rPr>
          <w:rFonts w:ascii="仿宋" w:eastAsia="仿宋" w:hAnsi="仿宋" w:cs="Tahoma" w:hint="eastAsia"/>
          <w:color w:val="000000"/>
        </w:rPr>
        <w:t>的核心服务理念，通过</w:t>
      </w:r>
      <w:r>
        <w:rPr>
          <w:rFonts w:ascii="仿宋" w:eastAsia="仿宋" w:hAnsi="仿宋" w:cs="Tahoma" w:hint="eastAsia"/>
          <w:color w:val="000000"/>
          <w:lang w:eastAsia="zh-CN"/>
        </w:rPr>
        <w:t>BBGJ</w:t>
      </w:r>
      <w:r>
        <w:rPr>
          <w:rFonts w:ascii="仿宋" w:eastAsia="仿宋" w:hAnsi="仿宋" w:cs="Tahoma" w:hint="eastAsia"/>
          <w:color w:val="000000"/>
        </w:rPr>
        <w:t>整合资源，</w:t>
      </w:r>
      <w:r>
        <w:rPr>
          <w:rFonts w:ascii="仿宋" w:eastAsia="仿宋" w:hAnsi="仿宋" w:cs="Tahoma"/>
          <w:color w:val="000000"/>
        </w:rPr>
        <w:t>以产品创新、卓越体验、合理定价等方式创造、传递客户价值，建立起以客户为中心的组织结构，把创意变成有效的创新，并创造正确的商业模式和商业化途径将创新</w:t>
      </w:r>
      <w:r>
        <w:rPr>
          <w:rFonts w:ascii="仿宋" w:eastAsia="仿宋" w:hAnsi="仿宋" w:cs="Tahoma" w:hint="eastAsia"/>
          <w:color w:val="000000"/>
        </w:rPr>
        <w:t>最终</w:t>
      </w:r>
      <w:r>
        <w:rPr>
          <w:rFonts w:ascii="仿宋" w:eastAsia="仿宋" w:hAnsi="仿宋" w:cs="Tahoma"/>
          <w:color w:val="000000"/>
        </w:rPr>
        <w:t>变成创收。</w:t>
      </w:r>
    </w:p>
    <w:p>
      <w:pPr>
        <w:pStyle w:val="NormalWeb"/>
        <w:spacing w:before="156" w:beforeLines="50" w:beforeAutospacing="0" w:after="156" w:afterLines="50" w:afterAutospacing="0" w:line="360" w:lineRule="auto"/>
        <w:rPr>
          <w:rFonts w:ascii="仿宋" w:eastAsia="仿宋" w:hAnsi="仿宋" w:cs="Tahoma"/>
          <w:color w:val="000000"/>
        </w:rPr>
      </w:pPr>
    </w:p>
    <w:p>
      <w:pPr>
        <w:pStyle w:val="NormalWeb"/>
        <w:spacing w:before="156" w:beforeLines="50" w:beforeAutospacing="0" w:after="156" w:afterLines="50" w:afterAutospacing="0"/>
        <w:rPr>
          <w:rFonts w:ascii="仿宋" w:eastAsia="仿宋" w:hAnsi="仿宋" w:cs="Tahoma"/>
          <w:b/>
          <w:bCs/>
          <w:color w:val="000000"/>
          <w:sz w:val="28"/>
          <w:szCs w:val="28"/>
        </w:rPr>
      </w:pPr>
      <w:r>
        <w:rPr>
          <w:rFonts w:ascii="仿宋" w:eastAsia="仿宋" w:hAnsi="仿宋" w:cs="Tahoma" w:hint="eastAsia"/>
          <w:b/>
          <w:bCs/>
          <w:color w:val="000000"/>
          <w:sz w:val="28"/>
          <w:szCs w:val="28"/>
        </w:rPr>
        <w:t>三、</w:t>
      </w:r>
      <w:r>
        <w:rPr>
          <w:rFonts w:ascii="仿宋" w:eastAsia="仿宋" w:hAnsi="仿宋" w:cs="Tahoma" w:hint="eastAsia"/>
          <w:b/>
          <w:bCs/>
          <w:color w:val="000000"/>
          <w:sz w:val="28"/>
          <w:szCs w:val="28"/>
          <w:lang w:eastAsia="zh-CN"/>
        </w:rPr>
        <w:t>BBGJ</w:t>
      </w:r>
      <w:r>
        <w:rPr>
          <w:rFonts w:ascii="仿宋" w:eastAsia="仿宋" w:hAnsi="仿宋" w:cs="Tahoma" w:hint="eastAsia"/>
          <w:b/>
          <w:bCs/>
          <w:color w:val="000000"/>
          <w:sz w:val="28"/>
          <w:szCs w:val="28"/>
        </w:rPr>
        <w:t>项目特色:</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sz w:val="21"/>
          <w:szCs w:val="21"/>
        </w:rPr>
        <w:t>　</w:t>
      </w:r>
      <w:r>
        <w:rPr>
          <w:rFonts w:ascii="仿宋" w:eastAsia="仿宋" w:hAnsi="仿宋" w:cs="Tahoma"/>
          <w:color w:val="000000"/>
        </w:rPr>
        <w:t>　</w:t>
      </w:r>
      <w:r>
        <w:rPr>
          <w:rFonts w:ascii="仿宋" w:eastAsia="仿宋" w:hAnsi="仿宋" w:cs="Tahoma"/>
          <w:b/>
          <w:bCs/>
          <w:color w:val="000000"/>
        </w:rPr>
        <w:t>新</w:t>
      </w:r>
      <w:r>
        <w:rPr>
          <w:rFonts w:ascii="仿宋" w:eastAsia="仿宋" w:hAnsi="仿宋" w:cs="Tahoma" w:hint="eastAsia"/>
          <w:b/>
          <w:bCs/>
          <w:color w:val="000000"/>
        </w:rPr>
        <w:t>体系</w:t>
      </w:r>
      <w:r>
        <w:rPr>
          <w:rFonts w:ascii="仿宋" w:eastAsia="仿宋" w:hAnsi="仿宋" w:cs="Tahoma"/>
          <w:b/>
          <w:bCs/>
          <w:color w:val="000000"/>
        </w:rPr>
        <w:t>：</w:t>
      </w:r>
      <w:r>
        <w:rPr>
          <w:rFonts w:ascii="仿宋" w:eastAsia="仿宋" w:hAnsi="仿宋" w:cs="Tahoma" w:hint="eastAsia"/>
          <w:color w:val="000000"/>
        </w:rPr>
        <w:t>以抗衰老为核心的</w:t>
      </w:r>
      <w:r>
        <w:rPr>
          <w:rFonts w:ascii="仿宋" w:eastAsia="仿宋" w:hAnsi="仿宋" w:cs="Tahoma"/>
          <w:color w:val="000000"/>
        </w:rPr>
        <w:t>健康管理全程服务</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w:t>
      </w:r>
      <w:r>
        <w:rPr>
          <w:rFonts w:ascii="仿宋" w:eastAsia="仿宋" w:hAnsi="仿宋" w:cs="Tahoma"/>
          <w:b/>
          <w:bCs/>
          <w:color w:val="000000"/>
        </w:rPr>
        <w:t>新体验：</w:t>
      </w:r>
      <w:r>
        <w:rPr>
          <w:rFonts w:ascii="仿宋" w:eastAsia="仿宋" w:hAnsi="仿宋" w:cs="Tahoma"/>
          <w:color w:val="000000"/>
        </w:rPr>
        <w:t>精英、金领</w:t>
      </w:r>
      <w:r>
        <w:rPr>
          <w:rFonts w:ascii="仿宋" w:eastAsia="仿宋" w:hAnsi="仿宋" w:cs="Tahoma" w:hint="eastAsia"/>
          <w:color w:val="000000"/>
        </w:rPr>
        <w:t>会所</w:t>
      </w:r>
      <w:r>
        <w:rPr>
          <w:rFonts w:ascii="仿宋" w:eastAsia="仿宋" w:hAnsi="仿宋" w:cs="Tahoma"/>
          <w:color w:val="000000"/>
        </w:rPr>
        <w:t>俱乐部式体验</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w:t>
      </w:r>
      <w:r>
        <w:rPr>
          <w:rFonts w:ascii="仿宋" w:eastAsia="仿宋" w:hAnsi="仿宋" w:cs="Tahoma" w:hint="eastAsia"/>
          <w:b/>
          <w:bCs/>
          <w:color w:val="000000"/>
        </w:rPr>
        <w:t>新共享：</w:t>
      </w:r>
      <w:r>
        <w:rPr>
          <w:rFonts w:ascii="仿宋" w:eastAsia="仿宋" w:hAnsi="仿宋" w:cs="Tahoma" w:hint="eastAsia"/>
          <w:color w:val="000000"/>
        </w:rPr>
        <w:t>全国、全球医疗资源共享</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hint="eastAsia"/>
          <w:color w:val="000000"/>
        </w:rPr>
        <w:t>　</w:t>
      </w:r>
      <w:r>
        <w:rPr>
          <w:rFonts w:ascii="仿宋" w:eastAsia="仿宋" w:hAnsi="仿宋" w:cs="Tahoma" w:hint="eastAsia"/>
          <w:b/>
          <w:bCs/>
          <w:color w:val="000000"/>
        </w:rPr>
        <w:t>　新服务：</w:t>
      </w:r>
      <w:r>
        <w:rPr>
          <w:rFonts w:ascii="仿宋" w:eastAsia="仿宋" w:hAnsi="仿宋" w:cs="Tahoma" w:hint="eastAsia"/>
          <w:color w:val="000000"/>
        </w:rPr>
        <w:t>高端抗衰、美容、保健、医疗、康复、护理</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hint="eastAsia"/>
          <w:color w:val="000000"/>
        </w:rPr>
        <w:t>　　</w:t>
      </w:r>
      <w:r>
        <w:rPr>
          <w:rFonts w:ascii="仿宋" w:eastAsia="仿宋" w:hAnsi="仿宋" w:cs="Tahoma" w:hint="eastAsia"/>
          <w:b/>
          <w:bCs/>
          <w:color w:val="000000"/>
        </w:rPr>
        <w:t>新运营 ：</w:t>
      </w:r>
      <w:r>
        <w:rPr>
          <w:rFonts w:ascii="仿宋" w:eastAsia="仿宋" w:hAnsi="仿宋" w:cs="Tahoma" w:hint="eastAsia"/>
          <w:color w:val="000000"/>
          <w:lang w:eastAsia="zh-CN"/>
        </w:rPr>
        <w:t>BBGJ</w:t>
      </w:r>
      <w:r>
        <w:rPr>
          <w:rFonts w:ascii="仿宋" w:eastAsia="仿宋" w:hAnsi="仿宋" w:cs="Tahoma" w:hint="eastAsia"/>
          <w:color w:val="000000"/>
        </w:rPr>
        <w:t>自创立之初就致力于“理念、股权、技术、运营”的创新的运营体系，引进创新型股东结构，采取股权众筹模式，共众筹100名不同行业的精英股东。所有众筹的股东既是产品体验者，同时也是</w:t>
      </w:r>
      <w:r>
        <w:rPr>
          <w:rFonts w:ascii="仿宋" w:eastAsia="仿宋" w:hAnsi="仿宋" w:cs="Tahoma" w:hint="eastAsia"/>
          <w:color w:val="000000"/>
          <w:lang w:eastAsia="zh-CN"/>
        </w:rPr>
        <w:t>BBGJ</w:t>
      </w:r>
      <w:r>
        <w:rPr>
          <w:rFonts w:ascii="仿宋" w:eastAsia="仿宋" w:hAnsi="仿宋" w:cs="Tahoma" w:hint="eastAsia"/>
          <w:color w:val="000000"/>
        </w:rPr>
        <w:t>的代言人。</w:t>
      </w:r>
    </w:p>
    <w:p>
      <w:pPr>
        <w:pStyle w:val="NormalWeb"/>
        <w:spacing w:before="156" w:beforeLines="50" w:beforeAutospacing="0" w:after="156" w:afterLines="50" w:afterAutospacing="0" w:line="360" w:lineRule="auto"/>
        <w:rPr>
          <w:rFonts w:ascii="仿宋" w:eastAsia="仿宋" w:hAnsi="仿宋" w:cs="Tahoma"/>
          <w:color w:val="000000"/>
        </w:rPr>
        <w:sectPr>
          <w:headerReference w:type="even" r:id="rId72"/>
          <w:headerReference w:type="default" r:id="rId73"/>
          <w:footerReference w:type="even" r:id="rId74"/>
          <w:footerReference w:type="default" r:id="rId75"/>
          <w:headerReference w:type="first" r:id="rId76"/>
          <w:footerReference w:type="first" r:id="rId77"/>
          <w:type w:val="nextPage"/>
          <w:pgSz w:w="11906" w:h="16838"/>
          <w:pgMar w:top="1134" w:right="1701" w:bottom="1134" w:left="1701" w:header="851" w:footer="992" w:gutter="0"/>
          <w:pgNumType w:start="9"/>
          <w:cols w:num="1" w:space="425"/>
          <w:titlePg w:val="0"/>
          <w:docGrid w:type="lines" w:linePitch="312" w:charSpace="0"/>
        </w:sectPr>
      </w:pPr>
      <w:r>
        <w:rPr>
          <w:rFonts w:ascii="仿宋" w:eastAsia="仿宋" w:hAnsi="仿宋" w:cs="Tahoma"/>
          <w:color w:val="000000"/>
        </w:rPr>
        <w:t>　　</w:t>
      </w:r>
      <w:r>
        <w:rPr>
          <w:rFonts w:ascii="仿宋" w:eastAsia="仿宋" w:hAnsi="仿宋" w:cs="Tahoma"/>
          <w:b/>
          <w:bCs/>
          <w:color w:val="000000"/>
        </w:rPr>
        <w:t>新方式：</w:t>
      </w:r>
      <w:r>
        <w:rPr>
          <w:rFonts w:ascii="仿宋" w:eastAsia="仿宋" w:hAnsi="仿宋" w:cs="Tahoma"/>
          <w:color w:val="000000"/>
        </w:rPr>
        <w:t>全方位愉悦式</w:t>
      </w:r>
      <w:r>
        <w:rPr>
          <w:rFonts w:ascii="仿宋" w:eastAsia="仿宋" w:hAnsi="仿宋" w:cs="Tahoma" w:hint="eastAsia"/>
          <w:color w:val="000000"/>
        </w:rPr>
        <w:t>保健维养</w:t>
      </w:r>
      <w:r>
        <w:rPr>
          <w:rFonts w:ascii="仿宋" w:eastAsia="仿宋" w:hAnsi="仿宋" w:cs="Tahoma"/>
          <w:color w:val="000000"/>
        </w:rPr>
        <w:t>：高端贴身24小时呵护，提供健康信息管理。</w:t>
      </w:r>
      <w:r>
        <w:rPr>
          <w:rFonts w:ascii="仿宋" w:eastAsia="仿宋" w:hAnsi="仿宋" w:cs="Tahoma" w:hint="eastAsia"/>
          <w:color w:val="000000"/>
        </w:rPr>
        <w:t>先进的健康</w:t>
      </w:r>
      <w:r>
        <w:rPr>
          <w:rFonts w:ascii="仿宋" w:eastAsia="仿宋" w:hAnsi="仿宋" w:cs="Tahoma"/>
          <w:color w:val="000000"/>
        </w:rPr>
        <w:t>检测</w:t>
      </w:r>
      <w:r>
        <w:rPr>
          <w:rFonts w:ascii="仿宋" w:eastAsia="仿宋" w:hAnsi="仿宋" w:cs="Tahoma" w:hint="eastAsia"/>
          <w:color w:val="000000"/>
        </w:rPr>
        <w:t>技术与设备构建精确的</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健康普查，电脑系统提供科学专业的分析报告、在全科医疗专家指导下进行健康辅导、心理咨询、健康诊疗。在健康管理师、健康营养师指导下个性化提供保健餐饮、养生膳食。以中医养生为主，并在丰富的负离子环境中进行药浴桑拿、中医按摩、品茗、听乐、小影院等在身心放松中实现会员联谊，社交，安排不同地域的休闲健康旅游特别提供中老年健康的一站式服务管理。为潜在会员提供一些体验式的服务，让他们在服务过程中享受到会员的尊贵，以便扩大会员群体数量，满足中高端人群的有效有偿服务。</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w:t>
      </w:r>
      <w:r>
        <w:rPr>
          <w:rFonts w:ascii="仿宋" w:eastAsia="仿宋" w:hAnsi="仿宋" w:cs="Tahoma"/>
          <w:b/>
          <w:bCs/>
          <w:color w:val="000000"/>
        </w:rPr>
        <w:t>新组合：</w:t>
      </w:r>
      <w:r>
        <w:rPr>
          <w:rFonts w:ascii="仿宋" w:eastAsia="仿宋" w:hAnsi="仿宋" w:cs="Tahoma" w:hint="eastAsia"/>
          <w:color w:val="000000"/>
          <w:lang w:eastAsia="zh-CN"/>
        </w:rPr>
        <w:t>GJ</w:t>
      </w:r>
      <w:r>
        <w:rPr>
          <w:rFonts w:ascii="仿宋" w:eastAsia="仿宋" w:hAnsi="仿宋" w:cs="Tahoma"/>
          <w:color w:val="000000"/>
        </w:rPr>
        <w:t>资源共享</w:t>
      </w:r>
      <w:r>
        <w:rPr>
          <w:rFonts w:ascii="仿宋" w:eastAsia="仿宋" w:hAnsi="仿宋" w:cs="Tahoma" w:hint="eastAsia"/>
          <w:color w:val="000000"/>
        </w:rPr>
        <w:t>，海外康复之旅</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w:t>
      </w:r>
      <w:r>
        <w:rPr>
          <w:rFonts w:ascii="仿宋" w:eastAsia="仿宋" w:hAnsi="仿宋" w:cs="Tahoma"/>
          <w:b/>
          <w:bCs/>
          <w:color w:val="000000"/>
        </w:rPr>
        <w:t>新经济：</w:t>
      </w:r>
      <w:r>
        <w:rPr>
          <w:rFonts w:ascii="仿宋" w:eastAsia="仿宋" w:hAnsi="仿宋" w:cs="Tahoma"/>
          <w:color w:val="000000"/>
        </w:rPr>
        <w:t>会员网上俱乐部(信息服务、互动交往等)，会员卡号可以是手机号，也可以是身份证号，分别对应多种健康管理产品组合，并成为社会身份新标识。白金卡及钻石卡会员除享受白金卡及钻石卡权益外，还享受一些特殊的权益，</w:t>
      </w:r>
      <w:r>
        <w:rPr>
          <w:rFonts w:ascii="仿宋" w:eastAsia="仿宋" w:hAnsi="仿宋" w:cs="Tahoma"/>
          <w:color w:val="FF0000"/>
        </w:rPr>
        <w:t>比如专职健康顾问，每年12次健康评估，长年提供负离子浓度超过2</w:t>
      </w:r>
      <w:r>
        <w:rPr>
          <w:rFonts w:ascii="仿宋" w:eastAsia="仿宋" w:hAnsi="仿宋" w:cs="Tahoma" w:hint="eastAsia"/>
          <w:color w:val="FF0000"/>
        </w:rPr>
        <w:t>000</w:t>
      </w:r>
      <w:r>
        <w:rPr>
          <w:rFonts w:ascii="仿宋" w:eastAsia="仿宋" w:hAnsi="仿宋" w:cs="Tahoma"/>
          <w:color w:val="FF0000"/>
        </w:rPr>
        <w:t>个/cm</w:t>
      </w:r>
      <w:r>
        <w:rPr>
          <w:rFonts w:ascii="仿宋" w:eastAsia="仿宋" w:hAnsi="仿宋" w:cs="Tahoma"/>
          <w:color w:val="FF0000"/>
          <w:vertAlign w:val="superscript"/>
        </w:rPr>
        <w:t>3</w:t>
      </w:r>
      <w:r>
        <w:rPr>
          <w:rFonts w:ascii="仿宋" w:eastAsia="仿宋" w:hAnsi="仿宋" w:cs="Tahoma"/>
          <w:color w:val="FF0000"/>
        </w:rPr>
        <w:t>的生活环境和工作环境、长年提供活氧小分子弱碱水、长年提供无农药、化肥残留的蔬菜、水果、无激素和抗生素的肉类产品，免费提供膳食和中药调理方案，力争</w:t>
      </w:r>
      <w:r>
        <w:rPr>
          <w:rFonts w:ascii="仿宋" w:eastAsia="仿宋" w:hAnsi="仿宋" w:cs="Tahoma" w:hint="eastAsia"/>
          <w:color w:val="FF0000"/>
        </w:rPr>
        <w:t>普通</w:t>
      </w:r>
      <w:r>
        <w:rPr>
          <w:rFonts w:ascii="仿宋" w:eastAsia="仿宋" w:hAnsi="仿宋" w:cs="Tahoma"/>
          <w:color w:val="FF0000"/>
        </w:rPr>
        <w:t>会员的平均寿命可以延长10年，金卡以上会员的平均寿命可以延长30年</w:t>
      </w:r>
      <w:r>
        <w:rPr>
          <w:rFonts w:ascii="仿宋" w:eastAsia="仿宋" w:hAnsi="仿宋" w:cs="Tahoma"/>
          <w:color w:val="000000"/>
        </w:rPr>
        <w:t>。</w:t>
      </w:r>
    </w:p>
    <w:p>
      <w:pPr>
        <w:pStyle w:val="NormalWeb"/>
        <w:spacing w:before="156" w:beforeLines="50" w:beforeAutospacing="0" w:after="156" w:afterLines="50" w:afterAutospacing="0" w:line="360" w:lineRule="auto"/>
        <w:rPr>
          <w:rFonts w:ascii="仿宋" w:eastAsia="仿宋" w:hAnsi="仿宋" w:cs="Tahoma"/>
          <w:color w:val="000000"/>
        </w:rPr>
      </w:pPr>
      <w:r>
        <w:rPr>
          <w:rFonts w:ascii="仿宋" w:eastAsia="仿宋" w:hAnsi="仿宋" w:cs="Tahoma"/>
          <w:color w:val="000000"/>
        </w:rPr>
        <w:t>　　</w:t>
      </w:r>
      <w:r>
        <w:rPr>
          <w:rFonts w:ascii="仿宋" w:eastAsia="仿宋" w:hAnsi="仿宋" w:cs="Tahoma"/>
          <w:b/>
          <w:bCs/>
          <w:color w:val="000000"/>
        </w:rPr>
        <w:t>新消费：</w:t>
      </w:r>
      <w:r>
        <w:rPr>
          <w:rFonts w:ascii="仿宋" w:eastAsia="仿宋" w:hAnsi="仿宋" w:cs="Tahoma"/>
          <w:color w:val="000000"/>
        </w:rPr>
        <w:t>会员费、年费</w:t>
      </w:r>
      <w:r>
        <w:rPr>
          <w:rFonts w:ascii="仿宋" w:eastAsia="仿宋" w:hAnsi="仿宋" w:cs="Tahoma" w:hint="eastAsia"/>
          <w:color w:val="000000"/>
        </w:rPr>
        <w:t>（</w:t>
      </w:r>
      <w:r>
        <w:rPr>
          <w:rFonts w:ascii="仿宋" w:eastAsia="仿宋" w:hAnsi="仿宋" w:cs="Tahoma"/>
          <w:color w:val="000000"/>
        </w:rPr>
        <w:t>含年度普查及健康评估、信息服务等等</w:t>
      </w:r>
      <w:r>
        <w:rPr>
          <w:rFonts w:ascii="仿宋" w:eastAsia="仿宋" w:hAnsi="仿宋" w:cs="Tahoma" w:hint="eastAsia"/>
          <w:color w:val="000000"/>
        </w:rPr>
        <w:t>）</w:t>
      </w:r>
      <w:r>
        <w:rPr>
          <w:rFonts w:ascii="仿宋" w:eastAsia="仿宋" w:hAnsi="仿宋" w:cs="Tahoma"/>
          <w:color w:val="000000"/>
        </w:rPr>
        <w:t>分为多种不等的个性化服务体验</w:t>
      </w:r>
      <w:r>
        <w:rPr>
          <w:rFonts w:ascii="仿宋" w:eastAsia="仿宋" w:hAnsi="仿宋" w:cs="Tahoma" w:hint="eastAsia"/>
          <w:color w:val="000000"/>
        </w:rPr>
        <w:t>（</w:t>
      </w:r>
      <w:r>
        <w:rPr>
          <w:rFonts w:ascii="仿宋" w:eastAsia="仿宋" w:hAnsi="仿宋" w:cs="Tahoma"/>
          <w:color w:val="000000"/>
        </w:rPr>
        <w:t>不同服务内容的不同等级</w:t>
      </w:r>
      <w:r>
        <w:rPr>
          <w:rFonts w:ascii="仿宋" w:eastAsia="仿宋" w:hAnsi="仿宋" w:cs="Tahoma" w:hint="eastAsia"/>
          <w:color w:val="000000"/>
        </w:rPr>
        <w:t>）</w:t>
      </w:r>
      <w:r>
        <w:rPr>
          <w:rFonts w:ascii="仿宋" w:eastAsia="仿宋" w:hAnsi="仿宋" w:cs="Tahoma"/>
          <w:color w:val="000000"/>
        </w:rPr>
        <w:t>单次消费、特殊消费</w:t>
      </w:r>
      <w:r>
        <w:rPr>
          <w:rFonts w:ascii="仿宋" w:eastAsia="仿宋" w:hAnsi="仿宋" w:cs="Tahoma" w:hint="eastAsia"/>
          <w:color w:val="000000"/>
        </w:rPr>
        <w:t>（</w:t>
      </w:r>
      <w:r>
        <w:rPr>
          <w:rFonts w:ascii="仿宋" w:eastAsia="仿宋" w:hAnsi="仿宋" w:cs="Tahoma"/>
          <w:color w:val="000000"/>
        </w:rPr>
        <w:t>如按需要合理安排的专家钟点式高级健康指导服务</w:t>
      </w:r>
      <w:r>
        <w:rPr>
          <w:rFonts w:ascii="仿宋" w:eastAsia="仿宋" w:hAnsi="仿宋" w:cs="Tahoma" w:hint="eastAsia"/>
          <w:color w:val="000000"/>
        </w:rPr>
        <w:t>）</w:t>
      </w:r>
      <w:r>
        <w:rPr>
          <w:rFonts w:ascii="仿宋" w:eastAsia="仿宋" w:hAnsi="仿宋" w:cs="Tahoma"/>
          <w:color w:val="000000"/>
        </w:rPr>
        <w:t>等等。</w:t>
      </w:r>
    </w:p>
    <w:p>
      <w:pPr>
        <w:pStyle w:val="NormalWeb"/>
        <w:spacing w:before="156" w:beforeLines="50" w:beforeAutospacing="0" w:after="156" w:afterLines="50" w:afterAutospacing="0" w:line="360" w:lineRule="auto"/>
        <w:ind w:firstLine="480" w:firstLineChars="200"/>
        <w:rPr>
          <w:rFonts w:ascii="仿宋" w:eastAsia="仿宋" w:hAnsi="仿宋" w:cs="Tahoma"/>
          <w:color w:val="000000"/>
        </w:rPr>
      </w:pPr>
      <w:r>
        <w:rPr>
          <w:rFonts w:ascii="仿宋" w:eastAsia="仿宋" w:hAnsi="仿宋" w:cs="Tahoma"/>
          <w:color w:val="000000"/>
        </w:rPr>
        <w:t>对人类而言，健康比钱财更重要，愉悦的心情是健康源泉，俱乐部会经常组织对有益于人们心灵健康的活动，提高人们的生活乐趣、格调、品味。随着中国经济的持续增长、中国高端人群数量还将以不低于中国经济增长的速度持续增加。</w:t>
      </w:r>
      <w:r>
        <w:rPr>
          <w:rFonts w:ascii="仿宋" w:eastAsia="仿宋" w:hAnsi="仿宋" w:cs="Tahoma"/>
          <w:color w:val="FF0000"/>
        </w:rPr>
        <w:t>我们保守的目标是3年内吸纳超过</w:t>
      </w:r>
      <w:r>
        <w:rPr>
          <w:rFonts w:ascii="仿宋" w:eastAsia="仿宋" w:hAnsi="仿宋" w:cs="Tahoma" w:hint="eastAsia"/>
          <w:color w:val="FF0000"/>
        </w:rPr>
        <w:t>3</w:t>
      </w:r>
      <w:r>
        <w:rPr>
          <w:rFonts w:ascii="仿宋" w:eastAsia="仿宋" w:hAnsi="仿宋" w:cs="Tahoma"/>
          <w:color w:val="FF0000"/>
        </w:rPr>
        <w:t>万名会员，5年内吸纳超过</w:t>
      </w:r>
      <w:r>
        <w:rPr>
          <w:rFonts w:ascii="仿宋" w:eastAsia="仿宋" w:hAnsi="仿宋" w:cs="Tahoma" w:hint="eastAsia"/>
          <w:color w:val="FF0000"/>
        </w:rPr>
        <w:t>1</w:t>
      </w:r>
      <w:r>
        <w:rPr>
          <w:rFonts w:ascii="仿宋" w:eastAsia="仿宋" w:hAnsi="仿宋" w:cs="Tahoma"/>
          <w:color w:val="FF0000"/>
        </w:rPr>
        <w:t>0万名会员</w:t>
      </w:r>
      <w:r>
        <w:rPr>
          <w:rFonts w:ascii="仿宋" w:eastAsia="仿宋" w:hAnsi="仿宋" w:cs="Tahoma"/>
          <w:color w:val="000000"/>
        </w:rPr>
        <w:t>。</w:t>
      </w:r>
    </w:p>
    <w:p>
      <w:pPr>
        <w:spacing w:before="156" w:beforeLines="50" w:after="156" w:afterLines="50"/>
        <w:rPr>
          <w:rFonts w:ascii="仿宋" w:eastAsia="仿宋" w:hAnsi="仿宋" w:cs="宋体"/>
          <w:color w:val="000000"/>
          <w:szCs w:val="21"/>
        </w:rPr>
      </w:pPr>
    </w:p>
    <w:p>
      <w:pPr>
        <w:spacing w:before="156" w:beforeLines="50" w:after="156" w:afterLines="50"/>
        <w:rPr>
          <w:rFonts w:ascii="仿宋" w:eastAsia="仿宋" w:hAnsi="仿宋" w:cs="Tahoma"/>
          <w:b/>
          <w:bCs/>
          <w:color w:val="000000"/>
          <w:sz w:val="28"/>
          <w:szCs w:val="28"/>
        </w:rPr>
      </w:pPr>
      <w:r>
        <w:rPr>
          <w:rFonts w:ascii="仿宋" w:eastAsia="仿宋" w:hAnsi="仿宋" w:cs="Tahoma" w:hint="eastAsia"/>
          <w:b/>
          <w:bCs/>
          <w:color w:val="000000"/>
          <w:sz w:val="28"/>
          <w:szCs w:val="28"/>
        </w:rPr>
        <w:t>四、产品结构四大板块解析</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三大类核心服务产品：健康管理、逆龄抗衰、医疗美容</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四大服务板块：健康管理部、颜值提升部、肌肤还幼部、口腔美龄部</w:t>
      </w:r>
    </w:p>
    <w:p>
      <w:pPr>
        <w:spacing w:before="156" w:beforeLines="50" w:after="156" w:afterLines="50" w:line="360" w:lineRule="auto"/>
        <w:rPr>
          <w:rFonts w:ascii="仿宋" w:eastAsia="仿宋" w:hAnsi="仿宋" w:cs="Arial"/>
          <w:b/>
          <w:bCs/>
        </w:rPr>
      </w:pPr>
    </w:p>
    <w:p>
      <w:pPr>
        <w:spacing w:before="156" w:beforeLines="50" w:after="156" w:afterLines="50" w:line="360" w:lineRule="auto"/>
        <w:ind w:firstLine="420"/>
        <w:rPr>
          <w:rFonts w:ascii="仿宋" w:eastAsia="仿宋" w:hAnsi="仿宋" w:cs="Arial"/>
          <w:b/>
          <w:bCs/>
        </w:rPr>
      </w:pPr>
      <w:r>
        <w:rPr>
          <w:rFonts w:ascii="仿宋" w:eastAsia="仿宋" w:hAnsi="仿宋" w:cs="Arial" w:hint="eastAsia"/>
          <w:b/>
          <w:bCs/>
        </w:rPr>
        <w:t>健康管理概念：</w:t>
      </w:r>
    </w:p>
    <w:p>
      <w:pPr>
        <w:spacing w:before="156" w:beforeLines="50" w:after="156" w:afterLines="50" w:line="360" w:lineRule="auto"/>
        <w:ind w:firstLine="420"/>
        <w:rPr>
          <w:rFonts w:ascii="仿宋" w:eastAsia="仿宋" w:hAnsi="仿宋" w:cs="Arial"/>
        </w:rPr>
        <w:sectPr>
          <w:headerReference w:type="even" r:id="rId78"/>
          <w:headerReference w:type="default" r:id="rId79"/>
          <w:footerReference w:type="even" r:id="rId80"/>
          <w:footerReference w:type="default" r:id="rId81"/>
          <w:headerReference w:type="first" r:id="rId82"/>
          <w:footerReference w:type="first" r:id="rId83"/>
          <w:type w:val="nextPage"/>
          <w:pgSz w:w="11906" w:h="16838"/>
          <w:pgMar w:top="1134" w:right="1701" w:bottom="1134" w:left="1701" w:header="851" w:footer="992" w:gutter="0"/>
          <w:pgNumType w:start="10"/>
          <w:cols w:num="1" w:space="425"/>
          <w:titlePg w:val="0"/>
          <w:docGrid w:type="lines" w:linePitch="312" w:charSpace="0"/>
        </w:sectPr>
      </w:pPr>
    </w:p>
    <w:p>
      <w:pPr>
        <w:spacing w:before="156" w:beforeLines="50" w:after="156" w:afterLines="50" w:line="360" w:lineRule="auto"/>
        <w:ind w:firstLine="420"/>
        <w:rPr>
          <w:rFonts w:ascii="仿宋" w:eastAsia="仿宋" w:hAnsi="仿宋" w:cs="Arial"/>
        </w:rPr>
      </w:pPr>
      <w:r>
        <w:rPr>
          <w:rFonts w:ascii="仿宋" w:eastAsia="仿宋" w:hAnsi="仿宋" w:cs="Arial" w:hint="eastAsia"/>
        </w:rPr>
        <w:t>健康管理的概念（定义）：以现代健康概念（生理、心理和社会适应能力）和新的医学模式（生理—心理—社会）以及中医治未病理论为指导，结合现代医学和现代健康管理学的理论、技术、方法和手段，对个体或群体整体健康状况及其影响健康的危险因素进行全面检测、评估、有效干预与连续跟踪服务的医学行为及过程。</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健康管理中心以</w:t>
      </w:r>
      <w:r>
        <w:rPr>
          <w:rFonts w:ascii="仿宋" w:eastAsia="仿宋" w:hAnsi="仿宋" w:cs="Arial" w:hint="eastAsia"/>
          <w:lang w:eastAsia="zh-CN"/>
        </w:rPr>
        <w:t>GJ</w:t>
      </w:r>
      <w:r>
        <w:rPr>
          <w:rFonts w:ascii="仿宋" w:eastAsia="仿宋" w:hAnsi="仿宋" w:cs="Arial" w:hint="eastAsia"/>
        </w:rPr>
        <w:t>前沿健康管理理念和成熟健康管理模式为基础，提供包括健康体检、健康评估、健康干预在内的全方位健康管理服务，通过中医、康复、心理、营养、运动等一站式生活方式管理降低客户患病风险、提高生命质量。</w:t>
      </w:r>
    </w:p>
    <w:p>
      <w:pPr>
        <w:spacing w:before="156" w:beforeLines="50" w:after="156" w:afterLines="50" w:line="360" w:lineRule="auto"/>
        <w:ind w:firstLine="420"/>
        <w:rPr>
          <w:rFonts w:ascii="仿宋" w:eastAsia="仿宋" w:hAnsi="仿宋" w:cs="Arial"/>
          <w:b/>
          <w:bCs/>
          <w:color w:val="FF0000"/>
        </w:rPr>
      </w:pPr>
      <w:r>
        <w:rPr>
          <w:rFonts w:ascii="仿宋" w:eastAsia="仿宋" w:hAnsi="仿宋" w:cs="Arial" w:hint="eastAsia"/>
          <w:b/>
          <w:bCs/>
        </w:rPr>
        <w:t>健康管理十大项目：</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1、动脉硬化及循环类（冠心病、脑梗、高血压、中风后遗症、斑块等）；</w:t>
      </w:r>
    </w:p>
    <w:p>
      <w:pPr>
        <w:spacing w:after="225" w:line="360" w:lineRule="auto"/>
        <w:ind w:firstLine="420"/>
        <w:rPr>
          <w:rFonts w:ascii="仿宋" w:eastAsia="仿宋" w:hAnsi="仿宋" w:cs="Arial"/>
        </w:rPr>
      </w:pPr>
      <w:r>
        <w:rPr>
          <w:rFonts w:ascii="仿宋" w:eastAsia="仿宋" w:hAnsi="仿宋" w:cs="Arial" w:hint="eastAsia"/>
        </w:rPr>
        <w:t>2、关节疼痛及运动系统（</w:t>
      </w:r>
      <w:r>
        <w:rPr>
          <w:rFonts w:ascii="仿宋" w:eastAsia="仿宋" w:hAnsi="仿宋" w:cs="Arial" w:hint="eastAsia"/>
          <w:color w:val="333333"/>
          <w:shd w:val="clear" w:color="auto" w:fill="FFFFFF"/>
        </w:rPr>
        <w:t>背疼</w:t>
      </w:r>
      <w:r>
        <w:rPr>
          <w:rFonts w:ascii="仿宋" w:eastAsia="仿宋" w:hAnsi="仿宋" w:cs="Arial"/>
        </w:rPr>
        <w:t>、</w:t>
      </w:r>
      <w:r>
        <w:rPr>
          <w:rFonts w:ascii="仿宋" w:eastAsia="仿宋" w:hAnsi="仿宋" w:cs="Arial" w:hint="eastAsia"/>
        </w:rPr>
        <w:t>肌肉紧张、</w:t>
      </w:r>
      <w:r>
        <w:rPr>
          <w:rFonts w:ascii="仿宋" w:eastAsia="仿宋" w:hAnsi="仿宋" w:cs="Arial"/>
        </w:rPr>
        <w:t>痛风</w:t>
      </w:r>
      <w:r>
        <w:rPr>
          <w:rFonts w:ascii="仿宋" w:eastAsia="仿宋" w:hAnsi="仿宋" w:cs="Arial" w:hint="eastAsia"/>
        </w:rPr>
        <w:t>、肢节肿痛、</w:t>
      </w:r>
      <w:r>
        <w:rPr>
          <w:rFonts w:ascii="仿宋" w:eastAsia="仿宋" w:hAnsi="仿宋" w:cs="Arial"/>
        </w:rPr>
        <w:t>慢性腰肌劳损等</w:t>
      </w:r>
      <w:r>
        <w:rPr>
          <w:rFonts w:ascii="仿宋" w:eastAsia="仿宋" w:hAnsi="仿宋" w:cs="Arial" w:hint="eastAsia"/>
        </w:rPr>
        <w:t>）；</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3、糖尿病及代谢类（肥胖症、高血压、高血脂、高血糖等）；</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4、HPV及泌尿生殖系统（前列腺炎、妇科炎症等）；</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5、失眠抑郁及神经系统类（失眠、慢性疲劳、性欲减退、偏头疼、神经衰弱等）；</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6、胃肠炎及消化系统（慢性胃炎、慢性肠炎、便秘等）；</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7、更年期综合症；</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8、肿瘤预防与干预（主要是女性乳腺癌、宫颈癌等）；</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9、产后修复项目（产后祛恶露、产后发汗、产后开乳、产后体质调理、产后体形恢复、产后紧肤、产后疤痕修复、祛妊娠纹、淡化妊娠线、产后代谢调理、产后内分泌调理、产后抑郁症、产后关节痛调理、产后遍身疼痛调理、产后产道恢复、私密保养与修复、臀疗平衡养护、盆底修复、骨盆修复、子宫清毒、卵巢保养等）；</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10、乳房保健项目（乳腺排毒、乳腺疏通、祛乳腺增生、乳腺炎调治、丰胸美胸、乳房保养、乳晕嫩红、乳头凹陷修复等）；</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 xml:space="preserve">  </w:t>
      </w:r>
    </w:p>
    <w:p>
      <w:pPr>
        <w:spacing w:before="156" w:beforeLines="50" w:after="156" w:afterLines="50" w:line="360" w:lineRule="auto"/>
        <w:ind w:firstLine="420"/>
        <w:rPr>
          <w:rFonts w:ascii="仿宋" w:eastAsia="仿宋" w:hAnsi="仿宋" w:cs="Arial"/>
          <w:b/>
          <w:bCs/>
        </w:rPr>
        <w:sectPr>
          <w:headerReference w:type="even" r:id="rId84"/>
          <w:headerReference w:type="default" r:id="rId85"/>
          <w:footerReference w:type="even" r:id="rId86"/>
          <w:footerReference w:type="default" r:id="rId87"/>
          <w:headerReference w:type="first" r:id="rId88"/>
          <w:footerReference w:type="first" r:id="rId89"/>
          <w:type w:val="nextPage"/>
          <w:pgSz w:w="11906" w:h="16838"/>
          <w:pgMar w:top="1134" w:right="1701" w:bottom="1134" w:left="1701" w:header="851" w:footer="992" w:gutter="0"/>
          <w:pgNumType w:start="11"/>
          <w:cols w:num="1" w:space="425"/>
          <w:titlePg w:val="0"/>
          <w:docGrid w:type="lines" w:linePitch="312" w:charSpace="0"/>
        </w:sectPr>
      </w:pPr>
      <w:r>
        <w:rPr>
          <w:rFonts w:ascii="仿宋" w:eastAsia="仿宋" w:hAnsi="仿宋" w:cs="Arial" w:hint="eastAsia"/>
          <w:b/>
          <w:bCs/>
        </w:rPr>
        <w:t>逆龄抗衰：</w:t>
      </w:r>
    </w:p>
    <w:p>
      <w:pPr>
        <w:spacing w:before="156" w:beforeLines="50" w:after="156" w:afterLines="50" w:line="360" w:lineRule="auto"/>
        <w:ind w:firstLine="420"/>
        <w:rPr>
          <w:rFonts w:ascii="仿宋" w:eastAsia="仿宋" w:hAnsi="仿宋" w:cs="Tahoma"/>
          <w:color w:val="000000"/>
        </w:rPr>
      </w:pPr>
      <w:r>
        <w:rPr>
          <w:rFonts w:ascii="仿宋" w:eastAsia="仿宋" w:hAnsi="仿宋" w:cs="Tahoma" w:hint="eastAsia"/>
          <w:color w:val="000000"/>
          <w:lang w:eastAsia="zh-CN"/>
        </w:rPr>
        <w:t>BBGJ</w:t>
      </w:r>
      <w:r>
        <w:rPr>
          <w:rFonts w:ascii="仿宋" w:eastAsia="仿宋" w:hAnsi="仿宋" w:cs="Tahoma" w:hint="eastAsia"/>
          <w:color w:val="000000"/>
        </w:rPr>
        <w:t>以先进的生物医学技术和设备，通过</w:t>
      </w:r>
      <w:r>
        <w:rPr>
          <w:rFonts w:ascii="仿宋" w:eastAsia="仿宋" w:hAnsi="仿宋" w:cs="Tahoma"/>
          <w:color w:val="000000"/>
        </w:rPr>
        <w:t>科学的健康普查和健康评估技术</w:t>
      </w:r>
      <w:r>
        <w:rPr>
          <w:rFonts w:ascii="仿宋" w:eastAsia="仿宋" w:hAnsi="仿宋" w:cs="Tahoma" w:hint="eastAsia"/>
          <w:color w:val="000000"/>
        </w:rPr>
        <w:t>实现有效的健康管理规划。以精细化</w:t>
      </w:r>
      <w:r>
        <w:rPr>
          <w:rFonts w:ascii="仿宋" w:eastAsia="仿宋" w:hAnsi="仿宋" w:cs="Tahoma"/>
          <w:color w:val="000000"/>
        </w:rPr>
        <w:t>的服务</w:t>
      </w:r>
      <w:r>
        <w:rPr>
          <w:rFonts w:ascii="仿宋" w:eastAsia="仿宋" w:hAnsi="仿宋" w:cs="Tahoma" w:hint="eastAsia"/>
          <w:color w:val="000000"/>
        </w:rPr>
        <w:t>为辅助</w:t>
      </w:r>
      <w:r>
        <w:rPr>
          <w:rFonts w:ascii="仿宋" w:eastAsia="仿宋" w:hAnsi="仿宋" w:cs="Tahoma"/>
          <w:color w:val="000000"/>
        </w:rPr>
        <w:t>、</w:t>
      </w:r>
      <w:r>
        <w:rPr>
          <w:rFonts w:ascii="仿宋" w:eastAsia="仿宋" w:hAnsi="仿宋" w:cs="Tahoma" w:hint="eastAsia"/>
          <w:color w:val="000000"/>
        </w:rPr>
        <w:t>高端</w:t>
      </w:r>
      <w:r>
        <w:rPr>
          <w:rFonts w:ascii="仿宋" w:eastAsia="仿宋" w:hAnsi="仿宋" w:cs="Tahoma"/>
          <w:color w:val="000000"/>
        </w:rPr>
        <w:t>资源的整合</w:t>
      </w:r>
      <w:r>
        <w:rPr>
          <w:rFonts w:ascii="仿宋" w:eastAsia="仿宋" w:hAnsi="仿宋" w:cs="Tahoma" w:hint="eastAsia"/>
          <w:color w:val="000000"/>
        </w:rPr>
        <w:t>基础</w:t>
      </w:r>
      <w:r>
        <w:rPr>
          <w:rFonts w:ascii="仿宋" w:eastAsia="仿宋" w:hAnsi="仿宋" w:cs="Tahoma"/>
          <w:color w:val="000000"/>
        </w:rPr>
        <w:t>，打造</w:t>
      </w:r>
      <w:r>
        <w:rPr>
          <w:rFonts w:ascii="仿宋" w:eastAsia="仿宋" w:hAnsi="仿宋" w:cs="Tahoma" w:hint="eastAsia"/>
          <w:color w:val="000000"/>
          <w:lang w:eastAsia="zh-CN"/>
        </w:rPr>
        <w:t>BBGJ</w:t>
      </w:r>
      <w:r>
        <w:rPr>
          <w:rFonts w:ascii="仿宋" w:eastAsia="仿宋" w:hAnsi="仿宋" w:cs="Tahoma" w:hint="eastAsia"/>
          <w:color w:val="000000"/>
        </w:rPr>
        <w:t>SDB抗衰老体系的</w:t>
      </w:r>
      <w:r>
        <w:rPr>
          <w:rFonts w:ascii="仿宋" w:eastAsia="仿宋" w:hAnsi="仿宋" w:cs="Tahoma"/>
          <w:color w:val="000000"/>
        </w:rPr>
        <w:t>核心竞争力，亲近客户，</w:t>
      </w:r>
      <w:r>
        <w:rPr>
          <w:rFonts w:ascii="仿宋" w:eastAsia="仿宋" w:hAnsi="仿宋" w:cs="Tahoma" w:hint="eastAsia"/>
          <w:color w:val="000000"/>
        </w:rPr>
        <w:t>创新</w:t>
      </w:r>
      <w:r>
        <w:rPr>
          <w:rFonts w:ascii="仿宋" w:eastAsia="仿宋" w:hAnsi="仿宋" w:cs="Tahoma"/>
          <w:color w:val="000000"/>
        </w:rPr>
        <w:t>运营，把握住目标客户的需求，从而区隔细分市场，找到终身价值最大的客户。</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抗衰老中心与</w:t>
      </w:r>
      <w:r>
        <w:rPr>
          <w:rFonts w:ascii="仿宋" w:eastAsia="仿宋" w:hAnsi="仿宋" w:cs="Arial" w:hint="eastAsia"/>
          <w:lang w:eastAsia="zh-CN"/>
        </w:rPr>
        <w:t>GJ</w:t>
      </w:r>
      <w:r>
        <w:rPr>
          <w:rFonts w:ascii="仿宋" w:eastAsia="仿宋" w:hAnsi="仿宋" w:cs="Arial" w:hint="eastAsia"/>
        </w:rPr>
        <w:t>顶级的抗衰老机构合作，提供干细胞美容、功能医学保养、鲜活细胞治疗、基因检测、无创医学美容、口腔美容等服务。</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具体项目：机体抗衰老、美容抗衰老、年轻态养生</w:t>
      </w:r>
    </w:p>
    <w:p>
      <w:pPr>
        <w:spacing w:before="156" w:beforeLines="50" w:after="156" w:afterLines="50" w:line="360" w:lineRule="auto"/>
        <w:ind w:firstLine="420"/>
        <w:rPr>
          <w:rFonts w:ascii="仿宋" w:eastAsia="仿宋" w:hAnsi="仿宋" w:cs="Arial"/>
        </w:rPr>
      </w:pPr>
    </w:p>
    <w:p>
      <w:pPr>
        <w:spacing w:before="156" w:beforeLines="50" w:after="156" w:afterLines="50" w:line="360" w:lineRule="auto"/>
        <w:ind w:firstLine="420"/>
        <w:rPr>
          <w:rFonts w:ascii="仿宋" w:eastAsia="仿宋" w:hAnsi="仿宋" w:cs="Arial"/>
          <w:b/>
          <w:bCs/>
        </w:rPr>
      </w:pPr>
      <w:r>
        <w:rPr>
          <w:rFonts w:ascii="仿宋" w:eastAsia="仿宋" w:hAnsi="仿宋" w:cs="Arial" w:hint="eastAsia"/>
          <w:b/>
          <w:bCs/>
        </w:rPr>
        <w:t>医疗美容：</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医疗美容中心依托于最前沿的高新科技，致力于医疗技术和服务理念同步提升，斥巨资从欧洲、美国、以色列、韩国等各个国家，大量引进具备世界尖端科技的各种光、电、波美容护理治疗仪器。同时与美国、法国、比利时、日本、韩国等国最大药妆品牌企业合作，打造独有品牌的专业护理美容体系。</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医疗美容中心博采众长，以独具特色的手术理论、手术技巧形成以“</w:t>
      </w:r>
      <w:r>
        <w:rPr>
          <w:rFonts w:ascii="仿宋" w:eastAsia="仿宋" w:hAnsi="仿宋" w:cs="Arial" w:hint="eastAsia"/>
          <w:b/>
          <w:bCs/>
        </w:rPr>
        <w:t>微创、无痕、绿色、自然</w:t>
      </w:r>
      <w:r>
        <w:rPr>
          <w:rFonts w:ascii="仿宋" w:eastAsia="仿宋" w:hAnsi="仿宋" w:cs="Arial" w:hint="eastAsia"/>
        </w:rPr>
        <w:t>”四大特色的系列美容整形手术。</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以设计、流程、服务为主线，为术者提供最直观、最先进的“效果全景预见”服务，对术后效果进行预见及预期模拟。拒绝“流水线”、“批量化”传统服务，术前术后均以个性化纯正服务理念为每位爱美者量身定制私人尊享服务。</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具体项目：美容整形、美容皮肤、美容牙齿、美容注射、年轻化定制</w:t>
      </w:r>
    </w:p>
    <w:p>
      <w:pPr>
        <w:spacing w:before="156" w:beforeLines="50" w:after="156" w:afterLines="50" w:line="360" w:lineRule="auto"/>
        <w:ind w:firstLine="420"/>
        <w:rPr>
          <w:rFonts w:ascii="仿宋" w:eastAsia="仿宋" w:hAnsi="仿宋" w:cs="Arial"/>
        </w:rPr>
      </w:pPr>
    </w:p>
    <w:p>
      <w:pPr>
        <w:spacing w:before="156" w:beforeLines="50" w:after="156" w:afterLines="50" w:line="360" w:lineRule="auto"/>
        <w:ind w:firstLine="420"/>
        <w:rPr>
          <w:rFonts w:ascii="仿宋" w:eastAsia="仿宋" w:hAnsi="仿宋" w:cs="Arial"/>
          <w:b/>
          <w:bCs/>
        </w:rPr>
      </w:pPr>
      <w:r>
        <w:rPr>
          <w:rFonts w:ascii="仿宋" w:eastAsia="仿宋" w:hAnsi="仿宋" w:cs="Arial" w:hint="eastAsia"/>
          <w:b/>
          <w:bCs/>
        </w:rPr>
        <w:t>美容养生：</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康复疗养中心以世界高水平的康复医师团队和先进的设备，为客户量身定制康复疗养方案，提供高质量、个性化、连续性的康复治疗和护理服务。</w:t>
      </w:r>
    </w:p>
    <w:p>
      <w:pPr>
        <w:spacing w:before="156" w:beforeLines="50" w:after="156" w:afterLines="50" w:line="360" w:lineRule="auto"/>
        <w:ind w:firstLine="420"/>
        <w:rPr>
          <w:rFonts w:ascii="仿宋" w:eastAsia="仿宋" w:hAnsi="仿宋" w:cs="Arial"/>
        </w:rPr>
      </w:pPr>
      <w:r>
        <w:rPr>
          <w:rFonts w:ascii="仿宋" w:eastAsia="仿宋" w:hAnsi="仿宋" w:cs="Arial" w:hint="eastAsia"/>
          <w:lang w:eastAsia="zh-CN"/>
        </w:rPr>
        <w:t>BBGJ</w:t>
      </w:r>
      <w:r>
        <w:rPr>
          <w:rFonts w:ascii="仿宋" w:eastAsia="仿宋" w:hAnsi="仿宋" w:cs="Arial" w:hint="eastAsia"/>
        </w:rPr>
        <w:t>与欧美日韩等先进健康医疗机构合作，直接输送需求消费者去海外检测、疗养、康复、旅游。</w:t>
      </w:r>
    </w:p>
    <w:p>
      <w:pPr>
        <w:spacing w:before="156" w:beforeLines="50" w:after="156" w:afterLines="50" w:line="360" w:lineRule="auto"/>
        <w:ind w:firstLine="420"/>
        <w:rPr>
          <w:rFonts w:ascii="仿宋" w:eastAsia="仿宋" w:hAnsi="仿宋" w:cs="Arial"/>
        </w:rPr>
        <w:sectPr>
          <w:headerReference w:type="even" r:id="rId90"/>
          <w:headerReference w:type="default" r:id="rId91"/>
          <w:footerReference w:type="even" r:id="rId92"/>
          <w:footerReference w:type="default" r:id="rId93"/>
          <w:headerReference w:type="first" r:id="rId94"/>
          <w:footerReference w:type="first" r:id="rId95"/>
          <w:type w:val="nextPage"/>
          <w:pgSz w:w="11906" w:h="16838"/>
          <w:pgMar w:top="1134" w:right="1701" w:bottom="1134" w:left="1701" w:header="851" w:footer="992" w:gutter="0"/>
          <w:pgNumType w:start="12"/>
          <w:cols w:num="1" w:space="425"/>
          <w:titlePg w:val="0"/>
          <w:docGrid w:type="lines" w:linePitch="312" w:charSpace="0"/>
        </w:sectPr>
      </w:pPr>
      <w:r>
        <w:rPr>
          <w:rFonts w:ascii="仿宋" w:eastAsia="仿宋" w:hAnsi="仿宋" w:cs="Arial" w:hint="eastAsia"/>
        </w:rPr>
        <w:t>具体项目：美容养生、生活美容、SPA美体、营养保健</w:t>
      </w:r>
    </w:p>
    <w:p>
      <w:pPr>
        <w:spacing w:before="156" w:beforeLines="50" w:after="156" w:afterLines="50"/>
        <w:rPr>
          <w:rFonts w:ascii="仿宋" w:eastAsia="仿宋" w:hAnsi="仿宋" w:cs="宋体"/>
          <w:color w:val="000000"/>
          <w:szCs w:val="21"/>
        </w:rPr>
      </w:pPr>
    </w:p>
    <w:p>
      <w:pPr>
        <w:spacing w:before="156" w:beforeLines="50" w:after="156" w:afterLines="50"/>
        <w:rPr>
          <w:rFonts w:ascii="仿宋" w:eastAsia="仿宋" w:hAnsi="仿宋" w:cs="宋体"/>
          <w:color w:val="000000"/>
          <w:szCs w:val="21"/>
        </w:rPr>
      </w:pPr>
    </w:p>
    <w:p>
      <w:pPr>
        <w:jc w:val="center"/>
        <w:rPr>
          <w:rFonts w:ascii="仿宋" w:eastAsia="仿宋" w:hAnsi="仿宋" w:cs="宋体"/>
          <w:color w:val="000000"/>
          <w:szCs w:val="21"/>
        </w:rPr>
      </w:pPr>
      <w:r>
        <w:rPr>
          <w:rFonts w:ascii="仿宋" w:eastAsia="仿宋" w:hAnsi="仿宋" w:hint="eastAsia"/>
          <w:b/>
          <w:bCs/>
          <w:sz w:val="32"/>
          <w:szCs w:val="32"/>
        </w:rPr>
        <w:t>品牌战略</w:t>
      </w:r>
    </w:p>
    <w:p>
      <w:pPr>
        <w:spacing w:before="156" w:beforeLines="50" w:after="156" w:afterLines="50"/>
        <w:rPr>
          <w:rFonts w:ascii="仿宋" w:eastAsia="仿宋" w:hAnsi="仿宋" w:cs="宋体"/>
          <w:b/>
          <w:bCs/>
          <w:color w:val="0000FF"/>
          <w:sz w:val="28"/>
          <w:szCs w:val="28"/>
        </w:rPr>
      </w:pPr>
      <w:r>
        <w:rPr>
          <w:rFonts w:ascii="仿宋" w:eastAsia="仿宋" w:hAnsi="仿宋" w:cs="宋体" w:hint="eastAsia"/>
          <w:b/>
          <w:bCs/>
          <w:color w:val="0000FF"/>
          <w:sz w:val="28"/>
          <w:szCs w:val="28"/>
        </w:rPr>
        <w:t xml:space="preserve">第四章 </w:t>
      </w:r>
      <w:r>
        <w:rPr>
          <w:rFonts w:ascii="仿宋" w:eastAsia="仿宋" w:hAnsi="仿宋" w:cs="宋体" w:hint="eastAsia"/>
          <w:b/>
          <w:bCs/>
          <w:color w:val="0000FF"/>
          <w:sz w:val="28"/>
          <w:szCs w:val="28"/>
          <w:lang w:eastAsia="zh-CN"/>
        </w:rPr>
        <w:t>BBGJ</w:t>
      </w:r>
      <w:r>
        <w:rPr>
          <w:rFonts w:ascii="仿宋" w:eastAsia="仿宋" w:hAnsi="仿宋" w:cs="宋体" w:hint="eastAsia"/>
          <w:b/>
          <w:bCs/>
          <w:color w:val="0000FF"/>
          <w:sz w:val="28"/>
          <w:szCs w:val="28"/>
        </w:rPr>
        <w:t>品牌策略</w:t>
      </w:r>
    </w:p>
    <w:p>
      <w:pPr>
        <w:spacing w:before="156" w:beforeLines="50" w:after="156" w:afterLines="50"/>
        <w:rPr>
          <w:rFonts w:ascii="仿宋" w:eastAsia="仿宋" w:hAnsi="仿宋"/>
          <w:b/>
          <w:bCs/>
          <w:sz w:val="28"/>
          <w:szCs w:val="28"/>
        </w:rPr>
      </w:pPr>
      <w:r>
        <w:rPr>
          <w:rFonts w:ascii="仿宋" w:eastAsia="仿宋" w:hAnsi="仿宋" w:hint="eastAsia"/>
          <w:b/>
          <w:bCs/>
          <w:sz w:val="28"/>
          <w:szCs w:val="28"/>
        </w:rPr>
        <w:t>一</w:t>
      </w:r>
      <w:r>
        <w:rPr>
          <w:rFonts w:ascii="仿宋" w:eastAsia="仿宋" w:hAnsi="仿宋"/>
          <w:b/>
          <w:bCs/>
          <w:sz w:val="28"/>
          <w:szCs w:val="28"/>
        </w:rPr>
        <w:t>、医院品牌</w:t>
      </w:r>
      <w:r>
        <w:rPr>
          <w:rFonts w:ascii="仿宋" w:eastAsia="仿宋" w:hAnsi="仿宋" w:hint="eastAsia"/>
          <w:b/>
          <w:bCs/>
          <w:sz w:val="28"/>
          <w:szCs w:val="28"/>
        </w:rPr>
        <w:t>结构</w:t>
      </w:r>
    </w:p>
    <w:p>
      <w:pPr>
        <w:spacing w:before="156" w:beforeLines="50" w:after="156" w:afterLines="50"/>
        <w:rPr>
          <w:rFonts w:ascii="仿宋" w:eastAsia="仿宋" w:hAnsi="仿宋"/>
        </w:rPr>
      </w:pPr>
      <w:r>
        <w:rPr>
          <w:rFonts w:ascii="仿宋" w:eastAsia="仿宋" w:hAnsi="仿宋" w:hint="eastAsia"/>
          <w:b/>
          <w:bCs/>
        </w:rPr>
        <w:t xml:space="preserve">    1、</w:t>
      </w:r>
      <w:r>
        <w:rPr>
          <w:rFonts w:ascii="仿宋" w:eastAsia="仿宋" w:hAnsi="仿宋"/>
          <w:b/>
          <w:bCs/>
        </w:rPr>
        <w:t>医疗服务品牌具有三个重要特征</w:t>
      </w:r>
    </w:p>
    <w:p>
      <w:pPr>
        <w:spacing w:before="156" w:beforeLines="50" w:after="156" w:afterLines="50"/>
        <w:rPr>
          <w:rFonts w:ascii="仿宋" w:eastAsia="仿宋" w:hAnsi="仿宋"/>
        </w:rPr>
      </w:pPr>
      <w:r>
        <w:rPr>
          <w:rFonts w:ascii="仿宋" w:eastAsia="仿宋" w:hAnsi="仿宋" w:hint="eastAsia"/>
        </w:rPr>
        <w:t xml:space="preserve">   （1）</w:t>
      </w:r>
      <w:r>
        <w:rPr>
          <w:rFonts w:ascii="仿宋" w:eastAsia="仿宋" w:hAnsi="仿宋"/>
        </w:rPr>
        <w:t>医院产品是无形的医疗服务</w:t>
      </w:r>
      <w:r>
        <w:rPr>
          <w:rFonts w:ascii="仿宋" w:eastAsia="仿宋" w:hAnsi="仿宋" w:hint="eastAsia"/>
        </w:rPr>
        <w:t>，</w:t>
      </w:r>
      <w:r>
        <w:rPr>
          <w:rFonts w:ascii="仿宋" w:eastAsia="仿宋" w:hAnsi="仿宋"/>
        </w:rPr>
        <w:t>医疗服务品牌不同于企业产品，没有生命周期；</w:t>
      </w:r>
    </w:p>
    <w:p>
      <w:pPr>
        <w:spacing w:before="156" w:beforeLines="50" w:after="156" w:afterLines="50"/>
        <w:rPr>
          <w:rFonts w:ascii="仿宋" w:eastAsia="仿宋" w:hAnsi="仿宋"/>
        </w:rPr>
      </w:pPr>
      <w:r>
        <w:rPr>
          <w:rFonts w:ascii="仿宋" w:eastAsia="仿宋" w:hAnsi="仿宋" w:hint="eastAsia"/>
        </w:rPr>
        <w:t xml:space="preserve">   （2）</w:t>
      </w:r>
      <w:r>
        <w:rPr>
          <w:rFonts w:ascii="仿宋" w:eastAsia="仿宋" w:hAnsi="仿宋"/>
        </w:rPr>
        <w:t>成功的品牌往往是市场的领导者，占据主导地位；</w:t>
      </w:r>
    </w:p>
    <w:p>
      <w:pPr>
        <w:spacing w:before="156" w:beforeLines="50" w:after="156" w:afterLines="50"/>
        <w:rPr>
          <w:rFonts w:ascii="仿宋" w:eastAsia="仿宋" w:hAnsi="仿宋"/>
        </w:rPr>
      </w:pPr>
      <w:r>
        <w:rPr>
          <w:rFonts w:ascii="仿宋" w:eastAsia="仿宋" w:hAnsi="仿宋" w:hint="eastAsia"/>
        </w:rPr>
        <w:t xml:space="preserve">   （3）</w:t>
      </w:r>
      <w:r>
        <w:rPr>
          <w:rFonts w:ascii="仿宋" w:eastAsia="仿宋" w:hAnsi="仿宋"/>
        </w:rPr>
        <w:t>强势品牌能形成强有力</w:t>
      </w:r>
      <w:r>
        <w:rPr>
          <w:rFonts w:ascii="仿宋" w:eastAsia="仿宋" w:hAnsi="仿宋" w:hint="eastAsia"/>
        </w:rPr>
        <w:t>消费者</w:t>
      </w:r>
      <w:r>
        <w:rPr>
          <w:rFonts w:ascii="仿宋" w:eastAsia="仿宋" w:hAnsi="仿宋"/>
        </w:rPr>
        <w:t>忠诚群体，具有一般品牌所不具备的亲和力。</w:t>
      </w:r>
    </w:p>
    <w:p>
      <w:pPr>
        <w:spacing w:before="156" w:beforeLines="50" w:after="156" w:afterLines="50"/>
        <w:rPr>
          <w:rFonts w:ascii="仿宋" w:eastAsia="仿宋" w:hAnsi="仿宋" w:cs="宋体"/>
          <w:b/>
          <w:bCs/>
          <w:color w:val="000000"/>
        </w:rPr>
      </w:pPr>
    </w:p>
    <w:p>
      <w:pPr>
        <w:spacing w:before="156" w:beforeLines="50" w:after="156" w:afterLines="50" w:line="360" w:lineRule="auto"/>
        <w:ind w:firstLine="480" w:firstLineChars="200"/>
        <w:rPr>
          <w:rFonts w:ascii="仿宋" w:eastAsia="仿宋" w:hAnsi="仿宋" w:cs="宋体"/>
          <w:color w:val="000000"/>
        </w:rPr>
      </w:pPr>
      <w:r>
        <w:rPr>
          <w:rFonts w:ascii="仿宋" w:eastAsia="仿宋" w:hAnsi="仿宋" w:cs="宋体" w:hint="eastAsia"/>
          <w:b/>
          <w:bCs/>
          <w:color w:val="000000"/>
        </w:rPr>
        <w:t>2、</w:t>
      </w:r>
      <w:r>
        <w:rPr>
          <w:rFonts w:ascii="仿宋" w:eastAsia="仿宋" w:hAnsi="仿宋" w:cs="宋体"/>
          <w:b/>
          <w:bCs/>
          <w:color w:val="000000"/>
        </w:rPr>
        <w:t>医院的品牌</w:t>
      </w:r>
      <w:r>
        <w:rPr>
          <w:rFonts w:ascii="仿宋" w:eastAsia="仿宋" w:hAnsi="仿宋" w:cs="宋体" w:hint="eastAsia"/>
          <w:b/>
          <w:bCs/>
          <w:color w:val="000000"/>
        </w:rPr>
        <w:t>构成内容</w:t>
      </w:r>
    </w:p>
    <w:p>
      <w:pPr>
        <w:spacing w:before="156" w:beforeLines="50" w:after="156" w:afterLines="50" w:line="360" w:lineRule="auto"/>
        <w:rPr>
          <w:rFonts w:ascii="仿宋" w:eastAsia="仿宋" w:hAnsi="仿宋" w:cs="宋体"/>
          <w:color w:val="000000"/>
        </w:rPr>
      </w:pPr>
      <w:r>
        <w:rPr>
          <w:rFonts w:ascii="仿宋" w:eastAsia="仿宋" w:hAnsi="仿宋" w:cs="宋体"/>
          <w:color w:val="000000"/>
        </w:rPr>
        <w:t>　　</w:t>
      </w:r>
      <w:r>
        <w:rPr>
          <w:rFonts w:ascii="仿宋" w:eastAsia="仿宋" w:hAnsi="仿宋" w:cs="宋体"/>
          <w:b/>
          <w:bCs/>
          <w:color w:val="000000"/>
        </w:rPr>
        <w:t>⑴、确立医院品牌理念</w:t>
      </w:r>
      <w:r>
        <w:rPr>
          <w:rFonts w:ascii="仿宋" w:eastAsia="仿宋" w:hAnsi="仿宋" w:cs="宋体" w:hint="eastAsia"/>
          <w:color w:val="000000"/>
        </w:rPr>
        <w:t xml:space="preserve">  </w:t>
      </w:r>
      <w:r>
        <w:rPr>
          <w:rFonts w:ascii="仿宋" w:eastAsia="仿宋" w:hAnsi="仿宋" w:cs="宋体"/>
          <w:color w:val="000000"/>
        </w:rPr>
        <w:t>医院品牌理念是医院品牌的核心，代表品牌的特征。它包括了医院的价值观、医院的宗旨、医院的精神等。医院理念可以通过医院标志、医院精神、广告语以及院歌等表达出来。</w:t>
      </w:r>
    </w:p>
    <w:p>
      <w:pPr>
        <w:spacing w:before="156" w:beforeLines="50" w:after="156" w:afterLines="50" w:line="360" w:lineRule="auto"/>
        <w:ind w:firstLine="420"/>
        <w:rPr>
          <w:rFonts w:ascii="仿宋" w:eastAsia="仿宋" w:hAnsi="仿宋" w:cs="宋体"/>
          <w:color w:val="000000"/>
        </w:rPr>
      </w:pPr>
      <w:r>
        <w:rPr>
          <w:rFonts w:ascii="仿宋" w:eastAsia="仿宋" w:hAnsi="仿宋" w:cs="宋体"/>
          <w:b/>
          <w:bCs/>
          <w:color w:val="000000"/>
        </w:rPr>
        <w:t>⑵、</w:t>
      </w:r>
      <w:r>
        <w:rPr>
          <w:rFonts w:ascii="仿宋" w:eastAsia="仿宋" w:hAnsi="仿宋" w:cs="宋体" w:hint="eastAsia"/>
          <w:b/>
          <w:bCs/>
          <w:color w:val="000000"/>
        </w:rPr>
        <w:t>医院品牌的附加价值</w:t>
      </w:r>
      <w:r>
        <w:rPr>
          <w:rFonts w:ascii="仿宋" w:eastAsia="仿宋" w:hAnsi="仿宋" w:cs="宋体" w:hint="eastAsia"/>
          <w:color w:val="000000"/>
        </w:rPr>
        <w:t xml:space="preserve">  有了品牌理念，仅仅是拥有了品牌的基础和基本意识，必须要通过企业文化的建设、服务品质的提升、技术品质的强化、社会责任感的承担共同来丰富企业品牌的内涵，从而增加企业品牌的附加价值。</w:t>
      </w:r>
    </w:p>
    <w:p>
      <w:pPr>
        <w:spacing w:before="156" w:beforeLines="50" w:after="156" w:afterLines="50" w:line="360" w:lineRule="auto"/>
        <w:ind w:firstLine="480" w:firstLineChars="200"/>
        <w:rPr>
          <w:rFonts w:ascii="仿宋" w:eastAsia="仿宋" w:hAnsi="仿宋" w:cs="宋体"/>
          <w:color w:val="000000"/>
        </w:rPr>
      </w:pPr>
      <w:r>
        <w:rPr>
          <w:rFonts w:ascii="仿宋" w:eastAsia="仿宋" w:hAnsi="仿宋" w:cs="宋体"/>
          <w:b/>
          <w:bCs/>
          <w:color w:val="000000"/>
        </w:rPr>
        <w:t>⑶</w:t>
      </w:r>
      <w:r>
        <w:rPr>
          <w:rFonts w:ascii="仿宋" w:eastAsia="仿宋" w:hAnsi="仿宋" w:cs="宋体" w:hint="eastAsia"/>
          <w:b/>
          <w:bCs/>
          <w:color w:val="000000"/>
        </w:rPr>
        <w:t>、</w:t>
      </w:r>
      <w:r>
        <w:rPr>
          <w:rFonts w:ascii="仿宋" w:eastAsia="仿宋" w:hAnsi="仿宋" w:cs="宋体"/>
          <w:b/>
          <w:bCs/>
          <w:color w:val="000000"/>
        </w:rPr>
        <w:t>医院标志和标识系统</w:t>
      </w:r>
      <w:r>
        <w:rPr>
          <w:rFonts w:ascii="仿宋" w:eastAsia="仿宋" w:hAnsi="仿宋" w:cs="宋体" w:hint="eastAsia"/>
          <w:color w:val="000000"/>
        </w:rPr>
        <w:t xml:space="preserve">  </w:t>
      </w:r>
      <w:r>
        <w:rPr>
          <w:rFonts w:ascii="仿宋" w:eastAsia="仿宋" w:hAnsi="仿宋" w:cs="宋体"/>
          <w:color w:val="000000"/>
        </w:rPr>
        <w:t>医院标识系统是指包括大量视觉实物在内的医院建筑、室内陈设与设计、院内各种标志物、员工制服以及各种印刷品等。建立品牌标识系统，就是要对医院的这些视觉实物建立统一的标志、标准字、标准色、标准排列等，形成稳定的视觉感应，以便给公众留下深刻的印象。</w:t>
      </w:r>
      <w:r>
        <w:rPr>
          <w:rFonts w:ascii="仿宋" w:eastAsia="仿宋" w:hAnsi="仿宋" w:cs="宋体" w:hint="eastAsia"/>
          <w:color w:val="000000"/>
        </w:rPr>
        <w:t>通过</w:t>
      </w:r>
      <w:r>
        <w:rPr>
          <w:rFonts w:ascii="仿宋" w:eastAsia="仿宋" w:hAnsi="仿宋" w:cs="宋体"/>
          <w:color w:val="000000"/>
        </w:rPr>
        <w:t>医院标识系统</w:t>
      </w:r>
      <w:r>
        <w:rPr>
          <w:rFonts w:ascii="仿宋" w:eastAsia="仿宋" w:hAnsi="仿宋" w:cs="宋体" w:hint="eastAsia"/>
          <w:color w:val="000000"/>
        </w:rPr>
        <w:t>的统一传播，来强化公众及员工对医院品牌的认知。</w:t>
      </w:r>
    </w:p>
    <w:p>
      <w:pPr>
        <w:spacing w:before="156" w:beforeLines="50" w:after="156" w:afterLines="50" w:line="360" w:lineRule="auto"/>
        <w:ind w:firstLine="420"/>
        <w:rPr>
          <w:rFonts w:ascii="仿宋" w:eastAsia="仿宋" w:hAnsi="仿宋" w:cs="宋体"/>
          <w:b/>
          <w:bCs/>
          <w:color w:val="000000"/>
        </w:rPr>
      </w:pPr>
    </w:p>
    <w:p>
      <w:pPr>
        <w:spacing w:before="156" w:beforeLines="50" w:after="156" w:afterLines="50" w:line="360" w:lineRule="auto"/>
        <w:ind w:firstLine="420"/>
        <w:rPr>
          <w:rFonts w:ascii="仿宋" w:eastAsia="仿宋" w:hAnsi="仿宋" w:cs="宋体"/>
          <w:color w:val="000000"/>
        </w:rPr>
        <w:sectPr>
          <w:headerReference w:type="even" r:id="rId96"/>
          <w:headerReference w:type="default" r:id="rId97"/>
          <w:footerReference w:type="even" r:id="rId98"/>
          <w:footerReference w:type="default" r:id="rId99"/>
          <w:headerReference w:type="first" r:id="rId100"/>
          <w:footerReference w:type="first" r:id="rId101"/>
          <w:type w:val="nextPage"/>
          <w:pgSz w:w="11906" w:h="16838"/>
          <w:pgMar w:top="1134" w:right="1701" w:bottom="1134" w:left="1701" w:header="851" w:footer="992" w:gutter="0"/>
          <w:pgNumType w:start="13"/>
          <w:cols w:num="1" w:space="425"/>
          <w:titlePg w:val="0"/>
          <w:docGrid w:type="lines" w:linePitch="312" w:charSpace="0"/>
        </w:sectPr>
      </w:pPr>
      <w:r>
        <w:rPr>
          <w:rFonts w:ascii="仿宋" w:eastAsia="仿宋" w:hAnsi="仿宋" w:cs="宋体" w:hint="eastAsia"/>
          <w:b/>
          <w:bCs/>
          <w:color w:val="000000"/>
        </w:rPr>
        <w:t>3、</w:t>
      </w:r>
      <w:r>
        <w:rPr>
          <w:rFonts w:ascii="仿宋" w:eastAsia="仿宋" w:hAnsi="仿宋" w:cs="宋体" w:hint="eastAsia"/>
          <w:b/>
          <w:bCs/>
          <w:color w:val="000000"/>
          <w:lang w:eastAsia="zh-CN"/>
        </w:rPr>
        <w:t>BBGJ</w:t>
      </w:r>
      <w:r>
        <w:rPr>
          <w:rFonts w:ascii="仿宋" w:eastAsia="仿宋" w:hAnsi="仿宋" w:cs="宋体" w:hint="eastAsia"/>
          <w:b/>
          <w:bCs/>
          <w:color w:val="000000"/>
        </w:rPr>
        <w:t>的品牌结构</w:t>
      </w:r>
    </w:p>
    <w:p>
      <w:pPr>
        <w:spacing w:before="156" w:beforeLines="50" w:after="156" w:afterLines="50" w:line="360" w:lineRule="auto"/>
        <w:ind w:firstLine="420"/>
        <w:rPr>
          <w:rFonts w:ascii="仿宋" w:eastAsia="仿宋" w:hAnsi="仿宋" w:cs="Tahoma"/>
          <w:color w:val="000000"/>
        </w:rPr>
      </w:pPr>
      <w:r>
        <w:rPr>
          <w:rFonts w:ascii="仿宋" w:eastAsia="仿宋" w:hAnsi="仿宋" w:cs="Tahoma" w:hint="eastAsia"/>
          <w:color w:val="000000"/>
          <w:lang w:eastAsia="zh-CN"/>
        </w:rPr>
        <w:t>BBGJ</w:t>
      </w:r>
      <w:r>
        <w:rPr>
          <w:rFonts w:ascii="仿宋" w:eastAsia="仿宋" w:hAnsi="仿宋" w:cs="Tahoma" w:hint="eastAsia"/>
          <w:color w:val="000000"/>
        </w:rPr>
        <w:t>SDB Level抗衰老体系以逆龄抗衰老（Inverse age &amp; Anti aging）为核心，将健康管理、逆龄抗衰、医疗美容、美容养生四大板块工作分解归纳到抗衰老工作的三个层面：表层（Surface）、基层（Basics）、深层（Deep）。</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从医院的长线产品角度考虑，将各科室统一以“</w:t>
      </w:r>
      <w:r>
        <w:rPr>
          <w:rFonts w:ascii="仿宋" w:eastAsia="仿宋" w:hAnsi="仿宋" w:cs="Arial" w:hint="eastAsia"/>
          <w:lang w:eastAsia="zh-CN"/>
        </w:rPr>
        <w:t>BB</w:t>
      </w:r>
      <w:r>
        <w:rPr>
          <w:rFonts w:ascii="仿宋" w:eastAsia="仿宋" w:hAnsi="仿宋" w:cs="Arial" w:hint="eastAsia"/>
        </w:rPr>
        <w:t>”总商标统筹，叫做产品总商标；结合各科室具体特点，策划确定出科室产品主题词，以该主题词为中心，根据科室类别、科室特点扩充，演绎出一系列行销商标，如健康管理概念，可以发展成为系列产品：</w:t>
      </w:r>
      <w:r>
        <w:rPr>
          <w:rFonts w:ascii="仿宋" w:eastAsia="仿宋" w:hAnsi="仿宋" w:cs="Arial" w:hint="eastAsia"/>
          <w:lang w:eastAsia="zh-CN"/>
        </w:rPr>
        <w:t>BB</w:t>
      </w:r>
      <w:r>
        <w:rPr>
          <w:rFonts w:ascii="仿宋" w:eastAsia="仿宋" w:hAnsi="仿宋" w:cs="Arial" w:hint="eastAsia"/>
        </w:rPr>
        <w:t>·诊疗评估系统、</w:t>
      </w:r>
      <w:r>
        <w:rPr>
          <w:rFonts w:ascii="仿宋" w:eastAsia="仿宋" w:hAnsi="仿宋" w:cs="Arial" w:hint="eastAsia"/>
          <w:lang w:eastAsia="zh-CN"/>
        </w:rPr>
        <w:t>BB</w:t>
      </w:r>
      <w:r>
        <w:rPr>
          <w:rFonts w:ascii="仿宋" w:eastAsia="仿宋" w:hAnsi="仿宋" w:cs="Arial" w:hint="eastAsia"/>
        </w:rPr>
        <w:t>·360°全身扫描检测系统、</w:t>
      </w:r>
      <w:r>
        <w:rPr>
          <w:rFonts w:ascii="仿宋" w:eastAsia="仿宋" w:hAnsi="仿宋" w:cs="Arial" w:hint="eastAsia"/>
          <w:lang w:eastAsia="zh-CN"/>
        </w:rPr>
        <w:t>BB</w:t>
      </w:r>
      <w:r>
        <w:rPr>
          <w:rFonts w:ascii="仿宋" w:eastAsia="仿宋" w:hAnsi="仿宋" w:cs="Arial" w:hint="eastAsia"/>
        </w:rPr>
        <w:t>·全基因排序检测系统、</w:t>
      </w:r>
      <w:r>
        <w:rPr>
          <w:rFonts w:ascii="仿宋" w:eastAsia="仿宋" w:hAnsi="仿宋" w:cs="Arial" w:hint="eastAsia"/>
          <w:lang w:eastAsia="zh-CN"/>
        </w:rPr>
        <w:t>BB</w:t>
      </w:r>
      <w:r>
        <w:rPr>
          <w:rFonts w:ascii="仿宋" w:eastAsia="仿宋" w:hAnsi="仿宋" w:cs="Arial" w:hint="eastAsia"/>
        </w:rPr>
        <w:t>·乳腺诊疗系统等产品品牌配合总商标同时推出，最大限度地去发挥“</w:t>
      </w:r>
      <w:r>
        <w:rPr>
          <w:rFonts w:ascii="仿宋" w:eastAsia="仿宋" w:hAnsi="仿宋" w:cs="Arial" w:hint="eastAsia"/>
          <w:lang w:eastAsia="zh-CN"/>
        </w:rPr>
        <w:t>BBGJ</w:t>
      </w:r>
      <w:r>
        <w:rPr>
          <w:rFonts w:ascii="仿宋" w:eastAsia="仿宋" w:hAnsi="仿宋" w:cs="Arial" w:hint="eastAsia"/>
        </w:rPr>
        <w:t>”品牌的连带影响力，从而大大地降低广告宣传中的传播成本，并且易于促进消费者记忆品牌和认同品牌。</w:t>
      </w:r>
    </w:p>
    <w:p>
      <w:pPr>
        <w:spacing w:before="156" w:beforeLines="50" w:after="156" w:afterLines="50" w:line="360" w:lineRule="auto"/>
        <w:ind w:firstLine="420"/>
        <w:rPr>
          <w:rFonts w:ascii="仿宋" w:eastAsia="仿宋" w:hAnsi="仿宋" w:cs="Arial"/>
        </w:rPr>
      </w:pPr>
      <w:r>
        <w:rPr>
          <w:rFonts w:ascii="仿宋" w:eastAsia="仿宋" w:hAnsi="仿宋" w:cs="Arial" w:hint="eastAsia"/>
          <w:lang w:eastAsia="zh-CN"/>
        </w:rPr>
        <w:t>BBGJ</w:t>
      </w:r>
      <w:r>
        <w:rPr>
          <w:rFonts w:ascii="仿宋" w:eastAsia="仿宋" w:hAnsi="仿宋" w:cs="Arial" w:hint="eastAsia"/>
        </w:rPr>
        <w:t>现在分设健康管理、颜值提升、肌肤还幼、口腔美龄</w:t>
      </w:r>
      <w:r>
        <w:rPr>
          <w:rFonts w:ascii="仿宋" w:eastAsia="仿宋" w:hAnsi="仿宋" w:cs="Tahoma" w:hint="eastAsia"/>
          <w:color w:val="000000"/>
        </w:rPr>
        <w:t>四大板块</w:t>
      </w:r>
      <w:r>
        <w:rPr>
          <w:rFonts w:ascii="仿宋" w:eastAsia="仿宋" w:hAnsi="仿宋" w:cs="Arial" w:hint="eastAsia"/>
        </w:rPr>
        <w:t>，为了形成体系，也便于消费者区分，加强印象记忆，我们将医院品牌划分为下述四个层次：</w:t>
      </w:r>
    </w:p>
    <w:p>
      <w:pPr>
        <w:spacing w:before="156" w:beforeLines="50" w:after="156" w:afterLines="50" w:line="360" w:lineRule="auto"/>
        <w:ind w:firstLine="420"/>
        <w:rPr>
          <w:rFonts w:ascii="仿宋" w:eastAsia="仿宋" w:hAnsi="仿宋" w:cs="Arial" w:hint="eastAsia"/>
        </w:rPr>
      </w:pPr>
      <w:r>
        <w:rPr>
          <w:rFonts w:ascii="仿宋" w:eastAsia="仿宋" w:hAnsi="仿宋" w:cs="Arial" w:hint="eastAsia"/>
          <w:b/>
          <w:bCs/>
        </w:rPr>
        <w:t>企业牌</w:t>
      </w:r>
      <w:r>
        <w:rPr>
          <w:rFonts w:ascii="仿宋" w:eastAsia="仿宋" w:hAnsi="仿宋" w:cs="Arial" w:hint="eastAsia"/>
        </w:rPr>
        <w:t>（产品总商标）——</w:t>
      </w:r>
      <w:r>
        <w:rPr>
          <w:rFonts w:ascii="仿宋" w:eastAsia="仿宋" w:hAnsi="仿宋" w:cs="Arial" w:hint="eastAsia"/>
          <w:lang w:eastAsia="zh-CN"/>
        </w:rPr>
        <w:t>BB</w:t>
      </w:r>
    </w:p>
    <w:p>
      <w:pPr>
        <w:spacing w:before="156" w:beforeLines="50" w:after="156" w:afterLines="50" w:line="360" w:lineRule="auto"/>
        <w:ind w:firstLine="420"/>
        <w:rPr>
          <w:rFonts w:ascii="仿宋" w:eastAsia="仿宋" w:hAnsi="仿宋" w:cs="Arial" w:hint="eastAsia"/>
        </w:rPr>
      </w:pPr>
      <w:r>
        <w:rPr>
          <w:rFonts w:ascii="仿宋" w:eastAsia="仿宋" w:hAnsi="仿宋" w:cs="Arial" w:hint="eastAsia"/>
          <w:b/>
          <w:bCs/>
        </w:rPr>
        <w:t>行销牌</w:t>
      </w:r>
      <w:r>
        <w:rPr>
          <w:rFonts w:ascii="仿宋" w:eastAsia="仿宋" w:hAnsi="仿宋" w:cs="Arial" w:hint="eastAsia"/>
        </w:rPr>
        <w:t>（产品行销商标）——</w:t>
      </w:r>
      <w:r>
        <w:rPr>
          <w:rFonts w:ascii="仿宋" w:eastAsia="仿宋" w:hAnsi="仿宋" w:cs="Arial" w:hint="eastAsia"/>
          <w:lang w:eastAsia="zh-CN"/>
        </w:rPr>
        <w:t>BBGJ</w:t>
      </w:r>
    </w:p>
    <w:p>
      <w:pPr>
        <w:spacing w:before="156" w:beforeLines="50" w:after="156" w:afterLines="50" w:line="360" w:lineRule="auto"/>
        <w:ind w:firstLine="420"/>
        <w:rPr>
          <w:rFonts w:ascii="仿宋" w:eastAsia="仿宋" w:hAnsi="仿宋" w:cs="Arial"/>
        </w:rPr>
      </w:pPr>
      <w:r>
        <w:rPr>
          <w:rFonts w:ascii="仿宋" w:eastAsia="仿宋" w:hAnsi="仿宋" w:cs="Arial" w:hint="eastAsia"/>
          <w:b/>
          <w:bCs/>
        </w:rPr>
        <w:t>产品牌</w:t>
      </w:r>
      <w:r>
        <w:rPr>
          <w:rFonts w:ascii="仿宋" w:eastAsia="仿宋" w:hAnsi="仿宋" w:cs="Arial" w:hint="eastAsia"/>
        </w:rPr>
        <w:t>（产品科室类别）——</w:t>
      </w:r>
      <w:r>
        <w:rPr>
          <w:rFonts w:ascii="仿宋" w:eastAsia="仿宋" w:hAnsi="仿宋" w:cs="Arial" w:hint="eastAsia"/>
          <w:lang w:eastAsia="zh-CN"/>
        </w:rPr>
        <w:t>BB</w:t>
      </w:r>
      <w:r>
        <w:rPr>
          <w:rFonts w:ascii="仿宋" w:eastAsia="仿宋" w:hAnsi="仿宋" w:cs="Arial" w:hint="eastAsia"/>
        </w:rPr>
        <w:t>健康管理、</w:t>
      </w:r>
      <w:r>
        <w:rPr>
          <w:rFonts w:ascii="仿宋" w:eastAsia="仿宋" w:hAnsi="仿宋" w:cs="Arial" w:hint="eastAsia"/>
          <w:lang w:eastAsia="zh-CN"/>
        </w:rPr>
        <w:t>BB</w:t>
      </w:r>
      <w:r>
        <w:rPr>
          <w:rFonts w:ascii="仿宋" w:eastAsia="仿宋" w:hAnsi="仿宋" w:cs="Arial" w:hint="eastAsia"/>
        </w:rPr>
        <w:t>逆龄抗衰、</w:t>
      </w:r>
      <w:r>
        <w:rPr>
          <w:rFonts w:ascii="仿宋" w:eastAsia="仿宋" w:hAnsi="仿宋" w:cs="Arial" w:hint="eastAsia"/>
          <w:lang w:eastAsia="zh-CN"/>
        </w:rPr>
        <w:t>BB</w:t>
      </w:r>
      <w:r>
        <w:rPr>
          <w:rFonts w:ascii="仿宋" w:eastAsia="仿宋" w:hAnsi="仿宋" w:cs="Arial" w:hint="eastAsia"/>
        </w:rPr>
        <w:t>医疗美容、</w:t>
      </w:r>
      <w:r>
        <w:rPr>
          <w:rFonts w:ascii="仿宋" w:eastAsia="仿宋" w:hAnsi="仿宋" w:cs="Arial" w:hint="eastAsia"/>
          <w:lang w:eastAsia="zh-CN"/>
        </w:rPr>
        <w:t>BB</w:t>
      </w:r>
      <w:r>
        <w:rPr>
          <w:rFonts w:ascii="仿宋" w:eastAsia="仿宋" w:hAnsi="仿宋" w:cs="Arial" w:hint="eastAsia"/>
        </w:rPr>
        <w:t>美容养生</w:t>
      </w:r>
    </w:p>
    <w:p>
      <w:pPr>
        <w:spacing w:before="156" w:beforeLines="50" w:after="156" w:afterLines="50" w:line="360" w:lineRule="auto"/>
        <w:ind w:firstLine="420"/>
        <w:rPr>
          <w:rFonts w:ascii="仿宋" w:eastAsia="仿宋" w:hAnsi="仿宋" w:cs="Arial"/>
        </w:rPr>
      </w:pPr>
      <w:r>
        <w:rPr>
          <w:rFonts w:ascii="仿宋" w:eastAsia="仿宋" w:hAnsi="仿宋" w:cs="Arial" w:hint="eastAsia"/>
          <w:b/>
          <w:bCs/>
        </w:rPr>
        <w:t>技术牌</w:t>
      </w:r>
      <w:r>
        <w:rPr>
          <w:rFonts w:ascii="仿宋" w:eastAsia="仿宋" w:hAnsi="仿宋" w:cs="Arial" w:hint="eastAsia"/>
        </w:rPr>
        <w:t>（产品技术细分）——</w:t>
      </w:r>
      <w:r>
        <w:rPr>
          <w:rFonts w:ascii="仿宋" w:eastAsia="仿宋" w:hAnsi="仿宋" w:cs="Arial" w:hint="eastAsia"/>
          <w:lang w:eastAsia="zh-CN"/>
        </w:rPr>
        <w:t>BB</w:t>
      </w:r>
      <w:r>
        <w:rPr>
          <w:rFonts w:ascii="仿宋" w:eastAsia="仿宋" w:hAnsi="仿宋" w:cs="Arial" w:hint="eastAsia"/>
        </w:rPr>
        <w:t>·诊疗评估系统、</w:t>
      </w:r>
      <w:r>
        <w:rPr>
          <w:rFonts w:ascii="仿宋" w:eastAsia="仿宋" w:hAnsi="仿宋" w:cs="Arial" w:hint="eastAsia"/>
          <w:lang w:eastAsia="zh-CN"/>
        </w:rPr>
        <w:t>BB</w:t>
      </w:r>
      <w:r>
        <w:rPr>
          <w:rFonts w:ascii="仿宋" w:eastAsia="仿宋" w:hAnsi="仿宋" w:cs="Arial" w:hint="eastAsia"/>
        </w:rPr>
        <w:t>·乳腺诊疗系统……</w:t>
      </w:r>
    </w:p>
    <w:p>
      <w:pPr>
        <w:spacing w:before="156" w:beforeLines="50" w:after="156" w:afterLines="50" w:line="360" w:lineRule="auto"/>
        <w:ind w:firstLine="420"/>
        <w:rPr>
          <w:rFonts w:ascii="仿宋" w:eastAsia="仿宋" w:hAnsi="仿宋" w:cs="Arial"/>
        </w:rPr>
      </w:pPr>
    </w:p>
    <w:p>
      <w:pPr>
        <w:spacing w:before="156" w:beforeLines="50" w:after="156" w:afterLines="50"/>
        <w:rPr>
          <w:rFonts w:ascii="仿宋" w:eastAsia="仿宋" w:hAnsi="仿宋" w:cs="宋体"/>
          <w:b/>
          <w:bCs/>
          <w:color w:val="000000"/>
          <w:sz w:val="28"/>
          <w:szCs w:val="28"/>
        </w:rPr>
      </w:pPr>
      <w:r>
        <w:rPr>
          <w:rFonts w:ascii="仿宋" w:eastAsia="仿宋" w:hAnsi="仿宋" w:cs="宋体" w:hint="eastAsia"/>
          <w:b/>
          <w:bCs/>
          <w:color w:val="000000"/>
          <w:sz w:val="28"/>
          <w:szCs w:val="28"/>
        </w:rPr>
        <w:t>二、</w:t>
      </w:r>
      <w:r>
        <w:rPr>
          <w:rFonts w:ascii="仿宋" w:eastAsia="仿宋" w:hAnsi="仿宋" w:cs="宋体" w:hint="eastAsia"/>
          <w:b/>
          <w:bCs/>
          <w:color w:val="000000"/>
          <w:sz w:val="28"/>
          <w:szCs w:val="28"/>
          <w:lang w:eastAsia="zh-CN"/>
        </w:rPr>
        <w:t>BBGJ</w:t>
      </w:r>
      <w:r>
        <w:rPr>
          <w:rFonts w:ascii="仿宋" w:eastAsia="仿宋" w:hAnsi="仿宋" w:cs="宋体" w:hint="eastAsia"/>
          <w:b/>
          <w:bCs/>
          <w:color w:val="000000"/>
          <w:sz w:val="28"/>
          <w:szCs w:val="28"/>
        </w:rPr>
        <w:t>的品牌定位策略</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品牌定位战略方法，诞生于产品、媒介信息爆增的现代，其目的在于如何确保品牌信息能快速进入消费者心智。</w:t>
      </w:r>
      <w:r>
        <w:rPr>
          <w:rFonts w:ascii="仿宋" w:eastAsia="仿宋" w:hAnsi="仿宋" w:cs="Arial"/>
        </w:rPr>
        <w:t>新创品牌的任务是创建品牌知名度，如果新创品牌开创了一个新品类和一个明显差异化的新特性的时候，对用户而言其实是一条有价值有用的信息，而精准化，强制性，封闭的，低干扰的生活空间媒体对这种新创性的品牌的引爆能力最直接最有效。</w:t>
      </w:r>
    </w:p>
    <w:p>
      <w:pPr>
        <w:spacing w:before="156" w:beforeLines="50" w:after="156" w:afterLines="50" w:line="360" w:lineRule="auto"/>
        <w:ind w:firstLine="420"/>
        <w:rPr>
          <w:rFonts w:ascii="仿宋" w:eastAsia="仿宋" w:hAnsi="仿宋" w:cs="Arial"/>
        </w:rPr>
        <w:sectPr>
          <w:headerReference w:type="even" r:id="rId102"/>
          <w:headerReference w:type="default" r:id="rId103"/>
          <w:footerReference w:type="even" r:id="rId104"/>
          <w:footerReference w:type="default" r:id="rId105"/>
          <w:headerReference w:type="first" r:id="rId106"/>
          <w:footerReference w:type="first" r:id="rId107"/>
          <w:type w:val="nextPage"/>
          <w:pgSz w:w="11906" w:h="16838"/>
          <w:pgMar w:top="1134" w:right="1701" w:bottom="1134" w:left="1701" w:header="851" w:footer="992" w:gutter="0"/>
          <w:pgNumType w:start="14"/>
          <w:cols w:num="1" w:space="425"/>
          <w:titlePg w:val="0"/>
          <w:docGrid w:type="lines" w:linePitch="312" w:charSpace="0"/>
        </w:sectPr>
      </w:pPr>
      <w:r>
        <w:rPr>
          <w:rFonts w:ascii="仿宋" w:eastAsia="仿宋" w:hAnsi="仿宋" w:cs="Arial" w:hint="eastAsia"/>
        </w:rPr>
        <w:t>1997年美国</w:t>
      </w:r>
      <w:hyperlink r:id="rId108" w:tgtFrame="_blank" w:history="1">
        <w:r>
          <w:rPr>
            <w:rFonts w:ascii="仿宋" w:eastAsia="仿宋" w:hAnsi="仿宋" w:cs="Arial" w:hint="eastAsia"/>
          </w:rPr>
          <w:t>营销</w:t>
        </w:r>
      </w:hyperlink>
    </w:p>
    <w:p>
      <w:pPr>
        <w:spacing w:before="156" w:beforeLines="50" w:after="156" w:afterLines="50" w:line="360" w:lineRule="auto"/>
        <w:ind w:firstLine="420"/>
        <w:rPr>
          <w:rFonts w:ascii="仿宋" w:eastAsia="仿宋" w:hAnsi="仿宋" w:cs="Arial"/>
        </w:rPr>
      </w:pPr>
      <w:r>
        <w:rPr>
          <w:rFonts w:ascii="仿宋" w:eastAsia="仿宋" w:hAnsi="仿宋" w:cs="Arial" w:hint="eastAsia"/>
        </w:rPr>
        <w:t>学者Walker.Chip首次提出了“品牌核心价值”。他认为品牌核心价值是一个品牌的灵魂，它是品牌资产的主体部分，它让消费者明确清晰地识别并记住品牌的利益点与个性，是驱动消费者认同、喜欢乃至爱上一个品牌的主要力量。</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一个品牌要区别于竞争品牌，必须拥有独特的核心价值，品牌的核心价值是品牌的</w:t>
      </w:r>
      <w:hyperlink r:id="rId109" w:tgtFrame="_blank" w:history="1">
        <w:r>
          <w:rPr>
            <w:rFonts w:ascii="仿宋" w:eastAsia="仿宋" w:hAnsi="仿宋" w:cs="Arial" w:hint="eastAsia"/>
          </w:rPr>
          <w:t>DNA</w:t>
        </w:r>
      </w:hyperlink>
      <w:r>
        <w:rPr>
          <w:rFonts w:ascii="仿宋" w:eastAsia="仿宋" w:hAnsi="仿宋" w:cs="Arial" w:hint="eastAsia"/>
        </w:rPr>
        <w:t>，它是企业欲传达给消费者的一种独特价值主张、一种个性、一种承诺，这种核心价值事实上是指企业为目标消费者所带来的独特利益。 核心价值是品牌的终极追求，是一个品牌营销传播活动的中心，即企业的一切价值活动都要围绕品牌核心价值展开，并丰满和强化品牌核心价值。</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有专家提出“心智阶梯原理”概念，比如说你购买牙膏在你的潜意识中会出现一个品牌阶梯高露洁、佳洁士、中华等品牌；想喝水了就可能有乐百氏、哇哈哈、农夫山泉这样一个阶梯。如果我们不能把品牌建立在消费者心智阶梯上数一数二的位置，那么随着市场的成熟，企业就非常危险”。为了医院能够树立一个具有长久生命力的</w:t>
      </w:r>
      <w:hyperlink r:id="rId110" w:tgtFrame="_blank" w:history="1">
        <w:r>
          <w:rPr>
            <w:rFonts w:ascii="仿宋" w:eastAsia="仿宋" w:hAnsi="仿宋" w:cs="Arial" w:hint="eastAsia"/>
          </w:rPr>
          <w:t>强势品牌</w:t>
        </w:r>
      </w:hyperlink>
      <w:r>
        <w:rPr>
          <w:rFonts w:ascii="仿宋" w:eastAsia="仿宋" w:hAnsi="仿宋" w:cs="Arial" w:hint="eastAsia"/>
        </w:rPr>
        <w:t>，从一开始就应该建立和实施品牌定位战略，做就要做行业中的精品，做就要做行业中拔尖的品牌。</w:t>
      </w:r>
    </w:p>
    <w:p>
      <w:pPr>
        <w:spacing w:before="156" w:beforeLines="50" w:after="156" w:afterLines="50" w:line="360" w:lineRule="auto"/>
        <w:ind w:firstLine="420"/>
        <w:rPr>
          <w:rFonts w:ascii="仿宋" w:eastAsia="仿宋" w:hAnsi="仿宋" w:cs="Arial"/>
        </w:rPr>
      </w:pPr>
    </w:p>
    <w:p>
      <w:pPr>
        <w:pStyle w:val="Heading3"/>
        <w:spacing w:before="300" w:after="180" w:line="360" w:lineRule="auto"/>
        <w:rPr>
          <w:rFonts w:ascii="仿宋" w:eastAsia="仿宋" w:hAnsi="仿宋" w:cs="Arial"/>
          <w:sz w:val="24"/>
          <w:szCs w:val="24"/>
        </w:rPr>
      </w:pPr>
      <w:r>
        <w:rPr>
          <w:rFonts w:ascii="仿宋" w:eastAsia="仿宋" w:hAnsi="仿宋" w:hint="eastAsia"/>
          <w:color w:val="000000"/>
          <w:sz w:val="24"/>
          <w:szCs w:val="24"/>
        </w:rPr>
        <w:t xml:space="preserve">    </w:t>
      </w:r>
      <w:r>
        <w:rPr>
          <w:rFonts w:ascii="仿宋" w:eastAsia="仿宋" w:hAnsi="仿宋" w:hint="eastAsia"/>
          <w:color w:val="000000"/>
          <w:sz w:val="24"/>
          <w:szCs w:val="24"/>
          <w:lang w:eastAsia="zh-CN"/>
        </w:rPr>
        <w:t>BBGJ</w:t>
      </w:r>
      <w:r>
        <w:rPr>
          <w:rFonts w:ascii="仿宋" w:eastAsia="仿宋" w:hAnsi="仿宋" w:hint="eastAsia"/>
          <w:color w:val="000000"/>
          <w:sz w:val="24"/>
          <w:szCs w:val="24"/>
        </w:rPr>
        <w:t>的品牌定位策略：</w:t>
      </w:r>
      <w:r>
        <w:rPr>
          <w:rFonts w:ascii="仿宋" w:eastAsia="仿宋" w:hAnsi="仿宋" w:cs="Arial" w:hint="eastAsia"/>
          <w:sz w:val="24"/>
          <w:szCs w:val="24"/>
        </w:rPr>
        <w:t>USP定位理论</w:t>
      </w:r>
    </w:p>
    <w:p>
      <w:pPr>
        <w:spacing w:before="156" w:beforeLines="50" w:after="156" w:afterLines="50" w:line="360" w:lineRule="auto"/>
        <w:ind w:firstLine="420"/>
        <w:rPr>
          <w:rFonts w:ascii="仿宋" w:eastAsia="仿宋" w:hAnsi="仿宋" w:cs="Arial"/>
        </w:rPr>
      </w:pPr>
      <w:r>
        <w:rPr>
          <w:rFonts w:ascii="仿宋" w:eastAsia="仿宋" w:hAnsi="仿宋" w:cs="Arial"/>
        </w:rPr>
        <w:t>USP定位包含三个方面的内容：</w:t>
      </w:r>
    </w:p>
    <w:p>
      <w:pPr>
        <w:spacing w:before="156" w:beforeLines="50" w:after="156" w:afterLines="50" w:line="360" w:lineRule="auto"/>
        <w:ind w:firstLine="420"/>
        <w:rPr>
          <w:rFonts w:ascii="仿宋" w:eastAsia="仿宋" w:hAnsi="仿宋" w:cs="Arial"/>
        </w:rPr>
      </w:pPr>
      <w:r>
        <w:rPr>
          <w:rFonts w:ascii="仿宋" w:eastAsia="仿宋" w:hAnsi="仿宋" w:cs="Arial"/>
        </w:rPr>
        <w:t>一是要向消费者传播一种主张、一种忠告、一种承诺，告诉消费者购买产品会得到什么样的利益</w:t>
      </w:r>
      <w:r>
        <w:rPr>
          <w:rFonts w:ascii="仿宋" w:eastAsia="仿宋" w:hAnsi="仿宋" w:cs="Arial" w:hint="eastAsia"/>
        </w:rPr>
        <w:t>；</w:t>
      </w:r>
    </w:p>
    <w:p>
      <w:pPr>
        <w:spacing w:before="156" w:beforeLines="50" w:after="156" w:afterLines="50" w:line="360" w:lineRule="auto"/>
        <w:ind w:firstLine="420"/>
        <w:rPr>
          <w:rFonts w:ascii="仿宋" w:eastAsia="仿宋" w:hAnsi="仿宋" w:cs="Arial"/>
        </w:rPr>
      </w:pPr>
      <w:r>
        <w:rPr>
          <w:rFonts w:ascii="仿宋" w:eastAsia="仿宋" w:hAnsi="仿宋" w:cs="Arial"/>
        </w:rPr>
        <w:t>二是这种主张应是竞争对手无法提出或未曾提出的，应独具特色</w:t>
      </w:r>
      <w:r>
        <w:rPr>
          <w:rFonts w:ascii="仿宋" w:eastAsia="仿宋" w:hAnsi="仿宋" w:cs="Arial" w:hint="eastAsia"/>
        </w:rPr>
        <w:t>；</w:t>
      </w:r>
    </w:p>
    <w:p>
      <w:pPr>
        <w:spacing w:before="156" w:beforeLines="50" w:after="156" w:afterLines="50" w:line="360" w:lineRule="auto"/>
        <w:ind w:firstLine="420"/>
        <w:rPr>
          <w:rFonts w:ascii="仿宋" w:eastAsia="仿宋" w:hAnsi="仿宋" w:cs="Arial"/>
        </w:rPr>
      </w:pPr>
      <w:r>
        <w:rPr>
          <w:rFonts w:ascii="仿宋" w:eastAsia="仿宋" w:hAnsi="仿宋" w:cs="Arial"/>
        </w:rPr>
        <w:t>三是这种主张应该以消费者为核心，易于理解和传播，具有极大的吸引力。</w:t>
      </w:r>
    </w:p>
    <w:p>
      <w:pPr>
        <w:spacing w:before="156" w:beforeLines="50" w:after="156" w:afterLines="50" w:line="360" w:lineRule="auto"/>
        <w:ind w:firstLine="420"/>
        <w:rPr>
          <w:rFonts w:ascii="仿宋" w:eastAsia="仿宋" w:hAnsi="仿宋" w:cs="Arial"/>
        </w:rPr>
      </w:pPr>
      <w:r>
        <w:rPr>
          <w:rFonts w:ascii="仿宋" w:eastAsia="仿宋" w:hAnsi="仿宋" w:cs="Arial"/>
        </w:rPr>
        <w:t>运用USP定位，在同类产品品牌太多、竞争激烈的情形下可以突出品牌的特点和优势，让消费者按自身偏好和对某一品牌利益的重视程度，将不同品牌在头脑中排序，置于不同位置，在有相关需求时，更迅速地选择商品。</w:t>
      </w:r>
    </w:p>
    <w:p>
      <w:pPr>
        <w:spacing w:before="156" w:beforeLines="50" w:after="156" w:afterLines="50" w:line="360" w:lineRule="auto"/>
        <w:ind w:firstLine="420"/>
        <w:rPr>
          <w:rFonts w:ascii="仿宋" w:eastAsia="仿宋" w:hAnsi="仿宋" w:cs="Arial"/>
        </w:rPr>
        <w:sectPr>
          <w:headerReference w:type="even" r:id="rId111"/>
          <w:headerReference w:type="default" r:id="rId112"/>
          <w:footerReference w:type="even" r:id="rId113"/>
          <w:footerReference w:type="default" r:id="rId114"/>
          <w:headerReference w:type="first" r:id="rId115"/>
          <w:footerReference w:type="first" r:id="rId116"/>
          <w:type w:val="nextPage"/>
          <w:pgSz w:w="11906" w:h="16838"/>
          <w:pgMar w:top="1134" w:right="1701" w:bottom="1134" w:left="1701" w:header="851" w:footer="992" w:gutter="0"/>
          <w:pgNumType w:start="15"/>
          <w:cols w:num="1" w:space="425"/>
          <w:titlePg w:val="0"/>
          <w:docGrid w:type="lines" w:linePitch="312" w:charSpace="0"/>
        </w:sectPr>
      </w:pPr>
      <w:r>
        <w:rPr>
          <w:rFonts w:ascii="仿宋" w:eastAsia="仿宋" w:hAnsi="仿宋" w:cs="Arial"/>
        </w:rPr>
        <w:t>在汽车市场，宝马宣扬</w:t>
      </w:r>
      <w:r>
        <w:rPr>
          <w:rFonts w:ascii="仿宋" w:eastAsia="仿宋" w:hAnsi="仿宋" w:cs="Arial" w:hint="eastAsia"/>
        </w:rPr>
        <w:t>“</w:t>
      </w:r>
      <w:r>
        <w:rPr>
          <w:rFonts w:ascii="仿宋" w:eastAsia="仿宋" w:hAnsi="仿宋" w:cs="Arial"/>
        </w:rPr>
        <w:t>驾驶的乐趣</w:t>
      </w:r>
      <w:r>
        <w:rPr>
          <w:rFonts w:ascii="仿宋" w:eastAsia="仿宋" w:hAnsi="仿宋" w:cs="Arial" w:hint="eastAsia"/>
        </w:rPr>
        <w:t>”</w:t>
      </w:r>
      <w:r>
        <w:rPr>
          <w:rFonts w:ascii="仿宋" w:eastAsia="仿宋" w:hAnsi="仿宋" w:cs="Arial"/>
        </w:rPr>
        <w:t>，富豪强调</w:t>
      </w:r>
      <w:r>
        <w:rPr>
          <w:rFonts w:ascii="仿宋" w:eastAsia="仿宋" w:hAnsi="仿宋" w:cs="Arial" w:hint="eastAsia"/>
        </w:rPr>
        <w:t>“</w:t>
      </w:r>
      <w:r>
        <w:rPr>
          <w:rFonts w:ascii="仿宋" w:eastAsia="仿宋" w:hAnsi="仿宋" w:cs="Arial"/>
        </w:rPr>
        <w:t>耐久安全</w:t>
      </w:r>
      <w:r>
        <w:rPr>
          <w:rFonts w:ascii="仿宋" w:eastAsia="仿宋" w:hAnsi="仿宋" w:cs="Arial" w:hint="eastAsia"/>
        </w:rPr>
        <w:t>”</w:t>
      </w:r>
      <w:r>
        <w:rPr>
          <w:rFonts w:ascii="仿宋" w:eastAsia="仿宋" w:hAnsi="仿宋" w:cs="Arial"/>
        </w:rPr>
        <w:t>，马自达是</w:t>
      </w:r>
      <w:r>
        <w:rPr>
          <w:rFonts w:ascii="仿宋" w:eastAsia="仿宋" w:hAnsi="仿宋" w:cs="Arial" w:hint="eastAsia"/>
        </w:rPr>
        <w:t>“</w:t>
      </w:r>
      <w:r>
        <w:rPr>
          <w:rFonts w:ascii="仿宋" w:eastAsia="仿宋" w:hAnsi="仿宋" w:cs="Arial"/>
        </w:rPr>
        <w:t>可靠</w:t>
      </w:r>
      <w:r>
        <w:rPr>
          <w:rFonts w:ascii="仿宋" w:eastAsia="仿宋" w:hAnsi="仿宋" w:cs="Arial" w:hint="eastAsia"/>
        </w:rPr>
        <w:t>”</w:t>
      </w:r>
      <w:r>
        <w:rPr>
          <w:rFonts w:ascii="仿宋" w:eastAsia="仿宋" w:hAnsi="仿宋" w:cs="Arial"/>
        </w:rPr>
        <w:t>，丰田的</w:t>
      </w:r>
      <w:r>
        <w:rPr>
          <w:rFonts w:ascii="仿宋" w:eastAsia="仿宋" w:hAnsi="仿宋" w:cs="Arial" w:hint="eastAsia"/>
        </w:rPr>
        <w:t>“</w:t>
      </w:r>
      <w:r>
        <w:rPr>
          <w:rFonts w:ascii="仿宋" w:eastAsia="仿宋" w:hAnsi="仿宋" w:cs="Arial"/>
        </w:rPr>
        <w:t>跑车外型</w:t>
      </w:r>
      <w:r>
        <w:rPr>
          <w:rFonts w:ascii="仿宋" w:eastAsia="仿宋" w:hAnsi="仿宋" w:cs="Arial" w:hint="eastAsia"/>
        </w:rPr>
        <w:t>”</w:t>
      </w:r>
      <w:r>
        <w:rPr>
          <w:rFonts w:ascii="仿宋" w:eastAsia="仿宋" w:hAnsi="仿宋" w:cs="Arial"/>
        </w:rPr>
        <w:t>， 沃尔沃定位于</w:t>
      </w:r>
      <w:r>
        <w:rPr>
          <w:rFonts w:ascii="仿宋" w:eastAsia="仿宋" w:hAnsi="仿宋" w:cs="Arial" w:hint="eastAsia"/>
        </w:rPr>
        <w:t>“</w:t>
      </w:r>
      <w:r>
        <w:rPr>
          <w:rFonts w:ascii="仿宋" w:eastAsia="仿宋" w:hAnsi="仿宋" w:cs="Arial"/>
        </w:rPr>
        <w:t>安全</w:t>
      </w:r>
      <w:r>
        <w:rPr>
          <w:rFonts w:ascii="仿宋" w:eastAsia="仿宋" w:hAnsi="仿宋" w:cs="Arial" w:hint="eastAsia"/>
        </w:rPr>
        <w:t>”</w:t>
      </w:r>
      <w:r>
        <w:rPr>
          <w:rFonts w:ascii="仿宋" w:eastAsia="仿宋" w:hAnsi="仿宋" w:cs="Arial"/>
        </w:rPr>
        <w:t>，菲亚特则</w:t>
      </w:r>
      <w:r>
        <w:rPr>
          <w:rFonts w:ascii="仿宋" w:eastAsia="仿宋" w:hAnsi="仿宋" w:cs="Arial" w:hint="eastAsia"/>
        </w:rPr>
        <w:t>“</w:t>
      </w:r>
      <w:r>
        <w:rPr>
          <w:rFonts w:ascii="仿宋" w:eastAsia="仿宋" w:hAnsi="仿宋" w:cs="Arial"/>
        </w:rPr>
        <w:t>精力充沛</w:t>
      </w:r>
      <w:r>
        <w:rPr>
          <w:rFonts w:ascii="仿宋" w:eastAsia="仿宋" w:hAnsi="仿宋" w:cs="Arial" w:hint="eastAsia"/>
        </w:rPr>
        <w:t>”</w:t>
      </w:r>
      <w:r>
        <w:rPr>
          <w:rFonts w:ascii="仿宋" w:eastAsia="仿宋" w:hAnsi="仿宋" w:cs="Arial"/>
        </w:rPr>
        <w:t>，奔驰是</w:t>
      </w:r>
      <w:r>
        <w:rPr>
          <w:rFonts w:ascii="仿宋" w:eastAsia="仿宋" w:hAnsi="仿宋" w:cs="Arial" w:hint="eastAsia"/>
        </w:rPr>
        <w:t>“</w:t>
      </w:r>
      <w:r>
        <w:rPr>
          <w:rFonts w:ascii="仿宋" w:eastAsia="仿宋" w:hAnsi="仿宋" w:cs="Arial"/>
        </w:rPr>
        <w:t>高贵、王者、显赫、至尊</w:t>
      </w:r>
      <w:r>
        <w:rPr>
          <w:rFonts w:ascii="仿宋" w:eastAsia="仿宋" w:hAnsi="仿宋" w:cs="Arial" w:hint="eastAsia"/>
        </w:rPr>
        <w:t>”</w:t>
      </w:r>
    </w:p>
    <w:p>
      <w:pPr>
        <w:spacing w:before="156" w:beforeLines="50" w:after="156" w:afterLines="50" w:line="360" w:lineRule="auto"/>
        <w:ind w:firstLine="420"/>
        <w:rPr>
          <w:rFonts w:ascii="仿宋" w:eastAsia="仿宋" w:hAnsi="仿宋" w:cs="Arial"/>
        </w:rPr>
      </w:pPr>
      <w:r>
        <w:rPr>
          <w:rFonts w:ascii="仿宋" w:eastAsia="仿宋" w:hAnsi="仿宋" w:cs="Arial"/>
        </w:rPr>
        <w:t>的象征。因为有了自己清晰的价值主张</w:t>
      </w:r>
      <w:r>
        <w:rPr>
          <w:rFonts w:ascii="仿宋" w:eastAsia="仿宋" w:hAnsi="仿宋" w:cs="Arial" w:hint="eastAsia"/>
        </w:rPr>
        <w:t>，</w:t>
      </w:r>
      <w:r>
        <w:rPr>
          <w:rFonts w:ascii="仿宋" w:eastAsia="仿宋" w:hAnsi="仿宋" w:cs="Arial"/>
        </w:rPr>
        <w:t>这些金字招牌各自拥立了自己的固定消费群,在各自的区隔内占据最高的市场份额。</w:t>
      </w:r>
    </w:p>
    <w:p>
      <w:pPr>
        <w:spacing w:before="156" w:beforeLines="50" w:after="156" w:afterLines="50" w:line="360" w:lineRule="auto"/>
        <w:ind w:firstLine="420"/>
        <w:rPr>
          <w:rFonts w:ascii="仿宋" w:eastAsia="仿宋" w:hAnsi="仿宋" w:cs="Arial"/>
        </w:rPr>
      </w:pPr>
      <w:r>
        <w:rPr>
          <w:rFonts w:ascii="仿宋" w:eastAsia="仿宋" w:hAnsi="仿宋" w:cs="Arial"/>
        </w:rPr>
        <w:t>宝洁公司</w:t>
      </w:r>
      <w:r>
        <w:rPr>
          <w:rFonts w:ascii="仿宋" w:eastAsia="仿宋" w:hAnsi="仿宋" w:cs="Arial" w:hint="eastAsia"/>
        </w:rPr>
        <w:t>是</w:t>
      </w:r>
      <w:r>
        <w:rPr>
          <w:rFonts w:ascii="仿宋" w:eastAsia="仿宋" w:hAnsi="仿宋" w:cs="Arial"/>
        </w:rPr>
        <w:t>运用USP品牌定位最为成功：以洗发水为例，宝洁在国内推出了飘柔、潘婷、海飞丝、沙宣、伊卡璐五大品牌，每一个都具有很强的针对性，海飞丝定位是</w:t>
      </w:r>
      <w:r>
        <w:rPr>
          <w:rFonts w:ascii="仿宋" w:eastAsia="仿宋" w:hAnsi="仿宋" w:cs="Arial" w:hint="eastAsia"/>
        </w:rPr>
        <w:t>“</w:t>
      </w:r>
      <w:r>
        <w:rPr>
          <w:rFonts w:ascii="仿宋" w:eastAsia="仿宋" w:hAnsi="仿宋" w:cs="Arial"/>
        </w:rPr>
        <w:t>去头皮屑</w:t>
      </w:r>
      <w:r>
        <w:rPr>
          <w:rFonts w:ascii="仿宋" w:eastAsia="仿宋" w:hAnsi="仿宋" w:cs="Arial" w:hint="eastAsia"/>
        </w:rPr>
        <w:t>”；</w:t>
      </w:r>
      <w:r>
        <w:rPr>
          <w:rFonts w:ascii="仿宋" w:eastAsia="仿宋" w:hAnsi="仿宋" w:cs="Arial"/>
        </w:rPr>
        <w:t>飘柔着眼于</w:t>
      </w:r>
      <w:r>
        <w:rPr>
          <w:rFonts w:ascii="仿宋" w:eastAsia="仿宋" w:hAnsi="仿宋" w:cs="Arial" w:hint="eastAsia"/>
        </w:rPr>
        <w:t>“</w:t>
      </w:r>
      <w:r>
        <w:rPr>
          <w:rFonts w:ascii="仿宋" w:eastAsia="仿宋" w:hAnsi="仿宋" w:cs="Arial"/>
        </w:rPr>
        <w:t>柔顺发质</w:t>
      </w:r>
      <w:r>
        <w:rPr>
          <w:rFonts w:ascii="仿宋" w:eastAsia="仿宋" w:hAnsi="仿宋" w:cs="Arial" w:hint="eastAsia"/>
        </w:rPr>
        <w:t>”；</w:t>
      </w:r>
      <w:r>
        <w:rPr>
          <w:rFonts w:ascii="仿宋" w:eastAsia="仿宋" w:hAnsi="仿宋" w:cs="Arial"/>
        </w:rPr>
        <w:t>潘婷定位于</w:t>
      </w:r>
      <w:r>
        <w:rPr>
          <w:rFonts w:ascii="仿宋" w:eastAsia="仿宋" w:hAnsi="仿宋" w:cs="Arial" w:hint="eastAsia"/>
        </w:rPr>
        <w:t>“</w:t>
      </w:r>
      <w:r>
        <w:rPr>
          <w:rFonts w:ascii="仿宋" w:eastAsia="仿宋" w:hAnsi="仿宋" w:cs="Arial"/>
        </w:rPr>
        <w:t>营养发质</w:t>
      </w:r>
      <w:r>
        <w:rPr>
          <w:rFonts w:ascii="仿宋" w:eastAsia="仿宋" w:hAnsi="仿宋" w:cs="Arial" w:hint="eastAsia"/>
        </w:rPr>
        <w:t>”；</w:t>
      </w:r>
      <w:r>
        <w:rPr>
          <w:rFonts w:ascii="仿宋" w:eastAsia="仿宋" w:hAnsi="仿宋" w:cs="Arial"/>
        </w:rPr>
        <w:t>沙宣定位于</w:t>
      </w:r>
      <w:r>
        <w:rPr>
          <w:rFonts w:ascii="仿宋" w:eastAsia="仿宋" w:hAnsi="仿宋" w:cs="Arial" w:hint="eastAsia"/>
        </w:rPr>
        <w:t>“</w:t>
      </w:r>
      <w:r>
        <w:rPr>
          <w:rFonts w:ascii="仿宋" w:eastAsia="仿宋" w:hAnsi="仿宋" w:cs="Arial"/>
        </w:rPr>
        <w:t>美发定型</w:t>
      </w:r>
      <w:r>
        <w:rPr>
          <w:rFonts w:ascii="仿宋" w:eastAsia="仿宋" w:hAnsi="仿宋" w:cs="Arial" w:hint="eastAsia"/>
        </w:rPr>
        <w:t>”；</w:t>
      </w:r>
      <w:r>
        <w:rPr>
          <w:rFonts w:ascii="仿宋" w:eastAsia="仿宋" w:hAnsi="仿宋" w:cs="Arial"/>
        </w:rPr>
        <w:t>伊卡璐则定位于</w:t>
      </w:r>
      <w:r>
        <w:rPr>
          <w:rFonts w:ascii="仿宋" w:eastAsia="仿宋" w:hAnsi="仿宋" w:cs="Arial" w:hint="eastAsia"/>
        </w:rPr>
        <w:t>“</w:t>
      </w:r>
      <w:r>
        <w:rPr>
          <w:rFonts w:ascii="仿宋" w:eastAsia="仿宋" w:hAnsi="仿宋" w:cs="Arial"/>
        </w:rPr>
        <w:t>草本植物精华</w:t>
      </w:r>
      <w:r>
        <w:rPr>
          <w:rFonts w:ascii="仿宋" w:eastAsia="仿宋" w:hAnsi="仿宋" w:cs="Arial" w:hint="eastAsia"/>
        </w:rPr>
        <w:t>”</w:t>
      </w:r>
      <w:r>
        <w:rPr>
          <w:rFonts w:ascii="仿宋" w:eastAsia="仿宋" w:hAnsi="仿宋" w:cs="Arial"/>
        </w:rPr>
        <w:t>。</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结合</w:t>
      </w:r>
      <w:r>
        <w:rPr>
          <w:rFonts w:ascii="仿宋" w:eastAsia="仿宋" w:hAnsi="仿宋" w:cs="Arial"/>
        </w:rPr>
        <w:t>USP品牌定位</w:t>
      </w:r>
      <w:r>
        <w:rPr>
          <w:rFonts w:ascii="仿宋" w:eastAsia="仿宋" w:hAnsi="仿宋" w:cs="Arial" w:hint="eastAsia"/>
        </w:rPr>
        <w:t>要求，</w:t>
      </w:r>
      <w:r>
        <w:rPr>
          <w:rFonts w:ascii="仿宋" w:eastAsia="仿宋" w:hAnsi="仿宋" w:cs="Arial" w:hint="eastAsia"/>
          <w:lang w:eastAsia="zh-CN"/>
        </w:rPr>
        <w:t>BBGJ</w:t>
      </w:r>
      <w:r>
        <w:rPr>
          <w:rFonts w:ascii="仿宋" w:eastAsia="仿宋" w:hAnsi="仿宋" w:cs="Arial" w:hint="eastAsia"/>
        </w:rPr>
        <w:t>的品牌定位应该是“</w:t>
      </w:r>
      <w:r>
        <w:rPr>
          <w:rFonts w:ascii="仿宋" w:eastAsia="仿宋" w:hAnsi="仿宋" w:cs="Arial" w:hint="eastAsia"/>
          <w:b/>
          <w:bCs/>
        </w:rPr>
        <w:t>逆龄抗衰老</w:t>
      </w:r>
      <w:r>
        <w:rPr>
          <w:rFonts w:ascii="仿宋" w:eastAsia="仿宋" w:hAnsi="仿宋" w:cs="Arial" w:hint="eastAsia"/>
        </w:rPr>
        <w:t>”，广告口号是：</w:t>
      </w:r>
      <w:r>
        <w:rPr>
          <w:rFonts w:ascii="仿宋" w:eastAsia="仿宋" w:hAnsi="仿宋" w:cs="Arial" w:hint="eastAsia"/>
          <w:b/>
          <w:bCs/>
        </w:rPr>
        <w:t>更美，更年轻</w:t>
      </w:r>
      <w:r>
        <w:rPr>
          <w:rFonts w:ascii="仿宋" w:eastAsia="仿宋" w:hAnsi="仿宋" w:cs="Arial" w:hint="eastAsia"/>
        </w:rPr>
        <w:t>。</w:t>
      </w:r>
      <w:r>
        <w:rPr>
          <w:rFonts w:ascii="仿宋" w:eastAsia="仿宋" w:hAnsi="仿宋" w:cs="Arial" w:hint="eastAsia"/>
          <w:lang w:eastAsia="zh-CN"/>
        </w:rPr>
        <w:t>BBGJ</w:t>
      </w:r>
      <w:r>
        <w:rPr>
          <w:rFonts w:ascii="仿宋" w:eastAsia="仿宋" w:hAnsi="仿宋" w:cs="Arial" w:hint="eastAsia"/>
        </w:rPr>
        <w:t>SDB Level抗衰老体系以逆龄抗衰老（Inverse age &amp; Anti aging）品牌定位为核心，将健康管理、逆龄抗衰、医疗美容、美容养生四大板块工作分解归纳到抗衰老工作的三个层面：表层（Surface）、基层（Basics）、深层（Deep）。</w:t>
      </w:r>
    </w:p>
    <w:p>
      <w:pPr>
        <w:spacing w:before="156" w:beforeLines="50" w:after="156" w:afterLines="50"/>
        <w:rPr>
          <w:rFonts w:ascii="仿宋" w:eastAsia="仿宋" w:hAnsi="仿宋" w:cs="Arial"/>
          <w:szCs w:val="21"/>
        </w:rPr>
      </w:pPr>
    </w:p>
    <w:p>
      <w:pPr>
        <w:spacing w:before="156" w:beforeLines="50" w:after="156" w:afterLines="50"/>
        <w:rPr>
          <w:rFonts w:ascii="仿宋" w:eastAsia="仿宋" w:hAnsi="仿宋" w:cs="宋体"/>
          <w:b/>
          <w:bCs/>
          <w:color w:val="000000"/>
          <w:sz w:val="28"/>
          <w:szCs w:val="28"/>
        </w:rPr>
      </w:pPr>
      <w:r>
        <w:rPr>
          <w:rFonts w:ascii="仿宋" w:eastAsia="仿宋" w:hAnsi="仿宋" w:cs="宋体" w:hint="eastAsia"/>
          <w:b/>
          <w:bCs/>
          <w:color w:val="0000FF"/>
          <w:sz w:val="28"/>
          <w:szCs w:val="28"/>
        </w:rPr>
        <w:t xml:space="preserve">第五章 </w:t>
      </w:r>
      <w:r>
        <w:rPr>
          <w:rFonts w:ascii="仿宋" w:eastAsia="仿宋" w:hAnsi="仿宋" w:cs="宋体" w:hint="eastAsia"/>
          <w:b/>
          <w:bCs/>
          <w:color w:val="0000FF"/>
          <w:sz w:val="28"/>
          <w:szCs w:val="28"/>
          <w:lang w:eastAsia="zh-CN"/>
        </w:rPr>
        <w:t>BBGJ</w:t>
      </w:r>
      <w:r>
        <w:rPr>
          <w:rFonts w:ascii="仿宋" w:eastAsia="仿宋" w:hAnsi="仿宋" w:cs="宋体" w:hint="eastAsia"/>
          <w:b/>
          <w:bCs/>
          <w:color w:val="0000FF"/>
          <w:sz w:val="28"/>
          <w:szCs w:val="28"/>
        </w:rPr>
        <w:t>企业文化</w:t>
      </w:r>
    </w:p>
    <w:p>
      <w:pPr>
        <w:spacing w:before="156" w:beforeLines="50" w:after="156" w:afterLines="50"/>
        <w:rPr>
          <w:rFonts w:ascii="仿宋" w:eastAsia="仿宋" w:hAnsi="仿宋" w:cs="Tahoma"/>
          <w:b/>
          <w:bCs/>
          <w:color w:val="000000"/>
          <w:sz w:val="28"/>
          <w:szCs w:val="28"/>
        </w:rPr>
      </w:pPr>
      <w:r>
        <w:rPr>
          <w:rFonts w:ascii="仿宋" w:eastAsia="仿宋" w:hAnsi="仿宋" w:cs="Tahoma" w:hint="eastAsia"/>
          <w:b/>
          <w:bCs/>
          <w:color w:val="000000"/>
          <w:sz w:val="28"/>
          <w:szCs w:val="28"/>
        </w:rPr>
        <w:t>一、</w:t>
      </w:r>
      <w:r>
        <w:rPr>
          <w:rFonts w:ascii="仿宋" w:eastAsia="仿宋" w:hAnsi="仿宋" w:cs="Tahoma" w:hint="eastAsia"/>
          <w:b/>
          <w:bCs/>
          <w:color w:val="000000"/>
          <w:sz w:val="28"/>
          <w:szCs w:val="28"/>
          <w:lang w:eastAsia="zh-CN"/>
        </w:rPr>
        <w:t>BBGJ</w:t>
      </w:r>
      <w:r>
        <w:rPr>
          <w:rFonts w:ascii="仿宋" w:eastAsia="仿宋" w:hAnsi="仿宋" w:cs="Tahoma" w:hint="eastAsia"/>
          <w:b/>
          <w:bCs/>
          <w:color w:val="000000"/>
          <w:sz w:val="28"/>
          <w:szCs w:val="28"/>
        </w:rPr>
        <w:t>的品牌元素释义</w:t>
      </w:r>
    </w:p>
    <w:p>
      <w:pPr>
        <w:spacing w:before="156" w:beforeLines="50" w:after="156" w:afterLines="50"/>
        <w:rPr>
          <w:rFonts w:ascii="仿宋" w:eastAsia="仿宋" w:hAnsi="仿宋" w:cs="宋体"/>
          <w:b/>
          <w:bCs/>
          <w:color w:val="AF0E0A"/>
        </w:rPr>
      </w:pPr>
      <w:r>
        <w:rPr>
          <w:rFonts w:ascii="仿宋" w:eastAsia="仿宋" w:hAnsi="仿宋" w:cs="宋体" w:hint="eastAsia"/>
          <w:b/>
          <w:bCs/>
          <w:color w:val="AF0E0A"/>
        </w:rPr>
        <w:t>“</w:t>
      </w:r>
      <w:r>
        <w:rPr>
          <w:rFonts w:ascii="仿宋" w:eastAsia="仿宋" w:hAnsi="仿宋" w:cs="宋体" w:hint="eastAsia"/>
          <w:b/>
          <w:bCs/>
          <w:color w:val="AF0E0A"/>
          <w:lang w:eastAsia="zh-CN"/>
        </w:rPr>
        <w:t>BBGJ</w:t>
      </w:r>
      <w:r>
        <w:rPr>
          <w:rFonts w:ascii="仿宋" w:eastAsia="仿宋" w:hAnsi="仿宋" w:cs="宋体" w:hint="eastAsia"/>
          <w:b/>
          <w:bCs/>
          <w:color w:val="AF0E0A"/>
        </w:rPr>
        <w:t>”名称释义：</w:t>
      </w:r>
    </w:p>
    <w:p>
      <w:pPr>
        <w:spacing w:before="156" w:beforeLines="50" w:after="156" w:afterLines="50" w:line="360" w:lineRule="auto"/>
        <w:ind w:firstLine="420"/>
        <w:rPr>
          <w:rFonts w:ascii="仿宋" w:eastAsia="仿宋" w:hAnsi="仿宋" w:cstheme="minorEastAsia"/>
          <w:color w:val="000000"/>
        </w:rPr>
      </w:pPr>
      <w:r>
        <w:rPr>
          <w:rFonts w:ascii="仿宋" w:eastAsia="仿宋" w:hAnsi="仿宋" w:cstheme="minorEastAsia" w:hint="eastAsia"/>
          <w:color w:val="000000"/>
          <w:lang w:eastAsia="zh-CN"/>
        </w:rPr>
        <w:t>BB</w:t>
      </w:r>
      <w:r>
        <w:rPr>
          <w:rFonts w:ascii="仿宋" w:eastAsia="仿宋" w:hAnsi="仿宋" w:cstheme="minorEastAsia" w:hint="eastAsia"/>
          <w:color w:val="000000"/>
        </w:rPr>
        <w:t>名称的诠释也是</w:t>
      </w:r>
      <w:r>
        <w:rPr>
          <w:rFonts w:ascii="仿宋" w:eastAsia="仿宋" w:hAnsi="仿宋" w:cstheme="minorEastAsia" w:hint="eastAsia"/>
          <w:color w:val="000000"/>
          <w:lang w:eastAsia="zh-CN"/>
        </w:rPr>
        <w:t>BB</w:t>
      </w:r>
      <w:r>
        <w:rPr>
          <w:rFonts w:ascii="仿宋" w:eastAsia="仿宋" w:hAnsi="仿宋" w:cstheme="minorEastAsia" w:hint="eastAsia"/>
          <w:color w:val="000000"/>
        </w:rPr>
        <w:t>的企业理念，也是</w:t>
      </w:r>
      <w:r>
        <w:rPr>
          <w:rFonts w:ascii="仿宋" w:eastAsia="仿宋" w:hAnsi="仿宋" w:cstheme="minorEastAsia" w:hint="eastAsia"/>
          <w:color w:val="000000"/>
          <w:lang w:eastAsia="zh-CN"/>
        </w:rPr>
        <w:t>BB</w:t>
      </w:r>
      <w:r>
        <w:rPr>
          <w:rFonts w:ascii="仿宋" w:eastAsia="仿宋" w:hAnsi="仿宋" w:cstheme="minorEastAsia" w:hint="eastAsia"/>
          <w:color w:val="000000"/>
        </w:rPr>
        <w:t>员工行为的准则：</w:t>
      </w:r>
    </w:p>
    <w:p>
      <w:pPr>
        <w:spacing w:before="156" w:beforeLines="50" w:after="156" w:afterLines="50" w:line="360" w:lineRule="auto"/>
        <w:ind w:firstLine="420"/>
        <w:rPr>
          <w:rFonts w:ascii="仿宋" w:eastAsia="仿宋" w:hAnsi="仿宋" w:cs="Arial"/>
        </w:rPr>
      </w:pPr>
      <w:r>
        <w:rPr>
          <w:rFonts w:ascii="仿宋" w:eastAsia="仿宋" w:hAnsi="仿宋" w:cstheme="minorEastAsia" w:hint="eastAsia"/>
          <w:color w:val="000000"/>
          <w:lang w:eastAsia="zh-CN"/>
        </w:rPr>
        <w:t>BB</w:t>
      </w:r>
      <w:r>
        <w:rPr>
          <w:rFonts w:ascii="仿宋" w:eastAsia="仿宋" w:hAnsi="仿宋" w:cstheme="minorEastAsia" w:hint="eastAsia"/>
          <w:color w:val="000000"/>
        </w:rPr>
        <w:t>以加倍的服务，让消费者获得更多的健康与美丽，从而让消费者获得倍增的快乐。</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东情西境，兼容并蓄，</w:t>
      </w:r>
      <w:r>
        <w:rPr>
          <w:rFonts w:ascii="仿宋" w:eastAsia="仿宋" w:hAnsi="仿宋" w:cs="Arial" w:hint="eastAsia"/>
          <w:lang w:eastAsia="zh-CN"/>
        </w:rPr>
        <w:t>BBGJ</w:t>
      </w:r>
      <w:r>
        <w:rPr>
          <w:rFonts w:ascii="仿宋" w:eastAsia="仿宋" w:hAnsi="仿宋" w:cs="Arial" w:hint="eastAsia"/>
        </w:rPr>
        <w:t>的LOGO体现了</w:t>
      </w:r>
      <w:r>
        <w:rPr>
          <w:rFonts w:ascii="仿宋" w:eastAsia="仿宋" w:hAnsi="仿宋" w:cs="Arial" w:hint="eastAsia"/>
          <w:lang w:eastAsia="zh-CN"/>
        </w:rPr>
        <w:t>BBGJ</w:t>
      </w:r>
      <w:r>
        <w:rPr>
          <w:rFonts w:ascii="仿宋" w:eastAsia="仿宋" w:hAnsi="仿宋" w:cs="Arial" w:hint="eastAsia"/>
        </w:rPr>
        <w:t>健康理念的包容性及全面性，中西结合，实现阳光生活的美好愿景。</w:t>
      </w:r>
    </w:p>
    <w:p>
      <w:pPr>
        <w:spacing w:before="156" w:beforeLines="50" w:after="156" w:afterLines="50" w:line="360" w:lineRule="auto"/>
        <w:ind w:firstLine="420"/>
        <w:rPr>
          <w:rFonts w:ascii="仿宋" w:eastAsia="仿宋" w:hAnsi="仿宋" w:cs="Arial"/>
        </w:rPr>
      </w:pPr>
      <w:r>
        <w:rPr>
          <w:rFonts w:ascii="仿宋" w:eastAsia="仿宋" w:hAnsi="仿宋" w:cs="Arial" w:hint="eastAsia"/>
        </w:rPr>
        <w:t>“阳光生活”是</w:t>
      </w:r>
      <w:r>
        <w:rPr>
          <w:rFonts w:ascii="仿宋" w:eastAsia="仿宋" w:hAnsi="仿宋" w:cs="Arial" w:hint="eastAsia"/>
          <w:lang w:eastAsia="zh-CN"/>
        </w:rPr>
        <w:t>BBGJ</w:t>
      </w:r>
      <w:r>
        <w:rPr>
          <w:rFonts w:ascii="仿宋" w:eastAsia="仿宋" w:hAnsi="仿宋" w:cs="Arial" w:hint="eastAsia"/>
        </w:rPr>
        <w:t>倡导的健康生活、品质生活理念，是</w:t>
      </w:r>
      <w:r>
        <w:rPr>
          <w:rFonts w:ascii="仿宋" w:eastAsia="仿宋" w:hAnsi="仿宋" w:cs="Arial" w:hint="eastAsia"/>
          <w:lang w:eastAsia="zh-CN"/>
        </w:rPr>
        <w:t>BBGJ</w:t>
      </w:r>
      <w:r>
        <w:rPr>
          <w:rFonts w:ascii="仿宋" w:eastAsia="仿宋" w:hAnsi="仿宋" w:cs="Arial" w:hint="eastAsia"/>
        </w:rPr>
        <w:t>对生命健康和逆龄抗衰的一种诠释，还是</w:t>
      </w:r>
      <w:r>
        <w:rPr>
          <w:rFonts w:ascii="仿宋" w:eastAsia="仿宋" w:hAnsi="仿宋" w:cs="Arial" w:hint="eastAsia"/>
          <w:lang w:eastAsia="zh-CN"/>
        </w:rPr>
        <w:t>BBGJ</w:t>
      </w:r>
      <w:r>
        <w:rPr>
          <w:rFonts w:ascii="仿宋" w:eastAsia="仿宋" w:hAnsi="仿宋" w:cs="Arial" w:hint="eastAsia"/>
        </w:rPr>
        <w:t>对国家和社会的责任与义务。</w:t>
      </w:r>
      <w:r>
        <w:rPr>
          <w:rFonts w:ascii="仿宋" w:eastAsia="仿宋" w:hAnsi="仿宋" w:cs="Arial" w:hint="eastAsia"/>
          <w:lang w:eastAsia="zh-CN"/>
        </w:rPr>
        <w:t>BBGJ</w:t>
      </w:r>
      <w:r>
        <w:rPr>
          <w:rFonts w:ascii="仿宋" w:eastAsia="仿宋" w:hAnsi="仿宋" w:cs="Arial" w:hint="eastAsia"/>
        </w:rPr>
        <w:t>将以生物科技尖端医学技术为保障，为人民群众阳光般的健康生活、品质生活保驾护航。</w:t>
      </w:r>
    </w:p>
    <w:p>
      <w:pPr>
        <w:spacing w:before="156" w:beforeLines="50" w:after="156" w:afterLines="50" w:line="360" w:lineRule="auto"/>
        <w:rPr>
          <w:rFonts w:ascii="仿宋" w:eastAsia="仿宋" w:hAnsi="仿宋" w:cs="Arial"/>
        </w:rPr>
      </w:pPr>
      <w:r>
        <w:rPr>
          <w:rFonts w:ascii="仿宋" w:eastAsia="仿宋" w:hAnsi="仿宋" w:cs="Arial"/>
        </w:rPr>
        <w:br/>
      </w:r>
      <w:r>
        <w:rPr>
          <w:rFonts w:ascii="仿宋" w:eastAsia="仿宋" w:hAnsi="仿宋" w:cs="Arial"/>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7" w:history="1">
        <w:r>
          <w:rPr>
            <w:rFonts w:ascii="SimSun" w:eastAsia="SimSun" w:hAnsi="SimSun" w:cs="SimSun"/>
            <w:b/>
            <w:bCs/>
            <w:color w:val="0000EE"/>
            <w:sz w:val="30"/>
            <w:szCs w:val="30"/>
            <w:u w:val="single" w:color="0000EE"/>
          </w:rPr>
          <w:t>https://d.book118.com/078064005034006036</w:t>
        </w:r>
      </w:hyperlink>
    </w:p>
    <w:p>
      <w:pPr>
        <w:spacing w:before="156" w:beforeLines="50" w:after="156" w:afterLines="50" w:line="360" w:lineRule="auto"/>
        <w:rPr>
          <w:rFonts w:ascii="仿宋" w:eastAsia="仿宋" w:hAnsi="仿宋" w:cs="Arial"/>
        </w:rPr>
      </w:pPr>
    </w:p>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134" w:right="1701" w:bottom="1134" w:left="1701"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swiss"/>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隶书">
    <w:altName w:val="宋体"/>
    <w:panose1 w:val="00000000000000000000"/>
    <w:charset w:val="86"/>
    <w:family w:val="decorative"/>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Hiragino Sans GB">
    <w:altName w:val="Segoe Print"/>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795801"/>
      <w:docPartObj>
        <w:docPartGallery w:val="AutoText"/>
      </w:docPartObj>
    </w:sdtPr>
    <w:sdtContent>
      <w:p>
        <w:pPr>
          <w:pStyle w:val="Footer"/>
          <w:jc w:val="right"/>
        </w:pPr>
        <w:r>
          <w:fldChar w:fldCharType="begin"/>
        </w:r>
        <w:r>
          <w:instrText xml:space="preserve"> PAGE   \* MERGEFORMAT </w:instrText>
        </w:r>
        <w:r>
          <w:fldChar w:fldCharType="separate"/>
        </w:r>
        <w:r>
          <w:rPr>
            <w:lang w:val="zh-CN"/>
          </w:rPr>
          <w:t>1</w:t>
        </w:r>
        <w:r>
          <w:rPr>
            <w:lang w:val="zh-CN"/>
          </w:rP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742886"/>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49" type="#_x0000_t202" style="width:2in;height:2in;margin-top:0;margin-left:0;mso-height-relative:page;mso-position-horizontal:center;mso-position-horizontal-relative:margin;mso-width-relative:page;mso-wrap-style:none;position:absolute;z-index:251658240"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0" type="#_x0000_t202" style="width:2in;height:2in;margin-top:0;margin-left:0;mso-height-relative:page;mso-position-horizontal:center;mso-position-horizontal-relative:margin;mso-width-relative:page;mso-wrap-style:none;position:absolute;z-index:251659264"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1" type="#_x0000_t202" style="width:2in;height:2in;margin-top:0;margin-left:0;mso-height-relative:page;mso-position-horizontal:center;mso-position-horizontal-relative:margin;mso-width-relative:page;mso-wrap-style:none;position:absolute;z-index:251660288"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2" type="#_x0000_t202" style="width:2in;height:2in;margin-top:0;margin-left:0;mso-height-relative:page;mso-position-horizontal:center;mso-position-horizontal-relative:margin;mso-width-relative:page;mso-wrap-style:none;position:absolute;z-index:251661312"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3" type="#_x0000_t202" style="width:2in;height:2in;margin-top:0;margin-left:0;mso-height-relative:page;mso-position-horizontal:center;mso-position-horizontal-relative:margin;mso-width-relative:page;mso-wrap-style:none;position:absolute;z-index:251662336"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4" type="#_x0000_t202" style="width:2in;height:2in;margin-top:0;margin-left:0;mso-height-relative:page;mso-position-horizontal:center;mso-position-horizontal-relative:margin;mso-width-relative:page;mso-wrap-style:none;position:absolute;z-index:251663360"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5" type="#_x0000_t202" style="width:2in;height:2in;margin-top:0;margin-left:0;mso-height-relative:page;mso-position-horizontal:center;mso-position-horizontal-relative:margin;mso-width-relative:page;mso-wrap-style:none;position:absolute;z-index:251664384"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w10:wrap anchorx="margin"/>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6" type="#_x0000_t202" style="width:2in;height:2in;margin-top:0;margin-left:0;mso-height-relative:page;mso-position-horizontal:center;mso-position-horizontal-relative:margin;mso-width-relative:page;mso-wrap-style:none;position:absolute;z-index:251665408"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8</w:t>
                </w:r>
                <w:r>
                  <w:rPr>
                    <w:rFonts w:hint="eastAsia"/>
                    <w:sz w:val="18"/>
                  </w:rPr>
                  <w:fldChar w:fldCharType="end"/>
                </w:r>
              </w:p>
            </w:txbxContent>
          </v:textbox>
          <w10:wrap anchorx="margin"/>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7" type="#_x0000_t202" style="width:2in;height:2in;margin-top:0;margin-left:0;mso-height-relative:page;mso-position-horizontal:center;mso-position-horizontal-relative:margin;mso-width-relative:page;mso-wrap-style:none;position:absolute;z-index:251666432"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9</w:t>
                </w:r>
                <w:r>
                  <w:rPr>
                    <w:rFonts w:hint="eastAsia"/>
                    <w:sz w:val="18"/>
                  </w:rPr>
                  <w:fldChar w:fldCharType="end"/>
                </w:r>
              </w:p>
            </w:txbxContent>
          </v:textbox>
          <w10:wrap anchorx="margin"/>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8" type="#_x0000_t202" style="width:2in;height:2in;margin-top:0;margin-left:0;mso-height-relative:page;mso-position-horizontal:center;mso-position-horizontal-relative:margin;mso-width-relative:page;mso-wrap-style:none;position:absolute;z-index:251667456"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11</w:t>
                </w:r>
                <w:r>
                  <w:rPr>
                    <w:rFonts w:hint="eastAsia"/>
                    <w:sz w:val="18"/>
                  </w:rPr>
                  <w:fldChar w:fldCharType="end"/>
                </w:r>
              </w:p>
            </w:txbxContent>
          </v:textbox>
          <w10:wrap anchorx="margin"/>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59" type="#_x0000_t202" style="width:2in;height:2in;margin-top:0;margin-left:0;mso-height-relative:page;mso-position-horizontal:center;mso-position-horizontal-relative:margin;mso-width-relative:page;mso-wrap-style:none;position:absolute;z-index:251668480"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12</w:t>
                </w:r>
                <w:r>
                  <w:rPr>
                    <w:rFonts w:hint="eastAsia"/>
                    <w:sz w:val="18"/>
                  </w:rPr>
                  <w:fldChar w:fldCharType="end"/>
                </w:r>
              </w:p>
            </w:txbxContent>
          </v:textbox>
          <w10:wrap anchorx="margin"/>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60" type="#_x0000_t202" style="width:2in;height:2in;margin-top:0;margin-left:0;mso-height-relative:page;mso-position-horizontal:center;mso-position-horizontal-relative:margin;mso-width-relative:page;mso-wrap-style:none;position:absolute;z-index:251669504"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12</w:t>
                </w:r>
                <w:r>
                  <w:rPr>
                    <w:rFonts w:hint="eastAsia"/>
                    <w:sz w:val="18"/>
                  </w:rPr>
                  <w:fldChar w:fldCharType="end"/>
                </w:r>
              </w:p>
            </w:txbxContent>
          </v:textbox>
          <w10:wrap anchorx="margin"/>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61" type="#_x0000_t202" style="width:2in;height:2in;margin-top:0;margin-left:0;mso-height-relative:page;mso-position-horizontal:center;mso-position-horizontal-relative:margin;mso-width-relative:page;mso-wrap-style:none;position:absolute;z-index:251670528"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w10:wrap anchorx="margin"/>
        </v:shape>
      </w:pic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62" type="#_x0000_t202" style="width:2in;height:2in;margin-top:0;margin-left:0;mso-height-relative:page;mso-position-horizontal:center;mso-position-horizontal-relative:margin;mso-width-relative:page;mso-wrap-style:none;position:absolute;z-index:251671552"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14</w:t>
                </w:r>
                <w:r>
                  <w:rPr>
                    <w:rFonts w:hint="eastAsia"/>
                    <w:sz w:val="18"/>
                  </w:rPr>
                  <w:fldChar w:fldCharType="end"/>
                </w:r>
              </w:p>
            </w:txbxContent>
          </v:textbox>
          <w10:wrap anchorx="margin"/>
        </v:shape>
      </w:pic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63" type="#_x0000_t202" style="width:2in;height:2in;margin-top:0;margin-left:0;mso-height-relative:page;mso-position-horizontal:center;mso-position-horizontal-relative:margin;mso-width-relative:page;mso-wrap-style:none;position:absolute;z-index:251672576"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15</w:t>
                </w:r>
                <w:r>
                  <w:rPr>
                    <w:rFonts w:hint="eastAsia"/>
                    <w:sz w:val="18"/>
                  </w:rPr>
                  <w:fldChar w:fldCharType="end"/>
                </w:r>
              </w:p>
            </w:txbxContent>
          </v:textbox>
          <w10:wrap anchorx="margin"/>
        </v:shape>
      </w:pic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49" o:spid="_x0000_s2064" type="#_x0000_t202" style="width:2in;height:2in;margin-top:0;margin-left:0;mso-height-relative:page;mso-position-horizontal:center;mso-position-horizontal-relative:margin;mso-width-relative:page;mso-wrap-style:none;position:absolute;z-index:251673600"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16</w:t>
                </w:r>
                <w:r>
                  <w:rPr>
                    <w:rFonts w:hint="eastAsia"/>
                    <w:sz w:val="18"/>
                  </w:rPr>
                  <w:fldChar w:fldCharType="end"/>
                </w:r>
              </w:p>
            </w:txbxContent>
          </v:textbox>
          <w10:wrap anchorx="margin"/>
        </v:shape>
      </w:pic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F5285F"/>
    <w:rsid w:val="000B3B25"/>
    <w:rsid w:val="00152BB3"/>
    <w:rsid w:val="001B0E32"/>
    <w:rsid w:val="00244E41"/>
    <w:rsid w:val="00284601"/>
    <w:rsid w:val="002C1481"/>
    <w:rsid w:val="00361856"/>
    <w:rsid w:val="00362CA9"/>
    <w:rsid w:val="00375896"/>
    <w:rsid w:val="00392DE9"/>
    <w:rsid w:val="003B71E4"/>
    <w:rsid w:val="003E2969"/>
    <w:rsid w:val="003F22B6"/>
    <w:rsid w:val="004349C6"/>
    <w:rsid w:val="00457BD7"/>
    <w:rsid w:val="00470D0C"/>
    <w:rsid w:val="004C3451"/>
    <w:rsid w:val="005A1A5F"/>
    <w:rsid w:val="005E1178"/>
    <w:rsid w:val="005F0233"/>
    <w:rsid w:val="005F1628"/>
    <w:rsid w:val="00602EDC"/>
    <w:rsid w:val="006530F2"/>
    <w:rsid w:val="00677F5F"/>
    <w:rsid w:val="006A0BF0"/>
    <w:rsid w:val="006F6023"/>
    <w:rsid w:val="00726199"/>
    <w:rsid w:val="007804F6"/>
    <w:rsid w:val="007A585C"/>
    <w:rsid w:val="008138DE"/>
    <w:rsid w:val="00844B07"/>
    <w:rsid w:val="00885C81"/>
    <w:rsid w:val="008B17B0"/>
    <w:rsid w:val="009A1A35"/>
    <w:rsid w:val="009F361A"/>
    <w:rsid w:val="00A111BA"/>
    <w:rsid w:val="00A733E7"/>
    <w:rsid w:val="00AC2E0F"/>
    <w:rsid w:val="00B773FF"/>
    <w:rsid w:val="00BB49B9"/>
    <w:rsid w:val="00BE7412"/>
    <w:rsid w:val="00CD2C63"/>
    <w:rsid w:val="00D610CA"/>
    <w:rsid w:val="00D869E7"/>
    <w:rsid w:val="00DC4FDF"/>
    <w:rsid w:val="00E333D4"/>
    <w:rsid w:val="00E43B13"/>
    <w:rsid w:val="00E92D73"/>
    <w:rsid w:val="00F874A2"/>
    <w:rsid w:val="00FD5F1A"/>
    <w:rsid w:val="00FF3A85"/>
    <w:rsid w:val="01594443"/>
    <w:rsid w:val="036B05BD"/>
    <w:rsid w:val="04575C5A"/>
    <w:rsid w:val="09B87B3E"/>
    <w:rsid w:val="0F9A29E5"/>
    <w:rsid w:val="14BE5D88"/>
    <w:rsid w:val="16952E11"/>
    <w:rsid w:val="17AB036C"/>
    <w:rsid w:val="18DD098E"/>
    <w:rsid w:val="1C752194"/>
    <w:rsid w:val="1E00444E"/>
    <w:rsid w:val="1E7B6EC1"/>
    <w:rsid w:val="1FE428C1"/>
    <w:rsid w:val="21084D0F"/>
    <w:rsid w:val="24BA6EF9"/>
    <w:rsid w:val="25357ADA"/>
    <w:rsid w:val="25937368"/>
    <w:rsid w:val="266D4F66"/>
    <w:rsid w:val="2AB45DB2"/>
    <w:rsid w:val="2C5B51B4"/>
    <w:rsid w:val="2C703C66"/>
    <w:rsid w:val="2E832B58"/>
    <w:rsid w:val="2E8F21EE"/>
    <w:rsid w:val="2F010B22"/>
    <w:rsid w:val="317B3B1D"/>
    <w:rsid w:val="31B05A18"/>
    <w:rsid w:val="33593BD7"/>
    <w:rsid w:val="34F21B18"/>
    <w:rsid w:val="37472274"/>
    <w:rsid w:val="3AF67114"/>
    <w:rsid w:val="3B121C0F"/>
    <w:rsid w:val="3FDB45C1"/>
    <w:rsid w:val="41640F58"/>
    <w:rsid w:val="427A5A77"/>
    <w:rsid w:val="43F24A3A"/>
    <w:rsid w:val="45F5285F"/>
    <w:rsid w:val="462F61E2"/>
    <w:rsid w:val="4CD1677E"/>
    <w:rsid w:val="4E6B6EAB"/>
    <w:rsid w:val="4E991C01"/>
    <w:rsid w:val="52D00F3E"/>
    <w:rsid w:val="54AD31B5"/>
    <w:rsid w:val="57E86538"/>
    <w:rsid w:val="5C033871"/>
    <w:rsid w:val="5C3236C4"/>
    <w:rsid w:val="5C8047FA"/>
    <w:rsid w:val="5E8F7E1B"/>
    <w:rsid w:val="5EA02544"/>
    <w:rsid w:val="60F55722"/>
    <w:rsid w:val="661D75C9"/>
    <w:rsid w:val="67C54ADA"/>
    <w:rsid w:val="688732F2"/>
    <w:rsid w:val="6B631EBD"/>
    <w:rsid w:val="6BCA3799"/>
    <w:rsid w:val="6CE20FCE"/>
    <w:rsid w:val="6F2956DB"/>
    <w:rsid w:val="6F5C054D"/>
    <w:rsid w:val="713E5355"/>
    <w:rsid w:val="75BF320E"/>
    <w:rsid w:val="76AC62E2"/>
    <w:rsid w:val="7E647A2C"/>
    <w:rsid w:val="7E6E2A81"/>
    <w:rsid w:val="7F4C0E9B"/>
    <w:rsid w:val="7FE469C8"/>
  </w:rsids>
  <w:docVars>
    <w:docVar w:name="commondata" w:val="eyJoZGlkIjoiMWVjMmY2MzQzZTRjYjlmZmU1Nzg3YzM5YjgzZTQ4NG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heme="minorHAnsi" w:eastAsiaTheme="minorEastAsia" w:hAnsiTheme="minorHAnsi" w:cs="Times New Roman"/>
      <w:sz w:val="24"/>
      <w:szCs w:val="24"/>
      <w:lang w:val="en-US" w:eastAsia="zh-CN" w:bidi="ar-SA"/>
    </w:rPr>
  </w:style>
  <w:style w:type="paragraph" w:styleId="Heading1">
    <w:name w:val="heading 1"/>
    <w:basedOn w:val="Normal"/>
    <w:next w:val="Normal"/>
    <w:qFormat/>
    <w:pPr>
      <w:spacing w:beforeAutospacing="1" w:afterAutospacing="1"/>
      <w:outlineLvl w:val="0"/>
    </w:pPr>
    <w:rPr>
      <w:rFonts w:ascii="宋体" w:eastAsia="宋体" w:hAnsi="宋体" w:hint="eastAsia"/>
      <w:b/>
      <w:kern w:val="44"/>
      <w:sz w:val="48"/>
      <w:szCs w:val="48"/>
    </w:rPr>
  </w:style>
  <w:style w:type="paragraph" w:styleId="Heading2">
    <w:name w:val="heading 2"/>
    <w:basedOn w:val="Normal"/>
    <w:next w:val="Normal"/>
    <w:unhideWhenUsed/>
    <w:qFormat/>
    <w:pPr>
      <w:spacing w:beforeAutospacing="1" w:afterAutospacing="1"/>
      <w:outlineLvl w:val="1"/>
    </w:pPr>
    <w:rPr>
      <w:rFonts w:ascii="宋体" w:eastAsia="宋体" w:hAnsi="宋体" w:hint="eastAsia"/>
      <w:b/>
      <w:sz w:val="36"/>
      <w:szCs w:val="36"/>
    </w:rPr>
  </w:style>
  <w:style w:type="paragraph" w:styleId="Heading3">
    <w:name w:val="heading 3"/>
    <w:basedOn w:val="Normal"/>
    <w:next w:val="Normal"/>
    <w:unhideWhenUsed/>
    <w:qFormat/>
    <w:pPr>
      <w:outlineLvl w:val="2"/>
    </w:pPr>
    <w:rPr>
      <w:rFonts w:ascii="宋体" w:hAnsi="宋体" w:cs="宋体"/>
      <w:b/>
      <w:bCs/>
      <w:sz w:val="27"/>
      <w:szCs w:val="27"/>
    </w:rPr>
  </w:style>
  <w:style w:type="paragraph" w:styleId="Heading4">
    <w:name w:val="heading 4"/>
    <w:basedOn w:val="Normal"/>
    <w:next w:val="Normal"/>
    <w:unhideWhenUsed/>
    <w:qFormat/>
    <w:pPr>
      <w:spacing w:beforeAutospacing="1" w:afterAutospacing="1"/>
      <w:outlineLvl w:val="3"/>
    </w:pPr>
    <w:rPr>
      <w:rFonts w:ascii="宋体" w:eastAsia="宋体" w:hAnsi="宋体" w:hint="eastAsi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
    <w:qFormat/>
    <w:rPr>
      <w:sz w:val="18"/>
      <w:szCs w:val="18"/>
    </w:rPr>
  </w:style>
  <w:style w:type="paragraph" w:styleId="Footer">
    <w:name w:val="footer"/>
    <w:basedOn w:val="Normal"/>
    <w:link w:val="Char1"/>
    <w:uiPriority w:val="99"/>
    <w:qFormat/>
    <w:pPr>
      <w:tabs>
        <w:tab w:val="center" w:pos="4153"/>
        <w:tab w:val="right" w:pos="8306"/>
      </w:tabs>
      <w:snapToGrid w:val="0"/>
    </w:pPr>
    <w:rPr>
      <w:sz w:val="18"/>
      <w:szCs w:val="18"/>
    </w:rPr>
  </w:style>
  <w:style w:type="paragraph" w:styleId="Header">
    <w:name w:val="header"/>
    <w:basedOn w:val="Normal"/>
    <w:link w:val="Char0"/>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hint="eastAsia"/>
    </w:rPr>
  </w:style>
  <w:style w:type="paragraph" w:styleId="NormalWeb">
    <w:name w:val="Normal (Web)"/>
    <w:basedOn w:val="Normal"/>
    <w:qFormat/>
    <w:pPr>
      <w:spacing w:beforeAutospacing="1" w:afterAutospacing="1"/>
    </w:pPr>
  </w:style>
  <w:style w:type="character" w:styleId="Strong">
    <w:name w:val="Strong"/>
    <w:basedOn w:val="DefaultParagraphFont"/>
    <w:qFormat/>
    <w:rPr>
      <w:b/>
    </w:rPr>
  </w:style>
  <w:style w:type="character" w:styleId="Hyperlink">
    <w:name w:val="Hyperlink"/>
    <w:basedOn w:val="DefaultParagraphFont"/>
    <w:qFormat/>
    <w:rPr>
      <w:color w:val="0000FF"/>
      <w:u w:val="single"/>
    </w:rPr>
  </w:style>
  <w:style w:type="paragraph" w:customStyle="1" w:styleId="ParaChar">
    <w:name w:val="默认段落字体 Para Char"/>
    <w:basedOn w:val="Normal"/>
    <w:qFormat/>
  </w:style>
  <w:style w:type="paragraph" w:customStyle="1" w:styleId="1">
    <w:name w:val="列出段落1"/>
    <w:basedOn w:val="Normal"/>
    <w:link w:val="1Char"/>
    <w:uiPriority w:val="34"/>
    <w:qFormat/>
    <w:pPr>
      <w:ind w:firstLine="420" w:firstLineChars="200"/>
    </w:pPr>
  </w:style>
  <w:style w:type="character" w:customStyle="1" w:styleId="Char">
    <w:name w:val="批注框文本 Char"/>
    <w:basedOn w:val="DefaultParagraphFont"/>
    <w:link w:val="BalloonText"/>
    <w:qFormat/>
    <w:rPr>
      <w:rFonts w:asciiTheme="minorHAnsi" w:eastAsiaTheme="minorEastAsia" w:hAnsiTheme="minorHAnsi"/>
      <w:sz w:val="18"/>
      <w:szCs w:val="18"/>
    </w:rPr>
  </w:style>
  <w:style w:type="character" w:customStyle="1" w:styleId="Char0">
    <w:name w:val="页眉 Char"/>
    <w:basedOn w:val="DefaultParagraphFont"/>
    <w:link w:val="Header"/>
    <w:qFormat/>
    <w:rPr>
      <w:rFonts w:asciiTheme="minorHAnsi" w:eastAsiaTheme="minorEastAsia" w:hAnsiTheme="minorHAnsi"/>
      <w:sz w:val="18"/>
      <w:szCs w:val="18"/>
    </w:rPr>
  </w:style>
  <w:style w:type="character" w:customStyle="1" w:styleId="Char1">
    <w:name w:val="页脚 Char"/>
    <w:basedOn w:val="DefaultParagraphFont"/>
    <w:link w:val="Footer"/>
    <w:uiPriority w:val="99"/>
    <w:qFormat/>
    <w:rPr>
      <w:rFonts w:asciiTheme="minorHAnsi" w:eastAsiaTheme="minorEastAsia" w:hAnsiTheme="minorHAnsi"/>
      <w:sz w:val="18"/>
      <w:szCs w:val="18"/>
    </w:rPr>
  </w:style>
  <w:style w:type="character" w:customStyle="1" w:styleId="1Char">
    <w:name w:val="列出段落1 Char"/>
    <w:link w:val="1"/>
    <w:uiPriority w:val="34"/>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header" Target="header48.xml" /><Relationship Id="rId101" Type="http://schemas.openxmlformats.org/officeDocument/2006/relationships/footer" Target="footer48.xml" /><Relationship Id="rId102" Type="http://schemas.openxmlformats.org/officeDocument/2006/relationships/header" Target="header49.xml" /><Relationship Id="rId103" Type="http://schemas.openxmlformats.org/officeDocument/2006/relationships/header" Target="header50.xml" /><Relationship Id="rId104" Type="http://schemas.openxmlformats.org/officeDocument/2006/relationships/footer" Target="footer49.xml" /><Relationship Id="rId105" Type="http://schemas.openxmlformats.org/officeDocument/2006/relationships/footer" Target="footer50.xml" /><Relationship Id="rId106" Type="http://schemas.openxmlformats.org/officeDocument/2006/relationships/header" Target="header51.xml" /><Relationship Id="rId107" Type="http://schemas.openxmlformats.org/officeDocument/2006/relationships/footer" Target="footer51.xml" /><Relationship Id="rId108" Type="http://schemas.openxmlformats.org/officeDocument/2006/relationships/hyperlink" Target="http://baike.baidu.com/view/3905.htm" TargetMode="External" /><Relationship Id="rId109" Type="http://schemas.openxmlformats.org/officeDocument/2006/relationships/hyperlink" Target="http://baike.baidu.com/view/758.htm" TargetMode="External" /><Relationship Id="rId11" Type="http://schemas.openxmlformats.org/officeDocument/2006/relationships/header" Target="header4.xml" /><Relationship Id="rId110" Type="http://schemas.openxmlformats.org/officeDocument/2006/relationships/hyperlink" Target="http://baike.baidu.com/view/1509909.htm" TargetMode="External" /><Relationship Id="rId111" Type="http://schemas.openxmlformats.org/officeDocument/2006/relationships/header" Target="header52.xml" /><Relationship Id="rId112" Type="http://schemas.openxmlformats.org/officeDocument/2006/relationships/header" Target="header53.xml" /><Relationship Id="rId113" Type="http://schemas.openxmlformats.org/officeDocument/2006/relationships/footer" Target="footer52.xml" /><Relationship Id="rId114" Type="http://schemas.openxmlformats.org/officeDocument/2006/relationships/footer" Target="footer53.xml" /><Relationship Id="rId115" Type="http://schemas.openxmlformats.org/officeDocument/2006/relationships/header" Target="header54.xml" /><Relationship Id="rId116" Type="http://schemas.openxmlformats.org/officeDocument/2006/relationships/footer" Target="footer54.xml" /><Relationship Id="rId117" Type="http://schemas.openxmlformats.org/officeDocument/2006/relationships/hyperlink" Target="https://d.book118.com/078064005034006036" TargetMode="External" /><Relationship Id="rId118" Type="http://schemas.openxmlformats.org/officeDocument/2006/relationships/header" Target="header55.xml" /><Relationship Id="rId119" Type="http://schemas.openxmlformats.org/officeDocument/2006/relationships/header" Target="header56.xml" /><Relationship Id="rId12" Type="http://schemas.openxmlformats.org/officeDocument/2006/relationships/header" Target="header5.xml" /><Relationship Id="rId120" Type="http://schemas.openxmlformats.org/officeDocument/2006/relationships/footer" Target="footer55.xml" /><Relationship Id="rId121" Type="http://schemas.openxmlformats.org/officeDocument/2006/relationships/footer" Target="footer56.xml" /><Relationship Id="rId122" Type="http://schemas.openxmlformats.org/officeDocument/2006/relationships/header" Target="header57.xml" /><Relationship Id="rId123" Type="http://schemas.openxmlformats.org/officeDocument/2006/relationships/footer" Target="footer57.xml" /><Relationship Id="rId124" Type="http://schemas.openxmlformats.org/officeDocument/2006/relationships/theme" Target="theme/theme1.xml" /><Relationship Id="rId125" Type="http://schemas.openxmlformats.org/officeDocument/2006/relationships/styles" Target="styles.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yperlink" Target="http://www.iciba.com/SDB" TargetMode="Externa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header" Target="header2.xml" /><Relationship Id="rId60" Type="http://schemas.openxmlformats.org/officeDocument/2006/relationships/header" Target="header28.xml" /><Relationship Id="rId61" Type="http://schemas.openxmlformats.org/officeDocument/2006/relationships/header" Target="header29.xml" /><Relationship Id="rId62" Type="http://schemas.openxmlformats.org/officeDocument/2006/relationships/footer" Target="footer28.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footer" Target="footer1.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header" Target="header34.xml" /><Relationship Id="rId73" Type="http://schemas.openxmlformats.org/officeDocument/2006/relationships/header" Target="header35.xml" /><Relationship Id="rId74" Type="http://schemas.openxmlformats.org/officeDocument/2006/relationships/footer" Target="footer34.xml" /><Relationship Id="rId75" Type="http://schemas.openxmlformats.org/officeDocument/2006/relationships/footer" Target="footer35.xml" /><Relationship Id="rId76" Type="http://schemas.openxmlformats.org/officeDocument/2006/relationships/header" Target="header36.xml" /><Relationship Id="rId77" Type="http://schemas.openxmlformats.org/officeDocument/2006/relationships/footer" Target="footer36.xml" /><Relationship Id="rId78" Type="http://schemas.openxmlformats.org/officeDocument/2006/relationships/header" Target="header37.xml" /><Relationship Id="rId79" Type="http://schemas.openxmlformats.org/officeDocument/2006/relationships/header" Target="header38.xml" /><Relationship Id="rId8" Type="http://schemas.openxmlformats.org/officeDocument/2006/relationships/footer" Target="footer2.xml" /><Relationship Id="rId80" Type="http://schemas.openxmlformats.org/officeDocument/2006/relationships/footer" Target="footer37.xml" /><Relationship Id="rId81" Type="http://schemas.openxmlformats.org/officeDocument/2006/relationships/footer" Target="footer38.xml" /><Relationship Id="rId82" Type="http://schemas.openxmlformats.org/officeDocument/2006/relationships/header" Target="header39.xml" /><Relationship Id="rId83" Type="http://schemas.openxmlformats.org/officeDocument/2006/relationships/footer" Target="footer39.xml" /><Relationship Id="rId84" Type="http://schemas.openxmlformats.org/officeDocument/2006/relationships/header" Target="header40.xml" /><Relationship Id="rId85" Type="http://schemas.openxmlformats.org/officeDocument/2006/relationships/header" Target="header41.xml" /><Relationship Id="rId86" Type="http://schemas.openxmlformats.org/officeDocument/2006/relationships/footer" Target="footer40.xml" /><Relationship Id="rId87" Type="http://schemas.openxmlformats.org/officeDocument/2006/relationships/footer" Target="footer41.xml" /><Relationship Id="rId88" Type="http://schemas.openxmlformats.org/officeDocument/2006/relationships/header" Target="header42.xml" /><Relationship Id="rId89" Type="http://schemas.openxmlformats.org/officeDocument/2006/relationships/footer" Target="footer42.xml" /><Relationship Id="rId9" Type="http://schemas.openxmlformats.org/officeDocument/2006/relationships/header" Target="header3.xml" /><Relationship Id="rId90" Type="http://schemas.openxmlformats.org/officeDocument/2006/relationships/header" Target="header43.xml" /><Relationship Id="rId91" Type="http://schemas.openxmlformats.org/officeDocument/2006/relationships/header" Target="header44.xml" /><Relationship Id="rId92" Type="http://schemas.openxmlformats.org/officeDocument/2006/relationships/footer" Target="footer43.xml" /><Relationship Id="rId93" Type="http://schemas.openxmlformats.org/officeDocument/2006/relationships/footer" Target="footer44.xml" /><Relationship Id="rId94" Type="http://schemas.openxmlformats.org/officeDocument/2006/relationships/header" Target="header45.xml" /><Relationship Id="rId95" Type="http://schemas.openxmlformats.org/officeDocument/2006/relationships/footer" Target="footer45.xml" /><Relationship Id="rId96" Type="http://schemas.openxmlformats.org/officeDocument/2006/relationships/header" Target="header46.xml" /><Relationship Id="rId97" Type="http://schemas.openxmlformats.org/officeDocument/2006/relationships/header" Target="header47.xml" /><Relationship Id="rId98" Type="http://schemas.openxmlformats.org/officeDocument/2006/relationships/footer" Target="footer46.xml" /><Relationship Id="rId99" Type="http://schemas.openxmlformats.org/officeDocument/2006/relationships/footer" Target="footer47.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21</Pages>
  <Words>4582</Words>
  <Characters>26118</Characters>
  <Application>Microsoft Office Word</Application>
  <DocSecurity>0</DocSecurity>
  <Lines>217</Lines>
  <Paragraphs>61</Paragraphs>
  <ScaleCrop>false</ScaleCrop>
  <Company/>
  <LinksUpToDate>false</LinksUpToDate>
  <CharactersWithSpaces>30639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蓝色多瑙河</cp:lastModifiedBy>
  <cp:revision>32</cp:revision>
  <dcterms:created xsi:type="dcterms:W3CDTF">2016-04-20T03:29:00Z</dcterms:created>
  <dcterms:modified xsi:type="dcterms:W3CDTF">2024-01-16T08:02:15Z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13C21D3C8EF74F26AACC19A6CE85D475_12</vt:lpwstr>
  </property>
  <property fmtid="{D5CDD505-2E9C-101B-9397-08002B2CF9AE}" pid="3" name="KSOProductBuildVer">
    <vt:lpwstr>2052-12.1.0.16120</vt:lpwstr>
  </property>
</Properties>
</file>