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E7779" w:rsidP="004E7779" w14:paraId="287C1D7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E7779">
        <w:rPr>
          <w:rFonts w:ascii="华文中宋" w:eastAsia="华文中宋" w:hAnsi="华文中宋"/>
          <w:b/>
          <w:sz w:val="30"/>
        </w:rPr>
        <w:t>2023</w:t>
      </w:r>
      <w:r w:rsidRPr="004E7779">
        <w:rPr>
          <w:rFonts w:ascii="华文中宋" w:eastAsia="华文中宋" w:hAnsi="华文中宋"/>
          <w:b/>
          <w:sz w:val="30"/>
        </w:rPr>
        <w:t>广东河源市紫金县国有资产服务中心招聘编外人员</w:t>
      </w:r>
      <w:r w:rsidRPr="004E7779">
        <w:rPr>
          <w:rFonts w:ascii="华文中宋" w:eastAsia="华文中宋" w:hAnsi="华文中宋"/>
          <w:b/>
          <w:sz w:val="30"/>
        </w:rPr>
        <w:t>1</w:t>
      </w:r>
      <w:r w:rsidRPr="004E7779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3C83AFF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3020D4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20C4AE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《党政机关公文处理工作条例》规定，公文办理包括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456A86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、发文办理、收文办理、整理归档</w:t>
      </w:r>
    </w:p>
    <w:p w:rsidR="00AD1216" w14:paraId="7B8661C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、起草、审核、签发</w:t>
      </w:r>
    </w:p>
    <w:p w:rsidR="00AD1216" w14:paraId="6D623FF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、交拟、拟议、签发</w:t>
      </w:r>
    </w:p>
    <w:p w:rsidR="00AD1216" w14:paraId="6D3D194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、登记、承办、分发</w:t>
      </w:r>
    </w:p>
    <w:p w:rsidR="00AD1216" w14:paraId="5BFFD9A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014E280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公文办理包括收文办理、发文办理和整理归档。故选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E61484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一切影响沟通的消极、负面、阻碍因素，在管理学中称为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51F12E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、沟通失真</w:t>
      </w:r>
    </w:p>
    <w:p w:rsidR="00AD1216" w14:paraId="7424187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、沟通损耗</w:t>
      </w:r>
    </w:p>
    <w:p w:rsidR="00AD1216" w14:paraId="27CB83C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、沟通噪音</w:t>
      </w:r>
    </w:p>
    <w:p w:rsidR="00AD1216" w14:paraId="458ADDD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、背景噪音</w:t>
      </w:r>
    </w:p>
    <w:p w:rsidR="00AD1216" w14:paraId="7B6CEFD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1D3B206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噪音是影响沟通的一切消极、负面因素。通常可以把沟通噪音定义为妨碍资讯沟通的任何因素。它存在于沟通过程的各个环节，并有可能造成资讯损耗或失真。典型的噪音主要包括发送噪音、传输噪音、接受噪音、系统噪音、环境噪音和背景噪音及数量噪音七大噪音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056893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法律规范生效的时间，如无明文规定时，其生效时间应是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2DA407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、法律通过之日</w:t>
      </w:r>
    </w:p>
    <w:p w:rsidR="00AD1216" w14:paraId="59E723D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、法律公布之日</w:t>
      </w:r>
    </w:p>
    <w:p w:rsidR="00AD1216" w14:paraId="1357C45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、法律批准之日</w:t>
      </w:r>
    </w:p>
    <w:p w:rsidR="00AD1216" w14:paraId="2912F3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、法律签署之日</w:t>
      </w:r>
    </w:p>
    <w:p w:rsidR="00AD1216" w14:paraId="571DD98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2F2FD70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法律生效有四种方式：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自颁布之日起生效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二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法律本身规定具体生效时间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三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由另外的专门决定规定生效时间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四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规定在法律颁布后一段时间后生效。如无明文规定时，法律生效时间即为法律公布之日。故选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9591B7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我国现行立法采取的是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立法观点。</w:t>
      </w:r>
    </w:p>
    <w:p w:rsidR="00AD1216" w14:paraId="4A7F314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、民商分立</w:t>
      </w:r>
    </w:p>
    <w:p w:rsidR="00AD1216" w14:paraId="0C91EEC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、民商合一</w:t>
      </w:r>
    </w:p>
    <w:p w:rsidR="00AD1216" w14:paraId="5581D91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、民法优先</w:t>
      </w:r>
    </w:p>
    <w:p w:rsidR="00AD1216" w14:paraId="7171A21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、商事优先</w:t>
      </w:r>
    </w:p>
    <w:p w:rsidR="00AD1216" w14:paraId="2F65282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56C300B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项错误，民商分立是指在民法典之外，另行制定商法典，民法典与商法典并存。采用民商分立的国家主要有法国、德国、日本以及以它们为模板的许多大陆法系国家。我国并未采取民商分立的立法观点。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项正确，民商合一是指民事和商事统一立法，将商事方面的内容编入民法典中，或以单行法规的形式出现。我国采取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民商合一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的立法形式，其理由在于：</w:t>
      </w:r>
      <w:r w:rsidRPr="00AD1216">
        <w:rPr>
          <w:rFonts w:ascii="微软雅黑" w:eastAsia="微软雅黑" w:cs="微软雅黑"/>
          <w:szCs w:val="14"/>
        </w:rPr>
        <w:t>1.</w:t>
      </w:r>
      <w:r w:rsidRPr="00AD1216">
        <w:rPr>
          <w:rFonts w:ascii="微软雅黑" w:eastAsia="微软雅黑" w:cs="微软雅黑"/>
          <w:szCs w:val="14"/>
        </w:rPr>
        <w:t>由于民法的商事化和商法的民事化，已经使得民商法的关系愈加密切</w:t>
      </w:r>
      <w:r w:rsidRPr="00AD1216">
        <w:rPr>
          <w:rFonts w:ascii="微软雅黑" w:eastAsia="微软雅黑" w:cs="微软雅黑"/>
          <w:szCs w:val="14"/>
        </w:rPr>
        <w:t>;2.</w:t>
      </w:r>
      <w:r w:rsidRPr="00AD1216">
        <w:rPr>
          <w:rFonts w:ascii="微软雅黑" w:eastAsia="微软雅黑" w:cs="微软雅黑"/>
          <w:szCs w:val="14"/>
        </w:rPr>
        <w:t>世界和中国的立法实践证明民商合一是可行的</w:t>
      </w:r>
      <w:r w:rsidRPr="00AD1216">
        <w:rPr>
          <w:rFonts w:ascii="微软雅黑" w:eastAsia="微软雅黑" w:cs="微软雅黑"/>
          <w:szCs w:val="14"/>
        </w:rPr>
        <w:t>;3.</w:t>
      </w:r>
      <w:r w:rsidRPr="00AD1216">
        <w:rPr>
          <w:rFonts w:ascii="微软雅黑" w:eastAsia="微软雅黑" w:cs="微软雅黑"/>
          <w:szCs w:val="14"/>
        </w:rPr>
        <w:t>建立社会主义市场经济法律体系的需要。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项错误，一般法系中都不存在民法优先和商事优先观点。目前的主流观点为民商分立和民商合一两种。故选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1FF596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在我国，十六周岁以上的未成年人以自己的劳动收入为主要生活来源的，应视为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C16887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、限制行为能力人</w:t>
      </w:r>
    </w:p>
    <w:p w:rsidR="00AD1216" w14:paraId="577EC76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、无行为能力人</w:t>
      </w:r>
    </w:p>
    <w:p w:rsidR="00AD1216" w14:paraId="35B38EE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、完全行为能力人</w:t>
      </w:r>
    </w:p>
    <w:p w:rsidR="00AD1216" w14:paraId="447E3CB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、部分限制行为能力人</w:t>
      </w:r>
    </w:p>
    <w:p w:rsidR="00AD1216" w14:paraId="39ECEC1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5128EDA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《民法典》第十八条第二款规定：十六周岁以上的未成年人，以自己的劳动收入为主要生活来源的，视为完全民事行为能力人。故选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https://d.book118.com/078100027053006034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paraId="7EB48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779" w14:paraId="3401E1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paraId="6E1568D6" w14:textId="2ABD21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7779" w14:paraId="369DB6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paraId="06B991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7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textId="2ABD21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77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77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:rsidP="001A6525" w14:textId="2ABD21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77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paraId="42F14B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paraId="6276094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paraId="3770DC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77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A6525"/>
    <w:rsid w:val="004E7779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617321"/>
  <w15:docId w15:val="{C5E7E987-D34F-4F0E-BA06-72387792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E77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E7779"/>
    <w:rPr>
      <w:sz w:val="18"/>
      <w:szCs w:val="18"/>
    </w:rPr>
  </w:style>
  <w:style w:type="paragraph" w:styleId="Footer">
    <w:name w:val="footer"/>
    <w:basedOn w:val="Normal"/>
    <w:link w:val="a0"/>
    <w:rsid w:val="004E777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E7779"/>
    <w:rPr>
      <w:sz w:val="18"/>
      <w:szCs w:val="18"/>
    </w:rPr>
  </w:style>
  <w:style w:type="character" w:styleId="PageNumber">
    <w:name w:val="page number"/>
    <w:basedOn w:val="DefaultParagraphFont"/>
    <w:rsid w:val="004E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78100027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3176</Words>
  <Characters>18105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2024-02-06T12:35:00Z</dcterms:created>
  <dcterms:modified xsi:type="dcterms:W3CDTF">2024-02-06T12:35:00Z</dcterms:modified>
</cp:coreProperties>
</file>