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2015-2023年湖南高速铁路职业技术学院高职单招（数学／语文／英语）历年参考题库带答案解析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黄省三是下列哪部作品中的人物（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A.《断魂枪》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C.《雷雨》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D.《北京人》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李斯《谏逐客书》上书的对象是（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A.秦王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B.魏王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C.楚王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D.齐王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受五四新思潮的冲击，巴金最先接受了什么思想的影响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A.革命民主主义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B.俄国民粹派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C.马克思主义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D.自由主义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“忽如一夜春风来，千树万树梨花开”这两句诗所采用的修辞方法是（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C.借代、比喻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D.借代、夸张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抗战时期，郭沫若写有历史剧（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A.《蔡文姬》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B.《雷雨》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D.《星空》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下列议论文中，属于驳论的是（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B.《论快乐》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D.《论毅力》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《发现》一诗被收录于闻一多的诗集（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A.《女神》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B.《红烛》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C.《死水》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庄子《秋水》中代表庄子观点的人物是（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B.河伯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C.北海若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D.河伯与北海若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孔子所说的小康社会指的是（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A.五帝时代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B.“三代之英”的时代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C.夏、商、周三代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D.春秋战国时代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《宝玉挨打》中，说“你但凡听我一句话，也不到这个分儿”这句话的是（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A.袭人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B.林黛玉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C.贾母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D.王夫人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11.</w:t>
      </w:r>
      <w:r>
        <w:rPr>
          <w:rFonts w:ascii="黑体" w:eastAsia="黑体" w:hAnsi="黑体" w:cs="Times New Roman"/>
          <w:sz w:val="24"/>
          <w:lang w:val="en-US" w:eastAsia="ja-JP" w:bidi="ar-SA"/>
        </w:rPr>
        <w:t>“多行不义必自毙”出自（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A.《季氏将伐颛臾》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D.《郑伯克段于鄢》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0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下列句子中，含有“名词用如动词”的是（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A.万川归之，不知何时止而盈。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B.彼以艰苦忍耐之力，冒其逆而突过之。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C.故人不独亲其亲，不独子其子。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D.远人不服，则修文德以来之。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下列划横线的句子翻译正确的是（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4896364" cy="1943304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96364" cy="1943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https://d.book118.com/078102076032006041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078102076032006041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