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锗单晶、锗片及金属锗项目规划设计蓝图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82" w:history="1">
        <w:r>
          <w:rPr>
            <w:rFonts w:ascii="仿宋" w:eastAsia="仿宋" w:hAnsi="仿宋" w:cs="仿宋" w:hint="eastAsia"/>
            <w:lang w:eastAsia="zh-CN"/>
          </w:rPr>
          <w:t>前言</w:t>
        </w:r>
        <w:r>
          <w:tab/>
        </w:r>
        <w:r>
          <w:fldChar w:fldCharType="begin"/>
        </w:r>
        <w:r>
          <w:instrText xml:space="preserve"> PAGEREF _Toc3482 \h </w:instrText>
        </w:r>
        <w:r>
          <w:fldChar w:fldCharType="separate"/>
        </w:r>
        <w:r>
          <w:t>3</w:t>
        </w:r>
        <w:r>
          <w:fldChar w:fldCharType="end"/>
        </w:r>
      </w:hyperlink>
    </w:p>
    <w:p>
      <w:pPr>
        <w:pStyle w:val="TOC1"/>
        <w:tabs>
          <w:tab w:val="right" w:leader="dot" w:pos="8306"/>
        </w:tabs>
      </w:pPr>
      <w:hyperlink w:anchor="_Toc25516" w:history="1">
        <w:r>
          <w:rPr>
            <w:rFonts w:ascii="仿宋" w:eastAsia="仿宋" w:hAnsi="仿宋" w:cs="仿宋" w:hint="eastAsia"/>
            <w:lang w:eastAsia="zh-CN"/>
          </w:rPr>
          <w:t>一、工艺说明</w:t>
        </w:r>
        <w:r>
          <w:tab/>
        </w:r>
        <w:r>
          <w:fldChar w:fldCharType="begin"/>
        </w:r>
        <w:r>
          <w:instrText xml:space="preserve"> PAGEREF _Toc25516 \h </w:instrText>
        </w:r>
        <w:r>
          <w:fldChar w:fldCharType="separate"/>
        </w:r>
        <w:r>
          <w:t>3</w:t>
        </w:r>
        <w:r>
          <w:fldChar w:fldCharType="end"/>
        </w:r>
      </w:hyperlink>
    </w:p>
    <w:p>
      <w:pPr>
        <w:pStyle w:val="TOC2"/>
        <w:tabs>
          <w:tab w:val="right" w:leader="dot" w:pos="8306"/>
        </w:tabs>
      </w:pPr>
      <w:hyperlink w:anchor="_Toc32625" w:history="1">
        <w:r>
          <w:rPr>
            <w:rFonts w:ascii="仿宋" w:eastAsia="仿宋" w:hAnsi="仿宋" w:cs="仿宋" w:hint="eastAsia"/>
            <w:lang w:eastAsia="zh-CN"/>
          </w:rPr>
          <w:t>(一)、技术管理特点</w:t>
        </w:r>
        <w:r>
          <w:tab/>
        </w:r>
        <w:r>
          <w:fldChar w:fldCharType="begin"/>
        </w:r>
        <w:r>
          <w:instrText xml:space="preserve"> PAGEREF _Toc32625 \h </w:instrText>
        </w:r>
        <w:r>
          <w:fldChar w:fldCharType="separate"/>
        </w:r>
        <w:r>
          <w:t>3</w:t>
        </w:r>
        <w:r>
          <w:fldChar w:fldCharType="end"/>
        </w:r>
      </w:hyperlink>
    </w:p>
    <w:p>
      <w:pPr>
        <w:pStyle w:val="TOC2"/>
        <w:tabs>
          <w:tab w:val="right" w:leader="dot" w:pos="8306"/>
        </w:tabs>
      </w:pPr>
      <w:hyperlink w:anchor="_Toc30947" w:history="1">
        <w:r>
          <w:rPr>
            <w:rFonts w:ascii="仿宋" w:eastAsia="仿宋" w:hAnsi="仿宋" w:cs="仿宋" w:hint="eastAsia"/>
            <w:lang w:eastAsia="zh-CN"/>
          </w:rPr>
          <w:t>(二)、锗单晶、锗片及金属锗项目工艺技术设计方案</w:t>
        </w:r>
        <w:r>
          <w:tab/>
        </w:r>
        <w:r>
          <w:fldChar w:fldCharType="begin"/>
        </w:r>
        <w:r>
          <w:instrText xml:space="preserve"> PAGEREF _Toc30947 \h </w:instrText>
        </w:r>
        <w:r>
          <w:fldChar w:fldCharType="separate"/>
        </w:r>
        <w:r>
          <w:t>4</w:t>
        </w:r>
        <w:r>
          <w:fldChar w:fldCharType="end"/>
        </w:r>
      </w:hyperlink>
    </w:p>
    <w:p>
      <w:pPr>
        <w:pStyle w:val="TOC2"/>
        <w:tabs>
          <w:tab w:val="right" w:leader="dot" w:pos="8306"/>
        </w:tabs>
      </w:pPr>
      <w:hyperlink w:anchor="_Toc29239" w:history="1">
        <w:r>
          <w:rPr>
            <w:rFonts w:ascii="仿宋" w:eastAsia="仿宋" w:hAnsi="仿宋" w:cs="仿宋" w:hint="eastAsia"/>
            <w:lang w:eastAsia="zh-CN"/>
          </w:rPr>
          <w:t>(三)、设备选型方案</w:t>
        </w:r>
        <w:r>
          <w:tab/>
        </w:r>
        <w:r>
          <w:fldChar w:fldCharType="begin"/>
        </w:r>
        <w:r>
          <w:instrText xml:space="preserve"> PAGEREF _Toc29239 \h </w:instrText>
        </w:r>
        <w:r>
          <w:fldChar w:fldCharType="separate"/>
        </w:r>
        <w:r>
          <w:t>6</w:t>
        </w:r>
        <w:r>
          <w:fldChar w:fldCharType="end"/>
        </w:r>
      </w:hyperlink>
    </w:p>
    <w:p>
      <w:pPr>
        <w:pStyle w:val="TOC1"/>
        <w:tabs>
          <w:tab w:val="right" w:leader="dot" w:pos="8306"/>
        </w:tabs>
      </w:pPr>
      <w:hyperlink w:anchor="_Toc12656" w:history="1">
        <w:r>
          <w:rPr>
            <w:rFonts w:ascii="仿宋" w:eastAsia="仿宋" w:hAnsi="仿宋" w:cs="仿宋" w:hint="eastAsia"/>
            <w:lang w:eastAsia="zh-CN"/>
          </w:rPr>
          <w:t>二、市场分析、调研</w:t>
        </w:r>
        <w:r>
          <w:tab/>
        </w:r>
        <w:r>
          <w:fldChar w:fldCharType="begin"/>
        </w:r>
        <w:r>
          <w:instrText xml:space="preserve"> PAGEREF _Toc12656 \h </w:instrText>
        </w:r>
        <w:r>
          <w:fldChar w:fldCharType="separate"/>
        </w:r>
        <w:r>
          <w:t>7</w:t>
        </w:r>
        <w:r>
          <w:fldChar w:fldCharType="end"/>
        </w:r>
      </w:hyperlink>
    </w:p>
    <w:p>
      <w:pPr>
        <w:pStyle w:val="TOC2"/>
        <w:tabs>
          <w:tab w:val="right" w:leader="dot" w:pos="8306"/>
        </w:tabs>
      </w:pPr>
      <w:hyperlink w:anchor="_Toc7576" w:history="1">
        <w:r>
          <w:rPr>
            <w:rFonts w:ascii="仿宋" w:eastAsia="仿宋" w:hAnsi="仿宋" w:cs="仿宋" w:hint="eastAsia"/>
            <w:lang w:eastAsia="zh-CN"/>
          </w:rPr>
          <w:t>(一)、锗单晶、锗片及金属锗行业分析</w:t>
        </w:r>
        <w:r>
          <w:tab/>
        </w:r>
        <w:r>
          <w:fldChar w:fldCharType="begin"/>
        </w:r>
        <w:r>
          <w:instrText xml:space="preserve"> PAGEREF _Toc7576 \h </w:instrText>
        </w:r>
        <w:r>
          <w:fldChar w:fldCharType="separate"/>
        </w:r>
        <w:r>
          <w:t>7</w:t>
        </w:r>
        <w:r>
          <w:fldChar w:fldCharType="end"/>
        </w:r>
      </w:hyperlink>
    </w:p>
    <w:p>
      <w:pPr>
        <w:pStyle w:val="TOC2"/>
        <w:tabs>
          <w:tab w:val="right" w:leader="dot" w:pos="8306"/>
        </w:tabs>
      </w:pPr>
      <w:hyperlink w:anchor="_Toc6485" w:history="1">
        <w:r>
          <w:rPr>
            <w:rFonts w:ascii="仿宋" w:eastAsia="仿宋" w:hAnsi="仿宋" w:cs="仿宋" w:hint="eastAsia"/>
            <w:lang w:eastAsia="zh-CN"/>
          </w:rPr>
          <w:t>(二)、锗单晶、锗片及金属锗市场分析预测</w:t>
        </w:r>
        <w:r>
          <w:tab/>
        </w:r>
        <w:r>
          <w:fldChar w:fldCharType="begin"/>
        </w:r>
        <w:r>
          <w:instrText xml:space="preserve"> PAGEREF _Toc6485 \h </w:instrText>
        </w:r>
        <w:r>
          <w:fldChar w:fldCharType="separate"/>
        </w:r>
        <w:r>
          <w:t>8</w:t>
        </w:r>
        <w:r>
          <w:fldChar w:fldCharType="end"/>
        </w:r>
      </w:hyperlink>
    </w:p>
    <w:p>
      <w:pPr>
        <w:pStyle w:val="TOC1"/>
        <w:tabs>
          <w:tab w:val="right" w:leader="dot" w:pos="8306"/>
        </w:tabs>
      </w:pPr>
      <w:hyperlink w:anchor="_Toc27761" w:history="1">
        <w:r>
          <w:rPr>
            <w:rFonts w:ascii="仿宋" w:eastAsia="仿宋" w:hAnsi="仿宋" w:cs="仿宋" w:hint="eastAsia"/>
            <w:lang w:eastAsia="zh-CN"/>
          </w:rPr>
          <w:t>三、产品规划分析</w:t>
        </w:r>
        <w:r>
          <w:tab/>
        </w:r>
        <w:r>
          <w:fldChar w:fldCharType="begin"/>
        </w:r>
        <w:r>
          <w:instrText xml:space="preserve"> PAGEREF _Toc27761 \h </w:instrText>
        </w:r>
        <w:r>
          <w:fldChar w:fldCharType="separate"/>
        </w:r>
        <w:r>
          <w:t>9</w:t>
        </w:r>
        <w:r>
          <w:fldChar w:fldCharType="end"/>
        </w:r>
      </w:hyperlink>
    </w:p>
    <w:p>
      <w:pPr>
        <w:pStyle w:val="TOC2"/>
        <w:tabs>
          <w:tab w:val="right" w:leader="dot" w:pos="8306"/>
        </w:tabs>
      </w:pPr>
      <w:hyperlink w:anchor="_Toc19290" w:history="1">
        <w:r>
          <w:rPr>
            <w:rFonts w:ascii="仿宋" w:eastAsia="仿宋" w:hAnsi="仿宋" w:cs="仿宋" w:hint="eastAsia"/>
            <w:lang w:eastAsia="zh-CN"/>
          </w:rPr>
          <w:t>(一)、产品规划</w:t>
        </w:r>
        <w:r>
          <w:tab/>
        </w:r>
        <w:r>
          <w:fldChar w:fldCharType="begin"/>
        </w:r>
        <w:r>
          <w:instrText xml:space="preserve"> PAGEREF _Toc19290 \h </w:instrText>
        </w:r>
        <w:r>
          <w:fldChar w:fldCharType="separate"/>
        </w:r>
        <w:r>
          <w:t>9</w:t>
        </w:r>
        <w:r>
          <w:fldChar w:fldCharType="end"/>
        </w:r>
      </w:hyperlink>
    </w:p>
    <w:p>
      <w:pPr>
        <w:pStyle w:val="TOC2"/>
        <w:tabs>
          <w:tab w:val="right" w:leader="dot" w:pos="8306"/>
        </w:tabs>
      </w:pPr>
      <w:hyperlink w:anchor="_Toc25687" w:history="1">
        <w:r>
          <w:rPr>
            <w:rFonts w:ascii="仿宋" w:eastAsia="仿宋" w:hAnsi="仿宋" w:cs="仿宋" w:hint="eastAsia"/>
            <w:lang w:eastAsia="zh-CN"/>
          </w:rPr>
          <w:t>(二)、建设规模</w:t>
        </w:r>
        <w:r>
          <w:tab/>
        </w:r>
        <w:r>
          <w:fldChar w:fldCharType="begin"/>
        </w:r>
        <w:r>
          <w:instrText xml:space="preserve"> PAGEREF _Toc25687 \h </w:instrText>
        </w:r>
        <w:r>
          <w:fldChar w:fldCharType="separate"/>
        </w:r>
        <w:r>
          <w:t>9</w:t>
        </w:r>
        <w:r>
          <w:fldChar w:fldCharType="end"/>
        </w:r>
      </w:hyperlink>
    </w:p>
    <w:p>
      <w:pPr>
        <w:pStyle w:val="TOC1"/>
        <w:tabs>
          <w:tab w:val="right" w:leader="dot" w:pos="8306"/>
        </w:tabs>
      </w:pPr>
      <w:hyperlink w:anchor="_Toc31971" w:history="1">
        <w:r>
          <w:rPr>
            <w:rFonts w:ascii="仿宋" w:eastAsia="仿宋" w:hAnsi="仿宋" w:cs="仿宋" w:hint="eastAsia"/>
            <w:lang w:eastAsia="zh-CN"/>
          </w:rPr>
          <w:t>四、锗单晶、锗片及金属锗项目可持续发展</w:t>
        </w:r>
        <w:r>
          <w:tab/>
        </w:r>
        <w:r>
          <w:fldChar w:fldCharType="begin"/>
        </w:r>
        <w:r>
          <w:instrText xml:space="preserve"> PAGEREF _Toc31971 \h </w:instrText>
        </w:r>
        <w:r>
          <w:fldChar w:fldCharType="separate"/>
        </w:r>
        <w:r>
          <w:t>11</w:t>
        </w:r>
        <w:r>
          <w:fldChar w:fldCharType="end"/>
        </w:r>
      </w:hyperlink>
    </w:p>
    <w:p>
      <w:pPr>
        <w:pStyle w:val="TOC2"/>
        <w:tabs>
          <w:tab w:val="right" w:leader="dot" w:pos="8306"/>
        </w:tabs>
      </w:pPr>
      <w:hyperlink w:anchor="_Toc15012" w:history="1">
        <w:r>
          <w:rPr>
            <w:rFonts w:ascii="仿宋" w:eastAsia="仿宋" w:hAnsi="仿宋" w:cs="仿宋" w:hint="eastAsia"/>
            <w:lang w:eastAsia="zh-CN"/>
          </w:rPr>
          <w:t>(一)、可持续战略与实践</w:t>
        </w:r>
        <w:r>
          <w:tab/>
        </w:r>
        <w:r>
          <w:fldChar w:fldCharType="begin"/>
        </w:r>
        <w:r>
          <w:instrText xml:space="preserve"> PAGEREF _Toc15012 \h </w:instrText>
        </w:r>
        <w:r>
          <w:fldChar w:fldCharType="separate"/>
        </w:r>
        <w:r>
          <w:t>11</w:t>
        </w:r>
        <w:r>
          <w:fldChar w:fldCharType="end"/>
        </w:r>
      </w:hyperlink>
    </w:p>
    <w:p>
      <w:pPr>
        <w:pStyle w:val="TOC2"/>
        <w:tabs>
          <w:tab w:val="right" w:leader="dot" w:pos="8306"/>
        </w:tabs>
      </w:pPr>
      <w:hyperlink w:anchor="_Toc5476" w:history="1">
        <w:r>
          <w:rPr>
            <w:rFonts w:ascii="仿宋" w:eastAsia="仿宋" w:hAnsi="仿宋" w:cs="仿宋" w:hint="eastAsia"/>
            <w:lang w:eastAsia="zh-CN"/>
          </w:rPr>
          <w:t>(二)、环保与社会责任</w:t>
        </w:r>
        <w:r>
          <w:tab/>
        </w:r>
        <w:r>
          <w:fldChar w:fldCharType="begin"/>
        </w:r>
        <w:r>
          <w:instrText xml:space="preserve"> PAGEREF _Toc5476 \h </w:instrText>
        </w:r>
        <w:r>
          <w:fldChar w:fldCharType="separate"/>
        </w:r>
        <w:r>
          <w:t>11</w:t>
        </w:r>
        <w:r>
          <w:fldChar w:fldCharType="end"/>
        </w:r>
      </w:hyperlink>
    </w:p>
    <w:p>
      <w:pPr>
        <w:pStyle w:val="TOC1"/>
        <w:tabs>
          <w:tab w:val="right" w:leader="dot" w:pos="8306"/>
        </w:tabs>
      </w:pPr>
      <w:hyperlink w:anchor="_Toc2703" w:history="1">
        <w:r>
          <w:rPr>
            <w:rFonts w:ascii="仿宋" w:eastAsia="仿宋" w:hAnsi="仿宋" w:cs="仿宋" w:hint="eastAsia"/>
            <w:lang w:eastAsia="zh-CN"/>
          </w:rPr>
          <w:t>五、锗单晶、锗片及金属锗项目绩效评估</w:t>
        </w:r>
        <w:r>
          <w:tab/>
        </w:r>
        <w:r>
          <w:fldChar w:fldCharType="begin"/>
        </w:r>
        <w:r>
          <w:instrText xml:space="preserve"> PAGEREF _Toc2703 \h </w:instrText>
        </w:r>
        <w:r>
          <w:fldChar w:fldCharType="separate"/>
        </w:r>
        <w:r>
          <w:t>12</w:t>
        </w:r>
        <w:r>
          <w:fldChar w:fldCharType="end"/>
        </w:r>
      </w:hyperlink>
    </w:p>
    <w:p>
      <w:pPr>
        <w:pStyle w:val="TOC2"/>
        <w:tabs>
          <w:tab w:val="right" w:leader="dot" w:pos="8306"/>
        </w:tabs>
      </w:pPr>
      <w:hyperlink w:anchor="_Toc5757" w:history="1">
        <w:r>
          <w:rPr>
            <w:rFonts w:ascii="仿宋" w:eastAsia="仿宋" w:hAnsi="仿宋" w:cs="仿宋" w:hint="eastAsia"/>
            <w:lang w:eastAsia="zh-CN"/>
          </w:rPr>
          <w:t>(一)、绩效评估指标</w:t>
        </w:r>
        <w:r>
          <w:tab/>
        </w:r>
        <w:r>
          <w:fldChar w:fldCharType="begin"/>
        </w:r>
        <w:r>
          <w:instrText xml:space="preserve"> PAGEREF _Toc5757 \h </w:instrText>
        </w:r>
        <w:r>
          <w:fldChar w:fldCharType="separate"/>
        </w:r>
        <w:r>
          <w:t>12</w:t>
        </w:r>
        <w:r>
          <w:fldChar w:fldCharType="end"/>
        </w:r>
      </w:hyperlink>
    </w:p>
    <w:p>
      <w:pPr>
        <w:pStyle w:val="TOC2"/>
        <w:tabs>
          <w:tab w:val="right" w:leader="dot" w:pos="8306"/>
        </w:tabs>
      </w:pPr>
      <w:hyperlink w:anchor="_Toc32086" w:history="1">
        <w:r>
          <w:rPr>
            <w:rFonts w:ascii="仿宋" w:eastAsia="仿宋" w:hAnsi="仿宋" w:cs="仿宋" w:hint="eastAsia"/>
            <w:lang w:eastAsia="zh-CN"/>
          </w:rPr>
          <w:t>(二)、绩效评估方法</w:t>
        </w:r>
        <w:r>
          <w:tab/>
        </w:r>
        <w:r>
          <w:fldChar w:fldCharType="begin"/>
        </w:r>
        <w:r>
          <w:instrText xml:space="preserve"> PAGEREF _Toc32086 \h </w:instrText>
        </w:r>
        <w:r>
          <w:fldChar w:fldCharType="separate"/>
        </w:r>
        <w:r>
          <w:t>14</w:t>
        </w:r>
        <w:r>
          <w:fldChar w:fldCharType="end"/>
        </w:r>
      </w:hyperlink>
    </w:p>
    <w:p>
      <w:pPr>
        <w:pStyle w:val="TOC2"/>
        <w:tabs>
          <w:tab w:val="right" w:leader="dot" w:pos="8306"/>
        </w:tabs>
      </w:pPr>
      <w:hyperlink w:anchor="_Toc525" w:history="1">
        <w:r>
          <w:rPr>
            <w:rFonts w:ascii="仿宋" w:eastAsia="仿宋" w:hAnsi="仿宋" w:cs="仿宋" w:hint="eastAsia"/>
            <w:lang w:eastAsia="zh-CN"/>
          </w:rPr>
          <w:t>(三)、绩效评估周期</w:t>
        </w:r>
        <w:r>
          <w:tab/>
        </w:r>
        <w:r>
          <w:fldChar w:fldCharType="begin"/>
        </w:r>
        <w:r>
          <w:instrText xml:space="preserve"> PAGEREF _Toc525 \h </w:instrText>
        </w:r>
        <w:r>
          <w:fldChar w:fldCharType="separate"/>
        </w:r>
        <w:r>
          <w:t>15</w:t>
        </w:r>
        <w:r>
          <w:fldChar w:fldCharType="end"/>
        </w:r>
      </w:hyperlink>
    </w:p>
    <w:p>
      <w:pPr>
        <w:pStyle w:val="TOC1"/>
        <w:tabs>
          <w:tab w:val="right" w:leader="dot" w:pos="8306"/>
        </w:tabs>
      </w:pPr>
      <w:hyperlink w:anchor="_Toc31890" w:history="1">
        <w:r>
          <w:rPr>
            <w:rFonts w:ascii="仿宋" w:eastAsia="仿宋" w:hAnsi="仿宋" w:cs="仿宋" w:hint="eastAsia"/>
            <w:lang w:eastAsia="zh-CN"/>
          </w:rPr>
          <w:t>六、锗单晶、锗片及金属锗项目土建工程</w:t>
        </w:r>
        <w:r>
          <w:tab/>
        </w:r>
        <w:r>
          <w:fldChar w:fldCharType="begin"/>
        </w:r>
        <w:r>
          <w:instrText xml:space="preserve"> PAGEREF _Toc31890 \h </w:instrText>
        </w:r>
        <w:r>
          <w:fldChar w:fldCharType="separate"/>
        </w:r>
        <w:r>
          <w:t>16</w:t>
        </w:r>
        <w:r>
          <w:fldChar w:fldCharType="end"/>
        </w:r>
      </w:hyperlink>
    </w:p>
    <w:p>
      <w:pPr>
        <w:pStyle w:val="TOC2"/>
        <w:tabs>
          <w:tab w:val="right" w:leader="dot" w:pos="8306"/>
        </w:tabs>
      </w:pPr>
      <w:hyperlink w:anchor="_Toc5558" w:history="1">
        <w:r>
          <w:rPr>
            <w:rFonts w:ascii="仿宋" w:eastAsia="仿宋" w:hAnsi="仿宋" w:cs="仿宋" w:hint="eastAsia"/>
            <w:lang w:eastAsia="zh-CN"/>
          </w:rPr>
          <w:t>(一)、建筑工程设计原则</w:t>
        </w:r>
        <w:r>
          <w:tab/>
        </w:r>
        <w:r>
          <w:fldChar w:fldCharType="begin"/>
        </w:r>
        <w:r>
          <w:instrText xml:space="preserve"> PAGEREF _Toc5558 \h </w:instrText>
        </w:r>
        <w:r>
          <w:fldChar w:fldCharType="separate"/>
        </w:r>
        <w:r>
          <w:t>16</w:t>
        </w:r>
        <w:r>
          <w:fldChar w:fldCharType="end"/>
        </w:r>
      </w:hyperlink>
    </w:p>
    <w:p>
      <w:pPr>
        <w:pStyle w:val="TOC2"/>
        <w:tabs>
          <w:tab w:val="right" w:leader="dot" w:pos="8306"/>
        </w:tabs>
      </w:pPr>
      <w:hyperlink w:anchor="_Toc2075" w:history="1">
        <w:r>
          <w:rPr>
            <w:rFonts w:ascii="仿宋" w:eastAsia="仿宋" w:hAnsi="仿宋" w:cs="仿宋" w:hint="eastAsia"/>
            <w:lang w:eastAsia="zh-CN"/>
          </w:rPr>
          <w:t>(二)、土建工程设计年限及安全等级</w:t>
        </w:r>
        <w:r>
          <w:tab/>
        </w:r>
        <w:r>
          <w:fldChar w:fldCharType="begin"/>
        </w:r>
        <w:r>
          <w:instrText xml:space="preserve"> PAGEREF _Toc2075 \h </w:instrText>
        </w:r>
        <w:r>
          <w:fldChar w:fldCharType="separate"/>
        </w:r>
        <w:r>
          <w:t>17</w:t>
        </w:r>
        <w:r>
          <w:fldChar w:fldCharType="end"/>
        </w:r>
      </w:hyperlink>
    </w:p>
    <w:p>
      <w:pPr>
        <w:pStyle w:val="TOC2"/>
        <w:tabs>
          <w:tab w:val="right" w:leader="dot" w:pos="8306"/>
        </w:tabs>
      </w:pPr>
      <w:hyperlink w:anchor="_Toc12203" w:history="1">
        <w:r>
          <w:rPr>
            <w:rFonts w:ascii="仿宋" w:eastAsia="仿宋" w:hAnsi="仿宋" w:cs="仿宋" w:hint="eastAsia"/>
            <w:lang w:eastAsia="zh-CN"/>
          </w:rPr>
          <w:t>(三)、建筑工程设计总体要求</w:t>
        </w:r>
        <w:r>
          <w:tab/>
        </w:r>
        <w:r>
          <w:fldChar w:fldCharType="begin"/>
        </w:r>
        <w:r>
          <w:instrText xml:space="preserve"> PAGEREF _Toc12203 \h </w:instrText>
        </w:r>
        <w:r>
          <w:fldChar w:fldCharType="separate"/>
        </w:r>
        <w:r>
          <w:t>18</w:t>
        </w:r>
        <w:r>
          <w:fldChar w:fldCharType="end"/>
        </w:r>
      </w:hyperlink>
    </w:p>
    <w:p>
      <w:pPr>
        <w:pStyle w:val="TOC2"/>
        <w:tabs>
          <w:tab w:val="right" w:leader="dot" w:pos="8306"/>
        </w:tabs>
      </w:pPr>
      <w:hyperlink w:anchor="_Toc21550" w:history="1">
        <w:r>
          <w:rPr>
            <w:rFonts w:ascii="仿宋" w:eastAsia="仿宋" w:hAnsi="仿宋" w:cs="仿宋" w:hint="eastAsia"/>
            <w:lang w:eastAsia="zh-CN"/>
          </w:rPr>
          <w:t>(四)、土建工程建设指标</w:t>
        </w:r>
        <w:r>
          <w:tab/>
        </w:r>
        <w:r>
          <w:fldChar w:fldCharType="begin"/>
        </w:r>
        <w:r>
          <w:instrText xml:space="preserve"> PAGEREF _Toc21550 \h </w:instrText>
        </w:r>
        <w:r>
          <w:fldChar w:fldCharType="separate"/>
        </w:r>
        <w:r>
          <w:t>19</w:t>
        </w:r>
        <w:r>
          <w:fldChar w:fldCharType="end"/>
        </w:r>
      </w:hyperlink>
    </w:p>
    <w:p>
      <w:pPr>
        <w:pStyle w:val="TOC1"/>
        <w:tabs>
          <w:tab w:val="right" w:leader="dot" w:pos="8306"/>
        </w:tabs>
      </w:pPr>
      <w:hyperlink w:anchor="_Toc3774" w:history="1">
        <w:r>
          <w:rPr>
            <w:rFonts w:ascii="仿宋" w:eastAsia="仿宋" w:hAnsi="仿宋" w:cs="仿宋" w:hint="eastAsia"/>
            <w:lang w:eastAsia="zh-CN"/>
          </w:rPr>
          <w:t>七、生产安全保护</w:t>
        </w:r>
        <w:r>
          <w:tab/>
        </w:r>
        <w:r>
          <w:fldChar w:fldCharType="begin"/>
        </w:r>
        <w:r>
          <w:instrText xml:space="preserve"> PAGEREF _Toc3774 \h </w:instrText>
        </w:r>
        <w:r>
          <w:fldChar w:fldCharType="separate"/>
        </w:r>
        <w:r>
          <w:t>19</w:t>
        </w:r>
        <w:r>
          <w:fldChar w:fldCharType="end"/>
        </w:r>
      </w:hyperlink>
    </w:p>
    <w:p>
      <w:pPr>
        <w:pStyle w:val="TOC2"/>
        <w:tabs>
          <w:tab w:val="right" w:leader="dot" w:pos="8306"/>
        </w:tabs>
      </w:pPr>
      <w:hyperlink w:anchor="_Toc14775" w:history="1">
        <w:r>
          <w:rPr>
            <w:rFonts w:ascii="仿宋" w:eastAsia="仿宋" w:hAnsi="仿宋" w:cs="仿宋" w:hint="eastAsia"/>
            <w:lang w:eastAsia="zh-CN"/>
          </w:rPr>
          <w:t>(一)、消防安全</w:t>
        </w:r>
        <w:r>
          <w:tab/>
        </w:r>
        <w:r>
          <w:fldChar w:fldCharType="begin"/>
        </w:r>
        <w:r>
          <w:instrText xml:space="preserve"> PAGEREF _Toc14775 \h </w:instrText>
        </w:r>
        <w:r>
          <w:fldChar w:fldCharType="separate"/>
        </w:r>
        <w:r>
          <w:t>19</w:t>
        </w:r>
        <w:r>
          <w:fldChar w:fldCharType="end"/>
        </w:r>
      </w:hyperlink>
    </w:p>
    <w:p>
      <w:pPr>
        <w:pStyle w:val="TOC2"/>
        <w:tabs>
          <w:tab w:val="right" w:leader="dot" w:pos="8306"/>
        </w:tabs>
      </w:pPr>
      <w:hyperlink w:anchor="_Toc28675" w:history="1">
        <w:r>
          <w:rPr>
            <w:rFonts w:ascii="仿宋" w:eastAsia="仿宋" w:hAnsi="仿宋" w:cs="仿宋" w:hint="eastAsia"/>
            <w:lang w:eastAsia="zh-CN"/>
          </w:rPr>
          <w:t>(二)、防火防爆总图布置措施</w:t>
        </w:r>
        <w:r>
          <w:tab/>
        </w:r>
        <w:r>
          <w:fldChar w:fldCharType="begin"/>
        </w:r>
        <w:r>
          <w:instrText xml:space="preserve"> PAGEREF _Toc28675 \h </w:instrText>
        </w:r>
        <w:r>
          <w:fldChar w:fldCharType="separate"/>
        </w:r>
        <w:r>
          <w:t>21</w:t>
        </w:r>
        <w:r>
          <w:fldChar w:fldCharType="end"/>
        </w:r>
      </w:hyperlink>
    </w:p>
    <w:p>
      <w:pPr>
        <w:pStyle w:val="TOC2"/>
        <w:tabs>
          <w:tab w:val="right" w:leader="dot" w:pos="8306"/>
        </w:tabs>
      </w:pPr>
      <w:hyperlink w:anchor="_Toc4584" w:history="1">
        <w:r>
          <w:rPr>
            <w:rFonts w:ascii="仿宋" w:eastAsia="仿宋" w:hAnsi="仿宋" w:cs="仿宋" w:hint="eastAsia"/>
            <w:lang w:eastAsia="zh-CN"/>
          </w:rPr>
          <w:t>(三)、自然灾害防范措施</w:t>
        </w:r>
        <w:r>
          <w:tab/>
        </w:r>
        <w:r>
          <w:fldChar w:fldCharType="begin"/>
        </w:r>
        <w:r>
          <w:instrText xml:space="preserve"> PAGEREF _Toc4584 \h </w:instrText>
        </w:r>
        <w:r>
          <w:fldChar w:fldCharType="separate"/>
        </w:r>
        <w:r>
          <w:t>22</w:t>
        </w:r>
        <w:r>
          <w:fldChar w:fldCharType="end"/>
        </w:r>
      </w:hyperlink>
    </w:p>
    <w:p>
      <w:pPr>
        <w:pStyle w:val="TOC2"/>
        <w:tabs>
          <w:tab w:val="right" w:leader="dot" w:pos="8306"/>
        </w:tabs>
      </w:pPr>
      <w:hyperlink w:anchor="_Toc24208" w:history="1">
        <w:r>
          <w:rPr>
            <w:rFonts w:ascii="仿宋" w:eastAsia="仿宋" w:hAnsi="仿宋" w:cs="仿宋" w:hint="eastAsia"/>
            <w:lang w:eastAsia="zh-CN"/>
          </w:rPr>
          <w:t>(四)、安全色及安全标志使用要求</w:t>
        </w:r>
        <w:r>
          <w:tab/>
        </w:r>
        <w:r>
          <w:fldChar w:fldCharType="begin"/>
        </w:r>
        <w:r>
          <w:instrText xml:space="preserve"> PAGEREF _Toc24208 \h </w:instrText>
        </w:r>
        <w:r>
          <w:fldChar w:fldCharType="separate"/>
        </w:r>
        <w:r>
          <w:t>23</w:t>
        </w:r>
        <w:r>
          <w:fldChar w:fldCharType="end"/>
        </w:r>
      </w:hyperlink>
    </w:p>
    <w:p>
      <w:pPr>
        <w:pStyle w:val="TOC2"/>
        <w:tabs>
          <w:tab w:val="right" w:leader="dot" w:pos="8306"/>
        </w:tabs>
      </w:pPr>
      <w:hyperlink w:anchor="_Toc8067" w:history="1">
        <w:r>
          <w:rPr>
            <w:rFonts w:ascii="仿宋" w:eastAsia="仿宋" w:hAnsi="仿宋" w:cs="仿宋" w:hint="eastAsia"/>
            <w:lang w:eastAsia="zh-CN"/>
          </w:rPr>
          <w:t>(五)、防尘防毒措施</w:t>
        </w:r>
        <w:r>
          <w:tab/>
        </w:r>
        <w:r>
          <w:fldChar w:fldCharType="begin"/>
        </w:r>
        <w:r>
          <w:instrText xml:space="preserve"> PAGEREF _Toc8067 \h </w:instrText>
        </w:r>
        <w:r>
          <w:fldChar w:fldCharType="separate"/>
        </w:r>
        <w:r>
          <w:t>24</w:t>
        </w:r>
        <w:r>
          <w:fldChar w:fldCharType="end"/>
        </w:r>
      </w:hyperlink>
    </w:p>
    <w:p>
      <w:pPr>
        <w:pStyle w:val="TOC2"/>
        <w:tabs>
          <w:tab w:val="right" w:leader="dot" w:pos="8306"/>
        </w:tabs>
      </w:pPr>
      <w:hyperlink w:anchor="_Toc28183" w:history="1">
        <w:r>
          <w:rPr>
            <w:rFonts w:ascii="仿宋" w:eastAsia="仿宋" w:hAnsi="仿宋" w:cs="仿宋" w:hint="eastAsia"/>
            <w:lang w:eastAsia="zh-CN"/>
          </w:rPr>
          <w:t>(六)、防静电、触电防护及防雷措施</w:t>
        </w:r>
        <w:r>
          <w:tab/>
        </w:r>
        <w:r>
          <w:fldChar w:fldCharType="begin"/>
        </w:r>
        <w:r>
          <w:instrText xml:space="preserve"> PAGEREF _Toc28183 \h </w:instrText>
        </w:r>
        <w:r>
          <w:fldChar w:fldCharType="separate"/>
        </w:r>
        <w:r>
          <w:t>25</w:t>
        </w:r>
        <w:r>
          <w:fldChar w:fldCharType="end"/>
        </w:r>
      </w:hyperlink>
    </w:p>
    <w:p>
      <w:pPr>
        <w:pStyle w:val="TOC2"/>
        <w:tabs>
          <w:tab w:val="right" w:leader="dot" w:pos="8306"/>
        </w:tabs>
      </w:pPr>
      <w:hyperlink w:anchor="_Toc31621" w:history="1">
        <w:r>
          <w:rPr>
            <w:rFonts w:ascii="仿宋" w:eastAsia="仿宋" w:hAnsi="仿宋" w:cs="仿宋" w:hint="eastAsia"/>
            <w:lang w:eastAsia="zh-CN"/>
          </w:rPr>
          <w:t>(七)、机械设备安全保障措施</w:t>
        </w:r>
        <w:r>
          <w:tab/>
        </w:r>
        <w:r>
          <w:fldChar w:fldCharType="begin"/>
        </w:r>
        <w:r>
          <w:instrText xml:space="preserve"> PAGEREF _Toc31621 \h </w:instrText>
        </w:r>
        <w:r>
          <w:fldChar w:fldCharType="separate"/>
        </w:r>
        <w:r>
          <w:t>26</w:t>
        </w:r>
        <w:r>
          <w:fldChar w:fldCharType="end"/>
        </w:r>
      </w:hyperlink>
    </w:p>
    <w:p>
      <w:pPr>
        <w:pStyle w:val="TOC1"/>
        <w:tabs>
          <w:tab w:val="right" w:leader="dot" w:pos="8306"/>
        </w:tabs>
      </w:pPr>
      <w:hyperlink w:anchor="_Toc8044" w:history="1">
        <w:r>
          <w:rPr>
            <w:rFonts w:ascii="仿宋" w:eastAsia="仿宋" w:hAnsi="仿宋" w:cs="仿宋" w:hint="eastAsia"/>
            <w:lang w:eastAsia="zh-CN"/>
          </w:rPr>
          <w:t>八、锗单晶、锗片及金属锗项目投资规划</w:t>
        </w:r>
        <w:r>
          <w:tab/>
        </w:r>
        <w:r>
          <w:fldChar w:fldCharType="begin"/>
        </w:r>
        <w:r>
          <w:instrText xml:space="preserve"> PAGEREF _Toc8044 \h </w:instrText>
        </w:r>
        <w:r>
          <w:fldChar w:fldCharType="separate"/>
        </w:r>
        <w:r>
          <w:t>28</w:t>
        </w:r>
        <w:r>
          <w:fldChar w:fldCharType="end"/>
        </w:r>
      </w:hyperlink>
    </w:p>
    <w:p>
      <w:pPr>
        <w:pStyle w:val="TOC2"/>
        <w:tabs>
          <w:tab w:val="right" w:leader="dot" w:pos="8306"/>
        </w:tabs>
      </w:pPr>
      <w:hyperlink w:anchor="_Toc26642" w:history="1">
        <w:r>
          <w:rPr>
            <w:rFonts w:ascii="仿宋" w:eastAsia="仿宋" w:hAnsi="仿宋" w:cs="仿宋" w:hint="eastAsia"/>
            <w:lang w:eastAsia="zh-CN"/>
          </w:rPr>
          <w:t>(一)、锗单晶、锗片及金属锗项目总投资估算</w:t>
        </w:r>
        <w:r>
          <w:tab/>
        </w:r>
        <w:r>
          <w:fldChar w:fldCharType="begin"/>
        </w:r>
        <w:r>
          <w:instrText xml:space="preserve"> PAGEREF _Toc26642 \h </w:instrText>
        </w:r>
        <w:r>
          <w:fldChar w:fldCharType="separate"/>
        </w:r>
        <w:r>
          <w:t>28</w:t>
        </w:r>
        <w:r>
          <w:fldChar w:fldCharType="end"/>
        </w:r>
      </w:hyperlink>
    </w:p>
    <w:p>
      <w:pPr>
        <w:pStyle w:val="TOC2"/>
        <w:tabs>
          <w:tab w:val="right" w:leader="dot" w:pos="8306"/>
        </w:tabs>
      </w:pPr>
      <w:hyperlink w:anchor="_Toc26175" w:history="1">
        <w:r>
          <w:rPr>
            <w:rFonts w:ascii="仿宋" w:eastAsia="仿宋" w:hAnsi="仿宋" w:cs="仿宋" w:hint="eastAsia"/>
            <w:lang w:eastAsia="zh-CN"/>
          </w:rPr>
          <w:t>(二)、资金筹措</w:t>
        </w:r>
        <w:r>
          <w:tab/>
        </w:r>
        <w:r>
          <w:fldChar w:fldCharType="begin"/>
        </w:r>
        <w:r>
          <w:instrText xml:space="preserve"> PAGEREF _Toc26175 \h </w:instrText>
        </w:r>
        <w:r>
          <w:fldChar w:fldCharType="separate"/>
        </w:r>
        <w:r>
          <w:t>29</w:t>
        </w:r>
        <w:r>
          <w:fldChar w:fldCharType="end"/>
        </w:r>
      </w:hyperlink>
    </w:p>
    <w:p>
      <w:pPr>
        <w:pStyle w:val="TOC1"/>
        <w:tabs>
          <w:tab w:val="right" w:leader="dot" w:pos="8306"/>
        </w:tabs>
      </w:pPr>
      <w:hyperlink w:anchor="_Toc17359" w:history="1">
        <w:r>
          <w:rPr>
            <w:rFonts w:ascii="仿宋" w:eastAsia="仿宋" w:hAnsi="仿宋" w:cs="仿宋" w:hint="eastAsia"/>
            <w:lang w:eastAsia="zh-CN"/>
          </w:rPr>
          <w:t>九、锗单晶、锗片及金属锗项目财务管理</w:t>
        </w:r>
        <w:r>
          <w:tab/>
        </w:r>
        <w:r>
          <w:fldChar w:fldCharType="begin"/>
        </w:r>
        <w:r>
          <w:instrText xml:space="preserve"> PAGEREF _Toc17359 \h </w:instrText>
        </w:r>
        <w:r>
          <w:fldChar w:fldCharType="separate"/>
        </w:r>
        <w:r>
          <w:t>30</w:t>
        </w:r>
        <w:r>
          <w:fldChar w:fldCharType="end"/>
        </w:r>
      </w:hyperlink>
    </w:p>
    <w:p>
      <w:pPr>
        <w:pStyle w:val="TOC2"/>
        <w:tabs>
          <w:tab w:val="right" w:leader="dot" w:pos="8306"/>
        </w:tabs>
      </w:pPr>
      <w:hyperlink w:anchor="_Toc16776" w:history="1">
        <w:r>
          <w:rPr>
            <w:rFonts w:ascii="仿宋" w:eastAsia="仿宋" w:hAnsi="仿宋" w:cs="仿宋" w:hint="eastAsia"/>
            <w:lang w:eastAsia="zh-CN"/>
          </w:rPr>
          <w:t>(一)、资金需求大</w:t>
        </w:r>
        <w:r>
          <w:tab/>
        </w:r>
        <w:r>
          <w:fldChar w:fldCharType="begin"/>
        </w:r>
        <w:r>
          <w:instrText xml:space="preserve"> PAGEREF _Toc16776 \h </w:instrText>
        </w:r>
        <w:r>
          <w:fldChar w:fldCharType="separate"/>
        </w:r>
        <w:r>
          <w:t>30</w:t>
        </w:r>
        <w:r>
          <w:fldChar w:fldCharType="end"/>
        </w:r>
      </w:hyperlink>
    </w:p>
    <w:p>
      <w:pPr>
        <w:pStyle w:val="TOC2"/>
        <w:tabs>
          <w:tab w:val="right" w:leader="dot" w:pos="8306"/>
        </w:tabs>
      </w:pPr>
      <w:hyperlink w:anchor="_Toc26899" w:history="1">
        <w:r>
          <w:rPr>
            <w:rFonts w:ascii="仿宋" w:eastAsia="仿宋" w:hAnsi="仿宋" w:cs="仿宋" w:hint="eastAsia"/>
            <w:lang w:eastAsia="zh-CN"/>
          </w:rPr>
          <w:t>(二)、研发周期长</w:t>
        </w:r>
        <w:r>
          <w:tab/>
        </w:r>
        <w:r>
          <w:fldChar w:fldCharType="begin"/>
        </w:r>
        <w:r>
          <w:instrText xml:space="preserve"> PAGEREF _Toc26899 \h </w:instrText>
        </w:r>
        <w:r>
          <w:fldChar w:fldCharType="separate"/>
        </w:r>
        <w:r>
          <w:t>31</w:t>
        </w:r>
        <w:r>
          <w:fldChar w:fldCharType="end"/>
        </w:r>
      </w:hyperlink>
    </w:p>
    <w:p>
      <w:pPr>
        <w:pStyle w:val="TOC2"/>
        <w:tabs>
          <w:tab w:val="right" w:leader="dot" w:pos="8306"/>
        </w:tabs>
      </w:pPr>
      <w:hyperlink w:anchor="_Toc9339" w:history="1">
        <w:r>
          <w:rPr>
            <w:rFonts w:ascii="仿宋" w:eastAsia="仿宋" w:hAnsi="仿宋" w:cs="仿宋" w:hint="eastAsia"/>
            <w:lang w:eastAsia="zh-CN"/>
          </w:rPr>
          <w:t>(三)、市场风险大</w:t>
        </w:r>
        <w:r>
          <w:tab/>
        </w:r>
        <w:r>
          <w:fldChar w:fldCharType="begin"/>
        </w:r>
        <w:r>
          <w:instrText xml:space="preserve"> PAGEREF _Toc9339 \h </w:instrText>
        </w:r>
        <w:r>
          <w:fldChar w:fldCharType="separate"/>
        </w:r>
        <w:r>
          <w:t>32</w:t>
        </w:r>
        <w:r>
          <w:fldChar w:fldCharType="end"/>
        </w:r>
      </w:hyperlink>
    </w:p>
    <w:p>
      <w:pPr>
        <w:pStyle w:val="TOC2"/>
        <w:tabs>
          <w:tab w:val="right" w:leader="dot" w:pos="8306"/>
        </w:tabs>
      </w:pPr>
      <w:hyperlink w:anchor="_Toc24469" w:history="1">
        <w:r>
          <w:rPr>
            <w:rFonts w:ascii="仿宋" w:eastAsia="仿宋" w:hAnsi="仿宋" w:cs="仿宋" w:hint="eastAsia"/>
            <w:lang w:eastAsia="zh-CN"/>
          </w:rPr>
          <w:t>(四)、利润率高</w:t>
        </w:r>
        <w:r>
          <w:tab/>
        </w:r>
        <w:r>
          <w:fldChar w:fldCharType="begin"/>
        </w:r>
        <w:r>
          <w:instrText xml:space="preserve"> PAGEREF _Toc24469 \h </w:instrText>
        </w:r>
        <w:r>
          <w:fldChar w:fldCharType="separate"/>
        </w:r>
        <w:r>
          <w:t>35</w:t>
        </w:r>
        <w:r>
          <w:fldChar w:fldCharType="end"/>
        </w:r>
      </w:hyperlink>
    </w:p>
    <w:p>
      <w:pPr>
        <w:pStyle w:val="TOC1"/>
        <w:tabs>
          <w:tab w:val="right" w:leader="dot" w:pos="8306"/>
        </w:tabs>
      </w:pPr>
      <w:hyperlink w:anchor="_Toc7171" w:history="1">
        <w:r>
          <w:rPr>
            <w:rFonts w:ascii="仿宋" w:eastAsia="仿宋" w:hAnsi="仿宋" w:cs="仿宋" w:hint="eastAsia"/>
            <w:lang w:eastAsia="zh-CN"/>
          </w:rPr>
          <w:t>十、锗单晶、锗片及金属锗项目人力资源培养与发展</w:t>
        </w:r>
        <w:r>
          <w:tab/>
        </w:r>
        <w:r>
          <w:fldChar w:fldCharType="begin"/>
        </w:r>
        <w:r>
          <w:instrText xml:space="preserve"> PAGEREF _Toc7171 \h </w:instrText>
        </w:r>
        <w:r>
          <w:fldChar w:fldCharType="separate"/>
        </w:r>
        <w:r>
          <w:t>37</w:t>
        </w:r>
        <w:r>
          <w:fldChar w:fldCharType="end"/>
        </w:r>
      </w:hyperlink>
    </w:p>
    <w:p>
      <w:pPr>
        <w:pStyle w:val="TOC2"/>
        <w:tabs>
          <w:tab w:val="right" w:leader="dot" w:pos="8306"/>
        </w:tabs>
      </w:pPr>
      <w:hyperlink w:anchor="_Toc15481" w:history="1">
        <w:r>
          <w:rPr>
            <w:rFonts w:ascii="仿宋" w:eastAsia="仿宋" w:hAnsi="仿宋" w:cs="仿宋" w:hint="eastAsia"/>
            <w:lang w:eastAsia="zh-CN"/>
          </w:rPr>
          <w:t>(一)、人才需求与规划</w:t>
        </w:r>
        <w:r>
          <w:tab/>
        </w:r>
        <w:r>
          <w:fldChar w:fldCharType="begin"/>
        </w:r>
        <w:r>
          <w:instrText xml:space="preserve"> PAGEREF _Toc15481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24" w:history="1">
        <w:r>
          <w:rPr>
            <w:rFonts w:ascii="仿宋" w:eastAsia="仿宋" w:hAnsi="仿宋" w:cs="仿宋" w:hint="eastAsia"/>
            <w:lang w:eastAsia="zh-CN"/>
          </w:rPr>
          <w:t>(二)、培训与发展计划</w:t>
        </w:r>
        <w:r>
          <w:tab/>
        </w:r>
        <w:r>
          <w:fldChar w:fldCharType="begin"/>
        </w:r>
        <w:r>
          <w:instrText xml:space="preserve"> PAGEREF _Toc15624 \h </w:instrText>
        </w:r>
        <w:r>
          <w:fldChar w:fldCharType="separate"/>
        </w:r>
        <w:r>
          <w:t>38</w:t>
        </w:r>
        <w:r>
          <w:fldChar w:fldCharType="end"/>
        </w:r>
      </w:hyperlink>
    </w:p>
    <w:p>
      <w:pPr>
        <w:pStyle w:val="TOC1"/>
        <w:tabs>
          <w:tab w:val="right" w:leader="dot" w:pos="8306"/>
        </w:tabs>
      </w:pPr>
      <w:hyperlink w:anchor="_Toc11252" w:history="1">
        <w:r>
          <w:rPr>
            <w:rFonts w:ascii="仿宋" w:eastAsia="仿宋" w:hAnsi="仿宋" w:cs="仿宋" w:hint="eastAsia"/>
            <w:lang w:eastAsia="zh-CN"/>
          </w:rPr>
          <w:t>十一、锗单晶、锗片及金属锗项目风险管理</w:t>
        </w:r>
        <w:r>
          <w:tab/>
        </w:r>
        <w:r>
          <w:fldChar w:fldCharType="begin"/>
        </w:r>
        <w:r>
          <w:instrText xml:space="preserve"> PAGEREF _Toc11252 \h </w:instrText>
        </w:r>
        <w:r>
          <w:fldChar w:fldCharType="separate"/>
        </w:r>
        <w:r>
          <w:t>38</w:t>
        </w:r>
        <w:r>
          <w:fldChar w:fldCharType="end"/>
        </w:r>
      </w:hyperlink>
    </w:p>
    <w:p>
      <w:pPr>
        <w:pStyle w:val="TOC2"/>
        <w:tabs>
          <w:tab w:val="right" w:leader="dot" w:pos="8306"/>
        </w:tabs>
      </w:pPr>
      <w:hyperlink w:anchor="_Toc2586" w:history="1">
        <w:r>
          <w:rPr>
            <w:rFonts w:ascii="仿宋" w:eastAsia="仿宋" w:hAnsi="仿宋" w:cs="仿宋" w:hint="eastAsia"/>
            <w:lang w:eastAsia="zh-CN"/>
          </w:rPr>
          <w:t>(一)、风险识别与评估</w:t>
        </w:r>
        <w:r>
          <w:tab/>
        </w:r>
        <w:r>
          <w:fldChar w:fldCharType="begin"/>
        </w:r>
        <w:r>
          <w:instrText xml:space="preserve"> PAGEREF _Toc2586 \h </w:instrText>
        </w:r>
        <w:r>
          <w:fldChar w:fldCharType="separate"/>
        </w:r>
        <w:r>
          <w:t>38</w:t>
        </w:r>
        <w:r>
          <w:fldChar w:fldCharType="end"/>
        </w:r>
      </w:hyperlink>
    </w:p>
    <w:p>
      <w:pPr>
        <w:pStyle w:val="TOC2"/>
        <w:tabs>
          <w:tab w:val="right" w:leader="dot" w:pos="8306"/>
        </w:tabs>
      </w:pPr>
      <w:hyperlink w:anchor="_Toc14554" w:history="1">
        <w:r>
          <w:rPr>
            <w:rFonts w:ascii="仿宋" w:eastAsia="仿宋" w:hAnsi="仿宋" w:cs="仿宋" w:hint="eastAsia"/>
            <w:lang w:eastAsia="zh-CN"/>
          </w:rPr>
          <w:t>(二)、风险应对策略</w:t>
        </w:r>
        <w:r>
          <w:tab/>
        </w:r>
        <w:r>
          <w:fldChar w:fldCharType="begin"/>
        </w:r>
        <w:r>
          <w:instrText xml:space="preserve"> PAGEREF _Toc14554 \h </w:instrText>
        </w:r>
        <w:r>
          <w:fldChar w:fldCharType="separate"/>
        </w:r>
        <w:r>
          <w:t>40</w:t>
        </w:r>
        <w:r>
          <w:fldChar w:fldCharType="end"/>
        </w:r>
      </w:hyperlink>
    </w:p>
    <w:p>
      <w:pPr>
        <w:pStyle w:val="TOC2"/>
        <w:tabs>
          <w:tab w:val="right" w:leader="dot" w:pos="8306"/>
        </w:tabs>
      </w:pPr>
      <w:hyperlink w:anchor="_Toc13105" w:history="1">
        <w:r>
          <w:rPr>
            <w:rFonts w:ascii="仿宋" w:eastAsia="仿宋" w:hAnsi="仿宋" w:cs="仿宋" w:hint="eastAsia"/>
            <w:lang w:eastAsia="zh-CN"/>
          </w:rPr>
          <w:t>(三)、风险监控与控制</w:t>
        </w:r>
        <w:r>
          <w:tab/>
        </w:r>
        <w:r>
          <w:fldChar w:fldCharType="begin"/>
        </w:r>
        <w:r>
          <w:instrText xml:space="preserve"> PAGEREF _Toc13105 \h </w:instrText>
        </w:r>
        <w:r>
          <w:fldChar w:fldCharType="separate"/>
        </w:r>
        <w:r>
          <w:t>41</w:t>
        </w:r>
        <w:r>
          <w:fldChar w:fldCharType="end"/>
        </w:r>
      </w:hyperlink>
    </w:p>
    <w:p>
      <w:pPr>
        <w:pStyle w:val="TOC1"/>
        <w:tabs>
          <w:tab w:val="right" w:leader="dot" w:pos="8306"/>
        </w:tabs>
      </w:pPr>
      <w:hyperlink w:anchor="_Toc18901" w:history="1">
        <w:r>
          <w:rPr>
            <w:rFonts w:ascii="仿宋" w:eastAsia="仿宋" w:hAnsi="仿宋" w:cs="仿宋" w:hint="eastAsia"/>
            <w:lang w:eastAsia="zh-CN"/>
          </w:rPr>
          <w:t>十二、锗单晶、锗片及金属锗项目经营效益</w:t>
        </w:r>
        <w:r>
          <w:tab/>
        </w:r>
        <w:r>
          <w:fldChar w:fldCharType="begin"/>
        </w:r>
        <w:r>
          <w:instrText xml:space="preserve"> PAGEREF _Toc18901 \h </w:instrText>
        </w:r>
        <w:r>
          <w:fldChar w:fldCharType="separate"/>
        </w:r>
        <w:r>
          <w:t>43</w:t>
        </w:r>
        <w:r>
          <w:fldChar w:fldCharType="end"/>
        </w:r>
      </w:hyperlink>
    </w:p>
    <w:p>
      <w:pPr>
        <w:pStyle w:val="TOC2"/>
        <w:tabs>
          <w:tab w:val="right" w:leader="dot" w:pos="8306"/>
        </w:tabs>
      </w:pPr>
      <w:hyperlink w:anchor="_Toc26782" w:history="1">
        <w:r>
          <w:rPr>
            <w:rFonts w:ascii="仿宋" w:eastAsia="仿宋" w:hAnsi="仿宋" w:cs="仿宋" w:hint="eastAsia"/>
            <w:lang w:eastAsia="zh-CN"/>
          </w:rPr>
          <w:t>(一)、经济评价财务测算</w:t>
        </w:r>
        <w:r>
          <w:tab/>
        </w:r>
        <w:r>
          <w:fldChar w:fldCharType="begin"/>
        </w:r>
        <w:r>
          <w:instrText xml:space="preserve"> PAGEREF _Toc26782 \h </w:instrText>
        </w:r>
        <w:r>
          <w:fldChar w:fldCharType="separate"/>
        </w:r>
        <w:r>
          <w:t>43</w:t>
        </w:r>
        <w:r>
          <w:fldChar w:fldCharType="end"/>
        </w:r>
      </w:hyperlink>
    </w:p>
    <w:p>
      <w:pPr>
        <w:pStyle w:val="TOC2"/>
        <w:tabs>
          <w:tab w:val="right" w:leader="dot" w:pos="8306"/>
        </w:tabs>
      </w:pPr>
      <w:hyperlink w:anchor="_Toc18709" w:history="1">
        <w:r>
          <w:rPr>
            <w:rFonts w:ascii="仿宋" w:eastAsia="仿宋" w:hAnsi="仿宋" w:cs="仿宋" w:hint="eastAsia"/>
            <w:lang w:eastAsia="zh-CN"/>
          </w:rPr>
          <w:t>(二)、锗单晶、锗片及金属锗项目盈利能力分析</w:t>
        </w:r>
        <w:r>
          <w:tab/>
        </w:r>
        <w:r>
          <w:fldChar w:fldCharType="begin"/>
        </w:r>
        <w:r>
          <w:instrText xml:space="preserve"> PAGEREF _Toc18709 \h </w:instrText>
        </w:r>
        <w:r>
          <w:fldChar w:fldCharType="separate"/>
        </w:r>
        <w:r>
          <w:t>44</w:t>
        </w:r>
        <w:r>
          <w:fldChar w:fldCharType="end"/>
        </w:r>
      </w:hyperlink>
    </w:p>
    <w:p>
      <w:pPr>
        <w:pStyle w:val="TOC1"/>
        <w:tabs>
          <w:tab w:val="right" w:leader="dot" w:pos="8306"/>
        </w:tabs>
      </w:pPr>
      <w:hyperlink w:anchor="_Toc616" w:history="1">
        <w:r>
          <w:rPr>
            <w:rFonts w:ascii="仿宋" w:eastAsia="仿宋" w:hAnsi="仿宋" w:cs="仿宋" w:hint="eastAsia"/>
            <w:lang w:eastAsia="zh-CN"/>
          </w:rPr>
          <w:t>十三、锗单晶、锗片及金属锗项目工程方案分析</w:t>
        </w:r>
        <w:r>
          <w:tab/>
        </w:r>
        <w:r>
          <w:fldChar w:fldCharType="begin"/>
        </w:r>
        <w:r>
          <w:instrText xml:space="preserve"> PAGEREF _Toc616 \h </w:instrText>
        </w:r>
        <w:r>
          <w:fldChar w:fldCharType="separate"/>
        </w:r>
        <w:r>
          <w:t>45</w:t>
        </w:r>
        <w:r>
          <w:fldChar w:fldCharType="end"/>
        </w:r>
      </w:hyperlink>
    </w:p>
    <w:p>
      <w:pPr>
        <w:pStyle w:val="TOC2"/>
        <w:tabs>
          <w:tab w:val="right" w:leader="dot" w:pos="8306"/>
        </w:tabs>
      </w:pPr>
      <w:hyperlink w:anchor="_Toc21175" w:history="1">
        <w:r>
          <w:rPr>
            <w:rFonts w:ascii="仿宋" w:eastAsia="仿宋" w:hAnsi="仿宋" w:cs="仿宋" w:hint="eastAsia"/>
            <w:lang w:eastAsia="zh-CN"/>
          </w:rPr>
          <w:t>(一)、建筑工程设计原则</w:t>
        </w:r>
        <w:r>
          <w:tab/>
        </w:r>
        <w:r>
          <w:fldChar w:fldCharType="begin"/>
        </w:r>
        <w:r>
          <w:instrText xml:space="preserve"> PAGEREF _Toc21175 \h </w:instrText>
        </w:r>
        <w:r>
          <w:fldChar w:fldCharType="separate"/>
        </w:r>
        <w:r>
          <w:t>45</w:t>
        </w:r>
        <w:r>
          <w:fldChar w:fldCharType="end"/>
        </w:r>
      </w:hyperlink>
    </w:p>
    <w:p>
      <w:pPr>
        <w:pStyle w:val="TOC2"/>
        <w:tabs>
          <w:tab w:val="right" w:leader="dot" w:pos="8306"/>
        </w:tabs>
      </w:pPr>
      <w:hyperlink w:anchor="_Toc1957" w:history="1">
        <w:r>
          <w:rPr>
            <w:rFonts w:ascii="仿宋" w:eastAsia="仿宋" w:hAnsi="仿宋" w:cs="仿宋" w:hint="eastAsia"/>
            <w:lang w:eastAsia="zh-CN"/>
          </w:rPr>
          <w:t>(二)、土建工程建设指标</w:t>
        </w:r>
        <w:r>
          <w:tab/>
        </w:r>
        <w:r>
          <w:fldChar w:fldCharType="begin"/>
        </w:r>
        <w:r>
          <w:instrText xml:space="preserve"> PAGEREF _Toc1957 \h </w:instrText>
        </w:r>
        <w:r>
          <w:fldChar w:fldCharType="separate"/>
        </w:r>
        <w:r>
          <w:t>48</w:t>
        </w:r>
        <w:r>
          <w:fldChar w:fldCharType="end"/>
        </w:r>
      </w:hyperlink>
    </w:p>
    <w:p>
      <w:pPr>
        <w:pStyle w:val="TOC1"/>
        <w:tabs>
          <w:tab w:val="right" w:leader="dot" w:pos="8306"/>
        </w:tabs>
      </w:pPr>
      <w:hyperlink w:anchor="_Toc26424" w:history="1">
        <w:r>
          <w:rPr>
            <w:rFonts w:ascii="仿宋" w:eastAsia="仿宋" w:hAnsi="仿宋" w:cs="仿宋" w:hint="eastAsia"/>
            <w:lang w:eastAsia="zh-CN"/>
          </w:rPr>
          <w:t>十四、锗单晶、锗片及金属锗项目实施保障措施</w:t>
        </w:r>
        <w:r>
          <w:tab/>
        </w:r>
        <w:r>
          <w:fldChar w:fldCharType="begin"/>
        </w:r>
        <w:r>
          <w:instrText xml:space="preserve"> PAGEREF _Toc26424 \h </w:instrText>
        </w:r>
        <w:r>
          <w:fldChar w:fldCharType="separate"/>
        </w:r>
        <w:r>
          <w:t>50</w:t>
        </w:r>
        <w:r>
          <w:fldChar w:fldCharType="end"/>
        </w:r>
      </w:hyperlink>
    </w:p>
    <w:p>
      <w:pPr>
        <w:pStyle w:val="TOC2"/>
        <w:tabs>
          <w:tab w:val="right" w:leader="dot" w:pos="8306"/>
        </w:tabs>
      </w:pPr>
      <w:hyperlink w:anchor="_Toc15765" w:history="1">
        <w:r>
          <w:rPr>
            <w:rFonts w:ascii="仿宋" w:eastAsia="仿宋" w:hAnsi="仿宋" w:cs="仿宋" w:hint="eastAsia"/>
            <w:lang w:eastAsia="zh-CN"/>
          </w:rPr>
          <w:t>(一)、锗单晶、锗片及金属锗项目实施保障机制</w:t>
        </w:r>
        <w:r>
          <w:tab/>
        </w:r>
        <w:r>
          <w:fldChar w:fldCharType="begin"/>
        </w:r>
        <w:r>
          <w:instrText xml:space="preserve"> PAGEREF _Toc15765 \h </w:instrText>
        </w:r>
        <w:r>
          <w:fldChar w:fldCharType="separate"/>
        </w:r>
        <w:r>
          <w:t>50</w:t>
        </w:r>
        <w:r>
          <w:fldChar w:fldCharType="end"/>
        </w:r>
      </w:hyperlink>
    </w:p>
    <w:p>
      <w:pPr>
        <w:pStyle w:val="TOC2"/>
        <w:tabs>
          <w:tab w:val="right" w:leader="dot" w:pos="8306"/>
        </w:tabs>
      </w:pPr>
      <w:hyperlink w:anchor="_Toc19119" w:history="1">
        <w:r>
          <w:rPr>
            <w:rFonts w:ascii="仿宋" w:eastAsia="仿宋" w:hAnsi="仿宋" w:cs="仿宋" w:hint="eastAsia"/>
            <w:lang w:eastAsia="zh-CN"/>
          </w:rPr>
          <w:t>(二)、锗单晶、锗片及金属锗项目法律合规要求</w:t>
        </w:r>
        <w:r>
          <w:tab/>
        </w:r>
        <w:r>
          <w:fldChar w:fldCharType="begin"/>
        </w:r>
        <w:r>
          <w:instrText xml:space="preserve"> PAGEREF _Toc19119 \h </w:instrText>
        </w:r>
        <w:r>
          <w:fldChar w:fldCharType="separate"/>
        </w:r>
        <w:r>
          <w:t>54</w:t>
        </w:r>
        <w:r>
          <w:fldChar w:fldCharType="end"/>
        </w:r>
      </w:hyperlink>
    </w:p>
    <w:p>
      <w:pPr>
        <w:pStyle w:val="TOC2"/>
        <w:tabs>
          <w:tab w:val="right" w:leader="dot" w:pos="8306"/>
        </w:tabs>
      </w:pPr>
      <w:hyperlink w:anchor="_Toc25729" w:history="1">
        <w:r>
          <w:rPr>
            <w:rFonts w:ascii="仿宋" w:eastAsia="仿宋" w:hAnsi="仿宋" w:cs="仿宋" w:hint="eastAsia"/>
            <w:lang w:eastAsia="zh-CN"/>
          </w:rPr>
          <w:t>(三)、锗单晶、锗片及金属锗项目合同管理与法律事务</w:t>
        </w:r>
        <w:r>
          <w:tab/>
        </w:r>
        <w:r>
          <w:fldChar w:fldCharType="begin"/>
        </w:r>
        <w:r>
          <w:instrText xml:space="preserve"> PAGEREF _Toc25729 \h </w:instrText>
        </w:r>
        <w:r>
          <w:fldChar w:fldCharType="separate"/>
        </w:r>
        <w:r>
          <w:t>58</w:t>
        </w:r>
        <w:r>
          <w:fldChar w:fldCharType="end"/>
        </w:r>
      </w:hyperlink>
    </w:p>
    <w:p>
      <w:pPr>
        <w:pStyle w:val="TOC2"/>
        <w:tabs>
          <w:tab w:val="right" w:leader="dot" w:pos="8306"/>
        </w:tabs>
      </w:pPr>
      <w:hyperlink w:anchor="_Toc16033" w:history="1">
        <w:r>
          <w:rPr>
            <w:rFonts w:ascii="仿宋" w:eastAsia="仿宋" w:hAnsi="仿宋" w:cs="仿宋" w:hint="eastAsia"/>
            <w:lang w:eastAsia="zh-CN"/>
          </w:rPr>
          <w:t>(四)、锗单晶、锗片及金属锗项目知识产权保护策略</w:t>
        </w:r>
        <w:r>
          <w:tab/>
        </w:r>
        <w:r>
          <w:fldChar w:fldCharType="begin"/>
        </w:r>
        <w:r>
          <w:instrText xml:space="preserve"> PAGEREF _Toc16033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6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的技术管理特点体现在其创新导向。通过引入最先进的技术趋势和解决方案，锗单晶、锗片及金属锗项目致力于提升科技含量、提高质量和效率水平。这意味着我们将采用最新的工具和方法，确保锗单晶、锗片及金属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锗单晶、锗片及金属锗项目技术管理的显著特征。通过整合不同领域的技术资源，我们实现了跨学科的协同工作。这有助于优化技术架构，提高整体效能。此外，整合性策略还促进了不同技术团队之间的紧密沟通和高效合作，确保锗单晶、锗片及金属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锗单晶、锗片及金属锗项目所采用的技术。通过不断优化技术方案，锗单晶、锗片及金属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锗单晶、锗片及金属锗项目团队将在锗单晶、锗片及金属锗项目初期识别可能的技术风险，并采取相应的预防和应对措施。通过建立健全的风险评估机制，锗单晶、锗片及金属锗项目能够在实施过程中及时发现并解决潜在的技术问题，保障锗单晶、锗片及金属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锗单晶、锗片及金属锗项目中，技术将成为锗单晶、锗片及金属锗项目成功的有力支持。这一深度剖析揭示了技术管理在锗单晶、锗片及金属锗项目实施中的关键作用，为锗单晶、锗片及金属锗项目的技术基础奠定了坚实的基础。</w:t>
      </w:r>
    </w:p>
    <w:p>
      <w:pPr>
        <w:pStyle w:val="Heading2"/>
        <w:ind w:firstLine="560" w:firstLineChars="200"/>
        <w:rPr>
          <w:rFonts w:ascii="仿宋" w:eastAsia="仿宋" w:hAnsi="仿宋" w:cs="仿宋" w:hint="eastAsia"/>
          <w:sz w:val="28"/>
          <w:lang w:eastAsia="zh-CN"/>
        </w:rPr>
      </w:pPr>
      <w:bookmarkStart w:id="4" w:name="_Toc30947"/>
      <w:r>
        <w:rPr>
          <w:rFonts w:ascii="仿宋" w:eastAsia="仿宋" w:hAnsi="仿宋" w:cs="仿宋" w:hint="eastAsia"/>
          <w:sz w:val="28"/>
          <w:lang w:eastAsia="zh-CN"/>
        </w:rPr>
        <w:t>(二)、锗单晶、锗片及金属锗项目工艺技术设计方案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锗单晶、锗片及金属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锗单晶、锗片及金属锗项目将严格按照相关行业规范要求进行组织。通过有效控制产品质量，锗单晶、锗片及金属锗项目将致力于为顾客提供优质的锗单晶、锗片及金属锗项目产品和良好的服务。这体现了锗单晶、锗片及金属锗项目对于生产活动合规性和质量标准的高度重视，为锗单晶、锗片及金属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锗单晶、锗片及金属锗项目注重生态效益和清洁生产原则。锗单晶、锗片及金属锗项目建设将紧密结合地方特色经济发展，与社会经济发展规划和区域环境保护规划方案相协调一致。通过与当地区域自然生态系统的结合，锗单晶、锗片及金属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锗单晶、锗片及金属锗项目产品具有多样化的客户需求和个性化的特点。因此，锗单晶、锗片及金属锗项目产品规格品种多样，且单批生产数量较小。为满足这一特点，锗单晶、锗片及金属锗项目承办单位将建设先进的柔性制造生产线。通过广泛应用柔性制造技术，锗单晶、锗片及金属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锗单晶、锗片及金属锗项目采用的技术具有较高的技术含量和自动化水平，处于国内先进水平。这一技术选用不仅体现了对生产效率、质量和环境友好性的高标准要求，同时为锗单晶、锗片及金属锗项目的可持续发展奠定了坚实的基础。</w:t>
      </w:r>
    </w:p>
    <w:p>
      <w:pPr>
        <w:pStyle w:val="Heading2"/>
        <w:ind w:firstLine="560" w:firstLineChars="200"/>
        <w:rPr>
          <w:rFonts w:ascii="仿宋" w:eastAsia="仿宋" w:hAnsi="仿宋" w:cs="仿宋" w:hint="eastAsia"/>
          <w:sz w:val="28"/>
          <w:lang w:eastAsia="zh-CN"/>
        </w:rPr>
      </w:pPr>
      <w:bookmarkStart w:id="5" w:name="_Toc2923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为确保锗单晶、锗片及金属锗项目的高效生产和技术实施，我们制定了一套精心设计的设备选型方案，以满足锗单晶、锗片及金属锗项目生产、质量和环保的要求。该方案的主要特点如下：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锗单晶、锗片及金属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锗单晶、锗片及金属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65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576"/>
      <w:r>
        <w:rPr>
          <w:rFonts w:ascii="仿宋" w:eastAsia="仿宋" w:hAnsi="仿宋" w:cs="仿宋" w:hint="eastAsia"/>
          <w:lang w:eastAsia="zh-CN"/>
        </w:rPr>
        <w:t>(一)、锗单晶、锗片及金属锗行业分析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行业一直以来都是市场的关注焦点。行业内的发展趋势、竞争态势以及潜在机会都对锗单晶、锗片及金属锗项目的推进产生深远的影响。通过深入研究行业的整体概貌，我们将更好地理解行业的核心特征，为锗单晶、锗片及金属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锗单晶、锗片及金属锗行业，技术一直是推动创新和发展的关键因素。我们将对当前技术趋势进行详尽分析，包括但不限于人工智能、大数据应用、先进制造技术等。这有助于锗单晶、锗片及金属锗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锗单晶、锗片及金属锗项目成功的基础。我们将对主要竞争对手进行深入研究，包括其市场份额、产品特点、市场定位等。通过全面了解竞争对手的优势和劣势，锗单晶、锗片及金属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485"/>
      <w:r>
        <w:rPr>
          <w:rFonts w:ascii="仿宋" w:eastAsia="仿宋" w:hAnsi="仿宋" w:cs="仿宋" w:hint="eastAsia"/>
          <w:sz w:val="28"/>
          <w:lang w:eastAsia="zh-CN"/>
        </w:rPr>
        <w:t>(二)、锗单晶、锗片及金属锗市场分析预测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锗单晶、锗片及金属锗市场未来的增长趋势。这包括市场的整体规模、各细分领域的发展趋势等。锗单晶、锗片及金属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锗单晶、锗片及金属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锗单晶、锗片及金属锗项目实施过程中需要充分考虑的因素。我们将对市场风险进行全面评估，包括但不限于政策法规风险、市场竞争风险、技术变革风险等。通过对潜在风险的深入分析，锗单晶、锗片及金属锗项目可以制定相应的风险缓解策略，降低不确定性对锗单晶、锗片及金属锗项目的影响。</w:t>
      </w:r>
    </w:p>
    <w:p>
      <w:pPr>
        <w:pStyle w:val="Heading1"/>
        <w:ind w:firstLine="560" w:firstLineChars="200"/>
        <w:rPr>
          <w:rFonts w:ascii="仿宋" w:eastAsia="仿宋" w:hAnsi="仿宋" w:cs="仿宋" w:hint="eastAsia"/>
          <w:sz w:val="28"/>
          <w:lang w:eastAsia="zh-CN"/>
        </w:rPr>
      </w:pPr>
      <w:bookmarkStart w:id="9" w:name="_Toc2776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929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锗单晶、锗片及金属锗项目的主要产品是XXXX，预计年产值为XXX万元。这一产品在市场中占据着重要的地位，其广泛的应用范围使得该锗单晶、锗片及金属锗项目的市场前景非常广阔。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锗单晶、锗片及金属锗项目的xxx产品作为重要的原材料之一，将在多个领域发挥关键作用。其在建筑、交通、能源等方面的广泛应用将为整个产业链提供强大的支持，形成产业协同效应。锗单晶、锗片及金属锗项目的年产值XXX万XXX万XXX万万元不仅反映了其在市场上的巨大潜力，更预示着它对国民经济的积极贡献。这种关联度高、涉及面广的产业关系，使得该锗单晶、锗片及金属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568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总征地面积为XXXX平方米，相当于约XX.XX亩，其中净用地面积为XXXX平方米，红线范围内相当于约XX.XX亩。这一用地规模充分考虑了锗单晶、锗片及金属锗项目的建设需求，保障了锗单晶、锗片及金属锗项目在合适的空间内得以充分发展。锗单晶、锗片及金属锗项目规划的总建筑面积为XXXX平方米，其中主体工程建设占XXXX平方米，计容建筑面积达XXXX平方米。预计建筑工程的投资将达到XXXX万元，为锗单晶、锗片及金属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计划购置的设备共计XXXX台（套），设备购置费用为XXXX万元。这一设备购置计划充分考虑到锗单晶、锗片及金属锗项目的生产需求和技术要求，确保了锗单晶、锗片及金属锗项目在生产运营中具备先进的技术装备和高效的生产能力。设备的合理配置将为锗单晶、锗片及金属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锗单晶、锗片及金属锗项目计划总投资为XXXX万元，预计年实现营业收入为XXXX万元。这一产能规模的设定旨在确保锗单晶、锗片及金属锗项目能够在投资与回报之间取得平衡，实现长期可持续的发展。锗单晶、锗片及金属锗项目的总投资充分考虑到各个方面的需求，包括用地建设、设备购置等多个环节，以确保锗单晶、锗片及金属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971"/>
      <w:r>
        <w:rPr>
          <w:rFonts w:ascii="仿宋" w:eastAsia="仿宋" w:hAnsi="仿宋" w:cs="仿宋" w:hint="eastAsia"/>
          <w:sz w:val="28"/>
          <w:lang w:eastAsia="zh-CN"/>
        </w:rPr>
        <w:t>四、锗单晶、锗片及金属锗项目可持续发展</w:t>
      </w:r>
      <w:bookmarkEnd w:id="12"/>
    </w:p>
    <w:p>
      <w:pPr>
        <w:pStyle w:val="Heading2"/>
        <w:rPr>
          <w:rFonts w:ascii="仿宋" w:eastAsia="仿宋" w:hAnsi="仿宋" w:cs="仿宋" w:hint="eastAsia"/>
          <w:lang w:eastAsia="zh-CN"/>
        </w:rPr>
      </w:pPr>
      <w:bookmarkStart w:id="13" w:name="_Toc1501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锗单晶、锗片及金属锗项目中，锗单晶、锗片及金属锗项目团队着眼于未来，明确了可持续发展的战略方向。制定的具体可持续发展目标包括降低资源使用、采用环保技术、最大化社会效益等。这一步骤不仅有助于锗单晶、锗片及金属锗项目在环保和社会责任方面达到最高标准，也为未来提供了明确的指引，确保锗单晶、锗片及金属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可持续实践的融入锗单晶、锗片及金属锗项目管理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锗单晶、锗片及金属锗项目管理周期。从锗单晶、锗片及金属锗项目规划开始，锗单晶、锗片及金属锗项目团队就考虑了环境和社会的因素。在执行阶段，锗单晶、锗片及金属锗项目团队积极推动绿色技术的应用，优化资源利用。此外，关注员工的社会责任，通过培训和沟通活动提高员工对可持续发展的认知，使他们能够在日常工作中践行可持续实践。这些举措不仅为锗单晶、锗片及金属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47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锗单晶、锗片及金属锗项目的可持续发展理念，我们深信环保与社会责任是锗单晶、锗片及金属锗项目成功的关键支柱。在锗单晶、锗片及金属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团队通过引入先进的环保技术、建立高效的废物处理系统以及推动能源节约措施，积极履行环保责任。定期的环保监测和评估确保锗单晶、锗片及金属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不仅致力于自身可持续发展，还注重对社会的回馈。通过支持社区锗单晶、锗片及金属锗项目、参与慈善事业、提供培训机会等方式，锗单晶、锗片及金属锗项目积极履行社会责任。与当地社区建立积极互动，关注员工的工作与生活平衡，以及员工的身心健康，是锗单晶、锗片及金属锗项目在社会责任层面的关键举措。这样的实践不仅增强了锗单晶、锗片及金属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703"/>
      <w:r>
        <w:rPr>
          <w:rFonts w:ascii="仿宋" w:eastAsia="仿宋" w:hAnsi="仿宋" w:cs="仿宋" w:hint="eastAsia"/>
          <w:sz w:val="28"/>
          <w:lang w:eastAsia="zh-CN"/>
        </w:rPr>
        <w:t>五、锗单晶、锗片及金属锗项目绩效评估</w:t>
      </w:r>
      <w:bookmarkEnd w:id="15"/>
    </w:p>
    <w:p>
      <w:pPr>
        <w:pStyle w:val="Heading2"/>
        <w:rPr>
          <w:rFonts w:ascii="仿宋" w:eastAsia="仿宋" w:hAnsi="仿宋" w:cs="仿宋" w:hint="eastAsia"/>
          <w:lang w:eastAsia="zh-CN"/>
        </w:rPr>
      </w:pPr>
      <w:bookmarkStart w:id="16" w:name="_Toc575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锗单晶、锗片及金属锗项目中，我们设计了一套全面的绩效评估指标，以确保锗单晶、锗片及金属锗项目的可控和成功交付。这些指标跨足锗单晶、锗片及金属锗项目目标、成本、进度和质量等多个维度，为我们提供了全面洞察锗单晶、锗片及金属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目标达成率是我们关注的首要指标。我们设定了明确的目标，并通过定期监测和评估，迅速发现并应对潜在的目标偏差。这为锗单晶、锗片及金属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成本绩效是另一个核心关注点。通过实际成本与预算成本的对比分析，我们深入了解成本差异的原因，及时调整资源分配，保持锗单晶、锗片及金属锗项目在经济效益方面的合理水平。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进度作为关键的绩效指标之一，得到了精心的关注。我们制定了详细的锗单晶、锗片及金属锗项目进度计划，并设立了进度符合度指标，确保实际进度与计划进度保持一致。这使我们能够快速发现和解决潜在的进度问题，保持锗单晶、锗片及金属锗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锗单晶、锗片及金属锗项目绩效的不可或缺的一环。我们引入了一系列的质量标准和客户满意度指标，以确保锗单晶、锗片及金属锗项目交付的成果在质量上达到或超越预期水平。通过持续监测这些指标，我们努力提升锗单晶、锗片及金属锗项目整体质量水平，为锗单晶、锗片及金属锗项目的成功交付提供有力保障。通过这些科学且全面的绩效评估，我们能够更好地引导锗单晶、锗片及金属锗项目的持续改进，确保锗单晶、锗片及金属锗项目目标的顺利达成。</w:t>
      </w:r>
    </w:p>
    <w:p>
      <w:pPr>
        <w:pStyle w:val="Heading2"/>
        <w:ind w:firstLine="560" w:firstLineChars="200"/>
        <w:rPr>
          <w:rFonts w:ascii="仿宋" w:eastAsia="仿宋" w:hAnsi="仿宋" w:cs="仿宋" w:hint="eastAsia"/>
          <w:sz w:val="28"/>
          <w:lang w:eastAsia="zh-CN"/>
        </w:rPr>
      </w:pPr>
      <w:bookmarkStart w:id="17" w:name="_Toc3208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绩效评估是锗单晶、锗片及金属锗项目中的关键环节，为确保锗单晶、锗片及金属锗项目达到预期目标，我们采用了多层次、多维度的绩效评估方法。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锗单晶、锗片及金属锗项目的战略目标对齐，确保每个决策和行动都与锗单晶、锗片及金属锗项目整体目标保持一致。团队会定期召开战略对齐会议，审视当前工作与锗单晶、锗片及金属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锗单晶、锗片及金属锗项目进度、质量、成本和风险等方面。这些指标通过数据收集和分析，为锗单晶、锗片及金属锗项目管理团队提供了客观的评估依据。例如，我们通过锗单晶、锗片及金属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锗单晶、锗片及金属锗项目内部，还考虑了锗单晶、锗片及金属锗项目对外部环境的影响。我们定期进行干系人满意度调查，以了解各利益相关方对锗单晶、锗片及金属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这种多层次、多角度的绩效评估方法，使得我们能够全面了解锗单晶、锗片及金属锗项目的运行状态，及时做出调整，确保锗单晶、锗片及金属锗项目在不断变化的环境中保持稳健前行。</w:t>
      </w:r>
    </w:p>
    <w:p>
      <w:pPr>
        <w:pStyle w:val="Heading2"/>
        <w:ind w:firstLine="560" w:firstLineChars="200"/>
        <w:rPr>
          <w:rFonts w:ascii="仿宋" w:eastAsia="仿宋" w:hAnsi="仿宋" w:cs="仿宋" w:hint="eastAsia"/>
          <w:sz w:val="28"/>
          <w:lang w:eastAsia="zh-CN"/>
        </w:rPr>
      </w:pPr>
      <w:bookmarkStart w:id="18" w:name="_Toc52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为了确保锗单晶、锗片及金属锗项目的有效管理和不断优化，我们采用了精心设计的绩效评估周期。这个周期旨在实现灵活、实时和全面的评估，以适应锗单晶、锗片及金属锗项目执行中的各种挑战。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锗单晶、锗片及金属锗项目的不同需求，分为短期、中期和长期。短期评估关注每个迭代或工作周期，以及时发现和解决当前任务中的问题。中期评估涵盖几个迭代，深入了解整体锗单晶、锗片及金属锗项目的趋势和性能。长期评估则着眼于整个锗单晶、锗片及金属锗项目阶段，确保锗单晶、锗片及金属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锗单晶、锗片及金属锗项目管理工具和协作平台，团队成员能够随时更新和分享锗单晶、锗片及金属锗项目数据。这种实时性的反馈机制使我们能够及时察觉潜在问题，快速调整，保持锗单晶、锗片及金属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锗单晶、锗片及金属锗项目的决策制定密不可分。每个周期的锗单晶、锗片及金属锗项目回顾会议成为集体总结经验、识别问题深层次原因并找到创新解决方案的平台。这种定期的反思与调整机制使锗单晶、锗片及金属锗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1890"/>
      <w:r>
        <w:rPr>
          <w:rFonts w:ascii="仿宋" w:eastAsia="仿宋" w:hAnsi="仿宋" w:cs="仿宋" w:hint="eastAsia"/>
          <w:sz w:val="28"/>
          <w:lang w:eastAsia="zh-CN"/>
        </w:rPr>
        <w:t>六、锗单晶、锗片及金属锗项目土建工程</w:t>
      </w:r>
      <w:bookmarkEnd w:id="19"/>
    </w:p>
    <w:p>
      <w:pPr>
        <w:pStyle w:val="Heading2"/>
        <w:rPr>
          <w:rFonts w:ascii="仿宋" w:eastAsia="仿宋" w:hAnsi="仿宋" w:cs="仿宋" w:hint="eastAsia"/>
          <w:lang w:eastAsia="zh-CN"/>
        </w:rPr>
      </w:pPr>
      <w:bookmarkStart w:id="20" w:name="_Toc555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在锗单晶、锗片及金属锗项目的建筑工程设计中，我们将秉承一系列重要的设计原则，以确保锗单晶、锗片及金属锗项目建筑在功能、美观、可持续性等方面达到最佳效果。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首要原则是确保建筑的功能性得到最大化的发挥。我们将充分理解锗单晶、锗片及金属锗项目的实际需求，合理布局各个功能区域，保证建筑在满足业务需求的同时，提供高效的工作环境。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https://d.book118.com/078116135065006023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C25505"/>
    <w:rsid w:val="2EC255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16135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2024-01-02T06:24:00Z</dcterms:created>
  <dcterms:modified xsi:type="dcterms:W3CDTF">2024-01-02T06:24:53Z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7BDEAE69ACE44467BD218E8749FE87B4_11</vt:lpwstr>
  </property>
  <property fmtid="{D5CDD505-2E9C-101B-9397-08002B2CF9AE}" pid="3" name="KSOProductBuildVer">
    <vt:lpwstr>2052-12.1.0.16120</vt:lpwstr>
  </property>
</Properties>
</file>