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pPr>
      <w:r>
        <w:pict>
          <v:rect id="_x0000_s1025" style="width:220.6pt;height:1pt;margin-top:417.66pt;margin-left:338.34pt;mso-position-horizontal-relative:page;mso-position-vertical-relative:page;position:absolute;z-index:251659264" o:allowincell="f" filled="t" fillcolor="#ef6b2d" stroked="f"/>
        </w:pict>
      </w:r>
      <w:r>
        <w:pict>
          <v:shape id="_x0000_s1026" style="width:220.6pt;height:1pt;margin-top:370.14pt;margin-left:338.34pt;mso-position-horizontal-relative:page;mso-position-vertical-relative:page;position:absolute;z-index:251658240" coordorigin="0,0" coordsize="4412,20" o:allowincell="f" path="m,9l4411,9e" filled="f" strokecolor="#ef6b2d" strokeweight="0.99pt">
            <v:stroke joinstyle="miter"/>
          </v:shape>
        </w:pic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309" w:line="185" w:lineRule="auto"/>
        <w:ind w:left="6830"/>
        <w:rPr>
          <w:rFonts w:ascii="Microsoft YaHei" w:eastAsia="Microsoft YaHei" w:hAnsi="Microsoft YaHei" w:cs="Microsoft YaHei"/>
          <w:sz w:val="72"/>
          <w:szCs w:val="72"/>
        </w:rPr>
      </w:pPr>
      <w:r>
        <w:rPr>
          <w:rFonts w:ascii="Microsoft YaHei" w:eastAsia="Microsoft YaHei" w:hAnsi="Microsoft YaHei" w:cs="Microsoft YaHei"/>
          <w:b/>
          <w:bCs/>
          <w:color w:val="3E3E3F"/>
          <w:spacing w:val="4"/>
          <w:sz w:val="72"/>
          <w:szCs w:val="72"/>
        </w:rPr>
        <w:t>中国责任投资</w:t>
      </w:r>
    </w:p>
    <w:p>
      <w:pPr>
        <w:spacing w:before="2" w:line="179" w:lineRule="auto"/>
        <w:ind w:left="7532"/>
        <w:rPr>
          <w:rFonts w:ascii="Microsoft YaHei" w:eastAsia="Microsoft YaHei" w:hAnsi="Microsoft YaHei" w:cs="Microsoft YaHei"/>
          <w:sz w:val="72"/>
          <w:szCs w:val="72"/>
        </w:rPr>
      </w:pPr>
      <w:r>
        <w:rPr>
          <w:rFonts w:ascii="Microsoft YaHei" w:eastAsia="Microsoft YaHei" w:hAnsi="Microsoft YaHei" w:cs="Microsoft YaHei"/>
          <w:b/>
          <w:bCs/>
          <w:color w:val="3E3E3F"/>
          <w:spacing w:val="6"/>
          <w:sz w:val="72"/>
          <w:szCs w:val="72"/>
        </w:rPr>
        <w:t>年度报告</w:t>
      </w:r>
    </w:p>
    <w:p>
      <w:pPr>
        <w:spacing w:before="215" w:line="179" w:lineRule="auto"/>
        <w:ind w:left="7028"/>
        <w:rPr>
          <w:rFonts w:ascii="Microsoft YaHei" w:eastAsia="Microsoft YaHei" w:hAnsi="Microsoft YaHei" w:cs="Microsoft YaHei"/>
          <w:sz w:val="49"/>
          <w:szCs w:val="49"/>
        </w:rPr>
      </w:pPr>
      <w:r>
        <w:rPr>
          <w:rFonts w:ascii="Microsoft YaHei" w:eastAsia="Microsoft YaHei" w:hAnsi="Microsoft YaHei" w:cs="Microsoft YaHei"/>
          <w:color w:val="3E3E3F"/>
          <w:spacing w:val="-11"/>
          <w:sz w:val="49"/>
          <w:szCs w:val="49"/>
        </w:rPr>
        <w:t>China Sustainable</w:t>
      </w:r>
    </w:p>
    <w:p>
      <w:pPr>
        <w:spacing w:before="2" w:line="176" w:lineRule="auto"/>
        <w:ind w:left="6958"/>
        <w:rPr>
          <w:rFonts w:ascii="Microsoft YaHei" w:eastAsia="Microsoft YaHei" w:hAnsi="Microsoft YaHei" w:cs="Microsoft YaHei"/>
          <w:sz w:val="49"/>
          <w:szCs w:val="49"/>
        </w:rPr>
      </w:pPr>
      <w:r>
        <w:rPr>
          <w:rFonts w:ascii="Microsoft YaHei" w:eastAsia="Microsoft YaHei" w:hAnsi="Microsoft YaHei" w:cs="Microsoft YaHei"/>
          <w:color w:val="3E3E3F"/>
          <w:spacing w:val="-15"/>
          <w:sz w:val="49"/>
          <w:szCs w:val="49"/>
        </w:rPr>
        <w:t>Investment Review</w:t>
      </w:r>
    </w:p>
    <w:p>
      <w:pPr>
        <w:pStyle w:val="BodyText"/>
        <w:spacing w:line="419" w:lineRule="auto"/>
      </w:pPr>
    </w:p>
    <w:p>
      <w:pPr>
        <w:pStyle w:val="BodyText"/>
        <w:spacing w:before="198" w:line="194" w:lineRule="auto"/>
        <w:ind w:left="7157"/>
        <w:rPr>
          <w:sz w:val="69"/>
          <w:szCs w:val="69"/>
        </w:rPr>
      </w:pPr>
      <w:r>
        <w:rPr>
          <w:color w:val="EF6B2D"/>
          <w:spacing w:val="-10"/>
          <w:sz w:val="69"/>
          <w:szCs w:val="69"/>
        </w:rPr>
        <w:t>2</w:t>
      </w:r>
      <w:r>
        <w:rPr>
          <w:color w:val="EF6B2D"/>
          <w:spacing w:val="50"/>
          <w:sz w:val="69"/>
          <w:szCs w:val="69"/>
        </w:rPr>
        <w:t xml:space="preserve">   </w:t>
      </w:r>
      <w:r>
        <w:rPr>
          <w:color w:val="EF6B2D"/>
          <w:spacing w:val="-10"/>
          <w:sz w:val="69"/>
          <w:szCs w:val="69"/>
        </w:rPr>
        <w:t>0</w:t>
      </w:r>
      <w:r>
        <w:rPr>
          <w:color w:val="EF6B2D"/>
          <w:spacing w:val="52"/>
          <w:sz w:val="69"/>
          <w:szCs w:val="69"/>
        </w:rPr>
        <w:t xml:space="preserve">   </w:t>
      </w:r>
      <w:r>
        <w:rPr>
          <w:color w:val="EF6B2D"/>
          <w:spacing w:val="-10"/>
          <w:sz w:val="69"/>
          <w:szCs w:val="69"/>
        </w:rPr>
        <w:t>2</w:t>
      </w:r>
      <w:r>
        <w:rPr>
          <w:color w:val="EF6B2D"/>
          <w:spacing w:val="55"/>
          <w:sz w:val="69"/>
          <w:szCs w:val="69"/>
        </w:rPr>
        <w:t xml:space="preserve">   </w:t>
      </w:r>
      <w:r>
        <w:rPr>
          <w:color w:val="EF6B2D"/>
          <w:spacing w:val="-10"/>
          <w:sz w:val="69"/>
          <w:szCs w:val="69"/>
        </w:rPr>
        <w:t>3</w:t>
      </w:r>
    </w:p>
    <w:p>
      <w:pPr>
        <w:pStyle w:val="BodyText"/>
        <w:spacing w:line="259" w:lineRule="auto"/>
      </w:pPr>
    </w:p>
    <w:p>
      <w:pPr>
        <w:pStyle w:val="BodyText"/>
        <w:spacing w:line="259" w:lineRule="auto"/>
      </w:pPr>
    </w:p>
    <w:p>
      <w:pPr>
        <w:spacing w:before="155" w:line="177" w:lineRule="auto"/>
        <w:ind w:left="8105"/>
        <w:rPr>
          <w:rFonts w:ascii="Microsoft YaHei" w:eastAsia="Microsoft YaHei" w:hAnsi="Microsoft YaHei" w:cs="Microsoft YaHei"/>
          <w:sz w:val="36"/>
          <w:szCs w:val="36"/>
        </w:rPr>
      </w:pPr>
      <w:r>
        <w:rPr>
          <w:rFonts w:ascii="Microsoft YaHei" w:eastAsia="Microsoft YaHei" w:hAnsi="Microsoft YaHei" w:cs="Microsoft YaHei"/>
          <w:color w:val="3E3E3F"/>
          <w:spacing w:val="-6"/>
          <w:sz w:val="36"/>
          <w:szCs w:val="36"/>
        </w:rPr>
        <w:t>2023年12月</w:t>
      </w:r>
    </w:p>
    <w:p>
      <w:pPr>
        <w:spacing w:before="51"/>
      </w:pPr>
    </w:p>
    <w:p>
      <w:pPr>
        <w:spacing w:before="51"/>
      </w:pPr>
    </w:p>
    <w:p>
      <w:pPr>
        <w:spacing w:before="51"/>
      </w:pPr>
    </w:p>
    <w:p>
      <w:pPr>
        <w:sectPr>
          <w:footerReference w:type="default" r:id="rId4"/>
          <w:pgSz w:w="12246" w:h="17178"/>
          <w:pgMar w:top="0" w:right="0" w:bottom="1" w:left="0" w:header="0" w:footer="0" w:gutter="0"/>
          <w:cols w:num="1" w:space="708" w:equalWidth="0">
            <w:col w:w="12246" w:space="0"/>
          </w:cols>
        </w:sectPr>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86" w:line="175" w:lineRule="auto"/>
        <w:ind w:left="1150"/>
        <w:rPr>
          <w:rFonts w:ascii="Microsoft YaHei" w:eastAsia="Microsoft YaHei" w:hAnsi="Microsoft YaHei" w:cs="Microsoft YaHei"/>
          <w:sz w:val="20"/>
          <w:szCs w:val="20"/>
        </w:rPr>
      </w:pPr>
      <w:r>
        <w:drawing>
          <wp:anchor distT="0" distB="0" distL="0" distR="0" simplePos="0" relativeHeight="251660288" behindDoc="1" locked="0" layoutInCell="1" allowOverlap="1">
            <wp:simplePos x="0" y="0"/>
            <wp:positionH relativeFrom="column">
              <wp:posOffset>0</wp:posOffset>
            </wp:positionH>
            <wp:positionV relativeFrom="paragraph">
              <wp:posOffset>-10163992</wp:posOffset>
            </wp:positionV>
            <wp:extent cx="3779189" cy="1024387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3779189" cy="10243870"/>
                    </a:xfrm>
                    <a:prstGeom prst="rect">
                      <a:avLst/>
                    </a:prstGeom>
                  </pic:spPr>
                </pic:pic>
              </a:graphicData>
            </a:graphic>
          </wp:anchor>
        </w:drawing>
      </w:r>
      <w:r>
        <w:rPr>
          <w:rFonts w:ascii="Microsoft YaHei" w:eastAsia="Microsoft YaHei" w:hAnsi="Microsoft YaHei" w:cs="Microsoft YaHei"/>
          <w:color w:val="3E3E3F"/>
          <w:spacing w:val="-8"/>
          <w:sz w:val="20"/>
          <w:szCs w:val="20"/>
        </w:rPr>
        <w:t>研究机构：</w:t>
      </w:r>
    </w:p>
    <w:p>
      <w:pPr>
        <w:pStyle w:val="BodyText"/>
        <w:spacing w:line="14" w:lineRule="auto"/>
        <w:rPr>
          <w:sz w:val="2"/>
        </w:rPr>
        <w:sectPr>
          <w:footerReference w:type="default" r:id="rId6"/>
          <w:type w:val="continuous"/>
          <w:pgSz w:w="12246" w:h="17178"/>
          <w:pgMar w:top="0" w:right="0" w:bottom="1" w:left="0" w:header="0" w:footer="0" w:gutter="0"/>
          <w:pgNumType w:start="2"/>
          <w:cols w:num="3" w:space="708" w:equalWidth="0">
            <w:col w:w="2186" w:space="100"/>
            <w:col w:w="1400" w:space="100"/>
            <w:col w:w="8461" w:space="0"/>
          </w:cols>
        </w:sectPr>
      </w:pPr>
      <w:r>
        <w:rPr>
          <w:sz w:val="2"/>
          <w:szCs w:val="2"/>
        </w:rPr>
        <w:br w:type="column"/>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before="29" w:line="142" w:lineRule="exact"/>
        <w:rPr>
          <w:sz w:val="10"/>
          <w:szCs w:val="10"/>
        </w:rPr>
      </w:pPr>
      <w:r>
        <w:pict>
          <v:shapetype id="_x0000_t202" coordsize="21600,21600" o:spt="202" path="m,l,21600r21600,l21600,xe">
            <v:stroke joinstyle="miter"/>
            <v:path gradientshapeok="t" o:connecttype="rect"/>
          </v:shapetype>
          <v:shape id="_x0000_s1027" type="#_x0000_t202" style="width:30.55pt;height:6.45pt;margin-top:3.2pt;margin-left:30.81pt;position:absolute;z-index:251662336" filled="f" stroked="f">
            <o:lock v:ext="edit" aspectratio="f"/>
            <v:textbox inset="0,0,0,0">
              <w:txbxContent>
                <w:p>
                  <w:pPr>
                    <w:pStyle w:val="BodyText"/>
                    <w:spacing w:before="20" w:line="195" w:lineRule="auto"/>
                    <w:ind w:left="20"/>
                    <w:rPr>
                      <w:sz w:val="4"/>
                      <w:szCs w:val="4"/>
                    </w:rPr>
                  </w:pPr>
                  <w:r>
                    <w:rPr>
                      <w:color w:val="2B6771"/>
                      <w:position w:val="-6"/>
                      <w:sz w:val="4"/>
                      <w:szCs w:val="4"/>
                    </w:rPr>
                    <w:drawing>
                      <wp:inline distT="0" distB="0" distL="0" distR="0">
                        <wp:extent cx="69392" cy="5217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69392" cy="52171"/>
                                </a:xfrm>
                                <a:prstGeom prst="rect">
                                  <a:avLst/>
                                </a:prstGeom>
                              </pic:spPr>
                            </pic:pic>
                          </a:graphicData>
                        </a:graphic>
                      </wp:inline>
                    </w:drawing>
                  </w:r>
                  <w:r>
                    <w:rPr>
                      <w:color w:val="2B6771"/>
                      <w:sz w:val="4"/>
                      <w:szCs w:val="4"/>
                    </w:rPr>
                    <w:t xml:space="preserve">                  </w:t>
                  </w:r>
                  <w:r>
                    <w:rPr>
                      <w:color w:val="2B6771"/>
                      <w:sz w:val="4"/>
                      <w:szCs w:val="4"/>
                    </w:rPr>
                    <w:drawing>
                      <wp:inline distT="0" distB="0" distL="0" distR="0">
                        <wp:extent cx="2425" cy="1997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2425" cy="19977"/>
                                </a:xfrm>
                                <a:prstGeom prst="rect">
                                  <a:avLst/>
                                </a:prstGeom>
                              </pic:spPr>
                            </pic:pic>
                          </a:graphicData>
                        </a:graphic>
                      </wp:inline>
                    </w:drawing>
                  </w:r>
                  <w:r>
                    <w:rPr>
                      <w:color w:val="2B6771"/>
                      <w:spacing w:val="1"/>
                      <w:sz w:val="4"/>
                      <w:szCs w:val="4"/>
                    </w:rPr>
                    <w:t>NVESTMENT</w:t>
                  </w:r>
                </w:p>
              </w:txbxContent>
            </v:textbox>
          </v:shape>
        </w:pict>
      </w:r>
      <w:r>
        <w:pict>
          <v:shape id="_x0000_s1028" type="#_x0000_t202" style="width:4.6pt;height:3.6pt;margin-top:5.8pt;margin-left:49.12pt;position:absolute;z-index:251661312" filled="f" stroked="f">
            <o:lock v:ext="edit" aspectratio="f"/>
            <v:textbox inset="0,0,0,0">
              <w:txbxContent>
                <w:p>
                  <w:pPr>
                    <w:pStyle w:val="BodyText"/>
                    <w:spacing w:before="20" w:line="222" w:lineRule="auto"/>
                    <w:ind w:left="20"/>
                    <w:rPr>
                      <w:sz w:val="3"/>
                      <w:szCs w:val="3"/>
                    </w:rPr>
                  </w:pPr>
                  <w:r>
                    <w:rPr>
                      <w:color w:val="2B6771"/>
                      <w:spacing w:val="3"/>
                      <w:sz w:val="3"/>
                      <w:szCs w:val="3"/>
                    </w:rPr>
                    <w:t>RU</w:t>
                  </w:r>
                </w:p>
              </w:txbxContent>
            </v:textbox>
          </v:shape>
        </w:pict>
      </w:r>
      <w:r>
        <w:rPr>
          <w:color w:val="2B6771"/>
          <w:spacing w:val="4"/>
          <w:position w:val="-2"/>
          <w:sz w:val="10"/>
          <w:szCs w:val="10"/>
        </w:rPr>
        <w:t>CHINA</w:t>
      </w:r>
      <w:r>
        <w:rPr>
          <w:color w:val="2B6771"/>
          <w:spacing w:val="2"/>
          <w:position w:val="-2"/>
          <w:sz w:val="10"/>
          <w:szCs w:val="10"/>
        </w:rPr>
        <w:t xml:space="preserve">  </w:t>
      </w:r>
      <w:r>
        <w:rPr>
          <w:color w:val="2B6771"/>
          <w:spacing w:val="4"/>
          <w:position w:val="-2"/>
          <w:sz w:val="10"/>
          <w:szCs w:val="10"/>
        </w:rPr>
        <w:t>eI-S8USTA</w:t>
      </w:r>
      <w:r>
        <w:rPr>
          <w:position w:val="-4"/>
          <w:sz w:val="10"/>
          <w:szCs w:val="10"/>
        </w:rPr>
        <w:drawing>
          <wp:inline distT="0" distB="0" distL="0" distR="0">
            <wp:extent cx="17450" cy="8549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17450" cy="85490"/>
                    </a:xfrm>
                    <a:prstGeom prst="rect">
                      <a:avLst/>
                    </a:prstGeom>
                  </pic:spPr>
                </pic:pic>
              </a:graphicData>
            </a:graphic>
          </wp:inline>
        </w:drawing>
      </w:r>
      <w:r>
        <w:rPr>
          <w:color w:val="2B6771"/>
          <w:spacing w:val="4"/>
          <w:position w:val="6"/>
          <w:sz w:val="10"/>
          <w:szCs w:val="10"/>
        </w:rPr>
        <w:t>NAB</w:t>
      </w:r>
      <w:r>
        <w:rPr>
          <w:position w:val="5"/>
          <w:sz w:val="10"/>
          <w:szCs w:val="10"/>
        </w:rPr>
        <w:drawing>
          <wp:inline distT="0" distB="0" distL="0" distR="0">
            <wp:extent cx="25945" cy="2001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25945" cy="20015"/>
                    </a:xfrm>
                    <a:prstGeom prst="rect">
                      <a:avLst/>
                    </a:prstGeom>
                  </pic:spPr>
                </pic:pic>
              </a:graphicData>
            </a:graphic>
          </wp:inline>
        </w:drawing>
      </w:r>
    </w:p>
    <w:p>
      <w:pPr>
        <w:spacing w:before="51" w:line="105" w:lineRule="exact"/>
        <w:ind w:left="4"/>
        <w:rPr>
          <w:rFonts w:ascii="Microsoft YaHei" w:eastAsia="Microsoft YaHei" w:hAnsi="Microsoft YaHei" w:cs="Microsoft YaHei"/>
          <w:sz w:val="10"/>
          <w:szCs w:val="10"/>
        </w:rPr>
      </w:pPr>
      <w:r>
        <w:rPr>
          <w:rFonts w:ascii="Microsoft YaHei" w:eastAsia="Microsoft YaHei" w:hAnsi="Microsoft YaHei" w:cs="Microsoft YaHei"/>
          <w:color w:val="221612"/>
          <w:spacing w:val="5"/>
          <w:sz w:val="10"/>
          <w:szCs w:val="10"/>
        </w:rPr>
        <w:t>中</w:t>
      </w:r>
      <w:r>
        <w:rPr>
          <w:rFonts w:ascii="Microsoft YaHei" w:eastAsia="Microsoft YaHei" w:hAnsi="Microsoft YaHei" w:cs="Microsoft YaHei"/>
          <w:color w:val="221612"/>
          <w:spacing w:val="5"/>
          <w:sz w:val="10"/>
          <w:szCs w:val="10"/>
        </w:rPr>
        <w:t xml:space="preserve">  </w:t>
      </w:r>
      <w:r>
        <w:rPr>
          <w:rFonts w:ascii="Microsoft YaHei" w:eastAsia="Microsoft YaHei" w:hAnsi="Microsoft YaHei" w:cs="Microsoft YaHei"/>
          <w:color w:val="221612"/>
          <w:spacing w:val="5"/>
          <w:sz w:val="10"/>
          <w:szCs w:val="10"/>
        </w:rPr>
        <w:t>国</w:t>
      </w:r>
      <w:r>
        <w:rPr>
          <w:rFonts w:ascii="Microsoft YaHei" w:eastAsia="Microsoft YaHei" w:hAnsi="Microsoft YaHei" w:cs="Microsoft YaHei"/>
          <w:color w:val="221612"/>
          <w:spacing w:val="30"/>
          <w:sz w:val="10"/>
          <w:szCs w:val="10"/>
        </w:rPr>
        <w:t xml:space="preserve"> </w:t>
      </w:r>
      <w:r>
        <w:rPr>
          <w:rFonts w:ascii="Microsoft YaHei" w:eastAsia="Microsoft YaHei" w:hAnsi="Microsoft YaHei" w:cs="Microsoft YaHei"/>
          <w:color w:val="221612"/>
          <w:spacing w:val="5"/>
          <w:sz w:val="10"/>
          <w:szCs w:val="10"/>
        </w:rPr>
        <w:t>责</w:t>
      </w:r>
      <w:r>
        <w:rPr>
          <w:rFonts w:ascii="Microsoft YaHei" w:eastAsia="Microsoft YaHei" w:hAnsi="Microsoft YaHei" w:cs="Microsoft YaHei"/>
          <w:color w:val="221612"/>
          <w:spacing w:val="21"/>
          <w:w w:val="103"/>
          <w:sz w:val="10"/>
          <w:szCs w:val="10"/>
        </w:rPr>
        <w:t xml:space="preserve"> </w:t>
      </w:r>
      <w:r>
        <w:rPr>
          <w:rFonts w:ascii="Microsoft YaHei" w:eastAsia="Microsoft YaHei" w:hAnsi="Microsoft YaHei" w:cs="Microsoft YaHei"/>
          <w:color w:val="221612"/>
          <w:spacing w:val="5"/>
          <w:sz w:val="10"/>
          <w:szCs w:val="10"/>
        </w:rPr>
        <w:t>任</w:t>
      </w:r>
      <w:r>
        <w:rPr>
          <w:rFonts w:ascii="Microsoft YaHei" w:eastAsia="Microsoft YaHei" w:hAnsi="Microsoft YaHei" w:cs="Microsoft YaHei"/>
          <w:color w:val="221612"/>
          <w:spacing w:val="22"/>
          <w:sz w:val="10"/>
          <w:szCs w:val="10"/>
        </w:rPr>
        <w:t xml:space="preserve"> </w:t>
      </w:r>
      <w:r>
        <w:rPr>
          <w:rFonts w:ascii="Microsoft YaHei" w:eastAsia="Microsoft YaHei" w:hAnsi="Microsoft YaHei" w:cs="Microsoft YaHei"/>
          <w:color w:val="221612"/>
          <w:spacing w:val="5"/>
          <w:sz w:val="10"/>
          <w:szCs w:val="10"/>
        </w:rPr>
        <w:t>投</w:t>
      </w:r>
      <w:r>
        <w:rPr>
          <w:rFonts w:ascii="Microsoft YaHei" w:eastAsia="Microsoft YaHei" w:hAnsi="Microsoft YaHei" w:cs="Microsoft YaHei"/>
          <w:color w:val="221612"/>
          <w:spacing w:val="20"/>
          <w:w w:val="101"/>
          <w:sz w:val="10"/>
          <w:szCs w:val="10"/>
        </w:rPr>
        <w:t xml:space="preserve"> </w:t>
      </w:r>
      <w:r>
        <w:rPr>
          <w:rFonts w:ascii="Microsoft YaHei" w:eastAsia="Microsoft YaHei" w:hAnsi="Microsoft YaHei" w:cs="Microsoft YaHei"/>
          <w:color w:val="221612"/>
          <w:spacing w:val="5"/>
          <w:sz w:val="10"/>
          <w:szCs w:val="10"/>
        </w:rPr>
        <w:t>资</w:t>
      </w:r>
      <w:r>
        <w:rPr>
          <w:rFonts w:ascii="Microsoft YaHei" w:eastAsia="Microsoft YaHei" w:hAnsi="Microsoft YaHei" w:cs="Microsoft YaHei"/>
          <w:color w:val="221612"/>
          <w:spacing w:val="21"/>
          <w:sz w:val="10"/>
          <w:szCs w:val="10"/>
        </w:rPr>
        <w:t xml:space="preserve"> </w:t>
      </w:r>
      <w:r>
        <w:rPr>
          <w:rFonts w:ascii="Microsoft YaHei" w:eastAsia="Microsoft YaHei" w:hAnsi="Microsoft YaHei" w:cs="Microsoft YaHei"/>
          <w:color w:val="221612"/>
          <w:spacing w:val="5"/>
          <w:sz w:val="10"/>
          <w:szCs w:val="10"/>
        </w:rPr>
        <w:t>论</w:t>
      </w:r>
      <w:r>
        <w:rPr>
          <w:rFonts w:ascii="Microsoft YaHei" w:eastAsia="Microsoft YaHei" w:hAnsi="Microsoft YaHei" w:cs="Microsoft YaHei"/>
          <w:color w:val="221612"/>
          <w:spacing w:val="15"/>
          <w:sz w:val="10"/>
          <w:szCs w:val="10"/>
        </w:rPr>
        <w:t xml:space="preserve"> </w:t>
      </w:r>
      <w:r>
        <w:rPr>
          <w:rFonts w:ascii="Microsoft YaHei" w:eastAsia="Microsoft YaHei" w:hAnsi="Microsoft YaHei" w:cs="Microsoft YaHei"/>
          <w:color w:val="221612"/>
          <w:spacing w:val="5"/>
          <w:sz w:val="10"/>
          <w:szCs w:val="10"/>
        </w:rPr>
        <w:t>坛</w:t>
      </w:r>
    </w:p>
    <w:p>
      <w:pPr>
        <w:pStyle w:val="BodyText"/>
        <w:spacing w:line="14" w:lineRule="auto"/>
        <w:rPr>
          <w:sz w:val="2"/>
        </w:rPr>
      </w:pPr>
      <w:r>
        <w:rPr>
          <w:sz w:val="2"/>
          <w:szCs w:val="2"/>
        </w:rPr>
        <w:br w:type="column"/>
      </w:r>
    </w:p>
    <w:p>
      <w:pPr>
        <w:pStyle w:val="BodyText"/>
        <w:spacing w:line="6863" w:lineRule="exact"/>
      </w:pPr>
      <w:r>
        <w:rPr>
          <w:position w:val="-138"/>
        </w:rPr>
        <w:pict>
          <v:group id="_x0000_i1029" style="width:423.05pt;height:343.8pt;mso-position-horizontal-relative:char;mso-position-vertical-relative:line" coordorigin="0,0" coordsize="8460,6875"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width:8460;height:6875;position:absolute" filled="f" stroked="f">
              <v:imagedata r:id="rId11" o:title=""/>
            </v:shape>
            <v:shape id="_x0000_s1031" type="#_x0000_t202" style="width:7135;height:5200;left:420;position:absolute;top:850" filled="f" stroked="f">
              <o:lock v:ext="edit" aspectratio="f"/>
              <v:textbox inset="0,0,0,0">
                <w:txbxContent>
                  <w:p>
                    <w:pPr>
                      <w:spacing w:before="22" w:line="193" w:lineRule="auto"/>
                      <w:jc w:val="right"/>
                      <w:rPr>
                        <w:rFonts w:ascii="Arial" w:eastAsia="Arial" w:hAnsi="Arial" w:cs="Arial"/>
                        <w:sz w:val="330"/>
                        <w:szCs w:val="330"/>
                      </w:rPr>
                    </w:pPr>
                    <w:r>
                      <w:rPr>
                        <w:rFonts w:ascii="Arial" w:eastAsia="Arial" w:hAnsi="Arial" w:cs="Arial"/>
                        <w:color w:val="EF6B2D"/>
                        <w:spacing w:val="-68"/>
                        <w:sz w:val="330"/>
                        <w:szCs w:val="330"/>
                        <w14:textFill>
                          <w14:solidFill>
                            <w14:srgbClr w14:val="EF6B2D">
                              <w14:alpha w14:val="94901"/>
                            </w14:srgbClr>
                          </w14:solidFill>
                        </w14:textFill>
                      </w:rPr>
                      <w:t>2023</w:t>
                    </w: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0" w:line="212" w:lineRule="exact"/>
                      <w:ind w:left="20"/>
                      <w:rPr>
                        <w:rFonts w:ascii="Microsoft YaHei" w:eastAsia="Microsoft YaHei" w:hAnsi="Microsoft YaHei" w:cs="Microsoft YaHei"/>
                        <w:sz w:val="21"/>
                        <w:szCs w:val="21"/>
                      </w:rPr>
                    </w:pPr>
                    <w:r>
                      <w:rPr>
                        <w:rFonts w:ascii="Microsoft YaHei" w:eastAsia="Microsoft YaHei" w:hAnsi="Microsoft YaHei" w:cs="Microsoft YaHei"/>
                        <w:color w:val="509D87"/>
                        <w:spacing w:val="17"/>
                        <w:position w:val="-1"/>
                        <w:sz w:val="21"/>
                        <w:szCs w:val="21"/>
                      </w:rPr>
                      <w:t>百首融绿</w:t>
                    </w:r>
                  </w:p>
                  <w:p>
                    <w:pPr>
                      <w:spacing w:before="19" w:line="223" w:lineRule="auto"/>
                      <w:ind w:left="20"/>
                      <w:rPr>
                        <w:rFonts w:ascii="Arial" w:eastAsia="Arial" w:hAnsi="Arial" w:cs="Arial"/>
                        <w:sz w:val="7"/>
                        <w:szCs w:val="7"/>
                      </w:rPr>
                    </w:pPr>
                    <w:r>
                      <w:rPr>
                        <w:rFonts w:ascii="Arial" w:eastAsia="Arial" w:hAnsi="Arial" w:cs="Arial"/>
                        <w:color w:val="509D87"/>
                        <w:spacing w:val="7"/>
                        <w:sz w:val="7"/>
                        <w:szCs w:val="7"/>
                      </w:rPr>
                      <w:t>synTao</w:t>
                    </w:r>
                    <w:r>
                      <w:rPr>
                        <w:rFonts w:ascii="Arial" w:eastAsia="Arial" w:hAnsi="Arial" w:cs="Arial"/>
                        <w:color w:val="509D87"/>
                        <w:spacing w:val="7"/>
                        <w:sz w:val="7"/>
                        <w:szCs w:val="7"/>
                      </w:rPr>
                      <w:t xml:space="preserve">  </w:t>
                    </w:r>
                    <w:r>
                      <w:rPr>
                        <w:rFonts w:ascii="Arial" w:eastAsia="Arial" w:hAnsi="Arial" w:cs="Arial"/>
                        <w:color w:val="509D87"/>
                        <w:spacing w:val="7"/>
                        <w:sz w:val="7"/>
                        <w:szCs w:val="7"/>
                      </w:rPr>
                      <w:t>Green</w:t>
                    </w:r>
                    <w:r>
                      <w:rPr>
                        <w:rFonts w:ascii="Arial" w:eastAsia="Arial" w:hAnsi="Arial" w:cs="Arial"/>
                        <w:color w:val="509D87"/>
                        <w:spacing w:val="9"/>
                        <w:w w:val="101"/>
                        <w:sz w:val="7"/>
                        <w:szCs w:val="7"/>
                      </w:rPr>
                      <w:t xml:space="preserve">  </w:t>
                    </w:r>
                    <w:r>
                      <w:rPr>
                        <w:rFonts w:ascii="Arial" w:eastAsia="Arial" w:hAnsi="Arial" w:cs="Arial"/>
                        <w:color w:val="509D87"/>
                        <w:spacing w:val="7"/>
                        <w:sz w:val="7"/>
                        <w:szCs w:val="7"/>
                      </w:rPr>
                      <w:t>Finance</w:t>
                    </w:r>
                  </w:p>
                </w:txbxContent>
              </v:textbox>
            </v:shape>
            <v:shape id="_x0000_s1032" type="#_x0000_t75" style="width:369;height:364;left:2;position:absolute;top:5651" filled="f" stroked="f">
              <v:imagedata r:id="rId12" o:title=""/>
            </v:shape>
            <w10:wrap type="none"/>
          </v:group>
        </w:pict>
      </w:r>
    </w:p>
    <w:p>
      <w:pPr>
        <w:spacing w:line="6863" w:lineRule="exact"/>
        <w:sectPr>
          <w:footerReference w:type="default" r:id="rId13"/>
          <w:type w:val="nextPage"/>
          <w:pgSz w:w="12246" w:h="17178"/>
          <w:pgMar w:top="0" w:right="0" w:bottom="1" w:left="0" w:header="0" w:footer="0" w:gutter="0"/>
          <w:pgNumType w:start="3"/>
          <w:cols w:num="3" w:space="708" w:equalWidth="0">
            <w:col w:w="2186" w:space="100"/>
            <w:col w:w="1400" w:space="100"/>
            <w:col w:w="8461" w:space="0"/>
          </w:cols>
          <w:titlePg w:val="0"/>
        </w:sectPr>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tabs>
          <w:tab w:val="left" w:pos="8452"/>
        </w:tabs>
        <w:spacing w:before="86" w:line="172" w:lineRule="auto"/>
        <w:ind w:left="1463"/>
        <w:rPr>
          <w:rFonts w:ascii="Microsoft YaHei" w:eastAsia="Microsoft YaHei" w:hAnsi="Microsoft YaHei" w:cs="Microsoft YaHei"/>
          <w:sz w:val="20"/>
          <w:szCs w:val="20"/>
        </w:rPr>
      </w:pPr>
      <w:r>
        <w:rPr>
          <w:rFonts w:ascii="Microsoft YaHei" w:eastAsia="Microsoft YaHei" w:hAnsi="Microsoft YaHei" w:cs="Microsoft YaHei"/>
          <w:strike/>
          <w:color w:val="FFFFFF"/>
          <w:sz w:val="16"/>
          <w:szCs w:val="16"/>
        </w:rPr>
        <w:tab/>
      </w:r>
      <w:r>
        <w:rPr>
          <w:rFonts w:ascii="Microsoft YaHei" w:eastAsia="Microsoft YaHei" w:hAnsi="Microsoft YaHei" w:cs="Microsoft YaHei"/>
          <w:color w:val="FFFFFF"/>
          <w:spacing w:val="10"/>
          <w:sz w:val="16"/>
          <w:szCs w:val="16"/>
        </w:rPr>
        <w:t xml:space="preserve">   </w:t>
      </w:r>
      <w:r>
        <w:rPr>
          <w:rFonts w:ascii="Microsoft YaHei" w:eastAsia="Microsoft YaHei" w:hAnsi="Microsoft YaHei" w:cs="Microsoft YaHei"/>
          <w:color w:val="FFFFFF"/>
          <w:spacing w:val="-3"/>
          <w:sz w:val="16"/>
          <w:szCs w:val="16"/>
        </w:rPr>
        <w:t>中国责任投资年度报告2023</w:t>
      </w:r>
      <w:r>
        <w:rPr>
          <w:rFonts w:ascii="Microsoft YaHei" w:eastAsia="Microsoft YaHei" w:hAnsi="Microsoft YaHei" w:cs="Microsoft YaHei"/>
          <w:color w:val="FFFFFF"/>
          <w:spacing w:val="37"/>
          <w:w w:val="101"/>
          <w:sz w:val="16"/>
          <w:szCs w:val="16"/>
        </w:rPr>
        <w:t xml:space="preserve"> </w:t>
      </w:r>
      <w:r>
        <w:rPr>
          <w:position w:val="-6"/>
          <w:sz w:val="16"/>
          <w:szCs w:val="16"/>
        </w:rPr>
        <w:drawing>
          <wp:inline distT="0" distB="0" distL="0" distR="0">
            <wp:extent cx="54238" cy="10847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4"/>
                    <a:stretch>
                      <a:fillRect/>
                    </a:stretch>
                  </pic:blipFill>
                  <pic:spPr>
                    <a:xfrm>
                      <a:off x="0" y="0"/>
                      <a:ext cx="54238" cy="108470"/>
                    </a:xfrm>
                    <a:prstGeom prst="rect">
                      <a:avLst/>
                    </a:prstGeom>
                  </pic:spPr>
                </pic:pic>
              </a:graphicData>
            </a:graphic>
          </wp:inline>
        </w:drawing>
      </w:r>
      <w:r>
        <w:rPr>
          <w:rFonts w:ascii="Microsoft YaHei" w:eastAsia="Microsoft YaHei" w:hAnsi="Microsoft YaHei" w:cs="Microsoft YaHei"/>
          <w:color w:val="FFFFFF"/>
          <w:spacing w:val="2"/>
          <w:sz w:val="16"/>
          <w:szCs w:val="16"/>
        </w:rPr>
        <w:t xml:space="preserve">           </w:t>
      </w:r>
      <w:r>
        <w:rPr>
          <w:rFonts w:ascii="Microsoft YaHei" w:eastAsia="Microsoft YaHei" w:hAnsi="Microsoft YaHei" w:cs="Microsoft YaHei"/>
          <w:color w:val="FFFFFF"/>
          <w:spacing w:val="-3"/>
          <w:sz w:val="20"/>
          <w:szCs w:val="20"/>
        </w:rPr>
        <w:t>01</w:t>
      </w:r>
    </w:p>
    <w:p>
      <w:pPr>
        <w:pStyle w:val="BodyText"/>
        <w:spacing w:line="277" w:lineRule="auto"/>
      </w:pPr>
    </w:p>
    <w:p>
      <w:pPr>
        <w:pStyle w:val="BodyText"/>
        <w:spacing w:line="278" w:lineRule="auto"/>
      </w:pPr>
    </w:p>
    <w:p>
      <w:pPr>
        <w:spacing w:before="206" w:line="222" w:lineRule="auto"/>
        <w:ind w:left="1493"/>
        <w:rPr>
          <w:rFonts w:ascii="Microsoft YaHei" w:eastAsia="Microsoft YaHei" w:hAnsi="Microsoft YaHei" w:cs="Microsoft YaHei"/>
          <w:sz w:val="48"/>
          <w:szCs w:val="48"/>
        </w:rPr>
      </w:pPr>
      <w:r>
        <w:rPr>
          <w:rFonts w:ascii="Microsoft YaHei" w:eastAsia="Microsoft YaHei" w:hAnsi="Microsoft YaHei" w:cs="Microsoft YaHei"/>
          <w:color w:val="FFFFFF"/>
          <w:position w:val="5"/>
          <w:sz w:val="48"/>
          <w:szCs w:val="48"/>
        </w:rPr>
        <w:drawing>
          <wp:inline distT="0" distB="0" distL="0" distR="0">
            <wp:extent cx="163079" cy="326156"/>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5"/>
                    <a:stretch>
                      <a:fillRect/>
                    </a:stretch>
                  </pic:blipFill>
                  <pic:spPr>
                    <a:xfrm>
                      <a:off x="0" y="0"/>
                      <a:ext cx="163079" cy="326156"/>
                    </a:xfrm>
                    <a:prstGeom prst="rect">
                      <a:avLst/>
                    </a:prstGeom>
                  </pic:spPr>
                </pic:pic>
              </a:graphicData>
            </a:graphic>
          </wp:inline>
        </w:drawing>
      </w:r>
      <w:r>
        <w:rPr>
          <w:rFonts w:ascii="Microsoft YaHei" w:eastAsia="Microsoft YaHei" w:hAnsi="Microsoft YaHei" w:cs="Microsoft YaHei"/>
          <w:color w:val="FFFFFF"/>
          <w:spacing w:val="4"/>
          <w:sz w:val="48"/>
          <w:szCs w:val="48"/>
        </w:rPr>
        <w:t xml:space="preserve">  </w:t>
      </w:r>
      <w:r>
        <w:rPr>
          <w:rFonts w:ascii="Microsoft YaHei" w:eastAsia="Microsoft YaHei" w:hAnsi="Microsoft YaHei" w:cs="Microsoft YaHei"/>
          <w:color w:val="FFFFFF"/>
          <w:spacing w:val="-13"/>
          <w:sz w:val="48"/>
          <w:szCs w:val="48"/>
        </w:rPr>
        <w:t>前言</w:t>
      </w:r>
    </w:p>
    <w:p>
      <w:pPr>
        <w:pStyle w:val="BodyText"/>
        <w:spacing w:line="256" w:lineRule="auto"/>
      </w:pPr>
    </w:p>
    <w:p>
      <w:pPr>
        <w:pStyle w:val="BodyText"/>
        <w:spacing w:line="257" w:lineRule="auto"/>
      </w:pPr>
    </w:p>
    <w:p>
      <w:pPr>
        <w:pStyle w:val="BodyText"/>
        <w:spacing w:line="257" w:lineRule="auto"/>
      </w:pPr>
    </w:p>
    <w:p>
      <w:pPr>
        <w:spacing w:before="95" w:line="182" w:lineRule="auto"/>
        <w:ind w:left="1468"/>
        <w:rPr>
          <w:rFonts w:ascii="Microsoft YaHei" w:eastAsia="Microsoft YaHei" w:hAnsi="Microsoft YaHei" w:cs="Microsoft YaHei"/>
          <w:sz w:val="22"/>
          <w:szCs w:val="22"/>
        </w:rPr>
      </w:pPr>
      <w:r>
        <w:rPr>
          <w:rFonts w:ascii="Microsoft YaHei" w:eastAsia="Microsoft YaHei" w:hAnsi="Microsoft YaHei" w:cs="Microsoft YaHei"/>
          <w:color w:val="FFFFFF"/>
          <w:spacing w:val="-7"/>
          <w:sz w:val="22"/>
          <w:szCs w:val="22"/>
        </w:rPr>
        <w:t>促进跨市场协同，为责任投资开源引流</w:t>
      </w:r>
    </w:p>
    <w:p>
      <w:pPr>
        <w:pStyle w:val="BodyText"/>
        <w:spacing w:line="312" w:lineRule="auto"/>
      </w:pPr>
    </w:p>
    <w:p>
      <w:pPr>
        <w:pStyle w:val="BodyText"/>
        <w:spacing w:line="313" w:lineRule="auto"/>
      </w:pPr>
    </w:p>
    <w:p>
      <w:pPr>
        <w:spacing w:before="78" w:line="226" w:lineRule="auto"/>
        <w:ind w:left="1471" w:right="1463" w:hanging="1"/>
        <w:jc w:val="both"/>
        <w:rPr>
          <w:rFonts w:ascii="Microsoft YaHei" w:eastAsia="Microsoft YaHei" w:hAnsi="Microsoft YaHei" w:cs="Microsoft YaHei"/>
          <w:sz w:val="18"/>
          <w:szCs w:val="18"/>
        </w:rPr>
      </w:pPr>
      <w:r>
        <w:rPr>
          <w:rFonts w:ascii="Microsoft YaHei" w:eastAsia="Microsoft YaHei" w:hAnsi="Microsoft YaHei" w:cs="Microsoft YaHei"/>
          <w:color w:val="FFFFFF"/>
          <w:spacing w:val="-7"/>
          <w:sz w:val="18"/>
          <w:szCs w:val="18"/>
        </w:rPr>
        <w:t>放眼全球，2023年世界责任投资市场出现分化。欧洲市场逐步适应可持续金融信息披露条例（SFDR）的要求，责任投资资</w:t>
      </w:r>
      <w:r>
        <w:rPr>
          <w:rFonts w:ascii="Microsoft YaHei" w:eastAsia="Microsoft YaHei" w:hAnsi="Microsoft YaHei" w:cs="Microsoft YaHei"/>
          <w:color w:val="FFFFFF"/>
          <w:spacing w:val="13"/>
          <w:sz w:val="18"/>
          <w:szCs w:val="18"/>
        </w:rPr>
        <w:t xml:space="preserve"> </w:t>
      </w:r>
      <w:r>
        <w:rPr>
          <w:rFonts w:ascii="Microsoft YaHei" w:eastAsia="Microsoft YaHei" w:hAnsi="Microsoft YaHei" w:cs="Microsoft YaHei"/>
          <w:color w:val="FFFFFF"/>
          <w:spacing w:val="-4"/>
          <w:sz w:val="18"/>
          <w:szCs w:val="18"/>
        </w:rPr>
        <w:t>产规模止跌回升；美国市场变得越来越政治化和两极化，责任投资资产规模</w:t>
      </w:r>
      <w:r>
        <w:rPr>
          <w:rFonts w:ascii="Microsoft YaHei" w:eastAsia="Microsoft YaHei" w:hAnsi="Microsoft YaHei" w:cs="Microsoft YaHei"/>
          <w:color w:val="FFFFFF"/>
          <w:spacing w:val="-5"/>
          <w:sz w:val="18"/>
          <w:szCs w:val="18"/>
        </w:rPr>
        <w:t>大幅下降；中国市场则在绿色金融的政策激励</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7"/>
          <w:sz w:val="18"/>
          <w:szCs w:val="18"/>
        </w:rPr>
        <w:t>下，责任投资资产规模稳步增长。</w:t>
      </w:r>
    </w:p>
    <w:p>
      <w:pPr>
        <w:spacing w:before="170" w:line="231" w:lineRule="auto"/>
        <w:ind w:left="1470" w:right="1464" w:firstLine="1"/>
        <w:jc w:val="both"/>
        <w:rPr>
          <w:rFonts w:ascii="Microsoft YaHei" w:eastAsia="Microsoft YaHei" w:hAnsi="Microsoft YaHei" w:cs="Microsoft YaHei"/>
          <w:sz w:val="18"/>
          <w:szCs w:val="18"/>
        </w:rPr>
      </w:pPr>
      <w:r>
        <w:rPr>
          <w:rFonts w:ascii="Microsoft YaHei" w:eastAsia="Microsoft YaHei" w:hAnsi="Microsoft YaHei" w:cs="Microsoft YaHei"/>
          <w:color w:val="FFFFFF"/>
          <w:spacing w:val="-5"/>
          <w:sz w:val="18"/>
          <w:szCs w:val="18"/>
        </w:rPr>
        <w:t>细看国内，2023年中国责任投资市场的结构性特征越</w:t>
      </w:r>
      <w:r>
        <w:rPr>
          <w:rFonts w:ascii="Microsoft YaHei" w:eastAsia="Microsoft YaHei" w:hAnsi="Microsoft YaHei" w:cs="Microsoft YaHei"/>
          <w:color w:val="FFFFFF"/>
          <w:spacing w:val="-6"/>
          <w:sz w:val="18"/>
          <w:szCs w:val="18"/>
        </w:rPr>
        <w:t>来越突出，主要表现为信贷市场的绿色金融发展迅猛，而资本市场的</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4"/>
          <w:sz w:val="18"/>
          <w:szCs w:val="18"/>
        </w:rPr>
        <w:t>责任投资艰难前行。两个市场的数据形成鲜明对比。动态比较，银行</w:t>
      </w:r>
      <w:r>
        <w:rPr>
          <w:rFonts w:ascii="Microsoft YaHei" w:eastAsia="Microsoft YaHei" w:hAnsi="Microsoft YaHei" w:cs="Microsoft YaHei"/>
          <w:color w:val="FFFFFF"/>
          <w:spacing w:val="-5"/>
          <w:sz w:val="18"/>
          <w:szCs w:val="18"/>
        </w:rPr>
        <w:t>业的绿色信贷已经连续多年增长，最近三年的增速均</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8"/>
          <w:sz w:val="18"/>
          <w:szCs w:val="18"/>
        </w:rPr>
        <w:t>在30%以上；责任投资基金市场则是一边产品数量增长、一边市值规模下降，这种情况已持续两年。静态比较，</w:t>
      </w:r>
      <w:r>
        <w:rPr>
          <w:rFonts w:ascii="Microsoft YaHei" w:eastAsia="Microsoft YaHei" w:hAnsi="Microsoft YaHei" w:cs="Microsoft YaHei"/>
          <w:color w:val="FFFFFF"/>
          <w:spacing w:val="-9"/>
          <w:sz w:val="18"/>
          <w:szCs w:val="18"/>
        </w:rPr>
        <w:t>33万亿元的</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6"/>
          <w:sz w:val="18"/>
          <w:szCs w:val="18"/>
        </w:rPr>
        <w:t>全口径责任投资市场规模中，约86%是绿色信贷，约6%是绿色债券，</w:t>
      </w:r>
      <w:r>
        <w:rPr>
          <w:rFonts w:ascii="Microsoft YaHei" w:eastAsia="Microsoft YaHei" w:hAnsi="Microsoft YaHei" w:cs="Microsoft YaHei"/>
          <w:color w:val="FFFFFF"/>
          <w:spacing w:val="-7"/>
          <w:sz w:val="18"/>
          <w:szCs w:val="18"/>
        </w:rPr>
        <w:t>证券投资基金的比重不足2%。</w:t>
      </w:r>
    </w:p>
    <w:p>
      <w:pPr>
        <w:spacing w:before="170" w:line="237" w:lineRule="auto"/>
        <w:ind w:left="1470" w:right="1465" w:firstLine="1"/>
        <w:jc w:val="both"/>
        <w:rPr>
          <w:rFonts w:ascii="Microsoft YaHei" w:eastAsia="Microsoft YaHei" w:hAnsi="Microsoft YaHei" w:cs="Microsoft YaHei"/>
          <w:sz w:val="18"/>
          <w:szCs w:val="18"/>
        </w:rPr>
      </w:pPr>
      <w:r>
        <w:rPr>
          <w:rFonts w:ascii="Microsoft YaHei" w:eastAsia="Microsoft YaHei" w:hAnsi="Microsoft YaHei" w:cs="Microsoft YaHei"/>
          <w:color w:val="FFFFFF"/>
          <w:spacing w:val="-4"/>
          <w:sz w:val="18"/>
          <w:szCs w:val="18"/>
        </w:rPr>
        <w:t>客观地说，形成这一市场格局，股市波动的影响因素有一些，但</w:t>
      </w:r>
      <w:r>
        <w:rPr>
          <w:rFonts w:ascii="Microsoft YaHei" w:eastAsia="Microsoft YaHei" w:hAnsi="Microsoft YaHei" w:cs="Microsoft YaHei"/>
          <w:color w:val="FFFFFF"/>
          <w:spacing w:val="-5"/>
          <w:sz w:val="18"/>
          <w:szCs w:val="18"/>
        </w:rPr>
        <w:t>不是主要影响因素。这一市场格局主要是由中国金融市场</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4"/>
          <w:sz w:val="18"/>
          <w:szCs w:val="18"/>
        </w:rPr>
        <w:t>的结构性特征所决定，即间接融资规模大而直接融资规模小。因此，</w:t>
      </w:r>
      <w:r>
        <w:rPr>
          <w:rFonts w:ascii="Microsoft YaHei" w:eastAsia="Microsoft YaHei" w:hAnsi="Microsoft YaHei" w:cs="Microsoft YaHei"/>
          <w:color w:val="FFFFFF"/>
          <w:spacing w:val="-5"/>
          <w:sz w:val="18"/>
          <w:szCs w:val="18"/>
        </w:rPr>
        <w:t>站在资本市场的角度看，我们不能也不必改变这一市</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8"/>
          <w:sz w:val="18"/>
          <w:szCs w:val="18"/>
        </w:rPr>
        <w:t>场格局，但应当开动脑筋，思考如何借银行之力推动责任投资和ES</w:t>
      </w:r>
      <w:r>
        <w:rPr>
          <w:rFonts w:ascii="Microsoft YaHei" w:eastAsia="Microsoft YaHei" w:hAnsi="Microsoft YaHei" w:cs="Microsoft YaHei"/>
          <w:color w:val="FFFFFF"/>
          <w:spacing w:val="-9"/>
          <w:sz w:val="18"/>
          <w:szCs w:val="18"/>
        </w:rPr>
        <w:t>G的发展，促进“大绿色金融”的跨市场协同。</w:t>
      </w:r>
      <w:r>
        <w:rPr>
          <w:rFonts w:ascii="Microsoft YaHei" w:eastAsia="Microsoft YaHei" w:hAnsi="Microsoft YaHei" w:cs="Microsoft YaHei"/>
          <w:color w:val="FFFFFF"/>
          <w:spacing w:val="24"/>
          <w:sz w:val="18"/>
          <w:szCs w:val="18"/>
        </w:rPr>
        <w:t xml:space="preserve"> </w:t>
      </w:r>
      <w:r>
        <w:rPr>
          <w:rFonts w:ascii="Microsoft YaHei" w:eastAsia="Microsoft YaHei" w:hAnsi="Microsoft YaHei" w:cs="Microsoft YaHei"/>
          <w:color w:val="FFFFFF"/>
          <w:spacing w:val="-9"/>
          <w:sz w:val="18"/>
          <w:szCs w:val="18"/>
        </w:rPr>
        <w:t>这方面的</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7"/>
          <w:w w:val="99"/>
          <w:sz w:val="18"/>
          <w:szCs w:val="18"/>
        </w:rPr>
        <w:t>实践探索已有先例。2021年，央行印发《银行业金融机构绿色金融评价方案》，首次将银行发放绿色贷款和持有绿色债券等</w:t>
      </w:r>
      <w:r>
        <w:rPr>
          <w:rFonts w:ascii="Microsoft YaHei" w:eastAsia="Microsoft YaHei" w:hAnsi="Microsoft YaHei" w:cs="Microsoft YaHei"/>
          <w:color w:val="FFFFFF"/>
          <w:spacing w:val="7"/>
          <w:sz w:val="18"/>
          <w:szCs w:val="18"/>
        </w:rPr>
        <w:t xml:space="preserve"> </w:t>
      </w:r>
      <w:r>
        <w:rPr>
          <w:rFonts w:ascii="Microsoft YaHei" w:eastAsia="Microsoft YaHei" w:hAnsi="Microsoft YaHei" w:cs="Microsoft YaHei"/>
          <w:color w:val="FFFFFF"/>
          <w:spacing w:val="-7"/>
          <w:sz w:val="18"/>
          <w:szCs w:val="18"/>
        </w:rPr>
        <w:t>定量评价指标同时纳入评价，提高了银行购买绿色债券的积极性，助推了绿色债券存量规模突破2万亿元。2</w:t>
      </w:r>
      <w:r>
        <w:rPr>
          <w:rFonts w:ascii="Microsoft YaHei" w:eastAsia="Microsoft YaHei" w:hAnsi="Microsoft YaHei" w:cs="Microsoft YaHei"/>
          <w:color w:val="FFFFFF"/>
          <w:spacing w:val="-8"/>
          <w:sz w:val="18"/>
          <w:szCs w:val="18"/>
        </w:rPr>
        <w:t>019年，华夏银</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4"/>
          <w:sz w:val="18"/>
          <w:szCs w:val="18"/>
        </w:rPr>
        <w:t>行率先推出ESG理财产品，此后多家银行理财子公司积极跟进，四年时间已经发展到约1</w:t>
      </w:r>
      <w:r>
        <w:rPr>
          <w:rFonts w:ascii="Microsoft YaHei" w:eastAsia="Microsoft YaHei" w:hAnsi="Microsoft YaHei" w:cs="Microsoft YaHei"/>
          <w:color w:val="FFFFFF"/>
          <w:spacing w:val="-5"/>
          <w:sz w:val="18"/>
          <w:szCs w:val="18"/>
        </w:rPr>
        <w:t>600亿元的市场规模。</w:t>
      </w:r>
    </w:p>
    <w:p>
      <w:pPr>
        <w:spacing w:before="170" w:line="237" w:lineRule="auto"/>
        <w:ind w:left="1471" w:right="1463" w:firstLine="3"/>
        <w:jc w:val="both"/>
        <w:rPr>
          <w:rFonts w:ascii="Microsoft YaHei" w:eastAsia="Microsoft YaHei" w:hAnsi="Microsoft YaHei" w:cs="Microsoft YaHei"/>
          <w:sz w:val="18"/>
          <w:szCs w:val="18"/>
        </w:rPr>
      </w:pPr>
      <w:r>
        <w:rPr>
          <w:rFonts w:ascii="Microsoft YaHei" w:eastAsia="Microsoft YaHei" w:hAnsi="Microsoft YaHei" w:cs="Microsoft YaHei"/>
          <w:color w:val="FFFFFF"/>
          <w:spacing w:val="-4"/>
          <w:sz w:val="18"/>
          <w:szCs w:val="18"/>
        </w:rPr>
        <w:t>可以想见，倘若此类实践探索多了，就可以更好地连通银行市场和资本市场，引流更多资金在资本市场中践行ESG。我认</w:t>
      </w:r>
      <w:r>
        <w:rPr>
          <w:rFonts w:ascii="Microsoft YaHei" w:eastAsia="Microsoft YaHei" w:hAnsi="Microsoft YaHei" w:cs="Microsoft YaHei"/>
          <w:color w:val="FFFFFF"/>
          <w:spacing w:val="4"/>
          <w:sz w:val="18"/>
          <w:szCs w:val="18"/>
        </w:rPr>
        <w:t xml:space="preserve"> </w:t>
      </w:r>
      <w:r>
        <w:rPr>
          <w:rFonts w:ascii="Microsoft YaHei" w:eastAsia="Microsoft YaHei" w:hAnsi="Microsoft YaHei" w:cs="Microsoft YaHei"/>
          <w:color w:val="FFFFFF"/>
          <w:spacing w:val="-5"/>
          <w:sz w:val="18"/>
          <w:szCs w:val="18"/>
        </w:rPr>
        <w:t>为，这与2021年评价方案的政策方向是一致的。评价方案用了绿色金融</w:t>
      </w:r>
      <w:r>
        <w:rPr>
          <w:rFonts w:ascii="Microsoft YaHei" w:eastAsia="Microsoft YaHei" w:hAnsi="Microsoft YaHei" w:cs="Microsoft YaHei"/>
          <w:color w:val="FFFFFF"/>
          <w:spacing w:val="-6"/>
          <w:sz w:val="18"/>
          <w:szCs w:val="18"/>
        </w:rPr>
        <w:t>业务的概念，除了包括绿色贷款外，还包括绿色证</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7"/>
          <w:w w:val="96"/>
          <w:sz w:val="18"/>
          <w:szCs w:val="18"/>
        </w:rPr>
        <w:t>券、绿色股权投资、绿色租赁、绿色信托、绿色理财等，体现了“大绿色金融”的融合理念。只是在当时政策、标准条件下，只</w:t>
      </w:r>
      <w:r>
        <w:rPr>
          <w:rFonts w:ascii="Microsoft YaHei" w:eastAsia="Microsoft YaHei" w:hAnsi="Microsoft YaHei" w:cs="Microsoft YaHei"/>
          <w:color w:val="FFFFFF"/>
          <w:spacing w:val="24"/>
          <w:sz w:val="18"/>
          <w:szCs w:val="18"/>
        </w:rPr>
        <w:t xml:space="preserve"> </w:t>
      </w:r>
      <w:r>
        <w:rPr>
          <w:rFonts w:ascii="Microsoft YaHei" w:eastAsia="Microsoft YaHei" w:hAnsi="Microsoft YaHei" w:cs="Microsoft YaHei"/>
          <w:color w:val="FFFFFF"/>
          <w:spacing w:val="-4"/>
          <w:sz w:val="18"/>
          <w:szCs w:val="18"/>
        </w:rPr>
        <w:t>有绿色信贷和绿色债券才有明确定义、标准和统计，所以当时只把</w:t>
      </w:r>
      <w:r>
        <w:rPr>
          <w:rFonts w:ascii="Microsoft YaHei" w:eastAsia="Microsoft YaHei" w:hAnsi="Microsoft YaHei" w:cs="Microsoft YaHei"/>
          <w:color w:val="FFFFFF"/>
          <w:spacing w:val="-5"/>
          <w:sz w:val="18"/>
          <w:szCs w:val="18"/>
        </w:rPr>
        <w:t>这两种产品规模纳入评分。假以时日，监管部门可以明</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1"/>
          <w:sz w:val="18"/>
          <w:szCs w:val="18"/>
        </w:rPr>
        <w:t>确绿色证券、绿色理财等绿色金融业务的定义、标准和统计，那么未来也完全可能将之纳入银行业金融机构绿色金融评</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4"/>
          <w:sz w:val="18"/>
          <w:szCs w:val="18"/>
        </w:rPr>
        <w:t>分，激励银行业金融机构构建有利绿色和ESG的资产配置策略。</w:t>
      </w:r>
    </w:p>
    <w:p>
      <w:pPr>
        <w:spacing w:before="170" w:line="224" w:lineRule="auto"/>
        <w:ind w:left="1418" w:right="1464" w:firstLine="63"/>
        <w:jc w:val="both"/>
        <w:rPr>
          <w:rFonts w:ascii="Microsoft YaHei" w:eastAsia="Microsoft YaHei" w:hAnsi="Microsoft YaHei" w:cs="Microsoft YaHei"/>
          <w:sz w:val="18"/>
          <w:szCs w:val="18"/>
        </w:rPr>
      </w:pPr>
      <w:r>
        <w:rPr>
          <w:rFonts w:ascii="Microsoft YaHei" w:eastAsia="Microsoft YaHei" w:hAnsi="Microsoft YaHei" w:cs="Microsoft YaHei"/>
          <w:color w:val="FFFFFF"/>
          <w:spacing w:val="-9"/>
          <w:w w:val="99"/>
          <w:sz w:val="18"/>
          <w:szCs w:val="18"/>
        </w:rPr>
        <w:t>同样的思路也可适用在具有一定政策（公共）属性的资金，譬如主权基金、养老金、国有资本等。主权基金</w:t>
      </w:r>
      <w:r>
        <w:rPr>
          <w:rFonts w:ascii="Microsoft YaHei" w:eastAsia="Microsoft YaHei" w:hAnsi="Microsoft YaHei" w:cs="Microsoft YaHei"/>
          <w:color w:val="FFFFFF"/>
          <w:spacing w:val="-10"/>
          <w:w w:val="99"/>
          <w:sz w:val="18"/>
          <w:szCs w:val="18"/>
        </w:rPr>
        <w:t>（中投）和养老金</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6"/>
          <w:sz w:val="18"/>
          <w:szCs w:val="18"/>
        </w:rPr>
        <w:t>（社保基金）已在投资实践中纳入ESG考量。国资委目前在推动央企和央企控股上市公司ESG报告全覆盖，或许下一步可以</w:t>
      </w:r>
      <w:r>
        <w:rPr>
          <w:rFonts w:ascii="Microsoft YaHei" w:eastAsia="Microsoft YaHei" w:hAnsi="Microsoft YaHei" w:cs="Microsoft YaHei"/>
          <w:color w:val="FFFFFF"/>
          <w:spacing w:val="18"/>
          <w:sz w:val="18"/>
          <w:szCs w:val="18"/>
        </w:rPr>
        <w:t xml:space="preserve"> </w:t>
      </w:r>
      <w:r>
        <w:rPr>
          <w:rFonts w:ascii="Microsoft YaHei" w:eastAsia="Microsoft YaHei" w:hAnsi="Microsoft YaHei" w:cs="Microsoft YaHei"/>
          <w:color w:val="FFFFFF"/>
          <w:spacing w:val="-4"/>
          <w:sz w:val="18"/>
          <w:szCs w:val="18"/>
        </w:rPr>
        <w:t>将ESG理念也引入到央企和央企控股的投资公司（基金</w:t>
      </w:r>
      <w:r>
        <w:rPr>
          <w:rFonts w:ascii="Microsoft YaHei" w:eastAsia="Microsoft YaHei" w:hAnsi="Microsoft YaHei" w:cs="Microsoft YaHei"/>
          <w:color w:val="FFFFFF"/>
          <w:spacing w:val="-32"/>
          <w:w w:val="74"/>
          <w:sz w:val="18"/>
          <w:szCs w:val="18"/>
        </w:rPr>
        <w:t>），</w:t>
      </w:r>
      <w:r>
        <w:rPr>
          <w:rFonts w:ascii="Microsoft YaHei" w:eastAsia="Microsoft YaHei" w:hAnsi="Microsoft YaHei" w:cs="Microsoft YaHei"/>
          <w:color w:val="FFFFFF"/>
          <w:spacing w:val="-4"/>
          <w:sz w:val="18"/>
          <w:szCs w:val="18"/>
        </w:rPr>
        <w:t>必然对市场产生重大、积极影响。</w:t>
      </w:r>
    </w:p>
    <w:p>
      <w:pPr>
        <w:spacing w:before="177" w:line="234" w:lineRule="auto"/>
        <w:ind w:left="1471" w:right="1411" w:firstLine="3"/>
        <w:jc w:val="both"/>
        <w:rPr>
          <w:rFonts w:ascii="Microsoft YaHei" w:eastAsia="Microsoft YaHei" w:hAnsi="Microsoft YaHei" w:cs="Microsoft YaHei"/>
          <w:sz w:val="18"/>
          <w:szCs w:val="18"/>
        </w:rPr>
      </w:pPr>
      <w:r>
        <w:rPr>
          <w:rFonts w:ascii="Microsoft YaHei" w:eastAsia="Microsoft YaHei" w:hAnsi="Microsoft YaHei" w:cs="Microsoft YaHei"/>
          <w:color w:val="FFFFFF"/>
          <w:spacing w:val="-8"/>
          <w:sz w:val="18"/>
          <w:szCs w:val="18"/>
        </w:rPr>
        <w:t>如此想来，资本市场责任投资的“开源引流”的思路和方法可以很多样，值得做一番梳理。当然，随之而来且不可绕开的问</w:t>
      </w:r>
      <w:r>
        <w:rPr>
          <w:rFonts w:ascii="Microsoft YaHei" w:eastAsia="Microsoft YaHei" w:hAnsi="Microsoft YaHei" w:cs="Microsoft YaHei"/>
          <w:color w:val="FFFFFF"/>
          <w:spacing w:val="8"/>
          <w:sz w:val="18"/>
          <w:szCs w:val="18"/>
        </w:rPr>
        <w:t xml:space="preserve">  </w:t>
      </w:r>
      <w:r>
        <w:rPr>
          <w:rFonts w:ascii="Microsoft YaHei" w:eastAsia="Microsoft YaHei" w:hAnsi="Microsoft YaHei" w:cs="Microsoft YaHei"/>
          <w:color w:val="FFFFFF"/>
          <w:spacing w:val="-4"/>
          <w:sz w:val="18"/>
          <w:szCs w:val="18"/>
        </w:rPr>
        <w:t>题将是ESG的财富效应，毕竟养老金也好国有资本也好，都是对投资回报有要求的。此时需要资本市场监管部门和行业协</w:t>
      </w:r>
      <w:r>
        <w:rPr>
          <w:rFonts w:ascii="Microsoft YaHei" w:eastAsia="Microsoft YaHei" w:hAnsi="Microsoft YaHei" w:cs="Microsoft YaHei"/>
          <w:color w:val="FFFFFF"/>
          <w:spacing w:val="2"/>
          <w:sz w:val="18"/>
          <w:szCs w:val="18"/>
        </w:rPr>
        <w:t xml:space="preserve">  </w:t>
      </w:r>
      <w:r>
        <w:rPr>
          <w:rFonts w:ascii="Microsoft YaHei" w:eastAsia="Microsoft YaHei" w:hAnsi="Microsoft YaHei" w:cs="Microsoft YaHei"/>
          <w:color w:val="FFFFFF"/>
          <w:spacing w:val="-8"/>
          <w:sz w:val="18"/>
          <w:szCs w:val="18"/>
        </w:rPr>
        <w:t>会拿出过硬的统计数据来说明ESG投资的稳健</w:t>
      </w:r>
      <w:r>
        <w:rPr>
          <w:rFonts w:ascii="Microsoft YaHei" w:eastAsia="Microsoft YaHei" w:hAnsi="Microsoft YaHei" w:cs="Microsoft YaHei"/>
          <w:color w:val="FFFFFF"/>
          <w:spacing w:val="-9"/>
          <w:sz w:val="18"/>
          <w:szCs w:val="18"/>
        </w:rPr>
        <w:t>性。由此可见，这是一项系统工程，从绿色或ESG产品定义、标准，再到统计、</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8"/>
          <w:sz w:val="18"/>
          <w:szCs w:val="18"/>
        </w:rPr>
        <w:t>评价、考核，依次落地方能形成闭环。回顾过往，信贷市场探索这一路径用了十多年时间，才有28万亿元的成绩；</w:t>
      </w:r>
      <w:r>
        <w:rPr>
          <w:rFonts w:ascii="Microsoft YaHei" w:eastAsia="Microsoft YaHei" w:hAnsi="Microsoft YaHei" w:cs="Microsoft YaHei"/>
          <w:color w:val="FFFFFF"/>
          <w:spacing w:val="-9"/>
          <w:sz w:val="18"/>
          <w:szCs w:val="18"/>
        </w:rPr>
        <w:t>资本市场</w:t>
      </w:r>
      <w:r>
        <w:rPr>
          <w:rFonts w:ascii="Microsoft YaHei" w:eastAsia="Microsoft YaHei" w:hAnsi="Microsoft YaHei" w:cs="Microsoft YaHei"/>
          <w:color w:val="FFFFFF"/>
          <w:sz w:val="18"/>
          <w:szCs w:val="18"/>
        </w:rPr>
        <w:t xml:space="preserve">  </w:t>
      </w:r>
      <w:r>
        <w:rPr>
          <w:rFonts w:ascii="Microsoft YaHei" w:eastAsia="Microsoft YaHei" w:hAnsi="Microsoft YaHei" w:cs="Microsoft YaHei"/>
          <w:color w:val="FFFFFF"/>
          <w:spacing w:val="-7"/>
          <w:w w:val="99"/>
          <w:sz w:val="18"/>
          <w:szCs w:val="18"/>
        </w:rPr>
        <w:t>也应着眼长远、加快推动。</w:t>
      </w:r>
    </w:p>
    <w:p>
      <w:pPr>
        <w:pStyle w:val="BodyText"/>
        <w:spacing w:line="283" w:lineRule="auto"/>
      </w:pPr>
    </w:p>
    <w:p>
      <w:pPr>
        <w:pStyle w:val="BodyText"/>
        <w:spacing w:line="283" w:lineRule="auto"/>
      </w:pPr>
    </w:p>
    <w:p>
      <w:pPr>
        <w:pStyle w:val="BodyText"/>
        <w:spacing w:line="284" w:lineRule="auto"/>
        <w:sectPr>
          <w:footerReference w:type="default" r:id="rId16"/>
          <w:pgSz w:w="12246" w:h="17178"/>
          <w:pgMar w:top="0" w:right="0" w:bottom="400" w:left="0" w:header="0" w:footer="0" w:gutter="0"/>
          <w:pgNumType w:start="4"/>
          <w:cols w:space="708"/>
        </w:sectPr>
      </w:pPr>
    </w:p>
    <w:p>
      <w:pPr>
        <w:spacing w:before="95" w:line="560" w:lineRule="exact"/>
        <w:ind w:left="10079"/>
        <w:rPr>
          <w:rFonts w:ascii="Microsoft YaHei" w:eastAsia="Microsoft YaHei" w:hAnsi="Microsoft YaHei" w:cs="Microsoft YaHei"/>
          <w:sz w:val="22"/>
          <w:szCs w:val="22"/>
        </w:rPr>
      </w:pPr>
      <w:r>
        <w:rPr>
          <w:rFonts w:ascii="Microsoft YaHei" w:eastAsia="Microsoft YaHei" w:hAnsi="Microsoft YaHei" w:cs="Microsoft YaHei"/>
          <w:color w:val="FFFFFF"/>
          <w:spacing w:val="-3"/>
          <w:position w:val="27"/>
          <w:sz w:val="22"/>
          <w:szCs w:val="22"/>
        </w:rPr>
        <w:t>郭沛源</w:t>
      </w:r>
    </w:p>
    <w:p>
      <w:pPr>
        <w:spacing w:before="1" w:line="177" w:lineRule="auto"/>
        <w:ind w:left="8330"/>
        <w:rPr>
          <w:rFonts w:ascii="Microsoft YaHei" w:eastAsia="Microsoft YaHei" w:hAnsi="Microsoft YaHei" w:cs="Microsoft YaHei"/>
          <w:sz w:val="22"/>
          <w:szCs w:val="22"/>
        </w:rPr>
      </w:pPr>
      <w:r>
        <w:rPr>
          <w:rFonts w:ascii="Microsoft YaHei" w:eastAsia="Microsoft YaHei" w:hAnsi="Microsoft YaHei" w:cs="Microsoft YaHei"/>
          <w:color w:val="FFFFFF"/>
          <w:spacing w:val="-2"/>
          <w:sz w:val="22"/>
          <w:szCs w:val="22"/>
        </w:rPr>
        <w:t>中国责任投资论坛理事长</w:t>
      </w:r>
    </w:p>
    <w:p>
      <w:pPr>
        <w:spacing w:line="177" w:lineRule="auto"/>
        <w:rPr>
          <w:rFonts w:ascii="Microsoft YaHei" w:eastAsia="Microsoft YaHei" w:hAnsi="Microsoft YaHei" w:cs="Microsoft YaHei"/>
          <w:sz w:val="22"/>
          <w:szCs w:val="22"/>
        </w:rPr>
        <w:sectPr>
          <w:footerReference w:type="default" r:id="rId17"/>
          <w:type w:val="nextPage"/>
          <w:pgSz w:w="12246" w:h="17178"/>
          <w:pgMar w:top="0" w:right="0" w:bottom="400" w:left="0" w:header="0" w:footer="0" w:gutter="0"/>
          <w:pgNumType w:start="5"/>
          <w:cols w:space="708"/>
          <w:titlePg w:val="0"/>
        </w:sectPr>
      </w:pPr>
    </w:p>
    <w:p>
      <w:pPr>
        <w:spacing w:before="51" w:line="201" w:lineRule="auto"/>
        <w:rPr>
          <w:rFonts w:ascii="Microsoft YaHei" w:eastAsia="Microsoft YaHei" w:hAnsi="Microsoft YaHei" w:cs="Microsoft YaHei"/>
          <w:sz w:val="16"/>
          <w:szCs w:val="16"/>
        </w:rPr>
      </w:pPr>
      <w:r>
        <mc:AlternateContent>
          <mc:Choice Requires="wps">
            <w:drawing>
              <wp:anchor distT="0" distB="0" distL="0" distR="0" simplePos="0" relativeHeight="251666432" behindDoc="1" locked="0" layoutInCell="0" allowOverlap="1">
                <wp:simplePos x="0" y="0"/>
                <wp:positionH relativeFrom="page">
                  <wp:posOffset>3874504</wp:posOffset>
                </wp:positionH>
                <wp:positionV relativeFrom="page">
                  <wp:posOffset>5046502</wp:posOffset>
                </wp:positionV>
                <wp:extent cx="6350" cy="118745"/>
                <wp:effectExtent l="0" t="0" r="0" b="0"/>
                <wp:wrapNone/>
                <wp:docPr id="16" name="Rect 16"/>
                <wp:cNvGraphicFramePr/>
                <a:graphic xmlns:a="http://schemas.openxmlformats.org/drawingml/2006/main">
                  <a:graphicData uri="http://schemas.microsoft.com/office/word/2010/wordprocessingShape">
                    <wps:wsp xmlns:wps="http://schemas.microsoft.com/office/word/2010/wordprocessingShape">
                      <wps:cNvSpPr/>
                      <wps:spPr>
                        <a:xfrm>
                          <a:off x="3874504" y="5046502"/>
                          <a:ext cx="6350" cy="118745"/>
                        </a:xfrm>
                        <a:prstGeom prst="rect">
                          <a:avLst/>
                        </a:prstGeom>
                        <a:solidFill>
                          <a:srgbClr val="A8A9AD"/>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6" o:spid="_x0000_s1033" style="width:0.5pt;height:9.35pt;margin-top:397.36pt;margin-left:305.08pt;mso-position-horizontal-relative:page;mso-position-vertical-relative:page;mso-wrap-distance-bottom:0;mso-wrap-distance-left:0;mso-wrap-distance-right:0;mso-wrap-distance-top:0;position:absolute;v-text-anchor:top;z-index:-251651072" o:allowincell="f" fillcolor="#a8a9ad" stroked="f"/>
            </w:pict>
          </mc:Fallback>
        </mc:AlternateContent>
      </w:r>
      <w:r>
        <w:pict>
          <v:rect id="_x0000_s1034" style="width:0.5pt;height:8.95pt;margin-top:406.67pt;margin-left:157.35pt;mso-position-horizontal-relative:page;mso-position-vertical-relative:page;position:absolute;z-index:251681792" o:allowincell="f" filled="t" fillcolor="#a8a9ad" stroked="f"/>
        </w:pict>
      </w:r>
      <w:r>
        <w:pict>
          <v:rect id="_x0000_s1035" style="width:0.5pt;height:8.95pt;margin-top:454.39pt;margin-left:157.27pt;mso-position-horizontal-relative:page;mso-position-vertical-relative:page;position:absolute;z-index:251686912" o:allowincell="f" filled="t" fillcolor="#a8a9ad" stroked="f"/>
        </w:pict>
      </w:r>
      <w:r>
        <w:pict>
          <v:rect id="_x0000_s1036" style="width:0.5pt;height:8.95pt;margin-top:406.67pt;margin-left:256.48pt;mso-position-horizontal-relative:page;mso-position-vertical-relative:page;position:absolute;z-index:251682816" o:allowincell="f" filled="t" fillcolor="#a8a9ad" stroked="f"/>
        </w:pict>
      </w:r>
      <w:r>
        <w:pict>
          <v:rect id="_x0000_s1037" style="width:0.5pt;height:9.35pt;margin-top:406.67pt;margin-left:452.81pt;mso-position-horizontal-relative:page;mso-position-vertical-relative:page;position:absolute;z-index:251683840" o:allowincell="f" filled="t" fillcolor="#a8a9ad" stroked="f"/>
        </w:pict>
      </w:r>
      <w:r>
        <w:pict>
          <v:rect id="_x0000_s1038" style="width:0.5pt;height:8.95pt;margin-top:454.39pt;margin-left:352.02pt;mso-position-horizontal-relative:page;mso-position-vertical-relative:page;position:absolute;z-index:251687936" o:allowincell="f" filled="t" fillcolor="#a8a9ad" stroked="f"/>
        </w:pict>
      </w:r>
      <w:r>
        <w:pict>
          <v:rect id="_x0000_s1039" style="width:8.15pt;height:0.5pt;margin-top:522.93pt;margin-left:413.7pt;mso-position-horizontal-relative:page;mso-position-vertical-relative:page;position:absolute;z-index:251691008" o:allowincell="f" filled="t" fillcolor="#a8a9ad" stroked="f"/>
        </w:pict>
      </w:r>
      <w:r>
        <mc:AlternateContent>
          <mc:Choice Requires="wps">
            <w:drawing>
              <wp:anchor distT="0" distB="0" distL="0" distR="0" simplePos="0" relativeHeight="251664384" behindDoc="1" locked="0" layoutInCell="0" allowOverlap="1">
                <wp:simplePos x="0" y="0"/>
                <wp:positionH relativeFrom="page">
                  <wp:posOffset>5356897</wp:posOffset>
                </wp:positionH>
                <wp:positionV relativeFrom="page">
                  <wp:posOffset>6467183</wp:posOffset>
                </wp:positionV>
                <wp:extent cx="948055" cy="380365"/>
                <wp:effectExtent l="0" t="0" r="0" b="0"/>
                <wp:wrapNone/>
                <wp:docPr id="18" name="Rect 18"/>
                <wp:cNvGraphicFramePr/>
                <a:graphic xmlns:a="http://schemas.openxmlformats.org/drawingml/2006/main">
                  <a:graphicData uri="http://schemas.microsoft.com/office/word/2010/wordprocessingShape">
                    <wps:wsp xmlns:wps="http://schemas.microsoft.com/office/word/2010/wordprocessingShape">
                      <wps:cNvSpPr/>
                      <wps:spPr>
                        <a:xfrm>
                          <a:off x="5356897" y="6467183"/>
                          <a:ext cx="948055" cy="380365"/>
                        </a:xfrm>
                        <a:prstGeom prst="rect">
                          <a:avLst/>
                        </a:prstGeom>
                        <a:solidFill>
                          <a:srgbClr val="EF6B2D">
                            <a:alpha val="60000"/>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8" o:spid="_x0000_s1040" style="width:74.65pt;height:29.95pt;margin-top:509.23pt;margin-left:421.8pt;mso-position-horizontal-relative:page;mso-position-vertical-relative:page;mso-wrap-distance-bottom:0;mso-wrap-distance-left:0;mso-wrap-distance-right:0;mso-wrap-distance-top:0;position:absolute;v-text-anchor:top;z-index:-251653120" o:allowincell="f" fillcolor="#ef6b2d" stroked="f">
                <v:fill opacity="39322f"/>
              </v:rect>
            </w:pict>
          </mc:Fallback>
        </mc:AlternateContent>
      </w:r>
      <w:r>
        <w:pict>
          <v:rect id="_x0000_s1041" style="width:0.5pt;height:77.5pt;margin-top:445.69pt;margin-left:413.45pt;mso-position-horizontal-relative:page;mso-position-vertical-relative:page;position:absolute;z-index:251671552" o:allowincell="f" filled="t" fillcolor="#a8a9ad" stroked="f"/>
        </w:pict>
      </w:r>
      <w:r>
        <w:pict>
          <v:rect id="_x0000_s1042" style="width:295.5pt;height:0.5pt;margin-top:406.42pt;margin-left:157.6pt;mso-position-horizontal-relative:page;mso-position-vertical-relative:page;position:absolute;z-index:251684864" o:allowincell="f" filled="t" fillcolor="#a8a9ad" stroked="f"/>
        </w:pict>
      </w:r>
      <w:r>
        <w:pict>
          <v:shape id="_x0000_s1043" style="width:0.5pt;height:77.5pt;margin-top:493.23pt;margin-left:117.99pt;mso-position-horizontal-relative:page;mso-position-vertical-relative:page;position:absolute;z-index:251679744" coordorigin="0,0" coordsize="10,1550" o:allowincell="f" path="m5,l5,1549e" filled="f" strokecolor="#a8a9ad" strokeweight="0.5pt">
            <v:stroke joinstyle="miter"/>
          </v:shape>
        </w:pict>
      </w:r>
      <w:r>
        <w:pict>
          <v:shape id="_x0000_s1044" style="width:0.5pt;height:17.85pt;margin-top:445.51pt;margin-left:256.56pt;mso-position-horizontal-relative:page;mso-position-vertical-relative:page;position:absolute;z-index:251685888" coordorigin="0,0" coordsize="10,357" o:allowincell="f" path="m5,l5,356e" filled="f" strokecolor="#a8a9ad" strokeweight="0.5pt">
            <v:stroke joinstyle="miter"/>
          </v:shape>
        </w:pict>
      </w:r>
      <w:r>
        <w:pict>
          <v:shape id="_x0000_s1045" style="width:194.8pt;height:0.5pt;margin-top:454.14pt;margin-left:157.52pt;mso-position-horizontal-relative:page;mso-position-vertical-relative:page;position:absolute;z-index:251688960" coordorigin="0,0" coordsize="3896,10" o:allowincell="f" path="m,5l3895,5e" filled="f" strokecolor="#a8a9ad" strokeweight="0.5pt">
            <v:stroke joinstyle="miter"/>
          </v:shape>
        </w:pict>
      </w:r>
      <w:r>
        <w:pict>
          <v:shape id="_x0000_s1046" style="width:153pt;height:0.25pt;margin-top:774.06pt;margin-left:72.54pt;mso-position-horizontal-relative:page;mso-position-vertical-relative:page;position:absolute;z-index:251689984" coordorigin="0,0" coordsize="3060,5" o:allowincell="f" path="m,2l3059,2e" filled="f" strokecolor="#808285" strokeweight="0.25pt">
            <v:stroke joinstyle="miter"/>
          </v:shape>
        </w:pict>
      </w:r>
      <w:r>
        <w:pict>
          <v:shape id="_x0000_s1047" type="#_x0000_t202" style="width:86.8pt;height:29.95pt;margin-top:415.59pt;margin-left:213.42pt;mso-position-horizontal-relative:page;mso-position-vertical-relative:page;position:absolute;z-index:251668480" o:allowincell="f" filled="t" fillcolor="#ef6b2d" stroked="f">
            <v:fill opacity="52429f"/>
            <o:lock v:ext="edit" aspectratio="f"/>
            <v:textbox inset="0,0,0,0">
              <w:txbxContent>
                <w:p>
                  <w:pPr>
                    <w:spacing w:before="133" w:line="185" w:lineRule="auto"/>
                    <w:ind w:left="474" w:right="314" w:hanging="155"/>
                    <w:rPr>
                      <w:rFonts w:ascii="Microsoft YaHei" w:eastAsia="Microsoft YaHei" w:hAnsi="Microsoft YaHei" w:cs="Microsoft YaHei"/>
                      <w:sz w:val="16"/>
                      <w:szCs w:val="16"/>
                    </w:rPr>
                  </w:pPr>
                  <w:r>
                    <w:rPr>
                      <w:rFonts w:ascii="Microsoft YaHei" w:eastAsia="Microsoft YaHei" w:hAnsi="Microsoft YaHei" w:cs="Microsoft YaHei"/>
                      <w:color w:val="FFFFFF"/>
                      <w:spacing w:val="-3"/>
                      <w:sz w:val="16"/>
                      <w:szCs w:val="16"/>
                    </w:rPr>
                    <w:t>可持续证券投资</w:t>
                  </w:r>
                  <w:r>
                    <w:rPr>
                      <w:rFonts w:ascii="Microsoft YaHei" w:eastAsia="Microsoft YaHei" w:hAnsi="Microsoft YaHei" w:cs="Microsoft YaHei"/>
                      <w:color w:val="FFFFFF"/>
                      <w:spacing w:val="2"/>
                      <w:sz w:val="16"/>
                      <w:szCs w:val="16"/>
                    </w:rPr>
                    <w:t xml:space="preserve"> </w:t>
                  </w:r>
                  <w:r>
                    <w:rPr>
                      <w:rFonts w:ascii="Microsoft YaHei" w:eastAsia="Microsoft YaHei" w:hAnsi="Microsoft YaHei" w:cs="Microsoft YaHei"/>
                      <w:color w:val="FFFFFF"/>
                      <w:spacing w:val="-2"/>
                      <w:sz w:val="16"/>
                      <w:szCs w:val="16"/>
                    </w:rPr>
                    <w:t>3.66万亿元</w:t>
                  </w:r>
                </w:p>
              </w:txbxContent>
            </v:textbox>
          </v:shape>
        </w:pict>
      </w:r>
      <w:r>
        <w:pict>
          <v:shape id="_x0000_s1048" type="#_x0000_t202" style="width:86.8pt;height:29.95pt;margin-top:415.59pt;margin-left:409.67pt;mso-position-horizontal-relative:page;mso-position-vertical-relative:page;position:absolute;z-index:251669504" o:allowincell="f" filled="t" fillcolor="#ef6b2d" stroked="f">
            <v:fill opacity="52429f"/>
            <o:lock v:ext="edit" aspectratio="f"/>
            <v:textbox inset="0,0,0,0">
              <w:txbxContent>
                <w:p>
                  <w:pPr>
                    <w:spacing w:before="134" w:line="177" w:lineRule="auto"/>
                    <w:ind w:left="320"/>
                    <w:rPr>
                      <w:rFonts w:ascii="Microsoft YaHei" w:eastAsia="Microsoft YaHei" w:hAnsi="Microsoft YaHei" w:cs="Microsoft YaHei"/>
                      <w:sz w:val="16"/>
                      <w:szCs w:val="16"/>
                    </w:rPr>
                  </w:pPr>
                  <w:r>
                    <w:rPr>
                      <w:rFonts w:ascii="Microsoft YaHei" w:eastAsia="Microsoft YaHei" w:hAnsi="Microsoft YaHei" w:cs="Microsoft YaHei"/>
                      <w:color w:val="FFFFFF"/>
                      <w:spacing w:val="-3"/>
                      <w:sz w:val="16"/>
                      <w:szCs w:val="16"/>
                    </w:rPr>
                    <w:t>可持续股权投资</w:t>
                  </w:r>
                </w:p>
                <w:p>
                  <w:pPr>
                    <w:spacing w:before="17" w:line="177" w:lineRule="auto"/>
                    <w:ind w:left="397"/>
                    <w:rPr>
                      <w:rFonts w:ascii="Microsoft YaHei" w:eastAsia="Microsoft YaHei" w:hAnsi="Microsoft YaHei" w:cs="Microsoft YaHei"/>
                      <w:sz w:val="16"/>
                      <w:szCs w:val="16"/>
                    </w:rPr>
                  </w:pPr>
                  <w:r>
                    <w:rPr>
                      <w:rFonts w:ascii="Microsoft YaHei" w:eastAsia="Microsoft YaHei" w:hAnsi="Microsoft YaHei" w:cs="Microsoft YaHei"/>
                      <w:color w:val="FFFFFF"/>
                      <w:spacing w:val="-2"/>
                      <w:sz w:val="16"/>
                      <w:szCs w:val="16"/>
                    </w:rPr>
                    <w:t>约0.82万亿元</w:t>
                  </w:r>
                </w:p>
              </w:txbxContent>
            </v:textbox>
          </v:shape>
        </w:pict>
      </w:r>
      <w:r>
        <w:pict>
          <v:shape id="_x0000_s1049" type="#_x0000_t202" style="width:86.8pt;height:29.95pt;margin-top:463.32pt;margin-left:213.48pt;mso-position-horizontal-relative:page;mso-position-vertical-relative:page;position:absolute;z-index:251670528" o:allowincell="f" filled="t" fillcolor="#ef6b2d" stroked="f">
            <v:fill opacity="39322f"/>
            <o:lock v:ext="edit" aspectratio="f"/>
            <v:textbox inset="0,0,0,0">
              <w:txbxContent>
                <w:p>
                  <w:pPr>
                    <w:spacing w:before="113" w:line="177" w:lineRule="auto"/>
                    <w:ind w:left="479"/>
                    <w:rPr>
                      <w:rFonts w:ascii="Microsoft YaHei" w:eastAsia="Microsoft YaHei" w:hAnsi="Microsoft YaHei" w:cs="Microsoft YaHei"/>
                      <w:sz w:val="16"/>
                      <w:szCs w:val="16"/>
                    </w:rPr>
                  </w:pPr>
                  <w:r>
                    <w:rPr>
                      <w:rFonts w:ascii="Microsoft YaHei" w:eastAsia="Microsoft YaHei" w:hAnsi="Microsoft YaHei" w:cs="Microsoft YaHei"/>
                      <w:color w:val="FFFFFF"/>
                      <w:spacing w:val="-3"/>
                      <w:sz w:val="16"/>
                      <w:szCs w:val="16"/>
                    </w:rPr>
                    <w:t>可持续债券</w:t>
                  </w:r>
                </w:p>
                <w:p>
                  <w:pPr>
                    <w:spacing w:before="18" w:line="177" w:lineRule="auto"/>
                    <w:ind w:left="555"/>
                    <w:rPr>
                      <w:rFonts w:ascii="Microsoft YaHei" w:eastAsia="Microsoft YaHei" w:hAnsi="Microsoft YaHei" w:cs="Microsoft YaHei"/>
                      <w:sz w:val="16"/>
                      <w:szCs w:val="16"/>
                    </w:rPr>
                  </w:pPr>
                  <w:r>
                    <w:rPr>
                      <w:rFonts w:ascii="Microsoft YaHei" w:eastAsia="Microsoft YaHei" w:hAnsi="Microsoft YaHei" w:cs="Microsoft YaHei"/>
                      <w:color w:val="FFFFFF"/>
                      <w:spacing w:val="-2"/>
                      <w:sz w:val="16"/>
                      <w:szCs w:val="16"/>
                    </w:rPr>
                    <w:t>3.06万亿</w:t>
                  </w:r>
                </w:p>
              </w:txbxContent>
            </v:textbox>
          </v:shape>
        </w:pict>
      </w:r>
      <w:r>
        <w:pict>
          <v:shape id="_x0000_s1050" type="#_x0000_t202" style="width:74.65pt;height:29.95pt;margin-top:463.32pt;margin-left:313.51pt;mso-position-horizontal-relative:page;mso-position-vertical-relative:page;position:absolute;z-index:251675648" o:allowincell="f" filled="t" fillcolor="#ef6b2d" stroked="f">
            <v:fill opacity="39322f"/>
            <o:lock v:ext="edit" aspectratio="f"/>
            <v:textbox inset="0,0,0,0">
              <w:txbxContent>
                <w:p>
                  <w:pPr>
                    <w:spacing w:before="113" w:line="193" w:lineRule="auto"/>
                    <w:ind w:left="398" w:right="191" w:hanging="199"/>
                    <w:rPr>
                      <w:rFonts w:ascii="Microsoft YaHei" w:eastAsia="Microsoft YaHei" w:hAnsi="Microsoft YaHei" w:cs="Microsoft YaHei"/>
                      <w:sz w:val="16"/>
                      <w:szCs w:val="16"/>
                    </w:rPr>
                  </w:pPr>
                  <w:r>
                    <w:rPr>
                      <w:rFonts w:ascii="Microsoft YaHei" w:eastAsia="Microsoft YaHei" w:hAnsi="Microsoft YaHei" w:cs="Microsoft YaHei"/>
                      <w:color w:val="FFFFFF"/>
                      <w:spacing w:val="-3"/>
                      <w:sz w:val="16"/>
                      <w:szCs w:val="16"/>
                    </w:rPr>
                    <w:t>可持续理财产品</w:t>
                  </w:r>
                  <w:r>
                    <w:rPr>
                      <w:rFonts w:ascii="Microsoft YaHei" w:eastAsia="Microsoft YaHei" w:hAnsi="Microsoft YaHei" w:cs="Microsoft YaHei"/>
                      <w:color w:val="FFFFFF"/>
                      <w:spacing w:val="2"/>
                      <w:sz w:val="16"/>
                      <w:szCs w:val="16"/>
                    </w:rPr>
                    <w:t xml:space="preserve"> </w:t>
                  </w:r>
                  <w:r>
                    <w:rPr>
                      <w:rFonts w:ascii="Microsoft YaHei" w:eastAsia="Microsoft YaHei" w:hAnsi="Microsoft YaHei" w:cs="Microsoft YaHei"/>
                      <w:color w:val="FFFFFF"/>
                      <w:spacing w:val="-3"/>
                      <w:sz w:val="16"/>
                      <w:szCs w:val="16"/>
                    </w:rPr>
                    <w:t>1,586亿元</w:t>
                  </w:r>
                </w:p>
              </w:txbxContent>
            </v:textbox>
          </v:shape>
        </w:pict>
      </w:r>
      <w:r>
        <w:pict>
          <v:group id="_x0000_s1051" style="width:82.75pt;height:29.95pt;margin-top:463.5pt;margin-left:413.7pt;mso-position-horizontal-relative:page;mso-position-vertical-relative:page;position:absolute;z-index:251672576" coordorigin="0,0" coordsize="1655,599" o:allowincell="f" filled="f" stroked="f">
            <v:rect id="_x0000_s1052" style="width:1493;height:599;left:162;position:absolute" filled="t" fillcolor="#ef6b2d" stroked="f">
              <v:fill opacity="39322f"/>
            </v:rect>
            <v:shape id="_x0000_s1053" type="#_x0000_t202" style="width:1695;height:710;left:-20;position:absolute;top:-20" filled="f" stroked="f">
              <o:lock v:ext="edit" aspectratio="f"/>
              <v:textbox inset="0,0,0,0">
                <w:txbxContent>
                  <w:p>
                    <w:pPr>
                      <w:tabs>
                        <w:tab w:val="left" w:pos="182"/>
                      </w:tabs>
                      <w:spacing w:before="133" w:line="193" w:lineRule="auto"/>
                      <w:ind w:left="492" w:right="140" w:hanging="472"/>
                      <w:rPr>
                        <w:rFonts w:ascii="Microsoft YaHei" w:eastAsia="Microsoft YaHei" w:hAnsi="Microsoft YaHei" w:cs="Microsoft YaHei"/>
                        <w:sz w:val="16"/>
                        <w:szCs w:val="16"/>
                      </w:rPr>
                    </w:pPr>
                    <w:r>
                      <w:rPr>
                        <w:rFonts w:ascii="Microsoft YaHei" w:eastAsia="Microsoft YaHei" w:hAnsi="Microsoft YaHei" w:cs="Microsoft YaHei"/>
                        <w:color w:val="FFFFFF"/>
                        <w:sz w:val="16"/>
                        <w:szCs w:val="16"/>
                        <w:u w:val="single" w:color="A8A9AD"/>
                      </w:rPr>
                      <w:tab/>
                    </w:r>
                    <w:r>
                      <w:rPr>
                        <w:rFonts w:ascii="Microsoft YaHei" w:eastAsia="Microsoft YaHei" w:hAnsi="Microsoft YaHei" w:cs="Microsoft YaHei"/>
                        <w:color w:val="FFFFFF"/>
                        <w:spacing w:val="22"/>
                        <w:sz w:val="16"/>
                        <w:szCs w:val="16"/>
                      </w:rPr>
                      <w:t xml:space="preserve">  </w:t>
                    </w:r>
                    <w:r>
                      <w:rPr>
                        <w:rFonts w:ascii="Microsoft YaHei" w:eastAsia="Microsoft YaHei" w:hAnsi="Microsoft YaHei" w:cs="Microsoft YaHei"/>
                        <w:color w:val="FFFFFF"/>
                        <w:spacing w:val="-3"/>
                        <w:sz w:val="16"/>
                        <w:szCs w:val="16"/>
                      </w:rPr>
                      <w:t>ESG私募股权基金</w:t>
                    </w:r>
                    <w:r>
                      <w:rPr>
                        <w:rFonts w:ascii="Microsoft YaHei" w:eastAsia="Microsoft YaHei" w:hAnsi="Microsoft YaHei" w:cs="Microsoft YaHei"/>
                        <w:color w:val="FFFFFF"/>
                        <w:sz w:val="16"/>
                        <w:szCs w:val="16"/>
                      </w:rPr>
                      <w:t xml:space="preserve"> </w:t>
                    </w:r>
                    <w:r>
                      <w:rPr>
                        <w:rFonts w:ascii="Microsoft YaHei" w:eastAsia="Microsoft YaHei" w:hAnsi="Microsoft YaHei" w:cs="Microsoft YaHei"/>
                        <w:color w:val="FFFFFF"/>
                        <w:spacing w:val="-2"/>
                        <w:sz w:val="16"/>
                        <w:szCs w:val="16"/>
                      </w:rPr>
                      <w:t>约4,343亿元</w:t>
                    </w:r>
                  </w:p>
                </w:txbxContent>
              </v:textbox>
            </v:shape>
          </v:group>
        </w:pict>
      </w:r>
      <w:r>
        <w:pict>
          <v:shape id="_x0000_s1054" type="#_x0000_t202" style="width:74.65pt;height:29.95pt;margin-top:511.04pt;margin-left:225.61pt;mso-position-horizontal-relative:page;mso-position-vertical-relative:page;position:absolute;z-index:251673600" o:allowincell="f" filled="t" fillcolor="#ef6b2d" stroked="f">
            <v:fill opacity="12850f"/>
            <o:lock v:ext="edit" aspectratio="f"/>
            <v:textbox inset="0,0,0,0">
              <w:txbxContent>
                <w:p>
                  <w:pPr>
                    <w:spacing w:before="114" w:line="193" w:lineRule="auto"/>
                    <w:ind w:left="429"/>
                    <w:rPr>
                      <w:rFonts w:ascii="Microsoft YaHei" w:eastAsia="Microsoft YaHei" w:hAnsi="Microsoft YaHei" w:cs="Microsoft YaHei"/>
                      <w:sz w:val="16"/>
                      <w:szCs w:val="16"/>
                    </w:rPr>
                  </w:pPr>
                  <w:r>
                    <w:rPr>
                      <w:rFonts w:ascii="Microsoft YaHei" w:eastAsia="Microsoft YaHei" w:hAnsi="Microsoft YaHei" w:cs="Microsoft YaHei"/>
                      <w:color w:val="EF6B2D"/>
                      <w:spacing w:val="-2"/>
                      <w:sz w:val="16"/>
                      <w:szCs w:val="16"/>
                    </w:rPr>
                    <w:t>绿色债券</w:t>
                  </w:r>
                </w:p>
                <w:p>
                  <w:pPr>
                    <w:spacing w:line="176" w:lineRule="auto"/>
                    <w:ind w:left="352"/>
                    <w:rPr>
                      <w:rFonts w:ascii="Microsoft YaHei" w:eastAsia="Microsoft YaHei" w:hAnsi="Microsoft YaHei" w:cs="Microsoft YaHei"/>
                      <w:sz w:val="16"/>
                      <w:szCs w:val="16"/>
                    </w:rPr>
                  </w:pPr>
                  <w:r>
                    <w:rPr>
                      <w:rFonts w:ascii="Microsoft YaHei" w:eastAsia="Microsoft YaHei" w:hAnsi="Microsoft YaHei" w:cs="Microsoft YaHei"/>
                      <w:color w:val="EF6B2D"/>
                      <w:spacing w:val="-2"/>
                      <w:sz w:val="16"/>
                      <w:szCs w:val="16"/>
                    </w:rPr>
                    <w:t>2.15万亿元</w:t>
                  </w:r>
                </w:p>
              </w:txbxContent>
            </v:textbox>
          </v:shape>
        </w:pict>
      </w:r>
      <w:r>
        <w:pict>
          <v:shape id="_x0000_s1055" type="#_x0000_t202" style="width:49.4pt;height:24.1pt;margin-top:513.87pt;margin-left:434.54pt;mso-position-horizontal-relative:page;mso-position-vertical-relative:page;position:absolute;z-index:251677696" o:allowincell="f" filled="f" stroked="f">
            <o:lock v:ext="edit" aspectratio="f"/>
            <v:textbox inset="0,0,0,0">
              <w:txbxContent>
                <w:p>
                  <w:pPr>
                    <w:spacing w:before="20" w:line="193" w:lineRule="auto"/>
                    <w:ind w:left="55" w:right="20" w:hanging="35"/>
                    <w:rPr>
                      <w:rFonts w:ascii="Microsoft YaHei" w:eastAsia="Microsoft YaHei" w:hAnsi="Microsoft YaHei" w:cs="Microsoft YaHei"/>
                      <w:sz w:val="16"/>
                      <w:szCs w:val="16"/>
                    </w:rPr>
                  </w:pPr>
                  <w:r>
                    <w:rPr>
                      <w:rFonts w:ascii="Microsoft YaHei" w:eastAsia="Microsoft YaHei" w:hAnsi="Microsoft YaHei" w:cs="Microsoft YaHei"/>
                      <w:color w:val="FFFFFF"/>
                      <w:spacing w:val="-3"/>
                      <w:sz w:val="16"/>
                      <w:szCs w:val="16"/>
                    </w:rPr>
                    <w:t>绿色产业基金</w:t>
                  </w:r>
                  <w:r>
                    <w:rPr>
                      <w:rFonts w:ascii="Microsoft YaHei" w:eastAsia="Microsoft YaHei" w:hAnsi="Microsoft YaHei" w:cs="Microsoft YaHei"/>
                      <w:color w:val="FFFFFF"/>
                      <w:spacing w:val="4"/>
                      <w:sz w:val="16"/>
                      <w:szCs w:val="16"/>
                    </w:rPr>
                    <w:t xml:space="preserve"> </w:t>
                  </w:r>
                  <w:r>
                    <w:rPr>
                      <w:rFonts w:ascii="Microsoft YaHei" w:eastAsia="Microsoft YaHei" w:hAnsi="Microsoft YaHei" w:cs="Microsoft YaHei"/>
                      <w:color w:val="FFFFFF"/>
                      <w:spacing w:val="-2"/>
                      <w:sz w:val="16"/>
                      <w:szCs w:val="16"/>
                    </w:rPr>
                    <w:t>约3,848亿元</w:t>
                  </w:r>
                </w:p>
              </w:txbxContent>
            </v:textbox>
          </v:shape>
        </w:pict>
      </w:r>
      <w:r>
        <w:pict>
          <v:shape id="_x0000_s1056" style="width:8.15pt;height:44.15pt;margin-top:526.84pt;margin-left:118.24pt;mso-position-horizontal-relative:page;mso-position-vertical-relative:page;position:absolute;z-index:251680768" coordorigin="0,0" coordsize="162,883" o:allowincell="f" path="m,5l162,5m,877l162,877e" filled="f" strokecolor="#a8a9ad" strokeweight="0.5pt">
            <v:stroke joinstyle="miter"/>
          </v:shape>
        </w:pict>
      </w:r>
      <w:r>
        <w:pict>
          <v:shape id="_x0000_s1057" style="width:8.4pt;height:169.95pt;margin-top:493.23pt;margin-left:217.25pt;mso-position-horizontal-relative:page;mso-position-vertical-relative:page;position:absolute;z-index:251676672" coordorigin="0,0" coordsize="167,3398" o:allowincell="f" path="m5,l5,3398m5,677l167,677m5,1549l167,1549e" filled="f" strokecolor="#a8a9ad" strokeweight="0.5pt">
            <v:stroke joinstyle="miter"/>
          </v:shape>
        </w:pict>
      </w:r>
      <w:r>
        <w:pict>
          <v:shape id="_x0000_s1058" type="#_x0000_t202" style="width:74.65pt;height:29.95pt;margin-top:556.77pt;margin-left:225.61pt;mso-position-horizontal-relative:page;mso-position-vertical-relative:page;position:absolute;z-index:251674624" o:allowincell="f" filled="t" fillcolor="#ef6b2d" stroked="f">
            <v:fill opacity="12850f"/>
            <o:lock v:ext="edit" aspectratio="f"/>
            <v:textbox inset="0,0,0,0">
              <w:txbxContent>
                <w:p>
                  <w:pPr>
                    <w:spacing w:before="120" w:line="193" w:lineRule="auto"/>
                    <w:ind w:left="325" w:right="37" w:hanging="289"/>
                    <w:rPr>
                      <w:rFonts w:ascii="Microsoft YaHei" w:eastAsia="Microsoft YaHei" w:hAnsi="Microsoft YaHei" w:cs="Microsoft YaHei"/>
                      <w:sz w:val="16"/>
                      <w:szCs w:val="16"/>
                    </w:rPr>
                  </w:pPr>
                  <w:r>
                    <w:rPr>
                      <w:rFonts w:ascii="Microsoft YaHei" w:eastAsia="Microsoft YaHei" w:hAnsi="Microsoft YaHei" w:cs="Microsoft YaHei"/>
                      <w:color w:val="EF6B2D"/>
                      <w:spacing w:val="-3"/>
                      <w:sz w:val="16"/>
                      <w:szCs w:val="16"/>
                    </w:rPr>
                    <w:t>可持续发展挂钩债券</w:t>
                  </w:r>
                  <w:r>
                    <w:rPr>
                      <w:rFonts w:ascii="Microsoft YaHei" w:eastAsia="Microsoft YaHei" w:hAnsi="Microsoft YaHei" w:cs="Microsoft YaHei"/>
                      <w:color w:val="EF6B2D"/>
                      <w:spacing w:val="4"/>
                      <w:sz w:val="16"/>
                      <w:szCs w:val="16"/>
                    </w:rPr>
                    <w:t xml:space="preserve"> </w:t>
                  </w:r>
                  <w:r>
                    <w:rPr>
                      <w:rFonts w:ascii="Microsoft YaHei" w:eastAsia="Microsoft YaHei" w:hAnsi="Microsoft YaHei" w:cs="Microsoft YaHei"/>
                      <w:color w:val="EF6B2D"/>
                      <w:spacing w:val="-3"/>
                      <w:sz w:val="16"/>
                      <w:szCs w:val="16"/>
                    </w:rPr>
                    <w:t>1,148.9亿元</w:t>
                  </w:r>
                </w:p>
              </w:txbxContent>
            </v:textbox>
          </v:shape>
        </w:pict>
      </w:r>
      <w:r>
        <w:pict>
          <v:shape id="_x0000_s1059" style="width:8.15pt;height:47.25pt;margin-top:616.2pt;margin-left:217.5pt;mso-position-horizontal-relative:page;mso-position-vertical-relative:page;position:absolute;z-index:251678720" coordorigin="0,0" coordsize="162,945" o:allowincell="f" path="m,5l162,5m,939l162,939e" filled="f" strokecolor="#a8a9ad" strokeweight="0.5pt">
            <v:stroke joinstyle="miter"/>
          </v:shape>
        </w:pict>
      </w:r>
      <w:r>
        <w:pict>
          <v:shape id="_x0000_s1060" type="#_x0000_t202" style="width:37.95pt;height:12.1pt;margin-top:664.35pt;margin-left:243.87pt;mso-position-horizontal-relative:page;mso-position-vertical-relative:page;position:absolute;z-index:251692032" o:allowincell="f" filled="f" stroked="f">
            <o:lock v:ext="edit" aspectratio="f"/>
            <v:textbox inset="0,0,0,0">
              <w:txbxContent>
                <w:p>
                  <w:pPr>
                    <w:spacing w:before="19" w:line="177" w:lineRule="auto"/>
                    <w:ind w:left="20"/>
                    <w:rPr>
                      <w:rFonts w:ascii="Microsoft YaHei" w:eastAsia="Microsoft YaHei" w:hAnsi="Microsoft YaHei" w:cs="Microsoft YaHei"/>
                      <w:sz w:val="16"/>
                      <w:szCs w:val="16"/>
                    </w:rPr>
                  </w:pPr>
                  <w:r>
                    <w:rPr>
                      <w:rFonts w:ascii="Microsoft YaHei" w:eastAsia="Microsoft YaHei" w:hAnsi="Microsoft YaHei" w:cs="Microsoft YaHei"/>
                      <w:color w:val="EF6B2D"/>
                      <w:spacing w:val="-2"/>
                      <w:sz w:val="16"/>
                      <w:szCs w:val="16"/>
                    </w:rPr>
                    <w:t>377.8亿元</w:t>
                  </w:r>
                </w:p>
              </w:txbxContent>
            </v:textbox>
          </v:shape>
        </w:pict>
      </w:r>
      <w:r>
        <w:rPr>
          <w:rFonts w:ascii="Microsoft YaHei" w:eastAsia="Microsoft YaHei" w:hAnsi="Microsoft YaHei" w:cs="Microsoft YaHei"/>
          <w:color w:val="EF6B2D"/>
          <w:spacing w:val="-2"/>
          <w:sz w:val="20"/>
          <w:szCs w:val="20"/>
        </w:rPr>
        <w:t>02</w:t>
      </w:r>
      <w:r>
        <w:rPr>
          <w:rFonts w:ascii="Microsoft YaHei" w:eastAsia="Microsoft YaHei" w:hAnsi="Microsoft YaHei" w:cs="Microsoft YaHei"/>
          <w:color w:val="EF6B2D"/>
          <w:spacing w:val="4"/>
          <w:sz w:val="20"/>
          <w:szCs w:val="20"/>
        </w:rPr>
        <w:t xml:space="preserve">         </w:t>
      </w:r>
      <w:r>
        <w:rPr>
          <w:position w:val="-6"/>
          <w:sz w:val="20"/>
          <w:szCs w:val="20"/>
        </w:rPr>
        <w:drawing>
          <wp:inline distT="0" distB="0" distL="0" distR="0">
            <wp:extent cx="54236" cy="16252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8"/>
                    <a:stretch>
                      <a:fillRect/>
                    </a:stretch>
                  </pic:blipFill>
                  <pic:spPr>
                    <a:xfrm>
                      <a:off x="0" y="0"/>
                      <a:ext cx="54236" cy="162521"/>
                    </a:xfrm>
                    <a:prstGeom prst="rect">
                      <a:avLst/>
                    </a:prstGeom>
                  </pic:spPr>
                </pic:pic>
              </a:graphicData>
            </a:graphic>
          </wp:inline>
        </w:drawing>
      </w:r>
      <w:r>
        <w:rPr>
          <w:rFonts w:ascii="Microsoft YaHei" w:eastAsia="Microsoft YaHei" w:hAnsi="Microsoft YaHei" w:cs="Microsoft YaHei"/>
          <w:color w:val="EF6B2D"/>
          <w:spacing w:val="46"/>
          <w:sz w:val="20"/>
          <w:szCs w:val="20"/>
        </w:rPr>
        <w:t xml:space="preserve"> </w:t>
      </w:r>
      <w:r>
        <w:rPr>
          <w:rFonts w:ascii="Microsoft YaHei" w:eastAsia="Microsoft YaHei" w:hAnsi="Microsoft YaHei" w:cs="Microsoft YaHei"/>
          <w:color w:val="EF6B2D"/>
          <w:spacing w:val="-2"/>
          <w:sz w:val="16"/>
          <w:szCs w:val="16"/>
        </w:rPr>
        <w:t xml:space="preserve">中国责任投资年度报告2023   </w:t>
      </w:r>
      <w:r>
        <w:rPr>
          <w:rFonts w:ascii="Microsoft YaHei" w:eastAsia="Microsoft YaHei" w:hAnsi="Microsoft YaHei" w:cs="Microsoft YaHei"/>
          <w:strike/>
          <w:color w:val="EF6B2D"/>
          <w:sz w:val="16"/>
          <w:szCs w:val="16"/>
        </w:rPr>
        <w:t xml:space="preserve">                                                                                                                                                     </w:t>
      </w:r>
    </w:p>
    <w:p>
      <w:pPr>
        <w:pStyle w:val="BodyText"/>
        <w:spacing w:line="277" w:lineRule="auto"/>
      </w:pPr>
    </w:p>
    <w:p>
      <w:pPr>
        <w:pStyle w:val="BodyText"/>
        <w:spacing w:line="278" w:lineRule="auto"/>
      </w:pPr>
    </w:p>
    <w:p>
      <w:pPr>
        <w:spacing w:before="205" w:line="230" w:lineRule="auto"/>
        <w:ind w:left="792"/>
        <w:rPr>
          <w:rFonts w:ascii="Microsoft YaHei" w:eastAsia="Microsoft YaHei" w:hAnsi="Microsoft YaHei" w:cs="Microsoft YaHei"/>
          <w:sz w:val="48"/>
          <w:szCs w:val="48"/>
        </w:rPr>
      </w:pPr>
      <w:r>
        <w:rPr>
          <w:rFonts w:ascii="Microsoft YaHei" w:eastAsia="Microsoft YaHei" w:hAnsi="Microsoft YaHei" w:cs="Microsoft YaHei"/>
          <w:color w:val="EF6B2D"/>
          <w:position w:val="-20"/>
          <w:sz w:val="48"/>
          <w:szCs w:val="48"/>
        </w:rPr>
        <w:drawing>
          <wp:inline distT="0" distB="0" distL="0" distR="0">
            <wp:extent cx="163079" cy="48868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9"/>
                    <a:stretch>
                      <a:fillRect/>
                    </a:stretch>
                  </pic:blipFill>
                  <pic:spPr>
                    <a:xfrm>
                      <a:off x="0" y="0"/>
                      <a:ext cx="163079" cy="488685"/>
                    </a:xfrm>
                    <a:prstGeom prst="rect">
                      <a:avLst/>
                    </a:prstGeom>
                  </pic:spPr>
                </pic:pic>
              </a:graphicData>
            </a:graphic>
          </wp:inline>
        </w:drawing>
      </w:r>
      <w:r>
        <w:rPr>
          <w:rFonts w:ascii="Microsoft YaHei" w:eastAsia="Microsoft YaHei" w:hAnsi="Microsoft YaHei" w:cs="Microsoft YaHei"/>
          <w:color w:val="EF6B2D"/>
          <w:spacing w:val="137"/>
          <w:sz w:val="48"/>
          <w:szCs w:val="48"/>
        </w:rPr>
        <w:t xml:space="preserve"> </w:t>
      </w:r>
      <w:r>
        <w:rPr>
          <w:rFonts w:ascii="Microsoft YaHei" w:eastAsia="Microsoft YaHei" w:hAnsi="Microsoft YaHei" w:cs="Microsoft YaHei"/>
          <w:color w:val="EF6B2D"/>
          <w:spacing w:val="-3"/>
          <w:sz w:val="48"/>
          <w:szCs w:val="48"/>
        </w:rPr>
        <w:t>摘要</w:t>
      </w:r>
    </w:p>
    <w:p>
      <w:pPr>
        <w:pStyle w:val="BodyText"/>
        <w:spacing w:line="262" w:lineRule="auto"/>
      </w:pPr>
    </w:p>
    <w:p>
      <w:pPr>
        <w:pStyle w:val="BodyText"/>
        <w:spacing w:line="263" w:lineRule="auto"/>
      </w:pPr>
    </w:p>
    <w:p>
      <w:pPr>
        <w:pStyle w:val="BodyText"/>
        <w:spacing w:line="263" w:lineRule="auto"/>
      </w:pPr>
    </w:p>
    <w:p>
      <w:pPr>
        <w:spacing w:before="77" w:line="234" w:lineRule="auto"/>
        <w:ind w:left="784" w:right="61" w:firstLine="2"/>
        <w:jc w:val="both"/>
        <w:rPr>
          <w:rFonts w:ascii="Microsoft YaHei" w:eastAsia="Microsoft YaHei" w:hAnsi="Microsoft YaHei" w:cs="Microsoft YaHei"/>
          <w:sz w:val="18"/>
          <w:szCs w:val="18"/>
        </w:rPr>
      </w:pPr>
      <w:r>
        <w:rPr>
          <w:rFonts w:ascii="Microsoft YaHei" w:eastAsia="Microsoft YaHei" w:hAnsi="Microsoft YaHei" w:cs="Microsoft YaHei"/>
          <w:color w:val="57585A"/>
          <w:spacing w:val="-5"/>
          <w:sz w:val="18"/>
          <w:szCs w:val="18"/>
        </w:rPr>
        <w:t>2023年，世界经济的发展面临着多种不稳定性因素</w:t>
      </w:r>
      <w:r>
        <w:rPr>
          <w:rFonts w:ascii="Microsoft YaHei" w:eastAsia="Microsoft YaHei" w:hAnsi="Microsoft YaHei" w:cs="Microsoft YaHei"/>
          <w:color w:val="57585A"/>
          <w:spacing w:val="-6"/>
          <w:sz w:val="18"/>
          <w:szCs w:val="18"/>
        </w:rPr>
        <w:t>的制约，在变动的形势下，遏制气候变化和实现可持续发展目标仍然是</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3"/>
          <w:sz w:val="18"/>
          <w:szCs w:val="18"/>
        </w:rPr>
        <w:t>全球经济体的共识和共同努力目标。自2020年9月中国做出力争于2030年前二氧化碳排放达峰并努力争取2060年前实现</w:t>
      </w:r>
      <w:r>
        <w:rPr>
          <w:rFonts w:ascii="Microsoft YaHei" w:eastAsia="Microsoft YaHei" w:hAnsi="Microsoft YaHei" w:cs="Microsoft YaHei"/>
          <w:color w:val="57585A"/>
          <w:spacing w:val="10"/>
          <w:sz w:val="18"/>
          <w:szCs w:val="18"/>
        </w:rPr>
        <w:t xml:space="preserve"> </w:t>
      </w:r>
      <w:r>
        <w:rPr>
          <w:rFonts w:ascii="Microsoft YaHei" w:eastAsia="Microsoft YaHei" w:hAnsi="Microsoft YaHei" w:cs="Microsoft YaHei"/>
          <w:color w:val="57585A"/>
          <w:spacing w:val="-7"/>
          <w:sz w:val="18"/>
          <w:szCs w:val="18"/>
        </w:rPr>
        <w:t>碳中和的宏伟目标之后，“双碳目标”成为中国经济</w:t>
      </w:r>
      <w:r>
        <w:rPr>
          <w:rFonts w:ascii="Microsoft YaHei" w:eastAsia="Microsoft YaHei" w:hAnsi="Microsoft YaHei" w:cs="Microsoft YaHei"/>
          <w:color w:val="57585A"/>
          <w:spacing w:val="-8"/>
          <w:sz w:val="18"/>
          <w:szCs w:val="18"/>
        </w:rPr>
        <w:t>发展和金融工作开展的重要引领。在全球经济不景气的背景下，中国资</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4"/>
          <w:sz w:val="18"/>
          <w:szCs w:val="18"/>
        </w:rPr>
        <w:t>本市场的责任投资和绿色金融仍然保持着高速增长，新的责任投资产品数量继续跨越式上升，ESG、责任投资和气候风险</w:t>
      </w:r>
      <w:r>
        <w:rPr>
          <w:rFonts w:ascii="Microsoft YaHei" w:eastAsia="Microsoft YaHei" w:hAnsi="Microsoft YaHei" w:cs="Microsoft YaHei"/>
          <w:color w:val="57585A"/>
          <w:spacing w:val="5"/>
          <w:sz w:val="18"/>
          <w:szCs w:val="18"/>
        </w:rPr>
        <w:t xml:space="preserve"> </w:t>
      </w:r>
      <w:r>
        <w:rPr>
          <w:rFonts w:ascii="Microsoft YaHei" w:eastAsia="Microsoft YaHei" w:hAnsi="Microsoft YaHei" w:cs="Microsoft YaHei"/>
          <w:color w:val="57585A"/>
          <w:spacing w:val="-1"/>
          <w:sz w:val="18"/>
          <w:szCs w:val="18"/>
        </w:rPr>
        <w:t>与机遇管理等理念已经逐步得到主流认可。</w:t>
      </w:r>
    </w:p>
    <w:p>
      <w:pPr>
        <w:spacing w:before="174" w:line="234" w:lineRule="auto"/>
        <w:ind w:left="784" w:right="61" w:hanging="86"/>
        <w:jc w:val="both"/>
        <w:rPr>
          <w:rFonts w:ascii="Microsoft YaHei" w:eastAsia="Microsoft YaHei" w:hAnsi="Microsoft YaHei" w:cs="Microsoft YaHei"/>
          <w:sz w:val="18"/>
          <w:szCs w:val="18"/>
        </w:rPr>
      </w:pPr>
      <w:r>
        <w:rPr>
          <w:rFonts w:ascii="Microsoft YaHei" w:eastAsia="Microsoft YaHei" w:hAnsi="Microsoft YaHei" w:cs="Microsoft YaHei"/>
          <w:color w:val="57585A"/>
          <w:spacing w:val="-8"/>
          <w:sz w:val="18"/>
          <w:szCs w:val="18"/>
        </w:rPr>
        <w:t>《中国责任投资年度报告2023》采集公开信息，梳理了中国责任投资发展现状及规模。根据整理，截止2023年第三季度，我</w:t>
      </w:r>
      <w:r>
        <w:rPr>
          <w:rFonts w:ascii="Microsoft YaHei" w:eastAsia="Microsoft YaHei" w:hAnsi="Microsoft YaHei" w:cs="Microsoft YaHei"/>
          <w:color w:val="57585A"/>
          <w:spacing w:val="11"/>
          <w:sz w:val="18"/>
          <w:szCs w:val="18"/>
        </w:rPr>
        <w:t xml:space="preserve"> </w:t>
      </w:r>
      <w:r>
        <w:rPr>
          <w:rFonts w:ascii="Microsoft YaHei" w:eastAsia="Microsoft YaHei" w:hAnsi="Microsoft YaHei" w:cs="Microsoft YaHei"/>
          <w:color w:val="57585A"/>
          <w:spacing w:val="-1"/>
          <w:sz w:val="18"/>
          <w:szCs w:val="18"/>
        </w:rPr>
        <w:t>国可统计绿色信贷余额28.58万亿元人民币，ESG公募证券基金规模</w:t>
      </w:r>
      <w:r>
        <w:rPr>
          <w:rFonts w:ascii="Microsoft YaHei" w:eastAsia="Microsoft YaHei" w:hAnsi="Microsoft YaHei" w:cs="Microsoft YaHei"/>
          <w:color w:val="57585A"/>
          <w:spacing w:val="-2"/>
          <w:sz w:val="18"/>
          <w:szCs w:val="18"/>
        </w:rPr>
        <w:t>4383.11亿元人民币，绿色债券市场存量2.15万亿元</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5"/>
          <w:sz w:val="18"/>
          <w:szCs w:val="18"/>
        </w:rPr>
        <w:t>元人民币，可持续发展挂钩债券市场存量1,148.9亿元人民币，社会债券市场存量7,609.79亿元人民币，转型债券</w:t>
      </w:r>
      <w:r>
        <w:rPr>
          <w:rFonts w:ascii="Microsoft YaHei" w:eastAsia="Microsoft YaHei" w:hAnsi="Microsoft YaHei" w:cs="Microsoft YaHei"/>
          <w:color w:val="57585A"/>
          <w:spacing w:val="-6"/>
          <w:sz w:val="18"/>
          <w:szCs w:val="18"/>
        </w:rPr>
        <w:t>市场存量</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6"/>
          <w:sz w:val="18"/>
          <w:szCs w:val="18"/>
        </w:rPr>
        <w:t>377.8亿元，可持续理财产品市场存量1,586亿元，ESG股权基金规模约为4,343亿元</w:t>
      </w:r>
      <w:r>
        <w:rPr>
          <w:rFonts w:ascii="Microsoft YaHei" w:eastAsia="Microsoft YaHei" w:hAnsi="Microsoft YaHei" w:cs="Microsoft YaHei"/>
          <w:color w:val="57585A"/>
          <w:spacing w:val="-6"/>
          <w:position w:val="5"/>
          <w:sz w:val="10"/>
          <w:szCs w:val="10"/>
        </w:rPr>
        <w:t>1</w:t>
      </w:r>
      <w:r>
        <w:rPr>
          <w:rFonts w:ascii="Microsoft YaHei" w:eastAsia="Microsoft YaHei" w:hAnsi="Microsoft YaHei" w:cs="Microsoft YaHei"/>
          <w:color w:val="57585A"/>
          <w:spacing w:val="-6"/>
          <w:sz w:val="18"/>
          <w:szCs w:val="18"/>
        </w:rPr>
        <w:t>，绿色产业基金约3,848亿元。</w:t>
      </w:r>
    </w:p>
    <w:p>
      <w:pPr>
        <w:pStyle w:val="BodyText"/>
        <w:spacing w:line="270" w:lineRule="auto"/>
      </w:pPr>
    </w:p>
    <w:p>
      <w:pPr>
        <w:pStyle w:val="BodyText"/>
        <w:spacing w:line="270" w:lineRule="auto"/>
      </w:pPr>
    </w:p>
    <w:p>
      <w:pPr>
        <w:pStyle w:val="BodyText"/>
        <w:spacing w:line="270" w:lineRule="auto"/>
      </w:pPr>
    </w:p>
    <w:p>
      <w:pPr>
        <w:spacing w:before="69" w:line="192" w:lineRule="auto"/>
        <w:ind w:left="4659"/>
        <w:rPr>
          <w:rFonts w:ascii="Microsoft YaHei" w:eastAsia="Microsoft YaHei" w:hAnsi="Microsoft YaHei" w:cs="Microsoft YaHei"/>
          <w:sz w:val="16"/>
          <w:szCs w:val="16"/>
        </w:rPr>
      </w:pPr>
      <w:r>
        <w:drawing>
          <wp:anchor distT="0" distB="0" distL="0" distR="0" simplePos="0" relativeHeight="251667456" behindDoc="1" locked="0" layoutInCell="1" allowOverlap="1">
            <wp:simplePos x="0" y="0"/>
            <wp:positionH relativeFrom="column">
              <wp:posOffset>2674979</wp:posOffset>
            </wp:positionH>
            <wp:positionV relativeFrom="paragraph">
              <wp:posOffset>-30868</wp:posOffset>
            </wp:positionV>
            <wp:extent cx="1554950" cy="379907"/>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0"/>
                    <a:stretch>
                      <a:fillRect/>
                    </a:stretch>
                  </pic:blipFill>
                  <pic:spPr>
                    <a:xfrm>
                      <a:off x="0" y="0"/>
                      <a:ext cx="1554950" cy="379907"/>
                    </a:xfrm>
                    <a:prstGeom prst="rect">
                      <a:avLst/>
                    </a:prstGeom>
                  </pic:spPr>
                </pic:pic>
              </a:graphicData>
            </a:graphic>
          </wp:anchor>
        </w:drawing>
      </w:r>
      <w:r>
        <w:rPr>
          <w:rFonts w:ascii="Microsoft YaHei" w:eastAsia="Microsoft YaHei" w:hAnsi="Microsoft YaHei" w:cs="Microsoft YaHei"/>
          <w:color w:val="FFFFFF"/>
          <w:spacing w:val="-3"/>
          <w:sz w:val="16"/>
          <w:szCs w:val="16"/>
        </w:rPr>
        <w:t>中国主要责任投资类型</w:t>
      </w:r>
    </w:p>
    <w:p>
      <w:pPr>
        <w:spacing w:line="177" w:lineRule="auto"/>
        <w:ind w:left="4921"/>
        <w:rPr>
          <w:rFonts w:ascii="Microsoft YaHei" w:eastAsia="Microsoft YaHei" w:hAnsi="Microsoft YaHei" w:cs="Microsoft YaHei"/>
          <w:sz w:val="16"/>
          <w:szCs w:val="16"/>
        </w:rPr>
      </w:pPr>
      <w:r>
        <w:rPr>
          <w:rFonts w:ascii="Microsoft YaHei" w:eastAsia="Microsoft YaHei" w:hAnsi="Microsoft YaHei" w:cs="Microsoft YaHei"/>
          <w:color w:val="FFFFFF"/>
          <w:spacing w:val="-2"/>
          <w:sz w:val="16"/>
          <w:szCs w:val="16"/>
        </w:rPr>
        <w:t>约33.06万亿元</w:t>
      </w:r>
    </w:p>
    <w:p>
      <w:pPr>
        <w:pStyle w:val="BodyText"/>
        <w:spacing w:line="362" w:lineRule="auto"/>
      </w:pPr>
    </w:p>
    <w:p>
      <w:pPr>
        <w:spacing w:line="599" w:lineRule="exact"/>
        <w:ind w:firstLine="1614"/>
      </w:pPr>
      <w:r>
        <w:rPr>
          <w:position w:val="-11"/>
        </w:rPr>
        <w:pict>
          <v:shape id="_x0000_i1061" type="#_x0000_t202" style="width:86.8pt;height:29.95pt;mso-position-horizontal-relative:char;mso-position-vertical-relative:line" filled="t" fillcolor="#ef6b2d" stroked="f">
            <v:fill opacity="52429f"/>
            <o:lock v:ext="edit" aspectratio="f"/>
            <v:textbox inset="0,0,0,0">
              <w:txbxContent>
                <w:p>
                  <w:pPr>
                    <w:spacing w:before="134" w:line="193" w:lineRule="auto"/>
                    <w:ind w:left="550"/>
                    <w:rPr>
                      <w:rFonts w:ascii="Microsoft YaHei" w:eastAsia="Microsoft YaHei" w:hAnsi="Microsoft YaHei" w:cs="Microsoft YaHei"/>
                      <w:sz w:val="16"/>
                      <w:szCs w:val="16"/>
                    </w:rPr>
                  </w:pPr>
                  <w:r>
                    <w:rPr>
                      <w:rFonts w:ascii="Microsoft YaHei" w:eastAsia="Microsoft YaHei" w:hAnsi="Microsoft YaHei" w:cs="Microsoft YaHei"/>
                      <w:color w:val="FFFFFF"/>
                      <w:spacing w:val="-2"/>
                      <w:sz w:val="16"/>
                      <w:szCs w:val="16"/>
                    </w:rPr>
                    <w:t>绿色信贷</w:t>
                  </w:r>
                </w:p>
                <w:p>
                  <w:pPr>
                    <w:spacing w:line="176" w:lineRule="auto"/>
                    <w:ind w:left="428"/>
                    <w:rPr>
                      <w:rFonts w:ascii="Microsoft YaHei" w:eastAsia="Microsoft YaHei" w:hAnsi="Microsoft YaHei" w:cs="Microsoft YaHei"/>
                      <w:sz w:val="16"/>
                      <w:szCs w:val="16"/>
                    </w:rPr>
                  </w:pPr>
                  <w:r>
                    <w:rPr>
                      <w:rFonts w:ascii="Microsoft YaHei" w:eastAsia="Microsoft YaHei" w:hAnsi="Microsoft YaHei" w:cs="Microsoft YaHei"/>
                      <w:color w:val="FFFFFF"/>
                      <w:spacing w:val="-2"/>
                      <w:sz w:val="16"/>
                      <w:szCs w:val="16"/>
                    </w:rPr>
                    <w:t>28.58万亿元</w:t>
                  </w:r>
                </w:p>
              </w:txbxContent>
            </v:textbox>
            <w10:wrap type="none"/>
          </v:shape>
        </w:pict>
      </w:r>
    </w:p>
    <w:p>
      <w:pPr>
        <w:pStyle w:val="BodyText"/>
        <w:spacing w:line="354" w:lineRule="auto"/>
      </w:pPr>
    </w:p>
    <w:p>
      <w:pPr>
        <w:spacing w:line="598" w:lineRule="exact"/>
        <w:ind w:firstLine="1614"/>
      </w:pPr>
      <w:r>
        <w:rPr>
          <w:position w:val="-11"/>
        </w:rPr>
        <w:pict>
          <v:shape id="_x0000_i1062" type="#_x0000_t202" style="width:86.8pt;height:29.95pt;mso-position-horizontal-relative:char;mso-position-vertical-relative:line" filled="t" fillcolor="#ef6b2d" stroked="f">
            <v:fill opacity="39322f"/>
            <o:lock v:ext="edit" aspectratio="f"/>
            <v:textbox inset="0,0,0,0">
              <w:txbxContent>
                <w:p>
                  <w:pPr>
                    <w:spacing w:before="113" w:line="185" w:lineRule="auto"/>
                    <w:ind w:left="417" w:right="155" w:hanging="257"/>
                    <w:rPr>
                      <w:rFonts w:ascii="Microsoft YaHei" w:eastAsia="Microsoft YaHei" w:hAnsi="Microsoft YaHei" w:cs="Microsoft YaHei"/>
                      <w:sz w:val="16"/>
                      <w:szCs w:val="16"/>
                    </w:rPr>
                  </w:pPr>
                  <w:r>
                    <w:rPr>
                      <w:rFonts w:ascii="Microsoft YaHei" w:eastAsia="Microsoft YaHei" w:hAnsi="Microsoft YaHei" w:cs="Microsoft YaHei"/>
                      <w:color w:val="FFFFFF"/>
                      <w:spacing w:val="-3"/>
                      <w:sz w:val="16"/>
                      <w:szCs w:val="16"/>
                    </w:rPr>
                    <w:t>可持续证券投资基金</w:t>
                  </w:r>
                  <w:r>
                    <w:rPr>
                      <w:rFonts w:ascii="Microsoft YaHei" w:eastAsia="Microsoft YaHei" w:hAnsi="Microsoft YaHei" w:cs="Microsoft YaHei"/>
                      <w:color w:val="FFFFFF"/>
                      <w:spacing w:val="4"/>
                      <w:sz w:val="16"/>
                      <w:szCs w:val="16"/>
                    </w:rPr>
                    <w:t xml:space="preserve"> </w:t>
                  </w:r>
                  <w:r>
                    <w:rPr>
                      <w:rFonts w:ascii="Microsoft YaHei" w:eastAsia="Microsoft YaHei" w:hAnsi="Microsoft YaHei" w:cs="Microsoft YaHei"/>
                      <w:color w:val="FFFFFF"/>
                      <w:spacing w:val="-3"/>
                      <w:sz w:val="16"/>
                      <w:szCs w:val="16"/>
                    </w:rPr>
                    <w:t>4383.11亿元</w:t>
                  </w:r>
                </w:p>
              </w:txbxContent>
            </v:textbox>
            <w10:wrap type="none"/>
          </v:shape>
        </w:pict>
      </w:r>
    </w:p>
    <w:p>
      <w:pPr>
        <w:pStyle w:val="BodyText"/>
        <w:spacing w:line="354" w:lineRule="auto"/>
      </w:pPr>
    </w:p>
    <w:p>
      <w:pPr>
        <w:spacing w:line="598" w:lineRule="exact"/>
        <w:ind w:firstLine="1857"/>
      </w:pPr>
      <w:r>
        <w:rPr>
          <w:position w:val="-11"/>
        </w:rPr>
        <w:pict>
          <v:shape id="_x0000_i1063" type="#_x0000_t202" style="width:74.65pt;height:29.95pt;mso-position-horizontal-relative:char;mso-position-vertical-relative:line" filled="t" fillcolor="#ef6b2d" stroked="f">
            <v:fill opacity="12850f"/>
            <o:lock v:ext="edit" aspectratio="f"/>
            <v:textbox inset="0,0,0,0">
              <w:txbxContent>
                <w:p>
                  <w:pPr>
                    <w:spacing w:before="113" w:line="185" w:lineRule="auto"/>
                    <w:ind w:left="297" w:right="278" w:hanging="4"/>
                    <w:rPr>
                      <w:rFonts w:ascii="Microsoft YaHei" w:eastAsia="Microsoft YaHei" w:hAnsi="Microsoft YaHei" w:cs="Microsoft YaHei"/>
                      <w:sz w:val="16"/>
                      <w:szCs w:val="16"/>
                    </w:rPr>
                  </w:pPr>
                  <w:r>
                    <w:rPr>
                      <w:rFonts w:ascii="Microsoft YaHei" w:eastAsia="Microsoft YaHei" w:hAnsi="Microsoft YaHei" w:cs="Microsoft YaHei"/>
                      <w:color w:val="EF6B2D"/>
                      <w:spacing w:val="-3"/>
                      <w:sz w:val="16"/>
                      <w:szCs w:val="16"/>
                    </w:rPr>
                    <w:t>ESG公募基金</w:t>
                  </w:r>
                  <w:r>
                    <w:rPr>
                      <w:rFonts w:ascii="Microsoft YaHei" w:eastAsia="Microsoft YaHei" w:hAnsi="Microsoft YaHei" w:cs="Microsoft YaHei"/>
                      <w:color w:val="EF6B2D"/>
                      <w:spacing w:val="1"/>
                      <w:sz w:val="16"/>
                      <w:szCs w:val="16"/>
                    </w:rPr>
                    <w:t xml:space="preserve"> </w:t>
                  </w:r>
                  <w:r>
                    <w:rPr>
                      <w:rFonts w:ascii="Microsoft YaHei" w:eastAsia="Microsoft YaHei" w:hAnsi="Microsoft YaHei" w:cs="Microsoft YaHei"/>
                      <w:color w:val="EF6B2D"/>
                      <w:spacing w:val="-3"/>
                      <w:sz w:val="16"/>
                      <w:szCs w:val="16"/>
                    </w:rPr>
                    <w:t>4383.11亿元</w:t>
                  </w:r>
                </w:p>
              </w:txbxContent>
            </v:textbox>
            <w10:wrap type="none"/>
          </v:shape>
        </w:pict>
      </w:r>
    </w:p>
    <w:p>
      <w:pPr>
        <w:pStyle w:val="BodyText"/>
        <w:spacing w:line="314" w:lineRule="auto"/>
      </w:pPr>
    </w:p>
    <w:p>
      <w:pPr>
        <w:spacing w:before="1" w:line="598" w:lineRule="exact"/>
        <w:ind w:firstLine="1857"/>
      </w:pPr>
      <w:r>
        <w:rPr>
          <w:position w:val="-11"/>
        </w:rPr>
        <w:pict>
          <v:shape id="_x0000_i1064" type="#_x0000_t202" style="width:74.65pt;height:29.95pt;mso-position-horizontal-relative:char;mso-position-vertical-relative:line" filled="t" fillcolor="#ef6b2d" stroked="f">
            <v:fill opacity="12850f"/>
            <o:lock v:ext="edit" aspectratio="f"/>
            <v:textbox inset="0,0,0,0">
              <w:txbxContent>
                <w:p>
                  <w:pPr>
                    <w:spacing w:before="213" w:line="178" w:lineRule="auto"/>
                    <w:ind w:left="135"/>
                    <w:rPr>
                      <w:rFonts w:ascii="Microsoft YaHei" w:eastAsia="Microsoft YaHei" w:hAnsi="Microsoft YaHei" w:cs="Microsoft YaHei"/>
                      <w:sz w:val="16"/>
                      <w:szCs w:val="16"/>
                    </w:rPr>
                  </w:pPr>
                  <w:r>
                    <w:rPr>
                      <w:rFonts w:ascii="Microsoft YaHei" w:eastAsia="Microsoft YaHei" w:hAnsi="Microsoft YaHei" w:cs="Microsoft YaHei"/>
                      <w:color w:val="EF6B2D"/>
                      <w:spacing w:val="-3"/>
                      <w:sz w:val="16"/>
                      <w:szCs w:val="16"/>
                    </w:rPr>
                    <w:t>ESG私募证券基金</w:t>
                  </w:r>
                </w:p>
              </w:txbxContent>
            </v:textbox>
            <w10:wrap type="none"/>
          </v:shape>
        </w:pict>
      </w:r>
    </w:p>
    <w:p>
      <w:pPr>
        <w:pStyle w:val="BodyText"/>
        <w:spacing w:line="314" w:lineRule="auto"/>
      </w:pPr>
    </w:p>
    <w:p>
      <w:pPr>
        <w:spacing w:line="598" w:lineRule="exact"/>
        <w:ind w:firstLine="3842"/>
      </w:pPr>
      <w:r>
        <w:rPr>
          <w:position w:val="-11"/>
        </w:rPr>
        <w:pict>
          <v:shape id="_x0000_i1065" type="#_x0000_t202" style="width:74.65pt;height:29.95pt;mso-position-horizontal-relative:char;mso-position-vertical-relative:line" filled="t" fillcolor="#ef6b2d" stroked="f">
            <v:fill opacity="12850f"/>
            <o:lock v:ext="edit" aspectratio="f"/>
            <v:textbox inset="0,0,0,0">
              <w:txbxContent>
                <w:p>
                  <w:pPr>
                    <w:spacing w:before="121" w:line="177" w:lineRule="auto"/>
                    <w:ind w:left="428"/>
                    <w:rPr>
                      <w:rFonts w:ascii="Microsoft YaHei" w:eastAsia="Microsoft YaHei" w:hAnsi="Microsoft YaHei" w:cs="Microsoft YaHei"/>
                      <w:sz w:val="16"/>
                      <w:szCs w:val="16"/>
                    </w:rPr>
                  </w:pPr>
                  <w:r>
                    <w:rPr>
                      <w:rFonts w:ascii="Microsoft YaHei" w:eastAsia="Microsoft YaHei" w:hAnsi="Microsoft YaHei" w:cs="Microsoft YaHei"/>
                      <w:color w:val="EF6B2D"/>
                      <w:spacing w:val="-2"/>
                      <w:sz w:val="16"/>
                      <w:szCs w:val="16"/>
                    </w:rPr>
                    <w:t>社会债券</w:t>
                  </w:r>
                </w:p>
                <w:p>
                  <w:pPr>
                    <w:spacing w:before="19" w:line="192" w:lineRule="auto"/>
                    <w:ind w:left="276"/>
                    <w:rPr>
                      <w:rFonts w:ascii="Microsoft YaHei" w:eastAsia="Microsoft YaHei" w:hAnsi="Microsoft YaHei" w:cs="Microsoft YaHei"/>
                      <w:sz w:val="16"/>
                      <w:szCs w:val="16"/>
                    </w:rPr>
                  </w:pPr>
                  <w:r>
                    <w:rPr>
                      <w:rFonts w:ascii="Microsoft YaHei" w:eastAsia="Microsoft YaHei" w:hAnsi="Microsoft YaHei" w:cs="Microsoft YaHei"/>
                      <w:color w:val="EF6B2D"/>
                      <w:spacing w:val="-2"/>
                      <w:sz w:val="16"/>
                      <w:szCs w:val="16"/>
                    </w:rPr>
                    <w:t>7,609.79亿元</w:t>
                  </w:r>
                </w:p>
              </w:txbxContent>
            </v:textbox>
            <w10:wrap type="none"/>
          </v:shape>
        </w:pict>
      </w:r>
    </w:p>
    <w:p>
      <w:pPr>
        <w:pStyle w:val="BodyText"/>
        <w:spacing w:line="314" w:lineRule="auto"/>
        <w:sectPr>
          <w:footerReference w:type="default" r:id="rId21"/>
          <w:pgSz w:w="12246" w:h="17178"/>
          <w:pgMar w:top="993" w:right="1417" w:bottom="400" w:left="669" w:header="0" w:footer="0" w:gutter="0"/>
          <w:pgNumType w:start="6"/>
          <w:cols w:space="708"/>
        </w:sectPr>
      </w:pPr>
    </w:p>
    <w:p>
      <w:pPr>
        <w:spacing w:before="1" w:line="598" w:lineRule="exact"/>
        <w:ind w:firstLine="3842"/>
      </w:pPr>
      <w:r>
        <w:rPr>
          <w:position w:val="-11"/>
        </w:rPr>
        <w:pict>
          <v:shape id="_x0000_i1066" type="#_x0000_t202" style="width:74.65pt;height:29.95pt;mso-position-horizontal-relative:char;mso-position-vertical-relative:line" filled="t" fillcolor="#ef6b2d" stroked="f">
            <v:fill opacity="12850f"/>
            <o:lock v:ext="edit" aspectratio="f"/>
            <v:textbox inset="0,0,0,0">
              <w:txbxContent>
                <w:p>
                  <w:pPr>
                    <w:spacing w:before="121" w:line="177" w:lineRule="auto"/>
                    <w:ind w:left="430"/>
                    <w:rPr>
                      <w:rFonts w:ascii="Microsoft YaHei" w:eastAsia="Microsoft YaHei" w:hAnsi="Microsoft YaHei" w:cs="Microsoft YaHei"/>
                      <w:sz w:val="16"/>
                      <w:szCs w:val="16"/>
                    </w:rPr>
                  </w:pPr>
                  <w:r>
                    <w:rPr>
                      <w:rFonts w:ascii="Microsoft YaHei" w:eastAsia="Microsoft YaHei" w:hAnsi="Microsoft YaHei" w:cs="Microsoft YaHei"/>
                      <w:color w:val="EF6B2D"/>
                      <w:spacing w:val="-2"/>
                      <w:sz w:val="16"/>
                      <w:szCs w:val="16"/>
                    </w:rPr>
                    <w:t>转型债券</w:t>
                  </w:r>
                </w:p>
              </w:txbxContent>
            </v:textbox>
            <w10:wrap type="none"/>
          </v:shape>
        </w:pict>
      </w:r>
    </w:p>
    <w:p>
      <w:pPr>
        <w:spacing w:before="79" w:line="179" w:lineRule="auto"/>
        <w:ind w:left="6845"/>
        <w:rPr>
          <w:rFonts w:ascii="Microsoft YaHei" w:eastAsia="Microsoft YaHei" w:hAnsi="Microsoft YaHei" w:cs="Microsoft YaHei"/>
          <w:sz w:val="14"/>
          <w:szCs w:val="14"/>
        </w:rPr>
      </w:pPr>
      <w:r>
        <w:rPr>
          <w:rFonts w:ascii="Microsoft YaHei" w:eastAsia="Microsoft YaHei" w:hAnsi="Microsoft YaHei" w:cs="Microsoft YaHei"/>
          <w:color w:val="57585A"/>
          <w:spacing w:val="-8"/>
          <w:sz w:val="14"/>
          <w:szCs w:val="14"/>
        </w:rPr>
        <w:t>注：各类型数据统计口径不完全相同，详情请见附录1</w:t>
      </w:r>
    </w:p>
    <w:p>
      <w:pPr>
        <w:spacing w:before="234" w:line="214" w:lineRule="auto"/>
        <w:ind w:left="813" w:hanging="10"/>
        <w:rPr>
          <w:rFonts w:ascii="Microsoft YaHei" w:eastAsia="Microsoft YaHei" w:hAnsi="Microsoft YaHei" w:cs="Microsoft YaHei"/>
          <w:sz w:val="18"/>
          <w:szCs w:val="18"/>
        </w:rPr>
      </w:pPr>
      <w:r>
        <w:rPr>
          <w:rFonts w:ascii="Microsoft YaHei" w:eastAsia="Microsoft YaHei" w:hAnsi="Microsoft YaHei" w:cs="Microsoft YaHei"/>
          <w:color w:val="57585A"/>
          <w:spacing w:val="-4"/>
          <w:sz w:val="18"/>
          <w:szCs w:val="18"/>
        </w:rPr>
        <w:t>本报告总结了国际责任投资发展趋势，回顾了近年中国责任投资政策</w:t>
      </w:r>
      <w:r>
        <w:rPr>
          <w:rFonts w:ascii="Microsoft YaHei" w:eastAsia="Microsoft YaHei" w:hAnsi="Microsoft YaHei" w:cs="Microsoft YaHei"/>
          <w:color w:val="57585A"/>
          <w:spacing w:val="-5"/>
          <w:sz w:val="18"/>
          <w:szCs w:val="18"/>
        </w:rPr>
        <w:t>进展及金融机构的责任投资实践，梳理了已有的考虑</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6"/>
          <w:sz w:val="18"/>
          <w:szCs w:val="18"/>
        </w:rPr>
        <w:t>了ESG因素的股票指数、公募基金和理财产品，分享了个人投资者对责</w:t>
      </w:r>
      <w:r>
        <w:rPr>
          <w:rFonts w:ascii="Microsoft YaHei" w:eastAsia="Microsoft YaHei" w:hAnsi="Microsoft YaHei" w:cs="Microsoft YaHei"/>
          <w:color w:val="57585A"/>
          <w:spacing w:val="-7"/>
          <w:sz w:val="18"/>
          <w:szCs w:val="18"/>
        </w:rPr>
        <w:t>任投资以及资产所有者对尽责管理的态度调查结果。</w:t>
      </w: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spacing w:before="69" w:line="178" w:lineRule="auto"/>
        <w:ind w:left="789"/>
        <w:rPr>
          <w:rFonts w:ascii="Microsoft YaHei" w:eastAsia="Microsoft YaHei" w:hAnsi="Microsoft YaHei" w:cs="Microsoft YaHei"/>
          <w:sz w:val="16"/>
          <w:szCs w:val="16"/>
        </w:rPr>
      </w:pPr>
      <w:r>
        <w:rPr>
          <w:rFonts w:ascii="Microsoft YaHei" w:eastAsia="Microsoft YaHei" w:hAnsi="Microsoft YaHei" w:cs="Microsoft YaHei"/>
          <w:color w:val="808285"/>
          <w:spacing w:val="-3"/>
          <w:position w:val="5"/>
          <w:sz w:val="9"/>
          <w:szCs w:val="9"/>
        </w:rPr>
        <w:t xml:space="preserve">1   </w:t>
      </w:r>
      <w:r>
        <w:rPr>
          <w:rFonts w:ascii="Microsoft YaHei" w:eastAsia="Microsoft YaHei" w:hAnsi="Microsoft YaHei" w:cs="Microsoft YaHei"/>
          <w:color w:val="808285"/>
          <w:spacing w:val="-3"/>
          <w:sz w:val="16"/>
          <w:szCs w:val="16"/>
        </w:rPr>
        <w:t>中国责任投资论坛根据公开数据估算，估算方法请见附录1.</w:t>
      </w:r>
    </w:p>
    <w:p>
      <w:pPr>
        <w:spacing w:line="178" w:lineRule="auto"/>
        <w:rPr>
          <w:rFonts w:ascii="Microsoft YaHei" w:eastAsia="Microsoft YaHei" w:hAnsi="Microsoft YaHei" w:cs="Microsoft YaHei"/>
          <w:sz w:val="16"/>
          <w:szCs w:val="16"/>
        </w:rPr>
        <w:sectPr>
          <w:footerReference w:type="default" r:id="rId22"/>
          <w:type w:val="nextPage"/>
          <w:pgSz w:w="12246" w:h="17178"/>
          <w:pgMar w:top="993" w:right="1417" w:bottom="400" w:left="669" w:header="0" w:footer="0" w:gutter="0"/>
          <w:pgNumType w:start="7"/>
          <w:cols w:space="708"/>
          <w:titlePg w:val="0"/>
        </w:sectPr>
      </w:pPr>
    </w:p>
    <w:p>
      <w:pPr>
        <w:tabs>
          <w:tab w:val="left" w:pos="6989"/>
        </w:tabs>
        <w:spacing w:before="51" w:line="201" w:lineRule="auto"/>
        <w:rPr>
          <w:rFonts w:ascii="Microsoft YaHei" w:eastAsia="Microsoft YaHei" w:hAnsi="Microsoft YaHei" w:cs="Microsoft YaHei"/>
          <w:sz w:val="20"/>
          <w:szCs w:val="20"/>
        </w:rPr>
      </w:pPr>
      <w:r>
        <w:rPr>
          <w:rFonts w:ascii="Microsoft YaHei" w:eastAsia="Microsoft YaHei" w:hAnsi="Microsoft YaHei" w:cs="Microsoft YaHei"/>
          <w:strike/>
          <w:color w:val="EF6B2D"/>
          <w:sz w:val="16"/>
          <w:szCs w:val="16"/>
        </w:rPr>
        <w:tab/>
      </w:r>
      <w:r>
        <w:rPr>
          <w:rFonts w:ascii="Microsoft YaHei" w:eastAsia="Microsoft YaHei" w:hAnsi="Microsoft YaHei" w:cs="Microsoft YaHei"/>
          <w:color w:val="EF6B2D"/>
          <w:spacing w:val="10"/>
          <w:sz w:val="16"/>
          <w:szCs w:val="16"/>
        </w:rPr>
        <w:t xml:space="preserve">   </w:t>
      </w:r>
      <w:r>
        <w:rPr>
          <w:rFonts w:ascii="Microsoft YaHei" w:eastAsia="Microsoft YaHei" w:hAnsi="Microsoft YaHei" w:cs="Microsoft YaHei"/>
          <w:color w:val="EF6B2D"/>
          <w:spacing w:val="-4"/>
          <w:sz w:val="16"/>
          <w:szCs w:val="16"/>
        </w:rPr>
        <w:t>中国责任投资年度报告2023</w:t>
      </w:r>
      <w:r>
        <w:rPr>
          <w:rFonts w:ascii="Microsoft YaHei" w:eastAsia="Microsoft YaHei" w:hAnsi="Microsoft YaHei" w:cs="Microsoft YaHei"/>
          <w:color w:val="EF6B2D"/>
          <w:spacing w:val="36"/>
          <w:sz w:val="16"/>
          <w:szCs w:val="16"/>
        </w:rPr>
        <w:t xml:space="preserve"> </w:t>
      </w:r>
      <w:r>
        <w:rPr>
          <w:position w:val="-6"/>
          <w:sz w:val="16"/>
          <w:szCs w:val="16"/>
        </w:rPr>
        <w:drawing>
          <wp:inline distT="0" distB="0" distL="0" distR="0">
            <wp:extent cx="54241" cy="162534"/>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54241" cy="162534"/>
                    </a:xfrm>
                    <a:prstGeom prst="rect">
                      <a:avLst/>
                    </a:prstGeom>
                  </pic:spPr>
                </pic:pic>
              </a:graphicData>
            </a:graphic>
          </wp:inline>
        </w:drawing>
      </w:r>
      <w:r>
        <w:rPr>
          <w:rFonts w:ascii="Microsoft YaHei" w:eastAsia="Microsoft YaHei" w:hAnsi="Microsoft YaHei" w:cs="Microsoft YaHei"/>
          <w:color w:val="EF6B2D"/>
          <w:spacing w:val="2"/>
          <w:sz w:val="16"/>
          <w:szCs w:val="16"/>
        </w:rPr>
        <w:t xml:space="preserve">          </w:t>
      </w:r>
      <w:r>
        <w:rPr>
          <w:rFonts w:ascii="Microsoft YaHei" w:eastAsia="Microsoft YaHei" w:hAnsi="Microsoft YaHei" w:cs="Microsoft YaHei"/>
          <w:color w:val="EF6B2D"/>
          <w:spacing w:val="-4"/>
          <w:sz w:val="20"/>
          <w:szCs w:val="20"/>
        </w:rPr>
        <w:t>03</w:t>
      </w:r>
    </w:p>
    <w:p>
      <w:pPr>
        <w:pStyle w:val="BodyText"/>
        <w:spacing w:line="255"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spacing w:before="137" w:line="178" w:lineRule="auto"/>
        <w:ind w:left="36"/>
        <w:rPr>
          <w:rFonts w:ascii="Microsoft YaHei" w:eastAsia="Microsoft YaHei" w:hAnsi="Microsoft YaHei" w:cs="Microsoft YaHei"/>
          <w:sz w:val="32"/>
          <w:szCs w:val="32"/>
        </w:rPr>
      </w:pPr>
      <w:r>
        <w:rPr>
          <w:rFonts w:ascii="Microsoft YaHei" w:eastAsia="Microsoft YaHei" w:hAnsi="Microsoft YaHei" w:cs="Microsoft YaHei"/>
          <w:color w:val="EF6B2D"/>
          <w:spacing w:val="-4"/>
          <w:sz w:val="32"/>
          <w:szCs w:val="32"/>
        </w:rPr>
        <w:t>主要发现</w:t>
      </w:r>
    </w:p>
    <w:p>
      <w:pPr>
        <w:pStyle w:val="BodyText"/>
        <w:spacing w:line="286" w:lineRule="auto"/>
      </w:pPr>
    </w:p>
    <w:p>
      <w:pPr>
        <w:spacing w:before="77" w:line="178" w:lineRule="auto"/>
        <w:ind w:left="26"/>
        <w:rPr>
          <w:rFonts w:ascii="Microsoft YaHei" w:eastAsia="Microsoft YaHei" w:hAnsi="Microsoft YaHei" w:cs="Microsoft YaHei"/>
          <w:sz w:val="18"/>
          <w:szCs w:val="18"/>
        </w:rPr>
      </w:pPr>
      <w:r>
        <w:rPr>
          <w:rFonts w:ascii="Microsoft YaHei" w:eastAsia="Microsoft YaHei" w:hAnsi="Microsoft YaHei" w:cs="Microsoft YaHei"/>
          <w:color w:val="57585A"/>
          <w:spacing w:val="-2"/>
          <w:sz w:val="18"/>
          <w:szCs w:val="18"/>
        </w:rPr>
        <w:t>责任投资政策进展</w:t>
      </w:r>
    </w:p>
    <w:p>
      <w:pPr>
        <w:spacing w:before="214" w:line="213" w:lineRule="auto"/>
        <w:ind w:left="164" w:right="635" w:hanging="159"/>
        <w:rPr>
          <w:rFonts w:ascii="Microsoft YaHei" w:eastAsia="Microsoft YaHei" w:hAnsi="Microsoft YaHei" w:cs="Microsoft YaHei"/>
          <w:sz w:val="18"/>
          <w:szCs w:val="18"/>
        </w:rPr>
      </w:pPr>
      <w:r>
        <w:rPr>
          <w:rFonts w:ascii="Microsoft YaHei" w:eastAsia="Microsoft YaHei" w:hAnsi="Microsoft YaHei" w:cs="Microsoft YaHei"/>
          <w:color w:val="57585A"/>
          <w:spacing w:val="-2"/>
          <w:sz w:val="18"/>
          <w:szCs w:val="18"/>
        </w:rPr>
        <w:t>·</w:t>
      </w:r>
      <w:r>
        <w:rPr>
          <w:rFonts w:ascii="Microsoft YaHei" w:eastAsia="Microsoft YaHei" w:hAnsi="Microsoft YaHei" w:cs="Microsoft YaHei"/>
          <w:color w:val="57585A"/>
          <w:spacing w:val="-5"/>
          <w:sz w:val="18"/>
          <w:szCs w:val="18"/>
        </w:rPr>
        <w:t xml:space="preserve"> </w:t>
      </w:r>
      <w:r>
        <w:rPr>
          <w:rFonts w:ascii="Microsoft YaHei" w:eastAsia="Microsoft YaHei" w:hAnsi="Microsoft YaHei" w:cs="Microsoft YaHei"/>
          <w:color w:val="57585A"/>
          <w:spacing w:val="-2"/>
          <w:sz w:val="18"/>
          <w:szCs w:val="18"/>
        </w:rPr>
        <w:t>转型金融成为绿色金融的有效衔接。转型金融是今年G20可持续金融工作组的重点工作之一，央行已组织重点高碳行业</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2"/>
          <w:sz w:val="18"/>
          <w:szCs w:val="18"/>
        </w:rPr>
        <w:t>的转型金融标准研究。</w:t>
      </w:r>
    </w:p>
    <w:p>
      <w:pPr>
        <w:spacing w:before="169" w:line="214" w:lineRule="auto"/>
        <w:ind w:left="154" w:right="621" w:hanging="149"/>
        <w:rPr>
          <w:rFonts w:ascii="Microsoft YaHei" w:eastAsia="Microsoft YaHei" w:hAnsi="Microsoft YaHei" w:cs="Microsoft YaHei"/>
          <w:sz w:val="18"/>
          <w:szCs w:val="18"/>
        </w:rPr>
      </w:pPr>
      <w:r>
        <w:rPr>
          <w:rFonts w:ascii="Microsoft YaHei" w:eastAsia="Microsoft YaHei" w:hAnsi="Microsoft YaHei" w:cs="Microsoft YaHei"/>
          <w:color w:val="57585A"/>
          <w:spacing w:val="-2"/>
          <w:sz w:val="18"/>
          <w:szCs w:val="18"/>
        </w:rPr>
        <w:t>·</w:t>
      </w:r>
      <w:r>
        <w:rPr>
          <w:rFonts w:ascii="Microsoft YaHei" w:eastAsia="Microsoft YaHei" w:hAnsi="Microsoft YaHei" w:cs="Microsoft YaHei"/>
          <w:color w:val="57585A"/>
          <w:spacing w:val="-12"/>
          <w:sz w:val="18"/>
          <w:szCs w:val="18"/>
        </w:rPr>
        <w:t xml:space="preserve"> </w:t>
      </w:r>
      <w:r>
        <w:rPr>
          <w:rFonts w:ascii="Microsoft YaHei" w:eastAsia="Microsoft YaHei" w:hAnsi="Microsoft YaHei" w:cs="Microsoft YaHei"/>
          <w:color w:val="57585A"/>
          <w:spacing w:val="-2"/>
          <w:sz w:val="18"/>
          <w:szCs w:val="18"/>
        </w:rPr>
        <w:t>财政部表示中国将全力支持国际财务报告准则（IFRS）基金会的工作和国际可持续披露标准的制定，部分地区已经开展</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1"/>
          <w:sz w:val="18"/>
          <w:szCs w:val="18"/>
        </w:rPr>
        <w:t>金融机构环境信息披露报告的实践。</w:t>
      </w:r>
    </w:p>
    <w:p>
      <w:pPr>
        <w:spacing w:before="171" w:line="224" w:lineRule="auto"/>
        <w:ind w:left="153" w:right="619" w:hanging="148"/>
        <w:rPr>
          <w:rFonts w:ascii="Microsoft YaHei" w:eastAsia="Microsoft YaHei" w:hAnsi="Microsoft YaHei" w:cs="Microsoft YaHei"/>
          <w:sz w:val="18"/>
          <w:szCs w:val="18"/>
        </w:rPr>
      </w:pPr>
      <w:r>
        <w:rPr>
          <w:rFonts w:ascii="Microsoft YaHei" w:eastAsia="Microsoft YaHei" w:hAnsi="Microsoft YaHei" w:cs="Microsoft YaHei"/>
          <w:color w:val="57585A"/>
          <w:spacing w:val="43"/>
          <w:w w:val="151"/>
          <w:sz w:val="18"/>
          <w:szCs w:val="18"/>
        </w:rPr>
        <w:t>·</w:t>
      </w:r>
      <w:r>
        <w:rPr>
          <w:rFonts w:ascii="Microsoft YaHei" w:eastAsia="Microsoft YaHei" w:hAnsi="Microsoft YaHei" w:cs="Microsoft YaHei"/>
          <w:color w:val="57585A"/>
          <w:spacing w:val="18"/>
          <w:sz w:val="18"/>
          <w:szCs w:val="18"/>
        </w:rPr>
        <w:t xml:space="preserve"> </w:t>
      </w:r>
      <w:r>
        <w:rPr>
          <w:rFonts w:ascii="Microsoft YaHei" w:eastAsia="Microsoft YaHei" w:hAnsi="Microsoft YaHei" w:cs="Microsoft YaHei"/>
          <w:color w:val="57585A"/>
          <w:spacing w:val="-11"/>
          <w:sz w:val="18"/>
          <w:szCs w:val="18"/>
        </w:rPr>
        <w:t>中国保险行业协会发布《绿色保险分类指引（2023年版）》，对绿色保险产品、保险资金绿色投资、保险公司绿色运营作出</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6"/>
          <w:sz w:val="18"/>
          <w:szCs w:val="18"/>
        </w:rPr>
        <w:t>规范。中国保险资产管理业协会在去年发布的《中国保险资产管理业ESG尽责管理倡议书》的基础上进一步形成了《中国</w:t>
      </w:r>
      <w:r>
        <w:rPr>
          <w:rFonts w:ascii="Microsoft YaHei" w:eastAsia="Microsoft YaHei" w:hAnsi="Microsoft YaHei" w:cs="Microsoft YaHei"/>
          <w:color w:val="57585A"/>
          <w:spacing w:val="4"/>
          <w:sz w:val="18"/>
          <w:szCs w:val="18"/>
        </w:rPr>
        <w:t xml:space="preserve"> </w:t>
      </w:r>
      <w:r>
        <w:rPr>
          <w:rFonts w:ascii="Microsoft YaHei" w:eastAsia="Microsoft YaHei" w:hAnsi="Microsoft YaHei" w:cs="Microsoft YaHei"/>
          <w:color w:val="57585A"/>
          <w:spacing w:val="-9"/>
          <w:sz w:val="18"/>
          <w:szCs w:val="18"/>
        </w:rPr>
        <w:t>保险资产管理业尽责管理准则（草案）》，完善了尽责管理准则内容及配套的信息披露模板。</w:t>
      </w:r>
    </w:p>
    <w:p>
      <w:pPr>
        <w:pStyle w:val="BodyText"/>
        <w:spacing w:line="303" w:lineRule="auto"/>
      </w:pPr>
    </w:p>
    <w:p>
      <w:pPr>
        <w:spacing w:before="79" w:line="178" w:lineRule="auto"/>
        <w:ind w:left="26"/>
        <w:rPr>
          <w:rFonts w:ascii="Microsoft YaHei" w:eastAsia="Microsoft YaHei" w:hAnsi="Microsoft YaHei" w:cs="Microsoft YaHei"/>
          <w:sz w:val="18"/>
          <w:szCs w:val="18"/>
        </w:rPr>
      </w:pPr>
      <w:r>
        <w:rPr>
          <w:rFonts w:ascii="Microsoft YaHei" w:eastAsia="Microsoft YaHei" w:hAnsi="Microsoft YaHei" w:cs="Microsoft YaHei"/>
          <w:color w:val="57585A"/>
          <w:spacing w:val="-2"/>
          <w:sz w:val="18"/>
          <w:szCs w:val="18"/>
        </w:rPr>
        <w:t>责任投资市场动态</w:t>
      </w:r>
    </w:p>
    <w:p>
      <w:pPr>
        <w:spacing w:before="213" w:line="209" w:lineRule="auto"/>
        <w:ind w:left="159" w:right="623" w:hanging="154"/>
        <w:rPr>
          <w:rFonts w:ascii="Microsoft YaHei" w:eastAsia="Microsoft YaHei" w:hAnsi="Microsoft YaHei" w:cs="Microsoft YaHei"/>
          <w:sz w:val="18"/>
          <w:szCs w:val="18"/>
        </w:rPr>
      </w:pPr>
      <w:r>
        <w:rPr>
          <w:rFonts w:ascii="Microsoft YaHei" w:eastAsia="Microsoft YaHei" w:hAnsi="Microsoft YaHei" w:cs="Microsoft YaHei"/>
          <w:color w:val="57585A"/>
          <w:spacing w:val="-2"/>
          <w:position w:val="-1"/>
          <w:sz w:val="18"/>
          <w:szCs w:val="18"/>
        </w:rPr>
        <w:t xml:space="preserve">· </w:t>
      </w:r>
      <w:r>
        <w:rPr>
          <w:rFonts w:ascii="Microsoft YaHei" w:eastAsia="Microsoft YaHei" w:hAnsi="Microsoft YaHei" w:cs="Microsoft YaHei"/>
          <w:color w:val="57585A"/>
          <w:spacing w:val="-2"/>
          <w:sz w:val="18"/>
          <w:szCs w:val="18"/>
        </w:rPr>
        <w:t>国内公募基金、保险资管机构和银行理财子公司在进行责任投资的具体实践的表现上都较去年有较大</w:t>
      </w:r>
      <w:r>
        <w:rPr>
          <w:rFonts w:ascii="Microsoft YaHei" w:eastAsia="Microsoft YaHei" w:hAnsi="Microsoft YaHei" w:cs="Microsoft YaHei"/>
          <w:color w:val="57585A"/>
          <w:spacing w:val="-3"/>
          <w:sz w:val="18"/>
          <w:szCs w:val="18"/>
        </w:rPr>
        <w:t>程度的提升，但是</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1"/>
          <w:sz w:val="18"/>
          <w:szCs w:val="18"/>
        </w:rPr>
        <w:t>头部公司的进步的幅度小于中部和尾部机构。</w:t>
      </w:r>
    </w:p>
    <w:p>
      <w:pPr>
        <w:spacing w:before="172" w:line="171" w:lineRule="auto"/>
        <w:ind w:left="5"/>
        <w:rPr>
          <w:rFonts w:ascii="Microsoft YaHei" w:eastAsia="Microsoft YaHei" w:hAnsi="Microsoft YaHei" w:cs="Microsoft YaHei"/>
          <w:sz w:val="18"/>
          <w:szCs w:val="18"/>
        </w:rPr>
      </w:pPr>
      <w:r>
        <w:rPr>
          <w:rFonts w:ascii="Microsoft YaHei" w:eastAsia="Microsoft YaHei" w:hAnsi="Microsoft YaHei" w:cs="Microsoft YaHei"/>
          <w:color w:val="57585A"/>
          <w:spacing w:val="-5"/>
          <w:position w:val="1"/>
          <w:sz w:val="18"/>
          <w:szCs w:val="18"/>
        </w:rPr>
        <w:t xml:space="preserve">· </w:t>
      </w:r>
      <w:r>
        <w:rPr>
          <w:rFonts w:ascii="Microsoft YaHei" w:eastAsia="Microsoft YaHei" w:hAnsi="Microsoft YaHei" w:cs="Microsoft YaHei"/>
          <w:color w:val="57585A"/>
          <w:spacing w:val="-5"/>
          <w:sz w:val="18"/>
          <w:szCs w:val="18"/>
        </w:rPr>
        <w:t>截至2023年9月底，在沪深交易所发布了总计</w:t>
      </w:r>
      <w:r>
        <w:rPr>
          <w:rFonts w:ascii="Microsoft YaHei" w:eastAsia="Microsoft YaHei" w:hAnsi="Microsoft YaHei" w:cs="Microsoft YaHei"/>
          <w:color w:val="57585A"/>
          <w:spacing w:val="-6"/>
          <w:sz w:val="18"/>
          <w:szCs w:val="18"/>
        </w:rPr>
        <w:t>202只A股泛ESG指数。其中，ESG优选类指数的增幅最快。</w:t>
      </w:r>
    </w:p>
    <w:p>
      <w:pPr>
        <w:spacing w:before="171" w:line="339" w:lineRule="exact"/>
        <w:ind w:left="5"/>
        <w:rPr>
          <w:rFonts w:ascii="Microsoft YaHei" w:eastAsia="Microsoft YaHei" w:hAnsi="Microsoft YaHei" w:cs="Microsoft YaHei"/>
          <w:sz w:val="18"/>
          <w:szCs w:val="18"/>
        </w:rPr>
      </w:pPr>
      <w:r>
        <w:rPr>
          <w:rFonts w:ascii="Microsoft YaHei" w:eastAsia="Microsoft YaHei" w:hAnsi="Microsoft YaHei" w:cs="Microsoft YaHei"/>
          <w:color w:val="57585A"/>
          <w:spacing w:val="-3"/>
          <w:position w:val="12"/>
          <w:sz w:val="18"/>
          <w:szCs w:val="18"/>
        </w:rPr>
        <w:t>·</w:t>
      </w:r>
      <w:r>
        <w:rPr>
          <w:rFonts w:ascii="Microsoft YaHei" w:eastAsia="Microsoft YaHei" w:hAnsi="Microsoft YaHei" w:cs="Microsoft YaHei"/>
          <w:color w:val="57585A"/>
          <w:spacing w:val="-10"/>
          <w:position w:val="12"/>
          <w:sz w:val="18"/>
          <w:szCs w:val="18"/>
        </w:rPr>
        <w:t xml:space="preserve"> </w:t>
      </w:r>
      <w:r>
        <w:rPr>
          <w:rFonts w:ascii="Microsoft YaHei" w:eastAsia="Microsoft YaHei" w:hAnsi="Microsoft YaHei" w:cs="Microsoft YaHei"/>
          <w:color w:val="57585A"/>
          <w:spacing w:val="-3"/>
          <w:position w:val="12"/>
          <w:sz w:val="18"/>
          <w:szCs w:val="18"/>
        </w:rPr>
        <w:t>截至2023年9月底，ESG公募基金产品数量达到738只，保持持续的增长趋势。ESG基金的数量约占市场所有基金</w:t>
      </w:r>
      <w:r>
        <w:rPr>
          <w:rFonts w:ascii="Microsoft YaHei" w:eastAsia="Microsoft YaHei" w:hAnsi="Microsoft YaHei" w:cs="Microsoft YaHei"/>
          <w:color w:val="57585A"/>
          <w:spacing w:val="-4"/>
          <w:position w:val="12"/>
          <w:sz w:val="18"/>
          <w:szCs w:val="18"/>
        </w:rPr>
        <w:t>数量的</w:t>
      </w:r>
    </w:p>
    <w:p>
      <w:pPr>
        <w:spacing w:line="162" w:lineRule="auto"/>
        <w:ind w:left="157"/>
        <w:rPr>
          <w:rFonts w:ascii="Microsoft YaHei" w:eastAsia="Microsoft YaHei" w:hAnsi="Microsoft YaHei" w:cs="Microsoft YaHei"/>
          <w:sz w:val="18"/>
          <w:szCs w:val="18"/>
        </w:rPr>
      </w:pPr>
      <w:r>
        <w:rPr>
          <w:rFonts w:ascii="Microsoft YaHei" w:eastAsia="Microsoft YaHei" w:hAnsi="Microsoft YaHei" w:cs="Microsoft YaHei"/>
          <w:color w:val="57585A"/>
          <w:spacing w:val="-4"/>
          <w:sz w:val="18"/>
          <w:szCs w:val="18"/>
        </w:rPr>
        <w:t>7.45%。</w:t>
      </w:r>
    </w:p>
    <w:p>
      <w:pPr>
        <w:spacing w:before="172" w:line="179" w:lineRule="auto"/>
        <w:ind w:left="5"/>
        <w:rPr>
          <w:rFonts w:ascii="Microsoft YaHei" w:eastAsia="Microsoft YaHei" w:hAnsi="Microsoft YaHei" w:cs="Microsoft YaHei"/>
          <w:sz w:val="18"/>
          <w:szCs w:val="18"/>
        </w:rPr>
      </w:pPr>
      <w:r>
        <w:rPr>
          <w:rFonts w:ascii="Microsoft YaHei" w:eastAsia="Microsoft YaHei" w:hAnsi="Microsoft YaHei" w:cs="Microsoft YaHei"/>
          <w:color w:val="57585A"/>
          <w:spacing w:val="-1"/>
          <w:position w:val="-1"/>
          <w:sz w:val="18"/>
          <w:szCs w:val="18"/>
        </w:rPr>
        <w:t xml:space="preserve">· </w:t>
      </w:r>
      <w:r>
        <w:rPr>
          <w:rFonts w:ascii="Microsoft YaHei" w:eastAsia="Microsoft YaHei" w:hAnsi="Microsoft YaHei" w:cs="Microsoft YaHei"/>
          <w:color w:val="57585A"/>
          <w:spacing w:val="-1"/>
          <w:sz w:val="18"/>
          <w:szCs w:val="18"/>
        </w:rPr>
        <w:t>ESG基金的长期表现超过市场平均水平，并在ESG绩效和气候绩效上超过所有基金的平均水</w:t>
      </w:r>
      <w:r>
        <w:rPr>
          <w:rFonts w:ascii="Microsoft YaHei" w:eastAsia="Microsoft YaHei" w:hAnsi="Microsoft YaHei" w:cs="Microsoft YaHei"/>
          <w:color w:val="57585A"/>
          <w:spacing w:val="-2"/>
          <w:sz w:val="18"/>
          <w:szCs w:val="18"/>
        </w:rPr>
        <w:t>平。</w:t>
      </w:r>
    </w:p>
    <w:p>
      <w:pPr>
        <w:pStyle w:val="BodyText"/>
        <w:spacing w:line="459" w:lineRule="auto"/>
      </w:pPr>
    </w:p>
    <w:p>
      <w:pPr>
        <w:spacing w:before="77" w:line="179" w:lineRule="auto"/>
        <w:ind w:left="21"/>
        <w:rPr>
          <w:rFonts w:ascii="Microsoft YaHei" w:eastAsia="Microsoft YaHei" w:hAnsi="Microsoft YaHei" w:cs="Microsoft YaHei"/>
          <w:sz w:val="18"/>
          <w:szCs w:val="18"/>
        </w:rPr>
      </w:pPr>
      <w:r>
        <w:rPr>
          <w:rFonts w:ascii="Microsoft YaHei" w:eastAsia="Microsoft YaHei" w:hAnsi="Microsoft YaHei" w:cs="Microsoft YaHei"/>
          <w:color w:val="57585A"/>
          <w:spacing w:val="-1"/>
          <w:sz w:val="18"/>
          <w:szCs w:val="18"/>
        </w:rPr>
        <w:t>投资者的责任投资意识</w:t>
      </w:r>
    </w:p>
    <w:p>
      <w:pPr>
        <w:spacing w:before="213" w:line="225" w:lineRule="auto"/>
        <w:ind w:left="155" w:right="621" w:hanging="150"/>
        <w:rPr>
          <w:rFonts w:ascii="Microsoft YaHei" w:eastAsia="Microsoft YaHei" w:hAnsi="Microsoft YaHei" w:cs="Microsoft YaHei"/>
          <w:sz w:val="18"/>
          <w:szCs w:val="18"/>
        </w:rPr>
      </w:pPr>
      <w:r>
        <w:rPr>
          <w:rFonts w:ascii="Microsoft YaHei" w:eastAsia="Microsoft YaHei" w:hAnsi="Microsoft YaHei" w:cs="Microsoft YaHei"/>
          <w:color w:val="57585A"/>
          <w:spacing w:val="-2"/>
          <w:sz w:val="18"/>
          <w:szCs w:val="18"/>
        </w:rPr>
        <w:t>·</w:t>
      </w:r>
      <w:r>
        <w:rPr>
          <w:rFonts w:ascii="Microsoft YaHei" w:eastAsia="Microsoft YaHei" w:hAnsi="Microsoft YaHei" w:cs="Microsoft YaHei"/>
          <w:color w:val="57585A"/>
          <w:spacing w:val="-8"/>
          <w:sz w:val="18"/>
          <w:szCs w:val="18"/>
        </w:rPr>
        <w:t xml:space="preserve"> </w:t>
      </w:r>
      <w:r>
        <w:rPr>
          <w:rFonts w:ascii="Microsoft YaHei" w:eastAsia="Microsoft YaHei" w:hAnsi="Microsoft YaHei" w:cs="Microsoft YaHei"/>
          <w:color w:val="57585A"/>
          <w:spacing w:val="-2"/>
          <w:sz w:val="18"/>
          <w:szCs w:val="18"/>
        </w:rPr>
        <w:t>在气候变化问题日益严重和“双碳”目标的大时代背景下，个人投资者逐渐意识到外部环境及政策因素将引致更多的投</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7"/>
          <w:sz w:val="18"/>
          <w:szCs w:val="18"/>
        </w:rPr>
        <w:t>资风险和不确定性，85.6%的受访个人投资者在一定程度上同意 “由于气候变化问题日益严重和‘双碳’目标的提出，识</w:t>
      </w:r>
      <w:r>
        <w:rPr>
          <w:rFonts w:ascii="Microsoft YaHei" w:eastAsia="Microsoft YaHei" w:hAnsi="Microsoft YaHei" w:cs="Microsoft YaHei"/>
          <w:color w:val="57585A"/>
          <w:spacing w:val="11"/>
          <w:sz w:val="18"/>
          <w:szCs w:val="18"/>
        </w:rPr>
        <w:t xml:space="preserve"> </w:t>
      </w:r>
      <w:r>
        <w:rPr>
          <w:rFonts w:ascii="Microsoft YaHei" w:eastAsia="Microsoft YaHei" w:hAnsi="Microsoft YaHei" w:cs="Microsoft YaHei"/>
          <w:color w:val="57585A"/>
          <w:spacing w:val="-1"/>
          <w:sz w:val="18"/>
          <w:szCs w:val="18"/>
        </w:rPr>
        <w:t>别投资组合的ESG风险和机遇变得愈发重要”。</w:t>
      </w:r>
    </w:p>
    <w:p>
      <w:pPr>
        <w:spacing w:before="172" w:line="209" w:lineRule="auto"/>
        <w:ind w:left="155" w:right="620" w:hanging="150"/>
        <w:rPr>
          <w:rFonts w:ascii="Microsoft YaHei" w:eastAsia="Microsoft YaHei" w:hAnsi="Microsoft YaHei" w:cs="Microsoft YaHei"/>
          <w:sz w:val="18"/>
          <w:szCs w:val="18"/>
        </w:rPr>
      </w:pPr>
      <w:r>
        <w:rPr>
          <w:rFonts w:ascii="Microsoft YaHei" w:eastAsia="Microsoft YaHei" w:hAnsi="Microsoft YaHei" w:cs="Microsoft YaHei"/>
          <w:color w:val="57585A"/>
          <w:spacing w:val="-1"/>
          <w:position w:val="-1"/>
          <w:sz w:val="18"/>
          <w:szCs w:val="18"/>
        </w:rPr>
        <w:t>·</w:t>
      </w:r>
      <w:r>
        <w:rPr>
          <w:rFonts w:ascii="Microsoft YaHei" w:eastAsia="Microsoft YaHei" w:hAnsi="Microsoft YaHei" w:cs="Microsoft YaHei"/>
          <w:color w:val="57585A"/>
          <w:spacing w:val="-11"/>
          <w:position w:val="-1"/>
          <w:sz w:val="18"/>
          <w:szCs w:val="18"/>
        </w:rPr>
        <w:t xml:space="preserve"> </w:t>
      </w:r>
      <w:r>
        <w:rPr>
          <w:rFonts w:ascii="Microsoft YaHei" w:eastAsia="Microsoft YaHei" w:hAnsi="Microsoft YaHei" w:cs="Microsoft YaHei"/>
          <w:color w:val="57585A"/>
          <w:spacing w:val="-1"/>
          <w:sz w:val="18"/>
          <w:szCs w:val="18"/>
        </w:rPr>
        <w:t>个人投资者最希望获取ESG投资的信息源仍是监管机构公开信息</w:t>
      </w:r>
      <w:r>
        <w:rPr>
          <w:rFonts w:ascii="Microsoft YaHei" w:eastAsia="Microsoft YaHei" w:hAnsi="Microsoft YaHei" w:cs="Microsoft YaHei"/>
          <w:color w:val="57585A"/>
          <w:spacing w:val="-2"/>
          <w:sz w:val="18"/>
          <w:szCs w:val="18"/>
        </w:rPr>
        <w:t>，但对专业机构的信任在逐步增加，有半数的受访个人</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1"/>
          <w:sz w:val="18"/>
          <w:szCs w:val="18"/>
        </w:rPr>
        <w:t>投资者希望通过专业机构的ESG评级来了解企业的ESG表现。</w:t>
      </w:r>
    </w:p>
    <w:p>
      <w:pPr>
        <w:spacing w:before="173" w:line="225" w:lineRule="auto"/>
        <w:ind w:left="158" w:right="622" w:hanging="153"/>
        <w:rPr>
          <w:rFonts w:ascii="Microsoft YaHei" w:eastAsia="Microsoft YaHei" w:hAnsi="Microsoft YaHei" w:cs="Microsoft YaHei"/>
          <w:sz w:val="18"/>
          <w:szCs w:val="18"/>
        </w:rPr>
      </w:pPr>
      <w:r>
        <w:rPr>
          <w:rFonts w:ascii="Microsoft YaHei" w:eastAsia="Microsoft YaHei" w:hAnsi="Microsoft YaHei" w:cs="Microsoft YaHei"/>
          <w:color w:val="57585A"/>
          <w:spacing w:val="-2"/>
          <w:sz w:val="18"/>
          <w:szCs w:val="18"/>
        </w:rPr>
        <w:t>·</w:t>
      </w:r>
      <w:r>
        <w:rPr>
          <w:rFonts w:ascii="Microsoft YaHei" w:eastAsia="Microsoft YaHei" w:hAnsi="Microsoft YaHei" w:cs="Microsoft YaHei"/>
          <w:color w:val="57585A"/>
          <w:spacing w:val="-8"/>
          <w:sz w:val="18"/>
          <w:szCs w:val="18"/>
        </w:rPr>
        <w:t xml:space="preserve"> </w:t>
      </w:r>
      <w:r>
        <w:rPr>
          <w:rFonts w:ascii="Microsoft YaHei" w:eastAsia="Microsoft YaHei" w:hAnsi="Microsoft YaHei" w:cs="Microsoft YaHei"/>
          <w:color w:val="57585A"/>
          <w:spacing w:val="-2"/>
          <w:sz w:val="18"/>
          <w:szCs w:val="18"/>
        </w:rPr>
        <w:t>在监管要求推动下，多数资产所有者已经开展股东参与和尽责管理，包括相关政策制定和人员安排等等。与境内机构相</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5"/>
          <w:sz w:val="18"/>
          <w:szCs w:val="18"/>
        </w:rPr>
        <w:t>比，境外机构更加积极地采取各种类型的尽责管理方法</w:t>
      </w:r>
      <w:r>
        <w:rPr>
          <w:rFonts w:ascii="Microsoft YaHei" w:eastAsia="Microsoft YaHei" w:hAnsi="Microsoft YaHei" w:cs="Microsoft YaHei"/>
          <w:color w:val="57585A"/>
          <w:spacing w:val="-6"/>
          <w:sz w:val="18"/>
          <w:szCs w:val="18"/>
        </w:rPr>
        <w:t>，参与ESG议题沟通。养老金作为ESG投资的重要参与者，在全部</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1"/>
          <w:sz w:val="18"/>
          <w:szCs w:val="18"/>
        </w:rPr>
        <w:t>资产所有者中对尽责管理的关注度最高。</w:t>
      </w:r>
    </w:p>
    <w:p>
      <w:pPr>
        <w:spacing w:line="225" w:lineRule="auto"/>
        <w:rPr>
          <w:rFonts w:ascii="Microsoft YaHei" w:eastAsia="Microsoft YaHei" w:hAnsi="Microsoft YaHei" w:cs="Microsoft YaHei"/>
          <w:sz w:val="18"/>
          <w:szCs w:val="18"/>
        </w:rPr>
        <w:sectPr>
          <w:footerReference w:type="default" r:id="rId24"/>
          <w:pgSz w:w="12246" w:h="17178"/>
          <w:pgMar w:top="991" w:right="842" w:bottom="400" w:left="1431" w:header="0" w:footer="0" w:gutter="0"/>
          <w:pgNumType w:start="8"/>
          <w:cols w:space="708"/>
        </w:sectPr>
      </w:pPr>
    </w:p>
    <w:p>
      <w:pPr>
        <w:pStyle w:val="BodyText"/>
        <w:spacing w:line="257" w:lineRule="auto"/>
      </w:pPr>
    </w:p>
    <w:p>
      <w:pPr>
        <w:pStyle w:val="BodyText"/>
        <w:spacing w:line="257" w:lineRule="auto"/>
      </w:pPr>
    </w:p>
    <w:p>
      <w:pPr>
        <w:pStyle w:val="BodyText"/>
        <w:spacing w:line="258" w:lineRule="auto"/>
      </w:pPr>
    </w:p>
    <w:p>
      <w:pPr>
        <w:pStyle w:val="BodyText"/>
        <w:spacing w:line="258" w:lineRule="auto"/>
      </w:pPr>
    </w:p>
    <w:p>
      <w:pPr>
        <w:spacing w:before="69" w:line="236" w:lineRule="auto"/>
        <w:ind w:left="1511"/>
        <w:rPr>
          <w:rFonts w:ascii="Microsoft YaHei" w:eastAsia="Microsoft YaHei" w:hAnsi="Microsoft YaHei" w:cs="Microsoft YaHei"/>
          <w:sz w:val="16"/>
          <w:szCs w:val="16"/>
        </w:rPr>
      </w:pPr>
      <w:r>
        <w:rPr>
          <w:rFonts w:ascii="Microsoft YaHei" w:eastAsia="Microsoft YaHei" w:hAnsi="Microsoft YaHei" w:cs="Microsoft YaHei"/>
          <w:color w:val="FFFFFF"/>
          <w:position w:val="-6"/>
          <w:sz w:val="16"/>
          <w:szCs w:val="16"/>
        </w:rPr>
        <w:drawing>
          <wp:inline distT="0" distB="0" distL="0" distR="0">
            <wp:extent cx="54236" cy="16253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5"/>
                    <a:stretch>
                      <a:fillRect/>
                    </a:stretch>
                  </pic:blipFill>
                  <pic:spPr>
                    <a:xfrm>
                      <a:off x="0" y="0"/>
                      <a:ext cx="54236" cy="162534"/>
                    </a:xfrm>
                    <a:prstGeom prst="rect">
                      <a:avLst/>
                    </a:prstGeom>
                  </pic:spPr>
                </pic:pic>
              </a:graphicData>
            </a:graphic>
          </wp:inline>
        </w:drawing>
      </w:r>
      <w:r>
        <w:rPr>
          <w:rFonts w:ascii="Microsoft YaHei" w:eastAsia="Microsoft YaHei" w:hAnsi="Microsoft YaHei" w:cs="Microsoft YaHei"/>
          <w:color w:val="FFFFFF"/>
          <w:spacing w:val="3"/>
          <w:sz w:val="16"/>
          <w:szCs w:val="16"/>
        </w:rPr>
        <w:t xml:space="preserve">  </w:t>
      </w:r>
      <w:r>
        <w:rPr>
          <w:rFonts w:ascii="Microsoft YaHei" w:eastAsia="Microsoft YaHei" w:hAnsi="Microsoft YaHei" w:cs="Microsoft YaHei"/>
          <w:color w:val="FFFFFF"/>
          <w:spacing w:val="-3"/>
          <w:sz w:val="16"/>
          <w:szCs w:val="16"/>
        </w:rPr>
        <w:t>中国责任投资年度报告2023</w:t>
      </w:r>
      <w:r>
        <w:rPr>
          <w:rFonts w:ascii="Microsoft YaHei" w:eastAsia="Microsoft YaHei" w:hAnsi="Microsoft YaHei" w:cs="Microsoft YaHei"/>
          <w:color w:val="FFFFFF"/>
          <w:spacing w:val="10"/>
          <w:sz w:val="16"/>
          <w:szCs w:val="16"/>
        </w:rPr>
        <w:t xml:space="preserve">   </w:t>
      </w:r>
      <w:r>
        <w:rPr>
          <w:rFonts w:ascii="Microsoft YaHei" w:eastAsia="Microsoft YaHei" w:hAnsi="Microsoft YaHei" w:cs="Microsoft YaHei"/>
          <w:strike/>
          <w:color w:val="FFFFFF"/>
          <w:sz w:val="16"/>
          <w:szCs w:val="16"/>
        </w:rPr>
        <w:t xml:space="preserve">                                                                                                                                                     </w:t>
      </w:r>
    </w:p>
    <w:p>
      <w:pPr>
        <w:pStyle w:val="BodyText"/>
        <w:spacing w:line="275" w:lineRule="auto"/>
      </w:pPr>
    </w:p>
    <w:p>
      <w:pPr>
        <w:spacing w:before="206" w:line="231" w:lineRule="auto"/>
        <w:ind w:left="1483"/>
        <w:rPr>
          <w:rFonts w:ascii="Microsoft YaHei" w:eastAsia="Microsoft YaHei" w:hAnsi="Microsoft YaHei" w:cs="Microsoft YaHei"/>
          <w:sz w:val="48"/>
          <w:szCs w:val="48"/>
        </w:rPr>
      </w:pPr>
      <w:r>
        <w:rPr>
          <w:rFonts w:ascii="Microsoft YaHei" w:eastAsia="Microsoft YaHei" w:hAnsi="Microsoft YaHei" w:cs="Microsoft YaHei"/>
          <w:color w:val="FFFFFF"/>
          <w:position w:val="-21"/>
          <w:sz w:val="48"/>
          <w:szCs w:val="48"/>
        </w:rPr>
        <w:drawing>
          <wp:inline distT="0" distB="0" distL="0" distR="0">
            <wp:extent cx="166049" cy="497586"/>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6"/>
                    <a:stretch>
                      <a:fillRect/>
                    </a:stretch>
                  </pic:blipFill>
                  <pic:spPr>
                    <a:xfrm>
                      <a:off x="0" y="0"/>
                      <a:ext cx="166049" cy="497586"/>
                    </a:xfrm>
                    <a:prstGeom prst="rect">
                      <a:avLst/>
                    </a:prstGeom>
                  </pic:spPr>
                </pic:pic>
              </a:graphicData>
            </a:graphic>
          </wp:inline>
        </w:drawing>
      </w:r>
      <w:r>
        <w:rPr>
          <w:rFonts w:ascii="Microsoft YaHei" w:eastAsia="Microsoft YaHei" w:hAnsi="Microsoft YaHei" w:cs="Microsoft YaHei"/>
          <w:color w:val="FFFFFF"/>
          <w:spacing w:val="85"/>
          <w:sz w:val="48"/>
          <w:szCs w:val="48"/>
        </w:rPr>
        <w:t xml:space="preserve"> </w:t>
      </w:r>
      <w:r>
        <w:rPr>
          <w:rFonts w:ascii="Microsoft YaHei" w:eastAsia="Microsoft YaHei" w:hAnsi="Microsoft YaHei" w:cs="Microsoft YaHei"/>
          <w:color w:val="FFFFFF"/>
          <w:spacing w:val="-36"/>
          <w:sz w:val="48"/>
          <w:szCs w:val="48"/>
        </w:rPr>
        <w:t>目录</w:t>
      </w:r>
    </w:p>
    <w:tbl>
      <w:tblPr>
        <w:tblStyle w:val="TableNormal0"/>
        <w:tblW w:w="9259" w:type="dxa"/>
        <w:tblInd w:w="1521" w:type="dxa"/>
        <w:tblBorders>
          <w:top w:val="nil"/>
          <w:left w:val="nil"/>
          <w:bottom w:val="nil"/>
          <w:right w:val="nil"/>
          <w:insideH w:val="nil"/>
          <w:insideV w:val="nil"/>
        </w:tblBorders>
        <w:tblLayout w:type="fixed"/>
      </w:tblPr>
      <w:tblGrid>
        <w:gridCol w:w="6611"/>
        <w:gridCol w:w="2648"/>
      </w:tblGrid>
      <w:tr>
        <w:tblPrEx>
          <w:tblW w:w="9259" w:type="dxa"/>
          <w:tblInd w:w="1521" w:type="dxa"/>
          <w:tblBorders>
            <w:top w:val="nil"/>
            <w:left w:val="nil"/>
            <w:bottom w:val="nil"/>
            <w:right w:val="nil"/>
            <w:insideH w:val="nil"/>
            <w:insideV w:val="nil"/>
          </w:tblBorders>
          <w:tblLayout w:type="fixed"/>
        </w:tblPrEx>
        <w:trPr>
          <w:trHeight w:val="495"/>
        </w:trPr>
        <w:tc>
          <w:tcPr>
            <w:tcW w:w="6611" w:type="dxa"/>
            <w:tcBorders>
              <w:top w:val="single" w:sz="2" w:space="0" w:color="FFFFFF"/>
              <w:bottom w:val="single" w:sz="2" w:space="0" w:color="FFFFFF"/>
            </w:tcBorders>
            <w:vAlign w:val="top"/>
          </w:tcPr>
          <w:p>
            <w:pPr>
              <w:pStyle w:val="TableText"/>
              <w:spacing w:before="140" w:line="178" w:lineRule="auto"/>
              <w:ind w:left="71"/>
              <w:rPr>
                <w:sz w:val="22"/>
                <w:szCs w:val="22"/>
              </w:rPr>
            </w:pPr>
            <w:r>
              <w:rPr>
                <w:color w:val="FFFFFF"/>
                <w:sz w:val="22"/>
                <w:szCs w:val="22"/>
              </w:rPr>
              <w:t>前言</w:t>
            </w:r>
          </w:p>
        </w:tc>
        <w:tc>
          <w:tcPr>
            <w:tcW w:w="2648" w:type="dxa"/>
            <w:tcBorders>
              <w:top w:val="single" w:sz="2" w:space="0" w:color="FFFFFF"/>
              <w:bottom w:val="single" w:sz="2" w:space="0" w:color="FFFFFF"/>
            </w:tcBorders>
            <w:vAlign w:val="top"/>
          </w:tcPr>
          <w:p>
            <w:pPr>
              <w:pStyle w:val="TableText"/>
              <w:spacing w:before="204" w:line="169" w:lineRule="auto"/>
              <w:ind w:left="2210"/>
            </w:pPr>
            <w:r>
              <w:rPr>
                <w:b/>
                <w:bCs/>
                <w:color w:val="FFFFFF"/>
                <w:spacing w:val="-5"/>
              </w:rPr>
              <w:t>01</w:t>
            </w:r>
          </w:p>
        </w:tc>
      </w:tr>
      <w:tr>
        <w:tblPrEx>
          <w:tblW w:w="9259" w:type="dxa"/>
          <w:tblInd w:w="1521" w:type="dxa"/>
          <w:tblLayout w:type="fixed"/>
        </w:tblPrEx>
        <w:trPr>
          <w:trHeight w:val="492"/>
        </w:trPr>
        <w:tc>
          <w:tcPr>
            <w:tcW w:w="6611" w:type="dxa"/>
            <w:tcBorders>
              <w:top w:val="single" w:sz="2" w:space="0" w:color="FFFFFF"/>
              <w:bottom w:val="single" w:sz="2" w:space="0" w:color="FFFFFF"/>
            </w:tcBorders>
            <w:vAlign w:val="top"/>
          </w:tcPr>
          <w:p>
            <w:pPr>
              <w:pStyle w:val="TableText"/>
              <w:spacing w:before="134" w:line="178" w:lineRule="auto"/>
              <w:ind w:left="65"/>
              <w:rPr>
                <w:sz w:val="22"/>
                <w:szCs w:val="22"/>
              </w:rPr>
            </w:pPr>
            <w:r>
              <w:rPr>
                <w:color w:val="FFFFFF"/>
                <w:spacing w:val="2"/>
                <w:sz w:val="22"/>
                <w:szCs w:val="22"/>
              </w:rPr>
              <w:t>摘要</w:t>
            </w:r>
          </w:p>
        </w:tc>
        <w:tc>
          <w:tcPr>
            <w:tcW w:w="2648" w:type="dxa"/>
            <w:tcBorders>
              <w:top w:val="single" w:sz="2" w:space="0" w:color="FFFFFF"/>
              <w:bottom w:val="single" w:sz="2" w:space="0" w:color="FFFFFF"/>
            </w:tcBorders>
            <w:vAlign w:val="top"/>
          </w:tcPr>
          <w:p>
            <w:pPr>
              <w:pStyle w:val="TableText"/>
              <w:spacing w:before="159" w:line="169" w:lineRule="auto"/>
              <w:ind w:left="2210"/>
            </w:pPr>
            <w:r>
              <w:rPr>
                <w:b/>
                <w:bCs/>
                <w:color w:val="FFFFFF"/>
                <w:spacing w:val="-5"/>
              </w:rPr>
              <w:t>02</w:t>
            </w:r>
          </w:p>
        </w:tc>
      </w:tr>
      <w:tr>
        <w:tblPrEx>
          <w:tblW w:w="9259" w:type="dxa"/>
          <w:tblInd w:w="1521" w:type="dxa"/>
          <w:tblLayout w:type="fixed"/>
        </w:tblPrEx>
        <w:trPr>
          <w:trHeight w:val="492"/>
        </w:trPr>
        <w:tc>
          <w:tcPr>
            <w:tcW w:w="6611" w:type="dxa"/>
            <w:tcBorders>
              <w:top w:val="single" w:sz="2" w:space="0" w:color="FFFFFF"/>
              <w:bottom w:val="single" w:sz="2" w:space="0" w:color="FFFFFF"/>
            </w:tcBorders>
            <w:vAlign w:val="top"/>
          </w:tcPr>
          <w:p>
            <w:pPr>
              <w:pStyle w:val="TableText"/>
              <w:spacing w:before="136" w:line="178" w:lineRule="auto"/>
              <w:ind w:left="68"/>
              <w:rPr>
                <w:sz w:val="22"/>
                <w:szCs w:val="22"/>
              </w:rPr>
            </w:pPr>
            <w:r>
              <w:rPr>
                <w:color w:val="FFFFFF"/>
                <w:spacing w:val="7"/>
                <w:sz w:val="22"/>
                <w:szCs w:val="22"/>
              </w:rPr>
              <w:t>关于本报告</w:t>
            </w:r>
          </w:p>
        </w:tc>
        <w:tc>
          <w:tcPr>
            <w:tcW w:w="2648" w:type="dxa"/>
            <w:tcBorders>
              <w:top w:val="single" w:sz="2" w:space="0" w:color="FFFFFF"/>
              <w:bottom w:val="single" w:sz="2" w:space="0" w:color="FFFFFF"/>
            </w:tcBorders>
            <w:vAlign w:val="top"/>
          </w:tcPr>
          <w:p>
            <w:pPr>
              <w:pStyle w:val="TableText"/>
              <w:spacing w:before="114" w:line="169" w:lineRule="auto"/>
              <w:ind w:left="2210"/>
            </w:pPr>
            <w:r>
              <w:rPr>
                <w:b/>
                <w:bCs/>
                <w:color w:val="FFFFFF"/>
                <w:spacing w:val="-5"/>
              </w:rPr>
              <w:t>04</w:t>
            </w:r>
          </w:p>
        </w:tc>
      </w:tr>
      <w:tr>
        <w:tblPrEx>
          <w:tblW w:w="9259" w:type="dxa"/>
          <w:tblInd w:w="1521" w:type="dxa"/>
          <w:tblLayout w:type="fixed"/>
        </w:tblPrEx>
        <w:trPr>
          <w:trHeight w:val="492"/>
        </w:trPr>
        <w:tc>
          <w:tcPr>
            <w:tcW w:w="6611" w:type="dxa"/>
            <w:tcBorders>
              <w:top w:val="single" w:sz="2" w:space="0" w:color="FFFFFF"/>
              <w:bottom w:val="single" w:sz="2" w:space="0" w:color="FFFFFF"/>
            </w:tcBorders>
            <w:vAlign w:val="top"/>
          </w:tcPr>
          <w:p>
            <w:pPr>
              <w:pStyle w:val="TableText"/>
              <w:spacing w:before="134" w:line="179" w:lineRule="auto"/>
              <w:ind w:left="78"/>
              <w:rPr>
                <w:sz w:val="22"/>
                <w:szCs w:val="22"/>
              </w:rPr>
            </w:pPr>
            <w:r>
              <w:rPr>
                <w:color w:val="FFFFFF"/>
                <w:spacing w:val="8"/>
                <w:sz w:val="22"/>
                <w:szCs w:val="22"/>
              </w:rPr>
              <w:t>1. 全球责任投资趋势和重要进展</w:t>
            </w:r>
          </w:p>
        </w:tc>
        <w:tc>
          <w:tcPr>
            <w:tcW w:w="2648" w:type="dxa"/>
            <w:tcBorders>
              <w:top w:val="single" w:sz="2" w:space="0" w:color="FFFFFF"/>
              <w:bottom w:val="single" w:sz="2" w:space="0" w:color="FFFFFF"/>
            </w:tcBorders>
            <w:vAlign w:val="top"/>
          </w:tcPr>
          <w:p>
            <w:pPr>
              <w:pStyle w:val="TableText"/>
              <w:spacing w:before="163" w:line="169" w:lineRule="auto"/>
              <w:ind w:left="2210"/>
            </w:pPr>
            <w:r>
              <w:rPr>
                <w:b/>
                <w:bCs/>
                <w:color w:val="FFFFFF"/>
                <w:spacing w:val="-5"/>
              </w:rPr>
              <w:t>06</w:t>
            </w:r>
          </w:p>
        </w:tc>
      </w:tr>
      <w:tr>
        <w:tblPrEx>
          <w:tblW w:w="9259" w:type="dxa"/>
          <w:tblInd w:w="1521" w:type="dxa"/>
          <w:tblLayout w:type="fixed"/>
        </w:tblPrEx>
        <w:trPr>
          <w:trHeight w:val="492"/>
        </w:trPr>
        <w:tc>
          <w:tcPr>
            <w:tcW w:w="6611" w:type="dxa"/>
            <w:tcBorders>
              <w:top w:val="single" w:sz="2" w:space="0" w:color="FFFFFF"/>
              <w:bottom w:val="single" w:sz="2" w:space="0" w:color="FFFFFF"/>
            </w:tcBorders>
            <w:vAlign w:val="top"/>
          </w:tcPr>
          <w:p>
            <w:pPr>
              <w:pStyle w:val="TableText"/>
              <w:spacing w:before="126" w:line="178" w:lineRule="auto"/>
              <w:ind w:left="68"/>
              <w:rPr>
                <w:sz w:val="22"/>
                <w:szCs w:val="22"/>
              </w:rPr>
            </w:pPr>
            <w:r>
              <w:rPr>
                <w:color w:val="FFFFFF"/>
                <w:spacing w:val="7"/>
                <w:sz w:val="22"/>
                <w:szCs w:val="22"/>
              </w:rPr>
              <w:t>2.</w:t>
            </w:r>
            <w:r>
              <w:rPr>
                <w:color w:val="FFFFFF"/>
                <w:spacing w:val="36"/>
                <w:sz w:val="22"/>
                <w:szCs w:val="22"/>
              </w:rPr>
              <w:t xml:space="preserve"> </w:t>
            </w:r>
            <w:r>
              <w:rPr>
                <w:color w:val="FFFFFF"/>
                <w:spacing w:val="7"/>
                <w:sz w:val="22"/>
                <w:szCs w:val="22"/>
              </w:rPr>
              <w:t>中国责任投资的政策进展</w:t>
            </w:r>
          </w:p>
        </w:tc>
        <w:tc>
          <w:tcPr>
            <w:tcW w:w="2648" w:type="dxa"/>
            <w:tcBorders>
              <w:top w:val="single" w:sz="2" w:space="0" w:color="FFFFFF"/>
              <w:bottom w:val="single" w:sz="2" w:space="0" w:color="FFFFFF"/>
            </w:tcBorders>
            <w:vAlign w:val="top"/>
          </w:tcPr>
          <w:p>
            <w:pPr>
              <w:pStyle w:val="TableText"/>
              <w:spacing w:before="166" w:line="169" w:lineRule="auto"/>
              <w:ind w:left="2217"/>
            </w:pPr>
            <w:r>
              <w:rPr>
                <w:b/>
                <w:bCs/>
                <w:color w:val="FFFFFF"/>
                <w:spacing w:val="-7"/>
              </w:rPr>
              <w:t>10</w:t>
            </w:r>
          </w:p>
        </w:tc>
      </w:tr>
      <w:tr>
        <w:tblPrEx>
          <w:tblW w:w="9259" w:type="dxa"/>
          <w:tblInd w:w="1521" w:type="dxa"/>
          <w:tblLayout w:type="fixed"/>
        </w:tblPrEx>
        <w:trPr>
          <w:trHeight w:val="478"/>
        </w:trPr>
        <w:tc>
          <w:tcPr>
            <w:tcW w:w="6611" w:type="dxa"/>
            <w:tcBorders>
              <w:top w:val="single" w:sz="2" w:space="0" w:color="FFFFFF"/>
              <w:bottom w:val="single" w:sz="2" w:space="0" w:color="FFFFFF"/>
            </w:tcBorders>
            <w:vAlign w:val="top"/>
          </w:tcPr>
          <w:p>
            <w:pPr>
              <w:pStyle w:val="TableText"/>
              <w:spacing w:before="125" w:line="178" w:lineRule="auto"/>
              <w:ind w:left="66"/>
              <w:rPr>
                <w:sz w:val="22"/>
                <w:szCs w:val="22"/>
              </w:rPr>
            </w:pPr>
            <w:r>
              <w:rPr>
                <w:color w:val="FFFFFF"/>
                <w:spacing w:val="12"/>
                <w:sz w:val="22"/>
                <w:szCs w:val="22"/>
              </w:rPr>
              <w:t>3. 上市公司和债券发行人的</w:t>
            </w:r>
            <w:r>
              <w:rPr>
                <w:color w:val="FFFFFF"/>
                <w:sz w:val="22"/>
                <w:szCs w:val="22"/>
              </w:rPr>
              <w:t>ESG</w:t>
            </w:r>
            <w:r>
              <w:rPr>
                <w:color w:val="FFFFFF"/>
                <w:spacing w:val="12"/>
                <w:sz w:val="22"/>
                <w:szCs w:val="22"/>
              </w:rPr>
              <w:t>表现</w:t>
            </w:r>
          </w:p>
        </w:tc>
        <w:tc>
          <w:tcPr>
            <w:tcW w:w="2648" w:type="dxa"/>
            <w:tcBorders>
              <w:top w:val="single" w:sz="2" w:space="0" w:color="FFFFFF"/>
              <w:bottom w:val="single" w:sz="2" w:space="0" w:color="FFFFFF"/>
            </w:tcBorders>
            <w:vAlign w:val="top"/>
          </w:tcPr>
          <w:p>
            <w:pPr>
              <w:pStyle w:val="TableText"/>
              <w:spacing w:before="167" w:line="169" w:lineRule="auto"/>
              <w:ind w:left="2217"/>
            </w:pPr>
            <w:r>
              <w:rPr>
                <w:b/>
                <w:bCs/>
                <w:color w:val="FFFFFF"/>
                <w:spacing w:val="-7"/>
              </w:rPr>
              <w:t>12</w:t>
            </w:r>
          </w:p>
        </w:tc>
      </w:tr>
      <w:tr>
        <w:tblPrEx>
          <w:tblW w:w="9259" w:type="dxa"/>
          <w:tblInd w:w="1521" w:type="dxa"/>
          <w:tblLayout w:type="fixed"/>
        </w:tblPrEx>
        <w:trPr>
          <w:trHeight w:val="445"/>
        </w:trPr>
        <w:tc>
          <w:tcPr>
            <w:tcW w:w="6611" w:type="dxa"/>
            <w:tcBorders>
              <w:top w:val="single" w:sz="2" w:space="0" w:color="FFFFFF"/>
            </w:tcBorders>
            <w:vAlign w:val="top"/>
          </w:tcPr>
          <w:p>
            <w:pPr>
              <w:pStyle w:val="TableText"/>
              <w:spacing w:before="134" w:line="178" w:lineRule="auto"/>
              <w:ind w:left="64"/>
              <w:rPr>
                <w:sz w:val="22"/>
                <w:szCs w:val="22"/>
              </w:rPr>
            </w:pPr>
            <w:r>
              <w:rPr>
                <w:color w:val="FFFFFF"/>
                <w:spacing w:val="10"/>
                <w:sz w:val="22"/>
                <w:szCs w:val="22"/>
              </w:rPr>
              <w:t>4.金融机构的责任投资实践</w:t>
            </w:r>
          </w:p>
        </w:tc>
        <w:tc>
          <w:tcPr>
            <w:tcW w:w="2648" w:type="dxa"/>
            <w:tcBorders>
              <w:top w:val="single" w:sz="2" w:space="0" w:color="FFFFFF"/>
            </w:tcBorders>
            <w:vAlign w:val="top"/>
          </w:tcPr>
          <w:p>
            <w:pPr>
              <w:pStyle w:val="TableText"/>
              <w:spacing w:before="177" w:line="167" w:lineRule="auto"/>
              <w:ind w:left="2217"/>
            </w:pPr>
            <w:r>
              <w:rPr>
                <w:b/>
                <w:bCs/>
                <w:color w:val="FFFFFF"/>
                <w:spacing w:val="-7"/>
              </w:rPr>
              <w:t>15</w:t>
            </w:r>
          </w:p>
        </w:tc>
      </w:tr>
      <w:tr>
        <w:tblPrEx>
          <w:tblW w:w="9259" w:type="dxa"/>
          <w:tblInd w:w="1521" w:type="dxa"/>
          <w:tblLayout w:type="fixed"/>
        </w:tblPrEx>
        <w:trPr>
          <w:trHeight w:val="366"/>
        </w:trPr>
        <w:tc>
          <w:tcPr>
            <w:tcW w:w="6611" w:type="dxa"/>
            <w:vAlign w:val="top"/>
          </w:tcPr>
          <w:p>
            <w:pPr>
              <w:pStyle w:val="TableText"/>
              <w:spacing w:before="104" w:line="176" w:lineRule="auto"/>
              <w:ind w:left="363"/>
            </w:pPr>
            <w:r>
              <w:rPr>
                <w:color w:val="FFFFFF"/>
                <w:spacing w:val="7"/>
              </w:rPr>
              <w:t>4.1 资管机构的责任投资实践</w:t>
            </w:r>
          </w:p>
        </w:tc>
        <w:tc>
          <w:tcPr>
            <w:tcW w:w="2648" w:type="dxa"/>
            <w:vAlign w:val="top"/>
          </w:tcPr>
          <w:p>
            <w:pPr>
              <w:pStyle w:val="TableText"/>
              <w:spacing w:before="131" w:line="157" w:lineRule="auto"/>
              <w:ind w:left="2227"/>
            </w:pPr>
            <w:r>
              <w:rPr>
                <w:color w:val="FFFFFF"/>
                <w:spacing w:val="-6"/>
              </w:rPr>
              <w:t>15</w:t>
            </w:r>
          </w:p>
        </w:tc>
      </w:tr>
      <w:tr>
        <w:tblPrEx>
          <w:tblW w:w="9259" w:type="dxa"/>
          <w:tblInd w:w="1521" w:type="dxa"/>
          <w:tblLayout w:type="fixed"/>
        </w:tblPrEx>
        <w:trPr>
          <w:trHeight w:val="340"/>
        </w:trPr>
        <w:tc>
          <w:tcPr>
            <w:tcW w:w="6611" w:type="dxa"/>
            <w:vAlign w:val="top"/>
          </w:tcPr>
          <w:p>
            <w:pPr>
              <w:pStyle w:val="TableText"/>
              <w:spacing w:before="78" w:line="176" w:lineRule="auto"/>
              <w:ind w:left="745"/>
            </w:pPr>
            <w:r>
              <w:rPr>
                <w:color w:val="FFFFFF"/>
                <w:spacing w:val="9"/>
              </w:rPr>
              <w:t>4.1.1 金融机构签署</w:t>
            </w:r>
            <w:r>
              <w:rPr>
                <w:color w:val="FFFFFF"/>
              </w:rPr>
              <w:t>PRI</w:t>
            </w:r>
            <w:r>
              <w:rPr>
                <w:color w:val="FFFFFF"/>
                <w:spacing w:val="9"/>
              </w:rPr>
              <w:t>的情况</w:t>
            </w:r>
          </w:p>
        </w:tc>
        <w:tc>
          <w:tcPr>
            <w:tcW w:w="2648" w:type="dxa"/>
            <w:vAlign w:val="top"/>
          </w:tcPr>
          <w:p>
            <w:pPr>
              <w:pStyle w:val="TableText"/>
              <w:spacing w:before="102" w:line="159" w:lineRule="auto"/>
              <w:ind w:left="2227"/>
            </w:pPr>
            <w:r>
              <w:rPr>
                <w:color w:val="FFFFFF"/>
                <w:spacing w:val="-6"/>
              </w:rPr>
              <w:t>16</w:t>
            </w:r>
          </w:p>
        </w:tc>
      </w:tr>
      <w:tr>
        <w:tblPrEx>
          <w:tblW w:w="9259" w:type="dxa"/>
          <w:tblInd w:w="1521" w:type="dxa"/>
          <w:tblLayout w:type="fixed"/>
        </w:tblPrEx>
        <w:trPr>
          <w:trHeight w:val="340"/>
        </w:trPr>
        <w:tc>
          <w:tcPr>
            <w:tcW w:w="6611" w:type="dxa"/>
            <w:vAlign w:val="top"/>
          </w:tcPr>
          <w:p>
            <w:pPr>
              <w:pStyle w:val="TableText"/>
              <w:spacing w:before="78" w:line="176" w:lineRule="auto"/>
              <w:ind w:left="745"/>
            </w:pPr>
            <w:r>
              <w:rPr>
                <w:color w:val="FFFFFF"/>
                <w:spacing w:val="7"/>
              </w:rPr>
              <w:t>4.1.2 公募基金责任投资实践</w:t>
            </w:r>
          </w:p>
        </w:tc>
        <w:tc>
          <w:tcPr>
            <w:tcW w:w="2648" w:type="dxa"/>
            <w:vAlign w:val="top"/>
          </w:tcPr>
          <w:p>
            <w:pPr>
              <w:pStyle w:val="TableText"/>
              <w:spacing w:before="102" w:line="159" w:lineRule="auto"/>
              <w:ind w:left="2227"/>
            </w:pPr>
            <w:r>
              <w:rPr>
                <w:color w:val="FFFFFF"/>
                <w:spacing w:val="-6"/>
              </w:rPr>
              <w:t>16</w:t>
            </w:r>
          </w:p>
        </w:tc>
      </w:tr>
      <w:tr>
        <w:tblPrEx>
          <w:tblW w:w="9259" w:type="dxa"/>
          <w:tblInd w:w="1521" w:type="dxa"/>
          <w:tblLayout w:type="fixed"/>
        </w:tblPrEx>
        <w:trPr>
          <w:trHeight w:val="339"/>
        </w:trPr>
        <w:tc>
          <w:tcPr>
            <w:tcW w:w="6611" w:type="dxa"/>
            <w:vAlign w:val="top"/>
          </w:tcPr>
          <w:p>
            <w:pPr>
              <w:pStyle w:val="TableText"/>
              <w:spacing w:before="78" w:line="175" w:lineRule="auto"/>
              <w:ind w:left="745"/>
            </w:pPr>
            <w:r>
              <w:rPr>
                <w:color w:val="FFFFFF"/>
                <w:spacing w:val="7"/>
              </w:rPr>
              <w:t>4.1.3 保险资管责任投资实践</w:t>
            </w:r>
          </w:p>
        </w:tc>
        <w:tc>
          <w:tcPr>
            <w:tcW w:w="2648" w:type="dxa"/>
            <w:vAlign w:val="top"/>
          </w:tcPr>
          <w:p>
            <w:pPr>
              <w:pStyle w:val="TableText"/>
              <w:spacing w:before="103" w:line="158" w:lineRule="auto"/>
              <w:ind w:left="2227"/>
            </w:pPr>
            <w:r>
              <w:rPr>
                <w:color w:val="FFFFFF"/>
                <w:spacing w:val="-6"/>
              </w:rPr>
              <w:t>18</w:t>
            </w:r>
          </w:p>
        </w:tc>
      </w:tr>
      <w:tr>
        <w:tblPrEx>
          <w:tblW w:w="9259" w:type="dxa"/>
          <w:tblInd w:w="1521" w:type="dxa"/>
          <w:tblLayout w:type="fixed"/>
        </w:tblPrEx>
        <w:trPr>
          <w:trHeight w:val="340"/>
        </w:trPr>
        <w:tc>
          <w:tcPr>
            <w:tcW w:w="6611" w:type="dxa"/>
            <w:vAlign w:val="top"/>
          </w:tcPr>
          <w:p>
            <w:pPr>
              <w:pStyle w:val="TableText"/>
              <w:spacing w:before="78" w:line="176" w:lineRule="auto"/>
              <w:ind w:left="363"/>
            </w:pPr>
            <w:r>
              <w:rPr>
                <w:color w:val="FFFFFF"/>
                <w:spacing w:val="8"/>
              </w:rPr>
              <w:t>4.2 基金的</w:t>
            </w:r>
            <w:r>
              <w:rPr>
                <w:color w:val="FFFFFF"/>
              </w:rPr>
              <w:t>ESG</w:t>
            </w:r>
            <w:r>
              <w:rPr>
                <w:color w:val="FFFFFF"/>
                <w:spacing w:val="8"/>
              </w:rPr>
              <w:t>表现</w:t>
            </w:r>
          </w:p>
        </w:tc>
        <w:tc>
          <w:tcPr>
            <w:tcW w:w="2648" w:type="dxa"/>
            <w:vAlign w:val="top"/>
          </w:tcPr>
          <w:p>
            <w:pPr>
              <w:pStyle w:val="TableText"/>
              <w:spacing w:before="104" w:line="158" w:lineRule="auto"/>
              <w:ind w:left="2217"/>
            </w:pPr>
            <w:r>
              <w:rPr>
                <w:color w:val="FFFFFF"/>
                <w:spacing w:val="-4"/>
              </w:rPr>
              <w:t>20</w:t>
            </w:r>
          </w:p>
        </w:tc>
      </w:tr>
      <w:tr>
        <w:tblPrEx>
          <w:tblW w:w="9259" w:type="dxa"/>
          <w:tblInd w:w="1521" w:type="dxa"/>
          <w:tblLayout w:type="fixed"/>
        </w:tblPrEx>
        <w:trPr>
          <w:trHeight w:val="340"/>
        </w:trPr>
        <w:tc>
          <w:tcPr>
            <w:tcW w:w="6611" w:type="dxa"/>
            <w:vAlign w:val="top"/>
          </w:tcPr>
          <w:p>
            <w:pPr>
              <w:pStyle w:val="TableText"/>
              <w:spacing w:before="78" w:line="176" w:lineRule="auto"/>
              <w:ind w:left="745"/>
            </w:pPr>
            <w:r>
              <w:rPr>
                <w:color w:val="FFFFFF"/>
                <w:spacing w:val="8"/>
              </w:rPr>
              <w:t>4.2.1 基金的</w:t>
            </w:r>
            <w:r>
              <w:rPr>
                <w:color w:val="FFFFFF"/>
              </w:rPr>
              <w:t>ESG</w:t>
            </w:r>
            <w:r>
              <w:rPr>
                <w:color w:val="FFFFFF"/>
                <w:spacing w:val="8"/>
              </w:rPr>
              <w:t>评级</w:t>
            </w:r>
          </w:p>
        </w:tc>
        <w:tc>
          <w:tcPr>
            <w:tcW w:w="2648" w:type="dxa"/>
            <w:vAlign w:val="top"/>
          </w:tcPr>
          <w:p>
            <w:pPr>
              <w:pStyle w:val="TableText"/>
              <w:spacing w:before="104" w:line="158" w:lineRule="auto"/>
              <w:ind w:left="2217"/>
            </w:pPr>
            <w:r>
              <w:rPr>
                <w:color w:val="FFFFFF"/>
                <w:spacing w:val="-4"/>
              </w:rPr>
              <w:t>20</w:t>
            </w:r>
          </w:p>
        </w:tc>
      </w:tr>
      <w:tr>
        <w:tblPrEx>
          <w:tblW w:w="9259" w:type="dxa"/>
          <w:tblInd w:w="1521" w:type="dxa"/>
          <w:tblLayout w:type="fixed"/>
        </w:tblPrEx>
        <w:trPr>
          <w:trHeight w:val="340"/>
        </w:trPr>
        <w:tc>
          <w:tcPr>
            <w:tcW w:w="6611" w:type="dxa"/>
            <w:vAlign w:val="top"/>
          </w:tcPr>
          <w:p>
            <w:pPr>
              <w:pStyle w:val="TableText"/>
              <w:spacing w:before="78" w:line="176" w:lineRule="auto"/>
              <w:ind w:left="745"/>
            </w:pPr>
            <w:r>
              <w:rPr>
                <w:color w:val="FFFFFF"/>
                <w:spacing w:val="6"/>
              </w:rPr>
              <w:t>4.2.2 基金的气候评级</w:t>
            </w:r>
          </w:p>
        </w:tc>
        <w:tc>
          <w:tcPr>
            <w:tcW w:w="2648" w:type="dxa"/>
            <w:vAlign w:val="top"/>
          </w:tcPr>
          <w:p>
            <w:pPr>
              <w:pStyle w:val="TableText"/>
              <w:spacing w:before="104" w:line="158" w:lineRule="auto"/>
              <w:ind w:left="2217"/>
            </w:pPr>
            <w:r>
              <w:rPr>
                <w:color w:val="FFFFFF"/>
                <w:spacing w:val="-4"/>
              </w:rPr>
              <w:t>22</w:t>
            </w:r>
          </w:p>
        </w:tc>
      </w:tr>
      <w:tr>
        <w:tblPrEx>
          <w:tblW w:w="9259" w:type="dxa"/>
          <w:tblInd w:w="1521" w:type="dxa"/>
          <w:tblLayout w:type="fixed"/>
        </w:tblPrEx>
        <w:trPr>
          <w:trHeight w:val="417"/>
        </w:trPr>
        <w:tc>
          <w:tcPr>
            <w:tcW w:w="6611" w:type="dxa"/>
            <w:tcBorders>
              <w:bottom w:val="single" w:sz="2" w:space="0" w:color="FFFFFF"/>
            </w:tcBorders>
            <w:vAlign w:val="top"/>
          </w:tcPr>
          <w:p>
            <w:pPr>
              <w:pStyle w:val="TableText"/>
              <w:spacing w:before="78" w:line="177" w:lineRule="auto"/>
              <w:ind w:left="363"/>
            </w:pPr>
            <w:r>
              <w:rPr>
                <w:color w:val="FFFFFF"/>
                <w:spacing w:val="9"/>
              </w:rPr>
              <w:t>4.3 基金的</w:t>
            </w:r>
            <w:r>
              <w:rPr>
                <w:color w:val="FFFFFF"/>
              </w:rPr>
              <w:t>ESG</w:t>
            </w:r>
            <w:r>
              <w:rPr>
                <w:color w:val="FFFFFF"/>
                <w:spacing w:val="9"/>
              </w:rPr>
              <w:t>表现与投资表现分析</w:t>
            </w:r>
          </w:p>
        </w:tc>
        <w:tc>
          <w:tcPr>
            <w:tcW w:w="2648" w:type="dxa"/>
            <w:tcBorders>
              <w:bottom w:val="single" w:sz="2" w:space="0" w:color="FFFFFF"/>
            </w:tcBorders>
            <w:vAlign w:val="top"/>
          </w:tcPr>
          <w:p>
            <w:pPr>
              <w:pStyle w:val="TableText"/>
              <w:spacing w:before="104" w:line="167" w:lineRule="auto"/>
              <w:ind w:left="2217"/>
            </w:pPr>
            <w:r>
              <w:rPr>
                <w:color w:val="FFFFFF"/>
                <w:spacing w:val="-4"/>
              </w:rPr>
              <w:t>24</w:t>
            </w:r>
          </w:p>
        </w:tc>
      </w:tr>
      <w:tr>
        <w:tblPrEx>
          <w:tblW w:w="9259" w:type="dxa"/>
          <w:tblInd w:w="1521" w:type="dxa"/>
          <w:tblLayout w:type="fixed"/>
        </w:tblPrEx>
        <w:trPr>
          <w:trHeight w:val="462"/>
        </w:trPr>
        <w:tc>
          <w:tcPr>
            <w:tcW w:w="6611" w:type="dxa"/>
            <w:tcBorders>
              <w:top w:val="single" w:sz="2" w:space="0" w:color="FFFFFF"/>
            </w:tcBorders>
            <w:vAlign w:val="top"/>
          </w:tcPr>
          <w:p>
            <w:pPr>
              <w:pStyle w:val="TableText"/>
              <w:spacing w:before="155" w:line="178" w:lineRule="auto"/>
              <w:ind w:left="65"/>
              <w:rPr>
                <w:sz w:val="22"/>
                <w:szCs w:val="22"/>
              </w:rPr>
            </w:pPr>
            <w:r>
              <w:rPr>
                <w:color w:val="FFFFFF"/>
                <w:spacing w:val="10"/>
                <w:sz w:val="22"/>
                <w:szCs w:val="22"/>
              </w:rPr>
              <w:t>5.责任投资产品</w:t>
            </w:r>
          </w:p>
        </w:tc>
        <w:tc>
          <w:tcPr>
            <w:tcW w:w="2648" w:type="dxa"/>
            <w:tcBorders>
              <w:top w:val="single" w:sz="2" w:space="0" w:color="FFFFFF"/>
            </w:tcBorders>
            <w:vAlign w:val="top"/>
          </w:tcPr>
          <w:p>
            <w:pPr>
              <w:pStyle w:val="TableText"/>
              <w:spacing w:before="194" w:line="169" w:lineRule="auto"/>
              <w:ind w:left="2208"/>
            </w:pPr>
            <w:r>
              <w:rPr>
                <w:b/>
                <w:bCs/>
                <w:color w:val="FFFFFF"/>
                <w:spacing w:val="-5"/>
              </w:rPr>
              <w:t>25</w:t>
            </w:r>
          </w:p>
        </w:tc>
      </w:tr>
      <w:tr>
        <w:tblPrEx>
          <w:tblW w:w="9259" w:type="dxa"/>
          <w:tblInd w:w="1521" w:type="dxa"/>
          <w:tblLayout w:type="fixed"/>
        </w:tblPrEx>
        <w:trPr>
          <w:trHeight w:val="363"/>
        </w:trPr>
        <w:tc>
          <w:tcPr>
            <w:tcW w:w="6611" w:type="dxa"/>
            <w:vAlign w:val="top"/>
          </w:tcPr>
          <w:p>
            <w:pPr>
              <w:pStyle w:val="TableText"/>
              <w:spacing w:before="104" w:line="174" w:lineRule="auto"/>
              <w:ind w:left="365"/>
            </w:pPr>
            <w:r>
              <w:rPr>
                <w:color w:val="FFFFFF"/>
                <w:spacing w:val="4"/>
              </w:rPr>
              <w:t>5.1</w:t>
            </w:r>
            <w:r>
              <w:rPr>
                <w:color w:val="FFFFFF"/>
                <w:spacing w:val="27"/>
              </w:rPr>
              <w:t xml:space="preserve"> </w:t>
            </w:r>
            <w:r>
              <w:rPr>
                <w:color w:val="FFFFFF"/>
              </w:rPr>
              <w:t>ESG</w:t>
            </w:r>
            <w:r>
              <w:rPr>
                <w:color w:val="FFFFFF"/>
                <w:spacing w:val="4"/>
              </w:rPr>
              <w:t>指数</w:t>
            </w:r>
          </w:p>
        </w:tc>
        <w:tc>
          <w:tcPr>
            <w:tcW w:w="2648" w:type="dxa"/>
            <w:vAlign w:val="top"/>
          </w:tcPr>
          <w:p>
            <w:pPr>
              <w:pStyle w:val="TableText"/>
              <w:spacing w:before="131" w:line="221" w:lineRule="exact"/>
              <w:ind w:left="2217"/>
            </w:pPr>
            <w:r>
              <w:rPr>
                <w:color w:val="FFFFFF"/>
                <w:spacing w:val="-4"/>
                <w:position w:val="-1"/>
              </w:rPr>
              <w:t>25</w:t>
            </w:r>
          </w:p>
        </w:tc>
      </w:tr>
      <w:tr>
        <w:tblPrEx>
          <w:tblW w:w="9259" w:type="dxa"/>
          <w:tblInd w:w="1521" w:type="dxa"/>
          <w:tblLayout w:type="fixed"/>
        </w:tblPrEx>
        <w:trPr>
          <w:trHeight w:val="338"/>
        </w:trPr>
        <w:tc>
          <w:tcPr>
            <w:tcW w:w="6611" w:type="dxa"/>
            <w:vAlign w:val="top"/>
          </w:tcPr>
          <w:p>
            <w:pPr>
              <w:pStyle w:val="TableText"/>
              <w:spacing w:before="79" w:line="174" w:lineRule="auto"/>
              <w:ind w:left="365"/>
            </w:pPr>
            <w:r>
              <w:rPr>
                <w:color w:val="FFFFFF"/>
                <w:spacing w:val="4"/>
              </w:rPr>
              <w:t>5.2</w:t>
            </w:r>
            <w:r>
              <w:rPr>
                <w:color w:val="FFFFFF"/>
                <w:spacing w:val="27"/>
              </w:rPr>
              <w:t xml:space="preserve"> </w:t>
            </w:r>
            <w:r>
              <w:rPr>
                <w:color w:val="FFFFFF"/>
              </w:rPr>
              <w:t>ESG</w:t>
            </w:r>
            <w:r>
              <w:rPr>
                <w:color w:val="FFFFFF"/>
                <w:spacing w:val="4"/>
              </w:rPr>
              <w:t>基金</w:t>
            </w:r>
          </w:p>
        </w:tc>
        <w:tc>
          <w:tcPr>
            <w:tcW w:w="2648" w:type="dxa"/>
            <w:vAlign w:val="top"/>
          </w:tcPr>
          <w:p>
            <w:pPr>
              <w:pStyle w:val="TableText"/>
              <w:spacing w:before="108" w:line="219" w:lineRule="exact"/>
              <w:ind w:left="2217"/>
            </w:pPr>
            <w:r>
              <w:rPr>
                <w:color w:val="FFFFFF"/>
                <w:spacing w:val="-4"/>
                <w:position w:val="-1"/>
              </w:rPr>
              <w:t>29</w:t>
            </w:r>
          </w:p>
        </w:tc>
      </w:tr>
      <w:tr>
        <w:tblPrEx>
          <w:tblW w:w="9259" w:type="dxa"/>
          <w:tblInd w:w="1521" w:type="dxa"/>
          <w:tblLayout w:type="fixed"/>
        </w:tblPrEx>
        <w:trPr>
          <w:trHeight w:val="407"/>
        </w:trPr>
        <w:tc>
          <w:tcPr>
            <w:tcW w:w="6611" w:type="dxa"/>
            <w:tcBorders>
              <w:bottom w:val="single" w:sz="2" w:space="0" w:color="FFFFFF"/>
            </w:tcBorders>
            <w:vAlign w:val="top"/>
          </w:tcPr>
          <w:p>
            <w:pPr>
              <w:pStyle w:val="TableText"/>
              <w:spacing w:before="82" w:line="177" w:lineRule="auto"/>
              <w:ind w:left="365"/>
            </w:pPr>
            <w:r>
              <w:rPr>
                <w:color w:val="FFFFFF"/>
                <w:spacing w:val="6"/>
              </w:rPr>
              <w:t>5.3</w:t>
            </w:r>
            <w:r>
              <w:rPr>
                <w:color w:val="FFFFFF"/>
                <w:spacing w:val="25"/>
                <w:w w:val="101"/>
              </w:rPr>
              <w:t xml:space="preserve"> </w:t>
            </w:r>
            <w:r>
              <w:rPr>
                <w:color w:val="FFFFFF"/>
              </w:rPr>
              <w:t>ESG</w:t>
            </w:r>
            <w:r>
              <w:rPr>
                <w:color w:val="FFFFFF"/>
                <w:spacing w:val="6"/>
              </w:rPr>
              <w:t>理财产品</w:t>
            </w:r>
          </w:p>
        </w:tc>
        <w:tc>
          <w:tcPr>
            <w:tcW w:w="2648" w:type="dxa"/>
            <w:tcBorders>
              <w:bottom w:val="single" w:sz="2" w:space="0" w:color="FFFFFF"/>
            </w:tcBorders>
            <w:vAlign w:val="top"/>
          </w:tcPr>
          <w:p>
            <w:pPr>
              <w:pStyle w:val="TableText"/>
              <w:spacing w:before="110" w:line="167" w:lineRule="auto"/>
              <w:ind w:left="2215"/>
            </w:pPr>
            <w:r>
              <w:rPr>
                <w:color w:val="FFFFFF"/>
                <w:spacing w:val="-3"/>
              </w:rPr>
              <w:t>32</w:t>
            </w:r>
          </w:p>
        </w:tc>
      </w:tr>
      <w:tr>
        <w:tblPrEx>
          <w:tblW w:w="9259" w:type="dxa"/>
          <w:tblInd w:w="1521" w:type="dxa"/>
          <w:tblLayout w:type="fixed"/>
        </w:tblPrEx>
        <w:trPr>
          <w:trHeight w:val="422"/>
        </w:trPr>
        <w:tc>
          <w:tcPr>
            <w:tcW w:w="6611" w:type="dxa"/>
            <w:tcBorders>
              <w:top w:val="single" w:sz="2" w:space="0" w:color="FFFFFF"/>
            </w:tcBorders>
            <w:vAlign w:val="top"/>
          </w:tcPr>
          <w:p>
            <w:pPr>
              <w:pStyle w:val="TableText"/>
              <w:spacing w:before="114" w:line="178" w:lineRule="auto"/>
              <w:ind w:left="71"/>
              <w:rPr>
                <w:sz w:val="22"/>
                <w:szCs w:val="22"/>
              </w:rPr>
            </w:pPr>
            <w:r>
              <w:rPr>
                <w:color w:val="FFFFFF"/>
                <w:spacing w:val="8"/>
                <w:sz w:val="22"/>
                <w:szCs w:val="22"/>
              </w:rPr>
              <w:t>6. 责任投资态度调查</w:t>
            </w:r>
          </w:p>
        </w:tc>
        <w:tc>
          <w:tcPr>
            <w:tcW w:w="2648" w:type="dxa"/>
            <w:tcBorders>
              <w:top w:val="single" w:sz="2" w:space="0" w:color="FFFFFF"/>
            </w:tcBorders>
            <w:vAlign w:val="top"/>
          </w:tcPr>
          <w:p>
            <w:pPr>
              <w:pStyle w:val="TableText"/>
              <w:spacing w:before="167" w:line="169" w:lineRule="auto"/>
              <w:ind w:left="2206"/>
            </w:pPr>
            <w:r>
              <w:rPr>
                <w:b/>
                <w:bCs/>
                <w:color w:val="FFFFFF"/>
                <w:spacing w:val="-4"/>
              </w:rPr>
              <w:t>33</w:t>
            </w:r>
          </w:p>
        </w:tc>
      </w:tr>
      <w:tr>
        <w:tblPrEx>
          <w:tblW w:w="9259" w:type="dxa"/>
          <w:tblInd w:w="1521" w:type="dxa"/>
          <w:tblLayout w:type="fixed"/>
        </w:tblPrEx>
        <w:trPr>
          <w:trHeight w:val="366"/>
        </w:trPr>
        <w:tc>
          <w:tcPr>
            <w:tcW w:w="6611" w:type="dxa"/>
            <w:vAlign w:val="top"/>
          </w:tcPr>
          <w:p>
            <w:pPr>
              <w:pStyle w:val="TableText"/>
              <w:spacing w:before="104" w:line="175" w:lineRule="auto"/>
              <w:ind w:left="370"/>
            </w:pPr>
            <w:r>
              <w:rPr>
                <w:color w:val="FFFFFF"/>
                <w:spacing w:val="5"/>
              </w:rPr>
              <w:t>6.1 个人投资者</w:t>
            </w:r>
          </w:p>
        </w:tc>
        <w:tc>
          <w:tcPr>
            <w:tcW w:w="2648" w:type="dxa"/>
            <w:vAlign w:val="top"/>
          </w:tcPr>
          <w:p>
            <w:pPr>
              <w:pStyle w:val="TableText"/>
              <w:spacing w:before="145" w:line="210" w:lineRule="exact"/>
              <w:ind w:left="2215"/>
            </w:pPr>
            <w:r>
              <w:rPr>
                <w:color w:val="FFFFFF"/>
                <w:spacing w:val="-3"/>
                <w:position w:val="-1"/>
              </w:rPr>
              <w:t>33</w:t>
            </w:r>
          </w:p>
        </w:tc>
      </w:tr>
      <w:tr>
        <w:tblPrEx>
          <w:tblW w:w="9259" w:type="dxa"/>
          <w:tblInd w:w="1521" w:type="dxa"/>
          <w:tblLayout w:type="fixed"/>
        </w:tblPrEx>
        <w:trPr>
          <w:trHeight w:val="340"/>
        </w:trPr>
        <w:tc>
          <w:tcPr>
            <w:tcW w:w="6611" w:type="dxa"/>
            <w:vAlign w:val="top"/>
          </w:tcPr>
          <w:p>
            <w:pPr>
              <w:pStyle w:val="TableText"/>
              <w:spacing w:before="79" w:line="175" w:lineRule="auto"/>
              <w:ind w:left="752"/>
            </w:pPr>
            <w:r>
              <w:rPr>
                <w:color w:val="FFFFFF"/>
                <w:spacing w:val="6"/>
              </w:rPr>
              <w:t>6.1.1 责任投资认知与行动</w:t>
            </w:r>
          </w:p>
        </w:tc>
        <w:tc>
          <w:tcPr>
            <w:tcW w:w="2648" w:type="dxa"/>
            <w:vAlign w:val="top"/>
          </w:tcPr>
          <w:p>
            <w:pPr>
              <w:pStyle w:val="TableText"/>
              <w:spacing w:before="119" w:line="211" w:lineRule="exact"/>
              <w:ind w:left="2215"/>
            </w:pPr>
            <w:r>
              <w:rPr>
                <w:color w:val="FFFFFF"/>
                <w:spacing w:val="-3"/>
                <w:position w:val="-1"/>
              </w:rPr>
              <w:t>33</w:t>
            </w:r>
          </w:p>
        </w:tc>
      </w:tr>
      <w:tr>
        <w:tblPrEx>
          <w:tblW w:w="9259" w:type="dxa"/>
          <w:tblInd w:w="1521" w:type="dxa"/>
          <w:tblLayout w:type="fixed"/>
        </w:tblPrEx>
        <w:trPr>
          <w:trHeight w:val="340"/>
        </w:trPr>
        <w:tc>
          <w:tcPr>
            <w:tcW w:w="6611" w:type="dxa"/>
            <w:vAlign w:val="top"/>
          </w:tcPr>
          <w:p>
            <w:pPr>
              <w:pStyle w:val="TableText"/>
              <w:spacing w:before="77" w:line="176" w:lineRule="auto"/>
              <w:ind w:left="752"/>
            </w:pPr>
            <w:r>
              <w:rPr>
                <w:color w:val="FFFFFF"/>
                <w:spacing w:val="7"/>
              </w:rPr>
              <w:t>6.1.2 责任投资的驱动力和外部因素影响</w:t>
            </w:r>
          </w:p>
        </w:tc>
        <w:tc>
          <w:tcPr>
            <w:tcW w:w="2648" w:type="dxa"/>
            <w:vAlign w:val="top"/>
          </w:tcPr>
          <w:p>
            <w:pPr>
              <w:pStyle w:val="TableText"/>
              <w:spacing w:before="119" w:line="211" w:lineRule="exact"/>
              <w:ind w:left="2215"/>
            </w:pPr>
            <w:r>
              <w:rPr>
                <w:color w:val="FFFFFF"/>
                <w:spacing w:val="-3"/>
                <w:position w:val="-1"/>
              </w:rPr>
              <w:t>34</w:t>
            </w:r>
          </w:p>
        </w:tc>
      </w:tr>
      <w:tr>
        <w:tblPrEx>
          <w:tblW w:w="9259" w:type="dxa"/>
          <w:tblInd w:w="1521" w:type="dxa"/>
          <w:tblLayout w:type="fixed"/>
        </w:tblPrEx>
        <w:trPr>
          <w:trHeight w:val="340"/>
        </w:trPr>
        <w:tc>
          <w:tcPr>
            <w:tcW w:w="6611" w:type="dxa"/>
            <w:vAlign w:val="top"/>
          </w:tcPr>
          <w:p>
            <w:pPr>
              <w:pStyle w:val="TableText"/>
              <w:spacing w:before="78" w:line="175" w:lineRule="auto"/>
              <w:ind w:left="752"/>
            </w:pPr>
            <w:r>
              <w:rPr>
                <w:color w:val="FFFFFF"/>
                <w:spacing w:val="6"/>
              </w:rPr>
              <w:t>6.1.3 责任投资人群特征</w:t>
            </w:r>
          </w:p>
        </w:tc>
        <w:tc>
          <w:tcPr>
            <w:tcW w:w="2648" w:type="dxa"/>
            <w:vAlign w:val="top"/>
          </w:tcPr>
          <w:p>
            <w:pPr>
              <w:pStyle w:val="TableText"/>
              <w:spacing w:before="119" w:line="211" w:lineRule="exact"/>
              <w:ind w:left="2215"/>
            </w:pPr>
            <w:r>
              <w:rPr>
                <w:color w:val="FFFFFF"/>
                <w:spacing w:val="-3"/>
                <w:position w:val="-1"/>
              </w:rPr>
              <w:t>36</w:t>
            </w:r>
          </w:p>
        </w:tc>
      </w:tr>
    </w:tbl>
    <w:p>
      <w:pPr>
        <w:sectPr>
          <w:footerReference w:type="default" r:id="rId27"/>
          <w:pgSz w:w="12246" w:h="17178"/>
          <w:pgMar w:top="0" w:right="0" w:bottom="400" w:left="0" w:header="0" w:footer="0" w:gutter="0"/>
          <w:pgNumType w:start="9"/>
          <w:cols w:space="708"/>
        </w:sectPr>
      </w:pPr>
    </w:p>
    <w:tbl>
      <w:tblPr>
        <w:tblStyle w:val="TableNormal1"/>
        <w:tblW w:w="9259" w:type="dxa"/>
        <w:tblInd w:w="1521" w:type="dxa"/>
        <w:tblBorders>
          <w:top w:val="nil"/>
          <w:left w:val="nil"/>
          <w:bottom w:val="nil"/>
          <w:right w:val="nil"/>
          <w:insideH w:val="nil"/>
          <w:insideV w:val="nil"/>
        </w:tblBorders>
        <w:tblLayout w:type="fixed"/>
      </w:tblPr>
      <w:tblGrid>
        <w:gridCol w:w="6611"/>
        <w:gridCol w:w="2648"/>
      </w:tblGrid>
      <w:tr>
        <w:tblPrEx>
          <w:tblW w:w="9259" w:type="dxa"/>
          <w:tblInd w:w="1521" w:type="dxa"/>
          <w:tblBorders>
            <w:top w:val="nil"/>
            <w:left w:val="nil"/>
            <w:bottom w:val="nil"/>
            <w:right w:val="nil"/>
            <w:insideH w:val="nil"/>
            <w:insideV w:val="nil"/>
          </w:tblBorders>
          <w:tblLayout w:type="fixed"/>
        </w:tblPrEx>
        <w:trPr>
          <w:trHeight w:val="340"/>
        </w:trPr>
        <w:tc>
          <w:tcPr>
            <w:tcW w:w="6611" w:type="dxa"/>
            <w:vAlign w:val="top"/>
          </w:tcPr>
          <w:p>
            <w:pPr>
              <w:pStyle w:val="TableText"/>
              <w:spacing w:before="77" w:line="176" w:lineRule="auto"/>
              <w:ind w:left="752"/>
            </w:pPr>
            <w:r>
              <w:rPr>
                <w:color w:val="FFFFFF"/>
                <w:spacing w:val="7"/>
              </w:rPr>
              <w:t>6.1.4 责任投资关注点与策略</w:t>
            </w:r>
          </w:p>
        </w:tc>
        <w:tc>
          <w:tcPr>
            <w:tcW w:w="2648" w:type="dxa"/>
            <w:vAlign w:val="top"/>
          </w:tcPr>
          <w:p>
            <w:pPr>
              <w:pStyle w:val="TableText"/>
              <w:spacing w:before="119" w:line="211" w:lineRule="exact"/>
              <w:ind w:left="2215"/>
            </w:pPr>
            <w:r>
              <w:rPr>
                <w:color w:val="FFFFFF"/>
                <w:spacing w:val="-3"/>
                <w:position w:val="-1"/>
              </w:rPr>
              <w:t>37</w:t>
            </w:r>
          </w:p>
        </w:tc>
      </w:tr>
      <w:tr>
        <w:tblPrEx>
          <w:tblW w:w="9259" w:type="dxa"/>
          <w:tblInd w:w="1521" w:type="dxa"/>
          <w:tblLayout w:type="fixed"/>
        </w:tblPrEx>
        <w:trPr>
          <w:trHeight w:val="340"/>
        </w:trPr>
        <w:tc>
          <w:tcPr>
            <w:tcW w:w="6611" w:type="dxa"/>
            <w:vAlign w:val="top"/>
          </w:tcPr>
          <w:p>
            <w:pPr>
              <w:pStyle w:val="TableText"/>
              <w:spacing w:before="79" w:line="175" w:lineRule="auto"/>
              <w:ind w:left="752"/>
            </w:pPr>
            <w:r>
              <w:rPr>
                <w:color w:val="FFFFFF"/>
                <w:spacing w:val="6"/>
              </w:rPr>
              <w:t>6.1.5 责任投资挑战</w:t>
            </w:r>
          </w:p>
        </w:tc>
        <w:tc>
          <w:tcPr>
            <w:tcW w:w="2648" w:type="dxa"/>
            <w:vAlign w:val="top"/>
          </w:tcPr>
          <w:p>
            <w:pPr>
              <w:pStyle w:val="TableText"/>
              <w:spacing w:before="119" w:line="211" w:lineRule="exact"/>
              <w:ind w:left="2213"/>
            </w:pPr>
            <w:r>
              <w:rPr>
                <w:color w:val="FFFFFF"/>
                <w:spacing w:val="-3"/>
                <w:position w:val="-1"/>
              </w:rPr>
              <w:t>40</w:t>
            </w:r>
          </w:p>
        </w:tc>
      </w:tr>
      <w:tr>
        <w:tblPrEx>
          <w:tblW w:w="9259" w:type="dxa"/>
          <w:tblInd w:w="1521" w:type="dxa"/>
          <w:tblLayout w:type="fixed"/>
        </w:tblPrEx>
        <w:trPr>
          <w:trHeight w:val="371"/>
        </w:trPr>
        <w:tc>
          <w:tcPr>
            <w:tcW w:w="6611" w:type="dxa"/>
            <w:tcBorders>
              <w:bottom w:val="single" w:sz="2" w:space="0" w:color="FFFFFF"/>
            </w:tcBorders>
            <w:vAlign w:val="top"/>
          </w:tcPr>
          <w:p>
            <w:pPr>
              <w:pStyle w:val="TableText"/>
              <w:spacing w:before="78" w:line="176" w:lineRule="auto"/>
              <w:ind w:left="370"/>
            </w:pPr>
            <w:r>
              <w:rPr>
                <w:color w:val="FFFFFF"/>
                <w:spacing w:val="3"/>
              </w:rPr>
              <w:t>6.2</w:t>
            </w:r>
            <w:r>
              <w:rPr>
                <w:color w:val="FFFFFF"/>
                <w:spacing w:val="20"/>
              </w:rPr>
              <w:t xml:space="preserve"> </w:t>
            </w:r>
            <w:r>
              <w:rPr>
                <w:color w:val="FFFFFF"/>
                <w:spacing w:val="3"/>
              </w:rPr>
              <w:t>资产所有者</w:t>
            </w:r>
          </w:p>
        </w:tc>
        <w:tc>
          <w:tcPr>
            <w:tcW w:w="2648" w:type="dxa"/>
            <w:tcBorders>
              <w:bottom w:val="single" w:sz="2" w:space="0" w:color="FFFFFF"/>
            </w:tcBorders>
            <w:vAlign w:val="top"/>
          </w:tcPr>
          <w:p>
            <w:pPr>
              <w:pStyle w:val="TableText"/>
              <w:spacing w:before="122" w:line="165" w:lineRule="auto"/>
              <w:ind w:left="2213"/>
            </w:pPr>
            <w:r>
              <w:rPr>
                <w:color w:val="FFFFFF"/>
                <w:spacing w:val="-3"/>
              </w:rPr>
              <w:t>41</w:t>
            </w:r>
          </w:p>
        </w:tc>
      </w:tr>
      <w:tr>
        <w:tblPrEx>
          <w:tblW w:w="9259" w:type="dxa"/>
          <w:tblInd w:w="1521" w:type="dxa"/>
          <w:tblLayout w:type="fixed"/>
        </w:tblPrEx>
        <w:trPr>
          <w:trHeight w:val="488"/>
        </w:trPr>
        <w:tc>
          <w:tcPr>
            <w:tcW w:w="6611" w:type="dxa"/>
            <w:tcBorders>
              <w:top w:val="single" w:sz="2" w:space="0" w:color="FFFFFF"/>
              <w:bottom w:val="single" w:sz="2" w:space="0" w:color="FFFFFF"/>
            </w:tcBorders>
            <w:vAlign w:val="top"/>
          </w:tcPr>
          <w:p>
            <w:pPr>
              <w:pStyle w:val="TableText"/>
              <w:spacing w:before="135" w:line="178" w:lineRule="auto"/>
              <w:ind w:left="70"/>
              <w:rPr>
                <w:sz w:val="22"/>
                <w:szCs w:val="22"/>
              </w:rPr>
            </w:pPr>
            <w:r>
              <w:rPr>
                <w:color w:val="FFFFFF"/>
                <w:spacing w:val="6"/>
                <w:sz w:val="22"/>
                <w:szCs w:val="22"/>
              </w:rPr>
              <w:t>7.</w:t>
            </w:r>
            <w:r>
              <w:rPr>
                <w:color w:val="FFFFFF"/>
                <w:spacing w:val="16"/>
                <w:sz w:val="22"/>
                <w:szCs w:val="22"/>
              </w:rPr>
              <w:t xml:space="preserve"> </w:t>
            </w:r>
            <w:r>
              <w:rPr>
                <w:color w:val="FFFFFF"/>
                <w:spacing w:val="6"/>
                <w:sz w:val="22"/>
                <w:szCs w:val="22"/>
              </w:rPr>
              <w:t>总结与展望</w:t>
            </w:r>
          </w:p>
        </w:tc>
        <w:tc>
          <w:tcPr>
            <w:tcW w:w="2648" w:type="dxa"/>
            <w:tcBorders>
              <w:top w:val="single" w:sz="2" w:space="0" w:color="FFFFFF"/>
              <w:bottom w:val="single" w:sz="2" w:space="0" w:color="FFFFFF"/>
            </w:tcBorders>
            <w:vAlign w:val="top"/>
          </w:tcPr>
          <w:p>
            <w:pPr>
              <w:pStyle w:val="TableText"/>
              <w:spacing w:before="187" w:line="169" w:lineRule="auto"/>
              <w:ind w:left="2205"/>
            </w:pPr>
            <w:r>
              <w:rPr>
                <w:b/>
                <w:bCs/>
                <w:color w:val="FFFFFF"/>
                <w:spacing w:val="-4"/>
              </w:rPr>
              <w:t>42</w:t>
            </w:r>
          </w:p>
        </w:tc>
      </w:tr>
      <w:tr>
        <w:tblPrEx>
          <w:tblW w:w="9259" w:type="dxa"/>
          <w:tblInd w:w="1521" w:type="dxa"/>
          <w:tblLayout w:type="fixed"/>
        </w:tblPrEx>
        <w:trPr>
          <w:trHeight w:val="382"/>
        </w:trPr>
        <w:tc>
          <w:tcPr>
            <w:tcW w:w="6611" w:type="dxa"/>
            <w:tcBorders>
              <w:top w:val="single" w:sz="2" w:space="0" w:color="FFFFFF"/>
            </w:tcBorders>
            <w:vAlign w:val="top"/>
          </w:tcPr>
          <w:p>
            <w:pPr>
              <w:pStyle w:val="TableText"/>
              <w:spacing w:before="123" w:line="174" w:lineRule="auto"/>
              <w:ind w:left="76"/>
            </w:pPr>
            <w:r>
              <w:rPr>
                <w:color w:val="FFFFFF"/>
                <w:spacing w:val="4"/>
              </w:rPr>
              <w:t>附录1</w:t>
            </w:r>
            <w:r>
              <w:rPr>
                <w:color w:val="FFFFFF"/>
                <w:spacing w:val="32"/>
              </w:rPr>
              <w:t xml:space="preserve"> </w:t>
            </w:r>
            <w:r>
              <w:rPr>
                <w:color w:val="FFFFFF"/>
                <w:spacing w:val="4"/>
              </w:rPr>
              <w:t>中国的责任投资规模</w:t>
            </w:r>
          </w:p>
        </w:tc>
        <w:tc>
          <w:tcPr>
            <w:tcW w:w="2648" w:type="dxa"/>
            <w:tcBorders>
              <w:top w:val="single" w:sz="2" w:space="0" w:color="FFFFFF"/>
            </w:tcBorders>
            <w:vAlign w:val="top"/>
          </w:tcPr>
          <w:p>
            <w:pPr>
              <w:pStyle w:val="TableText"/>
              <w:spacing w:before="146" w:line="158" w:lineRule="auto"/>
              <w:ind w:left="2201"/>
            </w:pPr>
            <w:r>
              <w:rPr>
                <w:color w:val="FFFFFF"/>
                <w:spacing w:val="-3"/>
              </w:rPr>
              <w:t>43</w:t>
            </w:r>
          </w:p>
        </w:tc>
      </w:tr>
      <w:tr>
        <w:tblPrEx>
          <w:tblW w:w="9259" w:type="dxa"/>
          <w:tblInd w:w="1521" w:type="dxa"/>
          <w:tblLayout w:type="fixed"/>
        </w:tblPrEx>
        <w:trPr>
          <w:trHeight w:val="340"/>
        </w:trPr>
        <w:tc>
          <w:tcPr>
            <w:tcW w:w="6611" w:type="dxa"/>
            <w:vAlign w:val="top"/>
          </w:tcPr>
          <w:p>
            <w:pPr>
              <w:pStyle w:val="TableText"/>
              <w:spacing w:before="81" w:line="174" w:lineRule="auto"/>
              <w:ind w:left="76"/>
            </w:pPr>
            <w:r>
              <w:rPr>
                <w:color w:val="FFFFFF"/>
                <w:spacing w:val="4"/>
              </w:rPr>
              <w:t>附录2</w:t>
            </w:r>
            <w:r>
              <w:rPr>
                <w:color w:val="FFFFFF"/>
                <w:spacing w:val="32"/>
              </w:rPr>
              <w:t xml:space="preserve"> </w:t>
            </w:r>
            <w:r>
              <w:rPr>
                <w:color w:val="FFFFFF"/>
                <w:spacing w:val="4"/>
              </w:rPr>
              <w:t>中国的责任投资政策</w:t>
            </w:r>
          </w:p>
        </w:tc>
        <w:tc>
          <w:tcPr>
            <w:tcW w:w="2648" w:type="dxa"/>
            <w:vAlign w:val="top"/>
          </w:tcPr>
          <w:p>
            <w:pPr>
              <w:pStyle w:val="TableText"/>
              <w:spacing w:before="107" w:line="222" w:lineRule="exact"/>
              <w:ind w:left="2201"/>
            </w:pPr>
            <w:r>
              <w:rPr>
                <w:color w:val="FFFFFF"/>
                <w:spacing w:val="-3"/>
                <w:position w:val="-1"/>
              </w:rPr>
              <w:t>45</w:t>
            </w:r>
          </w:p>
        </w:tc>
      </w:tr>
      <w:tr>
        <w:tblPrEx>
          <w:tblW w:w="9259" w:type="dxa"/>
          <w:tblInd w:w="1521" w:type="dxa"/>
          <w:tblLayout w:type="fixed"/>
        </w:tblPrEx>
        <w:trPr>
          <w:trHeight w:val="339"/>
        </w:trPr>
        <w:tc>
          <w:tcPr>
            <w:tcW w:w="6611" w:type="dxa"/>
            <w:vAlign w:val="top"/>
          </w:tcPr>
          <w:p>
            <w:pPr>
              <w:pStyle w:val="TableText"/>
              <w:spacing w:before="81" w:line="173" w:lineRule="auto"/>
              <w:ind w:left="76"/>
            </w:pPr>
            <w:r>
              <w:rPr>
                <w:color w:val="FFFFFF"/>
                <w:spacing w:val="2"/>
              </w:rPr>
              <w:t>附录3</w:t>
            </w:r>
            <w:r>
              <w:rPr>
                <w:color w:val="FFFFFF"/>
                <w:spacing w:val="27"/>
                <w:w w:val="101"/>
              </w:rPr>
              <w:t xml:space="preserve"> </w:t>
            </w:r>
            <w:r>
              <w:rPr>
                <w:color w:val="FFFFFF"/>
              </w:rPr>
              <w:t>ESG</w:t>
            </w:r>
            <w:r>
              <w:rPr>
                <w:color w:val="FFFFFF"/>
                <w:spacing w:val="2"/>
              </w:rPr>
              <w:t>指数</w:t>
            </w:r>
          </w:p>
        </w:tc>
        <w:tc>
          <w:tcPr>
            <w:tcW w:w="2648" w:type="dxa"/>
            <w:vAlign w:val="top"/>
          </w:tcPr>
          <w:p>
            <w:pPr>
              <w:pStyle w:val="TableText"/>
              <w:spacing w:before="107" w:line="221" w:lineRule="exact"/>
              <w:ind w:left="2201"/>
            </w:pPr>
            <w:r>
              <w:rPr>
                <w:color w:val="FFFFFF"/>
                <w:spacing w:val="-3"/>
                <w:position w:val="-1"/>
              </w:rPr>
              <w:t>47</w:t>
            </w:r>
          </w:p>
        </w:tc>
      </w:tr>
      <w:tr>
        <w:tblPrEx>
          <w:tblW w:w="9259" w:type="dxa"/>
          <w:tblInd w:w="1521" w:type="dxa"/>
          <w:tblLayout w:type="fixed"/>
        </w:tblPrEx>
        <w:trPr>
          <w:trHeight w:val="340"/>
        </w:trPr>
        <w:tc>
          <w:tcPr>
            <w:tcW w:w="6611" w:type="dxa"/>
            <w:vAlign w:val="top"/>
          </w:tcPr>
          <w:p>
            <w:pPr>
              <w:pStyle w:val="TableText"/>
              <w:spacing w:before="81" w:line="174" w:lineRule="auto"/>
              <w:ind w:left="76"/>
            </w:pPr>
            <w:r>
              <w:rPr>
                <w:color w:val="FFFFFF"/>
                <w:spacing w:val="8"/>
              </w:rPr>
              <w:t>附录4 跟踪</w:t>
            </w:r>
            <w:r>
              <w:rPr>
                <w:color w:val="FFFFFF"/>
              </w:rPr>
              <w:t>ESG</w:t>
            </w:r>
            <w:r>
              <w:rPr>
                <w:color w:val="FFFFFF"/>
                <w:spacing w:val="8"/>
              </w:rPr>
              <w:t>指数的基金</w:t>
            </w:r>
          </w:p>
        </w:tc>
        <w:tc>
          <w:tcPr>
            <w:tcW w:w="2648" w:type="dxa"/>
            <w:vAlign w:val="top"/>
          </w:tcPr>
          <w:p>
            <w:pPr>
              <w:pStyle w:val="TableText"/>
              <w:spacing w:before="108" w:line="222" w:lineRule="exact"/>
              <w:ind w:left="2201"/>
            </w:pPr>
            <w:r>
              <w:rPr>
                <w:color w:val="FFFFFF"/>
                <w:spacing w:val="-3"/>
                <w:position w:val="-1"/>
              </w:rPr>
              <w:t>47</w:t>
            </w:r>
          </w:p>
        </w:tc>
      </w:tr>
      <w:tr>
        <w:tblPrEx>
          <w:tblW w:w="9259" w:type="dxa"/>
          <w:tblInd w:w="1521" w:type="dxa"/>
          <w:tblLayout w:type="fixed"/>
        </w:tblPrEx>
        <w:trPr>
          <w:trHeight w:val="340"/>
        </w:trPr>
        <w:tc>
          <w:tcPr>
            <w:tcW w:w="6611" w:type="dxa"/>
            <w:vAlign w:val="top"/>
          </w:tcPr>
          <w:p>
            <w:pPr>
              <w:pStyle w:val="TableText"/>
              <w:spacing w:before="81" w:line="174" w:lineRule="auto"/>
              <w:ind w:left="76"/>
            </w:pPr>
            <w:r>
              <w:rPr>
                <w:color w:val="FFFFFF"/>
                <w:spacing w:val="2"/>
              </w:rPr>
              <w:t>附录5</w:t>
            </w:r>
            <w:r>
              <w:rPr>
                <w:color w:val="FFFFFF"/>
                <w:spacing w:val="27"/>
                <w:w w:val="101"/>
              </w:rPr>
              <w:t xml:space="preserve"> </w:t>
            </w:r>
            <w:r>
              <w:rPr>
                <w:color w:val="FFFFFF"/>
              </w:rPr>
              <w:t>ESG</w:t>
            </w:r>
            <w:r>
              <w:rPr>
                <w:color w:val="FFFFFF"/>
                <w:spacing w:val="2"/>
              </w:rPr>
              <w:t>基金</w:t>
            </w:r>
          </w:p>
        </w:tc>
        <w:tc>
          <w:tcPr>
            <w:tcW w:w="2648" w:type="dxa"/>
            <w:vAlign w:val="top"/>
          </w:tcPr>
          <w:p>
            <w:pPr>
              <w:pStyle w:val="TableText"/>
              <w:spacing w:before="108" w:line="222" w:lineRule="exact"/>
              <w:ind w:left="2201"/>
            </w:pPr>
            <w:r>
              <w:rPr>
                <w:color w:val="FFFFFF"/>
                <w:spacing w:val="-3"/>
                <w:position w:val="-1"/>
              </w:rPr>
              <w:t>47</w:t>
            </w:r>
          </w:p>
        </w:tc>
      </w:tr>
      <w:tr>
        <w:tblPrEx>
          <w:tblW w:w="9259" w:type="dxa"/>
          <w:tblInd w:w="1521" w:type="dxa"/>
          <w:tblLayout w:type="fixed"/>
        </w:tblPrEx>
        <w:trPr>
          <w:trHeight w:val="340"/>
        </w:trPr>
        <w:tc>
          <w:tcPr>
            <w:tcW w:w="6611" w:type="dxa"/>
            <w:vAlign w:val="top"/>
          </w:tcPr>
          <w:p>
            <w:pPr>
              <w:pStyle w:val="TableText"/>
              <w:spacing w:before="81" w:line="174" w:lineRule="auto"/>
              <w:ind w:left="76"/>
            </w:pPr>
            <w:r>
              <w:rPr>
                <w:color w:val="FFFFFF"/>
                <w:spacing w:val="8"/>
              </w:rPr>
              <w:t>附录6 存续的</w:t>
            </w:r>
            <w:r>
              <w:rPr>
                <w:color w:val="FFFFFF"/>
              </w:rPr>
              <w:t>ESG</w:t>
            </w:r>
            <w:r>
              <w:rPr>
                <w:color w:val="FFFFFF"/>
                <w:spacing w:val="8"/>
              </w:rPr>
              <w:t>理财产品</w:t>
            </w:r>
          </w:p>
        </w:tc>
        <w:tc>
          <w:tcPr>
            <w:tcW w:w="2648" w:type="dxa"/>
            <w:vAlign w:val="top"/>
          </w:tcPr>
          <w:p>
            <w:pPr>
              <w:pStyle w:val="TableText"/>
              <w:spacing w:before="108" w:line="222" w:lineRule="exact"/>
              <w:ind w:left="2201"/>
            </w:pPr>
            <w:r>
              <w:rPr>
                <w:color w:val="FFFFFF"/>
                <w:spacing w:val="-3"/>
                <w:position w:val="-1"/>
              </w:rPr>
              <w:t>47</w:t>
            </w:r>
          </w:p>
        </w:tc>
      </w:tr>
      <w:tr>
        <w:tblPrEx>
          <w:tblW w:w="9259" w:type="dxa"/>
          <w:tblInd w:w="1521" w:type="dxa"/>
          <w:tblLayout w:type="fixed"/>
        </w:tblPrEx>
        <w:trPr>
          <w:trHeight w:val="446"/>
        </w:trPr>
        <w:tc>
          <w:tcPr>
            <w:tcW w:w="6611" w:type="dxa"/>
            <w:tcBorders>
              <w:bottom w:val="single" w:sz="2" w:space="0" w:color="FFFFFF"/>
            </w:tcBorders>
            <w:vAlign w:val="top"/>
          </w:tcPr>
          <w:p>
            <w:pPr>
              <w:pStyle w:val="TableText"/>
              <w:spacing w:before="81" w:line="176" w:lineRule="auto"/>
              <w:ind w:left="76"/>
            </w:pPr>
            <w:r>
              <w:rPr>
                <w:color w:val="FFFFFF"/>
                <w:spacing w:val="7"/>
              </w:rPr>
              <w:t>附录7 个人投资者责任投资态度问卷</w:t>
            </w:r>
          </w:p>
        </w:tc>
        <w:tc>
          <w:tcPr>
            <w:tcW w:w="2648" w:type="dxa"/>
            <w:tcBorders>
              <w:bottom w:val="single" w:sz="2" w:space="0" w:color="FFFFFF"/>
            </w:tcBorders>
            <w:vAlign w:val="top"/>
          </w:tcPr>
          <w:p>
            <w:pPr>
              <w:pStyle w:val="TableText"/>
              <w:spacing w:before="105" w:line="167" w:lineRule="auto"/>
              <w:ind w:left="2201"/>
            </w:pPr>
            <w:r>
              <w:rPr>
                <w:color w:val="FFFFFF"/>
                <w:spacing w:val="-3"/>
              </w:rPr>
              <w:t>48</w:t>
            </w:r>
          </w:p>
        </w:tc>
      </w:tr>
    </w:tbl>
    <w:p>
      <w:pPr>
        <w:pStyle w:val="BodyText"/>
        <w:spacing w:line="226" w:lineRule="exact"/>
        <w:rPr>
          <w:sz w:val="19"/>
        </w:rPr>
      </w:pPr>
    </w:p>
    <w:p>
      <w:pPr>
        <w:spacing w:line="226" w:lineRule="exact"/>
        <w:rPr>
          <w:sz w:val="19"/>
          <w:szCs w:val="19"/>
        </w:rPr>
        <w:sectPr>
          <w:footerReference w:type="default" r:id="rId28"/>
          <w:type w:val="nextPage"/>
          <w:pgSz w:w="12246" w:h="17178"/>
          <w:pgMar w:top="0" w:right="0" w:bottom="400" w:left="0" w:header="0" w:footer="0" w:gutter="0"/>
          <w:pgNumType w:start="10"/>
          <w:cols w:space="708"/>
          <w:titlePg w:val="0"/>
        </w:sectPr>
      </w:pPr>
    </w:p>
    <w:p>
      <w:pPr>
        <w:tabs>
          <w:tab w:val="left" w:pos="6989"/>
        </w:tabs>
        <w:spacing w:before="50" w:line="236" w:lineRule="auto"/>
        <w:rPr>
          <w:sz w:val="16"/>
          <w:szCs w:val="16"/>
        </w:rPr>
      </w:pPr>
      <w:r>
        <mc:AlternateContent>
          <mc:Choice Requires="wps">
            <w:drawing>
              <wp:anchor distT="0" distB="0" distL="0" distR="0" simplePos="0" relativeHeight="251702272" behindDoc="1" locked="0" layoutInCell="0" allowOverlap="1">
                <wp:simplePos x="0" y="0"/>
                <wp:positionH relativeFrom="page">
                  <wp:posOffset>3961018</wp:posOffset>
                </wp:positionH>
                <wp:positionV relativeFrom="page">
                  <wp:posOffset>9828194</wp:posOffset>
                </wp:positionV>
                <wp:extent cx="2864485" cy="3175"/>
                <wp:effectExtent l="0" t="0" r="0" b="0"/>
                <wp:wrapNone/>
                <wp:docPr id="32" name="Rect 32"/>
                <wp:cNvGraphicFramePr/>
                <a:graphic xmlns:a="http://schemas.openxmlformats.org/drawingml/2006/main">
                  <a:graphicData uri="http://schemas.microsoft.com/office/word/2010/wordprocessingShape">
                    <wps:wsp xmlns:wps="http://schemas.microsoft.com/office/word/2010/wordprocessingShape">
                      <wps:cNvSpPr/>
                      <wps:spPr>
                        <a:xfrm>
                          <a:off x="3961018" y="9828194"/>
                          <a:ext cx="2864485" cy="3175"/>
                        </a:xfrm>
                        <a:prstGeom prst="rect">
                          <a:avLst/>
                        </a:prstGeom>
                        <a:solidFill>
                          <a:srgbClr val="EF6B2D">
                            <a:alpha val="6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2" o:spid="_x0000_s1067" style="width:225.55pt;height:0.25pt;margin-top:773.87pt;margin-left:311.89pt;mso-position-horizontal-relative:page;mso-position-vertical-relative:page;mso-wrap-distance-bottom:0;mso-wrap-distance-left:0;mso-wrap-distance-right:0;mso-wrap-distance-top:0;position:absolute;v-text-anchor:top;z-index:-251615232" o:allowincell="f" fillcolor="#ef6b2d" stroked="f">
                <v:fill opacity="45747f"/>
              </v:rect>
            </w:pict>
          </mc:Fallback>
        </mc:AlternateContent>
      </w:r>
      <w:r>
        <mc:AlternateContent>
          <mc:Choice Requires="wps">
            <w:drawing>
              <wp:anchor distT="0" distB="0" distL="0" distR="0" simplePos="0" relativeHeight="251710464" behindDoc="1" locked="0" layoutInCell="0" allowOverlap="1">
                <wp:simplePos x="0" y="0"/>
                <wp:positionH relativeFrom="page">
                  <wp:posOffset>3961018</wp:posOffset>
                </wp:positionH>
                <wp:positionV relativeFrom="page">
                  <wp:posOffset>9535553</wp:posOffset>
                </wp:positionV>
                <wp:extent cx="2864485" cy="3175"/>
                <wp:effectExtent l="0" t="0" r="0" b="0"/>
                <wp:wrapNone/>
                <wp:docPr id="34" name="Rect 34"/>
                <wp:cNvGraphicFramePr/>
                <a:graphic xmlns:a="http://schemas.openxmlformats.org/drawingml/2006/main">
                  <a:graphicData uri="http://schemas.microsoft.com/office/word/2010/wordprocessingShape">
                    <wps:wsp xmlns:wps="http://schemas.microsoft.com/office/word/2010/wordprocessingShape">
                      <wps:cNvSpPr/>
                      <wps:spPr>
                        <a:xfrm>
                          <a:off x="3961018" y="9535553"/>
                          <a:ext cx="2864485" cy="3175"/>
                        </a:xfrm>
                        <a:prstGeom prst="rect">
                          <a:avLst/>
                        </a:prstGeom>
                        <a:solidFill>
                          <a:srgbClr val="EF6B2D">
                            <a:alpha val="6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4" o:spid="_x0000_s1068" style="width:225.55pt;height:0.25pt;margin-top:750.83pt;margin-left:311.89pt;mso-position-horizontal-relative:page;mso-position-vertical-relative:page;mso-wrap-distance-bottom:0;mso-wrap-distance-left:0;mso-wrap-distance-right:0;mso-wrap-distance-top:0;position:absolute;v-text-anchor:top;z-index:-251607040" o:allowincell="f" fillcolor="#ef6b2d" stroked="f">
                <v:fill opacity="45747f"/>
              </v:rect>
            </w:pict>
          </mc:Fallback>
        </mc:AlternateContent>
      </w:r>
      <w:r>
        <mc:AlternateContent>
          <mc:Choice Requires="wps">
            <w:drawing>
              <wp:anchor distT="0" distB="0" distL="0" distR="0" simplePos="0" relativeHeight="251696128" behindDoc="1" locked="0" layoutInCell="0" allowOverlap="1">
                <wp:simplePos x="0" y="0"/>
                <wp:positionH relativeFrom="page">
                  <wp:posOffset>3961018</wp:posOffset>
                </wp:positionH>
                <wp:positionV relativeFrom="page">
                  <wp:posOffset>9233297</wp:posOffset>
                </wp:positionV>
                <wp:extent cx="2864485" cy="3175"/>
                <wp:effectExtent l="0" t="0" r="0" b="0"/>
                <wp:wrapNone/>
                <wp:docPr id="36" name="Rect 36"/>
                <wp:cNvGraphicFramePr/>
                <a:graphic xmlns:a="http://schemas.openxmlformats.org/drawingml/2006/main">
                  <a:graphicData uri="http://schemas.microsoft.com/office/word/2010/wordprocessingShape">
                    <wps:wsp xmlns:wps="http://schemas.microsoft.com/office/word/2010/wordprocessingShape">
                      <wps:cNvSpPr/>
                      <wps:spPr>
                        <a:xfrm>
                          <a:off x="3961018" y="9233297"/>
                          <a:ext cx="2864485" cy="3175"/>
                        </a:xfrm>
                        <a:prstGeom prst="rect">
                          <a:avLst/>
                        </a:prstGeom>
                        <a:solidFill>
                          <a:srgbClr val="EF6B2D">
                            <a:alpha val="6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6" o:spid="_x0000_s1069" style="width:225.55pt;height:0.25pt;margin-top:727.03pt;margin-left:311.89pt;mso-position-horizontal-relative:page;mso-position-vertical-relative:page;mso-wrap-distance-bottom:0;mso-wrap-distance-left:0;mso-wrap-distance-right:0;mso-wrap-distance-top:0;position:absolute;v-text-anchor:top;z-index:-251621376" o:allowincell="f" fillcolor="#ef6b2d" stroked="f">
                <v:fill opacity="45747f"/>
              </v:rect>
            </w:pict>
          </mc:Fallback>
        </mc:AlternateContent>
      </w:r>
      <w:r>
        <mc:AlternateContent>
          <mc:Choice Requires="wps">
            <w:drawing>
              <wp:anchor distT="0" distB="0" distL="0" distR="0" simplePos="0" relativeHeight="251712512" behindDoc="1" locked="0" layoutInCell="0" allowOverlap="1">
                <wp:simplePos x="0" y="0"/>
                <wp:positionH relativeFrom="page">
                  <wp:posOffset>3961018</wp:posOffset>
                </wp:positionH>
                <wp:positionV relativeFrom="page">
                  <wp:posOffset>8931986</wp:posOffset>
                </wp:positionV>
                <wp:extent cx="2864485" cy="3175"/>
                <wp:effectExtent l="0" t="0" r="0" b="0"/>
                <wp:wrapNone/>
                <wp:docPr id="38" name="Rect 38"/>
                <wp:cNvGraphicFramePr/>
                <a:graphic xmlns:a="http://schemas.openxmlformats.org/drawingml/2006/main">
                  <a:graphicData uri="http://schemas.microsoft.com/office/word/2010/wordprocessingShape">
                    <wps:wsp xmlns:wps="http://schemas.microsoft.com/office/word/2010/wordprocessingShape">
                      <wps:cNvSpPr/>
                      <wps:spPr>
                        <a:xfrm>
                          <a:off x="3961018" y="8931986"/>
                          <a:ext cx="2864485" cy="3175"/>
                        </a:xfrm>
                        <a:prstGeom prst="rect">
                          <a:avLst/>
                        </a:prstGeom>
                        <a:solidFill>
                          <a:srgbClr val="EF6B2D">
                            <a:alpha val="6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8" o:spid="_x0000_s1070" style="width:225.55pt;height:0.25pt;margin-top:703.31pt;margin-left:311.89pt;mso-position-horizontal-relative:page;mso-position-vertical-relative:page;mso-wrap-distance-bottom:0;mso-wrap-distance-left:0;mso-wrap-distance-right:0;mso-wrap-distance-top:0;position:absolute;v-text-anchor:top;z-index:-251604992" o:allowincell="f" fillcolor="#ef6b2d" stroked="f">
                <v:fill opacity="45747f"/>
              </v:rect>
            </w:pict>
          </mc:Fallback>
        </mc:AlternateContent>
      </w:r>
      <w:r>
        <mc:AlternateContent>
          <mc:Choice Requires="wps">
            <w:drawing>
              <wp:anchor distT="0" distB="0" distL="0" distR="0" simplePos="0" relativeHeight="251700224" behindDoc="1" locked="0" layoutInCell="0" allowOverlap="1">
                <wp:simplePos x="0" y="0"/>
                <wp:positionH relativeFrom="page">
                  <wp:posOffset>3961018</wp:posOffset>
                </wp:positionH>
                <wp:positionV relativeFrom="page">
                  <wp:posOffset>8626640</wp:posOffset>
                </wp:positionV>
                <wp:extent cx="2864485" cy="3175"/>
                <wp:effectExtent l="0" t="0" r="0" b="0"/>
                <wp:wrapNone/>
                <wp:docPr id="40" name="Rect 40"/>
                <wp:cNvGraphicFramePr/>
                <a:graphic xmlns:a="http://schemas.openxmlformats.org/drawingml/2006/main">
                  <a:graphicData uri="http://schemas.microsoft.com/office/word/2010/wordprocessingShape">
                    <wps:wsp xmlns:wps="http://schemas.microsoft.com/office/word/2010/wordprocessingShape">
                      <wps:cNvSpPr/>
                      <wps:spPr>
                        <a:xfrm>
                          <a:off x="3961018" y="8626640"/>
                          <a:ext cx="2864485" cy="3175"/>
                        </a:xfrm>
                        <a:prstGeom prst="rect">
                          <a:avLst/>
                        </a:prstGeom>
                        <a:solidFill>
                          <a:srgbClr val="EF6B2D">
                            <a:alpha val="6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0" o:spid="_x0000_s1071" style="width:225.55pt;height:0.25pt;margin-top:679.26pt;margin-left:311.89pt;mso-position-horizontal-relative:page;mso-position-vertical-relative:page;mso-wrap-distance-bottom:0;mso-wrap-distance-left:0;mso-wrap-distance-right:0;mso-wrap-distance-top:0;position:absolute;v-text-anchor:top;z-index:-251617280" o:allowincell="f" fillcolor="#ef6b2d" stroked="f">
                <v:fill opacity="45747f"/>
              </v:rect>
            </w:pict>
          </mc:Fallback>
        </mc:AlternateContent>
      </w:r>
      <w:r>
        <mc:AlternateContent>
          <mc:Choice Requires="wps">
            <w:drawing>
              <wp:anchor distT="0" distB="0" distL="0" distR="0" simplePos="0" relativeHeight="251704320" behindDoc="1" locked="0" layoutInCell="0" allowOverlap="1">
                <wp:simplePos x="0" y="0"/>
                <wp:positionH relativeFrom="page">
                  <wp:posOffset>3961018</wp:posOffset>
                </wp:positionH>
                <wp:positionV relativeFrom="page">
                  <wp:posOffset>8321293</wp:posOffset>
                </wp:positionV>
                <wp:extent cx="2864485" cy="3175"/>
                <wp:effectExtent l="0" t="0" r="0" b="0"/>
                <wp:wrapNone/>
                <wp:docPr id="42" name="Rect 42"/>
                <wp:cNvGraphicFramePr/>
                <a:graphic xmlns:a="http://schemas.openxmlformats.org/drawingml/2006/main">
                  <a:graphicData uri="http://schemas.microsoft.com/office/word/2010/wordprocessingShape">
                    <wps:wsp xmlns:wps="http://schemas.microsoft.com/office/word/2010/wordprocessingShape">
                      <wps:cNvSpPr/>
                      <wps:spPr>
                        <a:xfrm>
                          <a:off x="3961018" y="8321293"/>
                          <a:ext cx="2864485" cy="3175"/>
                        </a:xfrm>
                        <a:prstGeom prst="rect">
                          <a:avLst/>
                        </a:prstGeom>
                        <a:solidFill>
                          <a:srgbClr val="EF6B2D">
                            <a:alpha val="6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2" o:spid="_x0000_s1072" style="width:225.55pt;height:0.25pt;margin-top:655.22pt;margin-left:311.89pt;mso-position-horizontal-relative:page;mso-position-vertical-relative:page;mso-wrap-distance-bottom:0;mso-wrap-distance-left:0;mso-wrap-distance-right:0;mso-wrap-distance-top:0;position:absolute;v-text-anchor:top;z-index:-251613184" o:allowincell="f" fillcolor="#ef6b2d" stroked="f">
                <v:fill opacity="45747f"/>
              </v:rect>
            </w:pict>
          </mc:Fallback>
        </mc:AlternateContent>
      </w:r>
      <w:r>
        <mc:AlternateContent>
          <mc:Choice Requires="wps">
            <w:drawing>
              <wp:anchor distT="0" distB="0" distL="0" distR="0" simplePos="0" relativeHeight="251698176" behindDoc="1" locked="0" layoutInCell="0" allowOverlap="1">
                <wp:simplePos x="0" y="0"/>
                <wp:positionH relativeFrom="page">
                  <wp:posOffset>3961018</wp:posOffset>
                </wp:positionH>
                <wp:positionV relativeFrom="page">
                  <wp:posOffset>8028647</wp:posOffset>
                </wp:positionV>
                <wp:extent cx="2864485" cy="3175"/>
                <wp:effectExtent l="0" t="0" r="0" b="0"/>
                <wp:wrapNone/>
                <wp:docPr id="44" name="Rect 44"/>
                <wp:cNvGraphicFramePr/>
                <a:graphic xmlns:a="http://schemas.openxmlformats.org/drawingml/2006/main">
                  <a:graphicData uri="http://schemas.microsoft.com/office/word/2010/wordprocessingShape">
                    <wps:wsp xmlns:wps="http://schemas.microsoft.com/office/word/2010/wordprocessingShape">
                      <wps:cNvSpPr/>
                      <wps:spPr>
                        <a:xfrm>
                          <a:off x="3961018" y="8028647"/>
                          <a:ext cx="2864485" cy="3175"/>
                        </a:xfrm>
                        <a:prstGeom prst="rect">
                          <a:avLst/>
                        </a:prstGeom>
                        <a:solidFill>
                          <a:srgbClr val="EF6B2D">
                            <a:alpha val="6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4" o:spid="_x0000_s1073" style="width:225.55pt;height:0.25pt;margin-top:632.18pt;margin-left:311.89pt;mso-position-horizontal-relative:page;mso-position-vertical-relative:page;mso-wrap-distance-bottom:0;mso-wrap-distance-left:0;mso-wrap-distance-right:0;mso-wrap-distance-top:0;position:absolute;v-text-anchor:top;z-index:-251619328" o:allowincell="f" fillcolor="#ef6b2d" stroked="f">
                <v:fill opacity="45747f"/>
              </v:rect>
            </w:pict>
          </mc:Fallback>
        </mc:AlternateContent>
      </w:r>
      <w:r>
        <mc:AlternateContent>
          <mc:Choice Requires="wps">
            <w:drawing>
              <wp:anchor distT="0" distB="0" distL="0" distR="0" simplePos="0" relativeHeight="251706368" behindDoc="1" locked="0" layoutInCell="0" allowOverlap="1">
                <wp:simplePos x="0" y="0"/>
                <wp:positionH relativeFrom="page">
                  <wp:posOffset>3961018</wp:posOffset>
                </wp:positionH>
                <wp:positionV relativeFrom="page">
                  <wp:posOffset>7726393</wp:posOffset>
                </wp:positionV>
                <wp:extent cx="2864485" cy="3175"/>
                <wp:effectExtent l="0" t="0" r="0" b="0"/>
                <wp:wrapNone/>
                <wp:docPr id="46" name="Rect 46"/>
                <wp:cNvGraphicFramePr/>
                <a:graphic xmlns:a="http://schemas.openxmlformats.org/drawingml/2006/main">
                  <a:graphicData uri="http://schemas.microsoft.com/office/word/2010/wordprocessingShape">
                    <wps:wsp xmlns:wps="http://schemas.microsoft.com/office/word/2010/wordprocessingShape">
                      <wps:cNvSpPr/>
                      <wps:spPr>
                        <a:xfrm>
                          <a:off x="3961018" y="7726393"/>
                          <a:ext cx="2864485" cy="3175"/>
                        </a:xfrm>
                        <a:prstGeom prst="rect">
                          <a:avLst/>
                        </a:prstGeom>
                        <a:solidFill>
                          <a:srgbClr val="EF6B2D">
                            <a:alpha val="6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6" o:spid="_x0000_s1074" style="width:225.55pt;height:0.25pt;margin-top:608.38pt;margin-left:311.89pt;mso-position-horizontal-relative:page;mso-position-vertical-relative:page;mso-wrap-distance-bottom:0;mso-wrap-distance-left:0;mso-wrap-distance-right:0;mso-wrap-distance-top:0;position:absolute;v-text-anchor:top;z-index:-251611136" o:allowincell="f" fillcolor="#ef6b2d" stroked="f">
                <v:fill opacity="45747f"/>
              </v:rect>
            </w:pict>
          </mc:Fallback>
        </mc:AlternateContent>
      </w:r>
      <w:r>
        <mc:AlternateContent>
          <mc:Choice Requires="wps">
            <w:drawing>
              <wp:anchor distT="0" distB="0" distL="0" distR="0" simplePos="0" relativeHeight="251694080" behindDoc="1" locked="0" layoutInCell="0" allowOverlap="1">
                <wp:simplePos x="0" y="0"/>
                <wp:positionH relativeFrom="page">
                  <wp:posOffset>3961018</wp:posOffset>
                </wp:positionH>
                <wp:positionV relativeFrom="page">
                  <wp:posOffset>7425080</wp:posOffset>
                </wp:positionV>
                <wp:extent cx="2864485" cy="3175"/>
                <wp:effectExtent l="0" t="0" r="0" b="0"/>
                <wp:wrapNone/>
                <wp:docPr id="48" name="Rect 48"/>
                <wp:cNvGraphicFramePr/>
                <a:graphic xmlns:a="http://schemas.openxmlformats.org/drawingml/2006/main">
                  <a:graphicData uri="http://schemas.microsoft.com/office/word/2010/wordprocessingShape">
                    <wps:wsp xmlns:wps="http://schemas.microsoft.com/office/word/2010/wordprocessingShape">
                      <wps:cNvSpPr/>
                      <wps:spPr>
                        <a:xfrm>
                          <a:off x="3961018" y="7425080"/>
                          <a:ext cx="2864485" cy="3175"/>
                        </a:xfrm>
                        <a:prstGeom prst="rect">
                          <a:avLst/>
                        </a:prstGeom>
                        <a:solidFill>
                          <a:srgbClr val="EF6B2D">
                            <a:alpha val="6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8" o:spid="_x0000_s1075" style="width:225.55pt;height:0.25pt;margin-top:584.65pt;margin-left:311.89pt;mso-position-horizontal-relative:page;mso-position-vertical-relative:page;mso-wrap-distance-bottom:0;mso-wrap-distance-left:0;mso-wrap-distance-right:0;mso-wrap-distance-top:0;position:absolute;v-text-anchor:top;z-index:-251623424" o:allowincell="f" fillcolor="#ef6b2d" stroked="f">
                <v:fill opacity="45747f"/>
              </v:rect>
            </w:pict>
          </mc:Fallback>
        </mc:AlternateContent>
      </w:r>
      <w:r>
        <mc:AlternateContent>
          <mc:Choice Requires="wps">
            <w:drawing>
              <wp:anchor distT="0" distB="0" distL="0" distR="0" simplePos="0" relativeHeight="251708416" behindDoc="1" locked="0" layoutInCell="0" allowOverlap="1">
                <wp:simplePos x="0" y="0"/>
                <wp:positionH relativeFrom="page">
                  <wp:posOffset>3961018</wp:posOffset>
                </wp:positionH>
                <wp:positionV relativeFrom="page">
                  <wp:posOffset>7120003</wp:posOffset>
                </wp:positionV>
                <wp:extent cx="2864485" cy="3175"/>
                <wp:effectExtent l="0" t="0" r="0" b="0"/>
                <wp:wrapNone/>
                <wp:docPr id="50" name="Rect 50"/>
                <wp:cNvGraphicFramePr/>
                <a:graphic xmlns:a="http://schemas.openxmlformats.org/drawingml/2006/main">
                  <a:graphicData uri="http://schemas.microsoft.com/office/word/2010/wordprocessingShape">
                    <wps:wsp xmlns:wps="http://schemas.microsoft.com/office/word/2010/wordprocessingShape">
                      <wps:cNvSpPr/>
                      <wps:spPr>
                        <a:xfrm>
                          <a:off x="3961018" y="7120003"/>
                          <a:ext cx="2864485" cy="3175"/>
                        </a:xfrm>
                        <a:prstGeom prst="rect">
                          <a:avLst/>
                        </a:prstGeom>
                        <a:solidFill>
                          <a:srgbClr val="EF6B2D">
                            <a:alpha val="69803"/>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50" o:spid="_x0000_s1076" style="width:225.55pt;height:0.25pt;margin-top:560.63pt;margin-left:311.89pt;mso-position-horizontal-relative:page;mso-position-vertical-relative:page;mso-wrap-distance-bottom:0;mso-wrap-distance-left:0;mso-wrap-distance-right:0;mso-wrap-distance-top:0;position:absolute;v-text-anchor:top;z-index:-251609088" o:allowincell="f" fillcolor="#ef6b2d" stroked="f">
                <v:fill opacity="45747f"/>
              </v:rect>
            </w:pict>
          </mc:Fallback>
        </mc:AlternateContent>
      </w:r>
      <w:r>
        <w:drawing>
          <wp:anchor distT="0" distB="0" distL="0" distR="0" simplePos="0" relativeHeight="251713536" behindDoc="1" locked="0" layoutInCell="0" allowOverlap="1">
            <wp:simplePos x="0" y="0"/>
            <wp:positionH relativeFrom="page">
              <wp:posOffset>3961018</wp:posOffset>
            </wp:positionH>
            <wp:positionV relativeFrom="page">
              <wp:posOffset>10245263</wp:posOffset>
            </wp:positionV>
            <wp:extent cx="2863872" cy="635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29"/>
                    <a:stretch>
                      <a:fillRect/>
                    </a:stretch>
                  </pic:blipFill>
                  <pic:spPr>
                    <a:xfrm>
                      <a:off x="0" y="0"/>
                      <a:ext cx="2863872" cy="6350"/>
                    </a:xfrm>
                    <a:prstGeom prst="rect">
                      <a:avLst/>
                    </a:prstGeom>
                  </pic:spPr>
                </pic:pic>
              </a:graphicData>
            </a:graphic>
          </wp:anchor>
        </w:drawing>
      </w:r>
      <w:r>
        <w:rPr>
          <w:rFonts w:ascii="Microsoft YaHei" w:eastAsia="Microsoft YaHei" w:hAnsi="Microsoft YaHei" w:cs="Microsoft YaHei"/>
          <w:strike/>
          <w:color w:val="EF6B2D"/>
          <w:sz w:val="16"/>
          <w:szCs w:val="16"/>
        </w:rPr>
        <w:tab/>
      </w:r>
      <w:r>
        <w:rPr>
          <w:rFonts w:ascii="Microsoft YaHei" w:eastAsia="Microsoft YaHei" w:hAnsi="Microsoft YaHei" w:cs="Microsoft YaHei"/>
          <w:color w:val="EF6B2D"/>
          <w:spacing w:val="9"/>
          <w:sz w:val="16"/>
          <w:szCs w:val="16"/>
        </w:rPr>
        <w:t xml:space="preserve">   </w:t>
      </w:r>
      <w:r>
        <w:rPr>
          <w:rFonts w:ascii="Microsoft YaHei" w:eastAsia="Microsoft YaHei" w:hAnsi="Microsoft YaHei" w:cs="Microsoft YaHei"/>
          <w:color w:val="EF6B2D"/>
          <w:spacing w:val="-3"/>
          <w:sz w:val="16"/>
          <w:szCs w:val="16"/>
        </w:rPr>
        <w:t xml:space="preserve">中国责任投资年度报告2023  </w:t>
      </w:r>
      <w:r>
        <w:rPr>
          <w:position w:val="-6"/>
          <w:sz w:val="16"/>
          <w:szCs w:val="16"/>
        </w:rPr>
        <w:drawing>
          <wp:inline distT="0" distB="0" distL="0" distR="0">
            <wp:extent cx="54240" cy="162534"/>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0"/>
                    <a:stretch>
                      <a:fillRect/>
                    </a:stretch>
                  </pic:blipFill>
                  <pic:spPr>
                    <a:xfrm>
                      <a:off x="0" y="0"/>
                      <a:ext cx="54240" cy="162534"/>
                    </a:xfrm>
                    <a:prstGeom prst="rect">
                      <a:avLst/>
                    </a:prstGeom>
                  </pic:spPr>
                </pic:pic>
              </a:graphicData>
            </a:graphic>
          </wp:inline>
        </w:drawing>
      </w:r>
    </w:p>
    <w:p>
      <w:pPr>
        <w:spacing w:before="69"/>
      </w:pPr>
    </w:p>
    <w:p>
      <w:pPr>
        <w:spacing w:before="69"/>
      </w:pPr>
    </w:p>
    <w:p>
      <w:pPr>
        <w:sectPr>
          <w:footerReference w:type="default" r:id="rId31"/>
          <w:pgSz w:w="12246" w:h="17178"/>
          <w:pgMar w:top="1055" w:right="1497" w:bottom="400" w:left="1433" w:header="0" w:footer="0" w:gutter="0"/>
          <w:pgNumType w:start="11"/>
          <w:cols w:num="1" w:space="708" w:equalWidth="0">
            <w:col w:w="9315" w:space="0"/>
          </w:cols>
        </w:sectPr>
      </w:pPr>
    </w:p>
    <w:p>
      <w:pPr>
        <w:spacing w:line="230" w:lineRule="auto"/>
        <w:ind w:left="36"/>
        <w:rPr>
          <w:rFonts w:ascii="Microsoft YaHei" w:eastAsia="Microsoft YaHei" w:hAnsi="Microsoft YaHei" w:cs="Microsoft YaHei"/>
          <w:sz w:val="48"/>
          <w:szCs w:val="48"/>
        </w:rPr>
      </w:pPr>
      <w:r>
        <w:rPr>
          <w:rFonts w:ascii="Microsoft YaHei" w:eastAsia="Microsoft YaHei" w:hAnsi="Microsoft YaHei" w:cs="Microsoft YaHei"/>
          <w:color w:val="EF6B2D"/>
          <w:position w:val="-20"/>
          <w:sz w:val="48"/>
          <w:szCs w:val="48"/>
        </w:rPr>
        <w:drawing>
          <wp:inline distT="0" distB="0" distL="0" distR="0">
            <wp:extent cx="163079" cy="488683"/>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32"/>
                    <a:stretch>
                      <a:fillRect/>
                    </a:stretch>
                  </pic:blipFill>
                  <pic:spPr>
                    <a:xfrm>
                      <a:off x="0" y="0"/>
                      <a:ext cx="163079" cy="488683"/>
                    </a:xfrm>
                    <a:prstGeom prst="rect">
                      <a:avLst/>
                    </a:prstGeom>
                  </pic:spPr>
                </pic:pic>
              </a:graphicData>
            </a:graphic>
          </wp:inline>
        </w:drawing>
      </w:r>
      <w:r>
        <w:rPr>
          <w:rFonts w:ascii="Microsoft YaHei" w:eastAsia="Microsoft YaHei" w:hAnsi="Microsoft YaHei" w:cs="Microsoft YaHei"/>
          <w:color w:val="EF6B2D"/>
          <w:spacing w:val="115"/>
          <w:sz w:val="48"/>
          <w:szCs w:val="48"/>
        </w:rPr>
        <w:t xml:space="preserve"> </w:t>
      </w:r>
      <w:r>
        <w:rPr>
          <w:rFonts w:ascii="Microsoft YaHei" w:eastAsia="Microsoft YaHei" w:hAnsi="Microsoft YaHei" w:cs="Microsoft YaHei"/>
          <w:color w:val="EF6B2D"/>
          <w:spacing w:val="-9"/>
          <w:sz w:val="48"/>
          <w:szCs w:val="48"/>
        </w:rPr>
        <w:t>图目录</w:t>
      </w:r>
    </w:p>
    <w:p>
      <w:pPr>
        <w:spacing w:line="224" w:lineRule="exact"/>
      </w:pPr>
    </w:p>
    <w:tbl>
      <w:tblPr>
        <w:tblStyle w:val="TableNormal2"/>
        <w:tblW w:w="4310" w:type="dxa"/>
        <w:tblInd w:w="11" w:type="dxa"/>
        <w:tblBorders>
          <w:top w:val="nil"/>
          <w:left w:val="nil"/>
          <w:bottom w:val="nil"/>
          <w:right w:val="nil"/>
          <w:insideH w:val="nil"/>
          <w:insideV w:val="nil"/>
        </w:tblBorders>
        <w:tblLayout w:type="fixed"/>
      </w:tblPr>
      <w:tblGrid>
        <w:gridCol w:w="3589"/>
        <w:gridCol w:w="257"/>
        <w:gridCol w:w="81"/>
        <w:gridCol w:w="383"/>
      </w:tblGrid>
      <w:tr>
        <w:tblPrEx>
          <w:tblW w:w="4310" w:type="dxa"/>
          <w:tblInd w:w="11" w:type="dxa"/>
          <w:tblBorders>
            <w:top w:val="nil"/>
            <w:left w:val="nil"/>
            <w:bottom w:val="nil"/>
            <w:right w:val="nil"/>
            <w:insideH w:val="nil"/>
            <w:insideV w:val="nil"/>
          </w:tblBorders>
          <w:tblLayout w:type="fixed"/>
        </w:tblPrEx>
        <w:trPr>
          <w:trHeight w:val="504"/>
        </w:trPr>
        <w:tc>
          <w:tcPr>
            <w:tcW w:w="3589" w:type="dxa"/>
            <w:tcBorders>
              <w:top w:val="single" w:sz="2" w:space="0" w:color="EF6B2D"/>
              <w:bottom w:val="single" w:sz="2" w:space="0" w:color="EF6B2D"/>
            </w:tcBorders>
            <w:vAlign w:val="top"/>
          </w:tcPr>
          <w:p>
            <w:pPr>
              <w:pStyle w:val="TableText"/>
              <w:spacing w:before="181" w:line="174" w:lineRule="auto"/>
              <w:ind w:left="14"/>
              <w:rPr>
                <w:sz w:val="16"/>
                <w:szCs w:val="16"/>
              </w:rPr>
            </w:pPr>
            <w:r>
              <w:rPr>
                <w:color w:val="3E3E3F"/>
                <w:spacing w:val="-4"/>
                <w:sz w:val="16"/>
                <w:szCs w:val="16"/>
              </w:rPr>
              <w:t>图 1 中国主要责任投资类型</w:t>
            </w:r>
          </w:p>
        </w:tc>
        <w:tc>
          <w:tcPr>
            <w:tcW w:w="721" w:type="dxa"/>
            <w:gridSpan w:val="3"/>
            <w:tcBorders>
              <w:top w:val="single" w:sz="2" w:space="0" w:color="EF6B2D"/>
              <w:bottom w:val="single" w:sz="2" w:space="0" w:color="EF6B2D"/>
            </w:tcBorders>
            <w:vAlign w:val="top"/>
          </w:tcPr>
          <w:p>
            <w:pPr>
              <w:pStyle w:val="TableText"/>
              <w:spacing w:before="193" w:line="169" w:lineRule="auto"/>
              <w:ind w:left="350"/>
              <w:rPr>
                <w:sz w:val="18"/>
                <w:szCs w:val="18"/>
              </w:rPr>
            </w:pPr>
            <w:r>
              <w:rPr>
                <w:b/>
                <w:bCs/>
                <w:color w:val="EF6B2D"/>
                <w:spacing w:val="-3"/>
                <w:sz w:val="18"/>
                <w:szCs w:val="18"/>
              </w:rPr>
              <w:t>05</w:t>
            </w:r>
          </w:p>
        </w:tc>
      </w:tr>
      <w:tr>
        <w:tblPrEx>
          <w:tblW w:w="4310" w:type="dxa"/>
          <w:tblInd w:w="11" w:type="dxa"/>
          <w:tblLayout w:type="fixed"/>
        </w:tblPrEx>
        <w:trPr>
          <w:trHeight w:val="475"/>
        </w:trPr>
        <w:tc>
          <w:tcPr>
            <w:tcW w:w="3589" w:type="dxa"/>
            <w:tcBorders>
              <w:top w:val="single" w:sz="2" w:space="0" w:color="EF6B2D"/>
              <w:bottom w:val="single" w:sz="2" w:space="0" w:color="EF6B2D"/>
            </w:tcBorders>
            <w:vAlign w:val="top"/>
          </w:tcPr>
          <w:p>
            <w:pPr>
              <w:pStyle w:val="TableText"/>
              <w:spacing w:before="147" w:line="174" w:lineRule="auto"/>
              <w:ind w:left="14"/>
              <w:rPr>
                <w:sz w:val="16"/>
                <w:szCs w:val="16"/>
              </w:rPr>
            </w:pPr>
            <w:r>
              <w:rPr>
                <w:color w:val="3E3E3F"/>
                <w:spacing w:val="-3"/>
                <w:sz w:val="16"/>
                <w:szCs w:val="16"/>
              </w:rPr>
              <w:t>图 2 负责任投资原则PRI签署机构数量</w:t>
            </w:r>
          </w:p>
        </w:tc>
        <w:tc>
          <w:tcPr>
            <w:tcW w:w="721" w:type="dxa"/>
            <w:gridSpan w:val="3"/>
            <w:tcBorders>
              <w:top w:val="single" w:sz="2" w:space="0" w:color="EF6B2D"/>
              <w:bottom w:val="single" w:sz="2" w:space="0" w:color="EF6B2D"/>
            </w:tcBorders>
            <w:vAlign w:val="top"/>
          </w:tcPr>
          <w:p>
            <w:pPr>
              <w:pStyle w:val="TableText"/>
              <w:spacing w:before="160" w:line="169" w:lineRule="auto"/>
              <w:ind w:left="350"/>
              <w:rPr>
                <w:sz w:val="18"/>
                <w:szCs w:val="18"/>
              </w:rPr>
            </w:pPr>
            <w:r>
              <w:rPr>
                <w:b/>
                <w:bCs/>
                <w:color w:val="EF6B2D"/>
                <w:spacing w:val="-3"/>
                <w:sz w:val="18"/>
                <w:szCs w:val="18"/>
              </w:rPr>
              <w:t>07</w:t>
            </w:r>
          </w:p>
        </w:tc>
      </w:tr>
      <w:tr>
        <w:tblPrEx>
          <w:tblW w:w="4310" w:type="dxa"/>
          <w:tblInd w:w="11" w:type="dxa"/>
          <w:tblLayout w:type="fixed"/>
        </w:tblPrEx>
        <w:trPr>
          <w:trHeight w:val="469"/>
        </w:trPr>
        <w:tc>
          <w:tcPr>
            <w:tcW w:w="3589" w:type="dxa"/>
            <w:tcBorders>
              <w:top w:val="single" w:sz="2" w:space="0" w:color="EF6B2D"/>
              <w:bottom w:val="single" w:sz="2" w:space="0" w:color="EF6B2D"/>
            </w:tcBorders>
            <w:vAlign w:val="top"/>
          </w:tcPr>
          <w:p>
            <w:pPr>
              <w:pStyle w:val="TableText"/>
              <w:spacing w:before="141" w:line="188" w:lineRule="auto"/>
              <w:ind w:left="14"/>
              <w:rPr>
                <w:sz w:val="16"/>
                <w:szCs w:val="16"/>
              </w:rPr>
            </w:pPr>
            <w:r>
              <w:rPr>
                <w:color w:val="3E3E3F"/>
                <w:spacing w:val="-6"/>
                <w:sz w:val="16"/>
                <w:szCs w:val="16"/>
              </w:rPr>
              <w:t>图 3 联合国负责任银行原则（PRI)签署机构数量</w:t>
            </w:r>
          </w:p>
        </w:tc>
        <w:tc>
          <w:tcPr>
            <w:tcW w:w="721" w:type="dxa"/>
            <w:gridSpan w:val="3"/>
            <w:tcBorders>
              <w:top w:val="single" w:sz="2" w:space="0" w:color="EF6B2D"/>
              <w:bottom w:val="single" w:sz="2" w:space="0" w:color="EF6B2D"/>
            </w:tcBorders>
            <w:vAlign w:val="top"/>
          </w:tcPr>
          <w:p>
            <w:pPr>
              <w:pStyle w:val="TableText"/>
              <w:spacing w:before="155" w:line="169" w:lineRule="auto"/>
              <w:ind w:left="350"/>
              <w:rPr>
                <w:sz w:val="18"/>
                <w:szCs w:val="18"/>
              </w:rPr>
            </w:pPr>
            <w:r>
              <w:rPr>
                <w:b/>
                <w:bCs/>
                <w:color w:val="EF6B2D"/>
                <w:spacing w:val="-3"/>
                <w:sz w:val="18"/>
                <w:szCs w:val="18"/>
              </w:rPr>
              <w:t>07</w:t>
            </w:r>
          </w:p>
        </w:tc>
      </w:tr>
      <w:tr>
        <w:tblPrEx>
          <w:tblW w:w="4310" w:type="dxa"/>
          <w:tblInd w:w="11" w:type="dxa"/>
          <w:tblLayout w:type="fixed"/>
        </w:tblPrEx>
        <w:trPr>
          <w:trHeight w:val="471"/>
        </w:trPr>
        <w:tc>
          <w:tcPr>
            <w:tcW w:w="3589" w:type="dxa"/>
            <w:tcBorders>
              <w:top w:val="single" w:sz="2" w:space="0" w:color="EF6B2D"/>
              <w:bottom w:val="single" w:sz="2" w:space="0" w:color="EF6B2D"/>
            </w:tcBorders>
            <w:vAlign w:val="top"/>
          </w:tcPr>
          <w:p>
            <w:pPr>
              <w:pStyle w:val="TableText"/>
              <w:spacing w:before="145" w:line="175" w:lineRule="auto"/>
              <w:ind w:left="14"/>
              <w:rPr>
                <w:sz w:val="16"/>
                <w:szCs w:val="16"/>
              </w:rPr>
            </w:pPr>
            <w:r>
              <w:rPr>
                <w:color w:val="3E3E3F"/>
                <w:spacing w:val="-2"/>
                <w:sz w:val="16"/>
                <w:szCs w:val="16"/>
              </w:rPr>
              <w:t>图</w:t>
            </w:r>
            <w:r>
              <w:rPr>
                <w:color w:val="3E3E3F"/>
                <w:spacing w:val="-9"/>
                <w:sz w:val="16"/>
                <w:szCs w:val="16"/>
              </w:rPr>
              <w:t xml:space="preserve"> </w:t>
            </w:r>
            <w:r>
              <w:rPr>
                <w:color w:val="3E3E3F"/>
                <w:spacing w:val="-2"/>
                <w:sz w:val="16"/>
                <w:szCs w:val="16"/>
              </w:rPr>
              <w:t>4 证券交易所可持续金融相关活动进展</w:t>
            </w:r>
          </w:p>
        </w:tc>
        <w:tc>
          <w:tcPr>
            <w:tcW w:w="721" w:type="dxa"/>
            <w:gridSpan w:val="3"/>
            <w:tcBorders>
              <w:top w:val="single" w:sz="2" w:space="0" w:color="EF6B2D"/>
              <w:bottom w:val="single" w:sz="2" w:space="0" w:color="EF6B2D"/>
            </w:tcBorders>
            <w:vAlign w:val="top"/>
          </w:tcPr>
          <w:p>
            <w:pPr>
              <w:pStyle w:val="TableText"/>
              <w:spacing w:before="157" w:line="169" w:lineRule="auto"/>
              <w:ind w:left="350"/>
              <w:rPr>
                <w:sz w:val="18"/>
                <w:szCs w:val="18"/>
              </w:rPr>
            </w:pPr>
            <w:r>
              <w:rPr>
                <w:b/>
                <w:bCs/>
                <w:color w:val="EF6B2D"/>
                <w:spacing w:val="-3"/>
                <w:sz w:val="18"/>
                <w:szCs w:val="18"/>
              </w:rPr>
              <w:t>08</w:t>
            </w:r>
          </w:p>
        </w:tc>
      </w:tr>
      <w:tr>
        <w:tblPrEx>
          <w:tblW w:w="4310" w:type="dxa"/>
          <w:tblInd w:w="11" w:type="dxa"/>
          <w:tblLayout w:type="fixed"/>
        </w:tblPrEx>
        <w:trPr>
          <w:trHeight w:val="456"/>
        </w:trPr>
        <w:tc>
          <w:tcPr>
            <w:tcW w:w="3927" w:type="dxa"/>
            <w:gridSpan w:val="3"/>
            <w:tcBorders>
              <w:top w:val="single" w:sz="2" w:space="0" w:color="EF6B2D"/>
              <w:bottom w:val="single" w:sz="2" w:space="0" w:color="EF6B2D"/>
            </w:tcBorders>
            <w:vAlign w:val="top"/>
          </w:tcPr>
          <w:p>
            <w:pPr>
              <w:pStyle w:val="TableText"/>
              <w:spacing w:before="25" w:line="184" w:lineRule="auto"/>
              <w:ind w:left="5" w:right="20" w:firstLine="9"/>
              <w:rPr>
                <w:sz w:val="16"/>
                <w:szCs w:val="16"/>
              </w:rPr>
            </w:pPr>
            <w:r>
              <w:rPr>
                <w:color w:val="3E3E3F"/>
                <w:spacing w:val="-4"/>
                <w:sz w:val="16"/>
                <w:szCs w:val="16"/>
              </w:rPr>
              <w:t>图 5 2022-2023年上市公司和债券发行</w:t>
            </w:r>
            <w:r>
              <w:rPr>
                <w:color w:val="3E3E3F"/>
                <w:spacing w:val="-5"/>
                <w:sz w:val="16"/>
                <w:szCs w:val="16"/>
              </w:rPr>
              <w:t>人发布ESG报告的</w:t>
            </w:r>
            <w:r>
              <w:rPr>
                <w:color w:val="3E3E3F"/>
                <w:sz w:val="16"/>
                <w:szCs w:val="16"/>
              </w:rPr>
              <w:t xml:space="preserve"> </w:t>
            </w:r>
            <w:r>
              <w:rPr>
                <w:color w:val="3E3E3F"/>
                <w:spacing w:val="-2"/>
                <w:sz w:val="16"/>
                <w:szCs w:val="16"/>
              </w:rPr>
              <w:t>情况</w:t>
            </w:r>
          </w:p>
        </w:tc>
        <w:tc>
          <w:tcPr>
            <w:tcW w:w="383" w:type="dxa"/>
            <w:tcBorders>
              <w:top w:val="single" w:sz="2" w:space="0" w:color="EF6B2D"/>
              <w:bottom w:val="single" w:sz="2" w:space="0" w:color="EF6B2D"/>
            </w:tcBorders>
            <w:vAlign w:val="top"/>
          </w:tcPr>
          <w:p>
            <w:pPr>
              <w:pStyle w:val="TableText"/>
              <w:spacing w:before="157" w:line="169" w:lineRule="auto"/>
              <w:ind w:left="19"/>
              <w:rPr>
                <w:sz w:val="18"/>
                <w:szCs w:val="18"/>
              </w:rPr>
            </w:pPr>
            <w:r>
              <w:rPr>
                <w:b/>
                <w:bCs/>
                <w:color w:val="EF6B2D"/>
                <w:spacing w:val="-4"/>
                <w:sz w:val="18"/>
                <w:szCs w:val="18"/>
              </w:rPr>
              <w:t>12</w:t>
            </w:r>
          </w:p>
        </w:tc>
      </w:tr>
      <w:tr>
        <w:tblPrEx>
          <w:tblW w:w="4310" w:type="dxa"/>
          <w:tblInd w:w="11" w:type="dxa"/>
          <w:tblLayout w:type="fixed"/>
        </w:tblPrEx>
        <w:trPr>
          <w:trHeight w:val="476"/>
        </w:trPr>
        <w:tc>
          <w:tcPr>
            <w:tcW w:w="3589" w:type="dxa"/>
            <w:tcBorders>
              <w:top w:val="single" w:sz="2" w:space="0" w:color="EF6B2D"/>
              <w:bottom w:val="single" w:sz="2" w:space="0" w:color="EF6B2D"/>
            </w:tcBorders>
            <w:vAlign w:val="top"/>
          </w:tcPr>
          <w:p>
            <w:pPr>
              <w:pStyle w:val="TableText"/>
              <w:spacing w:before="156" w:line="177" w:lineRule="auto"/>
              <w:ind w:left="14"/>
              <w:rPr>
                <w:sz w:val="16"/>
                <w:szCs w:val="16"/>
              </w:rPr>
            </w:pPr>
            <w:r>
              <w:rPr>
                <w:color w:val="3E3E3F"/>
                <w:spacing w:val="-5"/>
                <w:sz w:val="16"/>
                <w:szCs w:val="16"/>
              </w:rPr>
              <w:t>图 6 2011-2023年A股上市公司</w:t>
            </w:r>
            <w:r>
              <w:rPr>
                <w:color w:val="3E3E3F"/>
                <w:spacing w:val="-6"/>
                <w:sz w:val="16"/>
                <w:szCs w:val="16"/>
              </w:rPr>
              <w:t>ESG报告发布情况</w:t>
            </w:r>
          </w:p>
        </w:tc>
        <w:tc>
          <w:tcPr>
            <w:tcW w:w="721" w:type="dxa"/>
            <w:gridSpan w:val="3"/>
            <w:tcBorders>
              <w:top w:val="single" w:sz="2" w:space="0" w:color="EF6B2D"/>
              <w:bottom w:val="single" w:sz="2" w:space="0" w:color="EF6B2D"/>
            </w:tcBorders>
            <w:vAlign w:val="top"/>
          </w:tcPr>
          <w:p>
            <w:pPr>
              <w:pStyle w:val="TableText"/>
              <w:spacing w:before="172" w:line="169" w:lineRule="auto"/>
              <w:ind w:left="357"/>
              <w:rPr>
                <w:sz w:val="18"/>
                <w:szCs w:val="18"/>
              </w:rPr>
            </w:pPr>
            <w:r>
              <w:rPr>
                <w:b/>
                <w:bCs/>
                <w:color w:val="EF6B2D"/>
                <w:spacing w:val="-4"/>
                <w:sz w:val="18"/>
                <w:szCs w:val="18"/>
              </w:rPr>
              <w:t>12</w:t>
            </w:r>
          </w:p>
        </w:tc>
      </w:tr>
      <w:tr>
        <w:tblPrEx>
          <w:tblW w:w="4310" w:type="dxa"/>
          <w:tblInd w:w="11" w:type="dxa"/>
          <w:tblLayout w:type="fixed"/>
        </w:tblPrEx>
        <w:trPr>
          <w:trHeight w:val="485"/>
        </w:trPr>
        <w:tc>
          <w:tcPr>
            <w:tcW w:w="4310" w:type="dxa"/>
            <w:gridSpan w:val="4"/>
            <w:tcBorders>
              <w:top w:val="single" w:sz="2" w:space="0" w:color="EF6B2D"/>
              <w:bottom w:val="single" w:sz="2" w:space="0" w:color="EF6B2D"/>
            </w:tcBorders>
            <w:vAlign w:val="top"/>
          </w:tcPr>
          <w:p>
            <w:pPr>
              <w:pStyle w:val="TableText"/>
              <w:spacing w:before="51" w:line="133" w:lineRule="exact"/>
              <w:ind w:left="14"/>
              <w:rPr>
                <w:sz w:val="16"/>
                <w:szCs w:val="16"/>
              </w:rPr>
            </w:pPr>
            <w:r>
              <w:rPr>
                <w:color w:val="3E3E3F"/>
                <w:spacing w:val="-4"/>
                <w:position w:val="-2"/>
                <w:sz w:val="16"/>
                <w:szCs w:val="16"/>
              </w:rPr>
              <w:t>图 7 2022-2023年上市公司和债券发行人披露温</w:t>
            </w:r>
            <w:r>
              <w:rPr>
                <w:color w:val="3E3E3F"/>
                <w:spacing w:val="-5"/>
                <w:position w:val="-2"/>
                <w:sz w:val="16"/>
                <w:szCs w:val="16"/>
              </w:rPr>
              <w:t>室气体排</w:t>
            </w:r>
          </w:p>
          <w:p>
            <w:pPr>
              <w:pStyle w:val="TableText"/>
              <w:spacing w:line="111" w:lineRule="exact"/>
              <w:ind w:left="3946"/>
              <w:rPr>
                <w:sz w:val="18"/>
                <w:szCs w:val="18"/>
              </w:rPr>
            </w:pPr>
            <w:r>
              <w:rPr>
                <w:b/>
                <w:bCs/>
                <w:color w:val="EF6B2D"/>
                <w:spacing w:val="-4"/>
                <w:position w:val="-3"/>
                <w:sz w:val="18"/>
                <w:szCs w:val="18"/>
              </w:rPr>
              <w:t>13</w:t>
            </w:r>
          </w:p>
          <w:p>
            <w:pPr>
              <w:pStyle w:val="TableText"/>
              <w:spacing w:line="179" w:lineRule="exact"/>
              <w:ind w:left="4"/>
              <w:rPr>
                <w:sz w:val="16"/>
                <w:szCs w:val="16"/>
              </w:rPr>
            </w:pPr>
            <w:r>
              <w:rPr>
                <w:color w:val="3E3E3F"/>
                <w:spacing w:val="-1"/>
                <w:sz w:val="16"/>
                <w:szCs w:val="16"/>
              </w:rPr>
              <w:t>放管理相关信息的情况</w:t>
            </w:r>
          </w:p>
        </w:tc>
      </w:tr>
      <w:tr>
        <w:tblPrEx>
          <w:tblW w:w="4310" w:type="dxa"/>
          <w:tblInd w:w="11" w:type="dxa"/>
          <w:tblLayout w:type="fixed"/>
        </w:tblPrEx>
        <w:trPr>
          <w:trHeight w:val="516"/>
        </w:trPr>
        <w:tc>
          <w:tcPr>
            <w:tcW w:w="4310" w:type="dxa"/>
            <w:gridSpan w:val="4"/>
            <w:tcBorders>
              <w:top w:val="single" w:sz="2" w:space="0" w:color="EF6B2D"/>
              <w:bottom w:val="single" w:sz="2" w:space="0" w:color="EF6B2D"/>
            </w:tcBorders>
            <w:vAlign w:val="top"/>
          </w:tcPr>
          <w:p>
            <w:pPr>
              <w:pStyle w:val="TableText"/>
              <w:spacing w:before="53" w:line="149" w:lineRule="exact"/>
              <w:ind w:left="14"/>
              <w:rPr>
                <w:sz w:val="16"/>
                <w:szCs w:val="16"/>
              </w:rPr>
            </w:pPr>
            <w:r>
              <w:pict>
                <v:shape id="_x0000_s1077" type="#_x0000_t202" style="width:12.35pt;height:8.85pt;margin-top:6.71pt;margin-left:196.32pt;position:absolute;z-index:251714560" filled="f" stroked="f">
                  <o:lock v:ext="edit" aspectratio="f"/>
                  <v:textbox inset="0,0,0,0">
                    <w:txbxContent>
                      <w:p>
                        <w:pPr>
                          <w:pStyle w:val="TableText"/>
                          <w:spacing w:before="20" w:line="136" w:lineRule="exact"/>
                          <w:ind w:left="20"/>
                          <w:rPr>
                            <w:sz w:val="18"/>
                            <w:szCs w:val="18"/>
                          </w:rPr>
                        </w:pPr>
                        <w:r>
                          <w:rPr>
                            <w:b/>
                            <w:bCs/>
                            <w:color w:val="EF6B2D"/>
                            <w:spacing w:val="-4"/>
                            <w:position w:val="-3"/>
                            <w:sz w:val="18"/>
                            <w:szCs w:val="18"/>
                          </w:rPr>
                          <w:t>13</w:t>
                        </w:r>
                      </w:p>
                    </w:txbxContent>
                  </v:textbox>
                </v:shape>
              </w:pict>
            </w:r>
            <w:r>
              <w:rPr>
                <w:color w:val="3E3E3F"/>
                <w:spacing w:val="-4"/>
                <w:position w:val="-1"/>
                <w:sz w:val="16"/>
                <w:szCs w:val="16"/>
              </w:rPr>
              <w:t>图 8 2022-2023年上市公司和债券发行人披露温</w:t>
            </w:r>
            <w:r>
              <w:rPr>
                <w:color w:val="3E3E3F"/>
                <w:spacing w:val="-5"/>
                <w:position w:val="-1"/>
                <w:sz w:val="16"/>
                <w:szCs w:val="16"/>
              </w:rPr>
              <w:t>室气体排</w:t>
            </w:r>
          </w:p>
          <w:p>
            <w:pPr>
              <w:pStyle w:val="TableText"/>
              <w:spacing w:before="86" w:line="189" w:lineRule="auto"/>
              <w:ind w:left="4"/>
              <w:rPr>
                <w:sz w:val="16"/>
                <w:szCs w:val="16"/>
              </w:rPr>
            </w:pPr>
            <w:r>
              <w:rPr>
                <w:color w:val="3E3E3F"/>
                <w:spacing w:val="-2"/>
                <w:sz w:val="16"/>
                <w:szCs w:val="16"/>
              </w:rPr>
              <w:t>放量/减排量的情况</w:t>
            </w:r>
          </w:p>
        </w:tc>
      </w:tr>
      <w:tr>
        <w:tblPrEx>
          <w:tblW w:w="4310" w:type="dxa"/>
          <w:tblInd w:w="11" w:type="dxa"/>
          <w:tblLayout w:type="fixed"/>
        </w:tblPrEx>
        <w:trPr>
          <w:trHeight w:val="441"/>
        </w:trPr>
        <w:tc>
          <w:tcPr>
            <w:tcW w:w="4310" w:type="dxa"/>
            <w:gridSpan w:val="4"/>
            <w:tcBorders>
              <w:top w:val="single" w:sz="2" w:space="0" w:color="EF6B2D"/>
              <w:bottom w:val="single" w:sz="2" w:space="0" w:color="EF6B2D"/>
            </w:tcBorders>
            <w:vAlign w:val="top"/>
          </w:tcPr>
          <w:p>
            <w:pPr>
              <w:pStyle w:val="TableText"/>
              <w:spacing w:before="112" w:line="164" w:lineRule="auto"/>
              <w:ind w:left="14"/>
              <w:rPr>
                <w:sz w:val="18"/>
                <w:szCs w:val="18"/>
              </w:rPr>
            </w:pPr>
            <w:r>
              <w:rPr>
                <w:color w:val="3E3E3F"/>
                <w:spacing w:val="-2"/>
                <w:sz w:val="16"/>
                <w:szCs w:val="16"/>
              </w:rPr>
              <w:t>图 9 2023年上市公司和债券发行人的ESG评级分布</w:t>
            </w:r>
            <w:r>
              <w:rPr>
                <w:color w:val="3E3E3F"/>
                <w:spacing w:val="-3"/>
                <w:sz w:val="16"/>
                <w:szCs w:val="16"/>
              </w:rPr>
              <w:t xml:space="preserve">         </w:t>
            </w:r>
            <w:r>
              <w:rPr>
                <w:b/>
                <w:bCs/>
                <w:color w:val="EF6B2D"/>
                <w:spacing w:val="-3"/>
                <w:position w:val="1"/>
                <w:sz w:val="18"/>
                <w:szCs w:val="18"/>
              </w:rPr>
              <w:t>14</w:t>
            </w:r>
          </w:p>
        </w:tc>
      </w:tr>
      <w:tr>
        <w:tblPrEx>
          <w:tblW w:w="4310" w:type="dxa"/>
          <w:tblInd w:w="11" w:type="dxa"/>
          <w:tblLayout w:type="fixed"/>
        </w:tblPrEx>
        <w:trPr>
          <w:trHeight w:val="441"/>
        </w:trPr>
        <w:tc>
          <w:tcPr>
            <w:tcW w:w="4310" w:type="dxa"/>
            <w:gridSpan w:val="4"/>
            <w:tcBorders>
              <w:top w:val="single" w:sz="2" w:space="0" w:color="EF6B2D"/>
              <w:bottom w:val="single" w:sz="2" w:space="0" w:color="EF6B2D"/>
            </w:tcBorders>
            <w:vAlign w:val="top"/>
          </w:tcPr>
          <w:p>
            <w:pPr>
              <w:pStyle w:val="TableText"/>
              <w:spacing w:before="139" w:line="167" w:lineRule="auto"/>
              <w:ind w:left="14"/>
              <w:rPr>
                <w:sz w:val="18"/>
                <w:szCs w:val="18"/>
              </w:rPr>
            </w:pPr>
            <w:r>
              <w:rPr>
                <w:color w:val="3E3E3F"/>
                <w:spacing w:val="-4"/>
                <w:sz w:val="16"/>
                <w:szCs w:val="16"/>
              </w:rPr>
              <w:t>图 10 公募基金、保险资管和银行理财责任</w:t>
            </w:r>
            <w:r>
              <w:rPr>
                <w:color w:val="3E3E3F"/>
                <w:spacing w:val="-5"/>
                <w:sz w:val="16"/>
                <w:szCs w:val="16"/>
              </w:rPr>
              <w:t xml:space="preserve">投资发展水平  </w:t>
            </w:r>
            <w:r>
              <w:rPr>
                <w:b/>
                <w:bCs/>
                <w:color w:val="EF6B2D"/>
                <w:spacing w:val="-5"/>
                <w:position w:val="1"/>
                <w:sz w:val="18"/>
                <w:szCs w:val="18"/>
              </w:rPr>
              <w:t>16</w:t>
            </w:r>
          </w:p>
        </w:tc>
      </w:tr>
      <w:tr>
        <w:tblPrEx>
          <w:tblW w:w="4310" w:type="dxa"/>
          <w:tblInd w:w="11" w:type="dxa"/>
          <w:tblLayout w:type="fixed"/>
        </w:tblPrEx>
        <w:trPr>
          <w:trHeight w:val="477"/>
        </w:trPr>
        <w:tc>
          <w:tcPr>
            <w:tcW w:w="4310" w:type="dxa"/>
            <w:gridSpan w:val="4"/>
            <w:tcBorders>
              <w:top w:val="single" w:sz="2" w:space="0" w:color="EF6B2D"/>
              <w:bottom w:val="single" w:sz="2" w:space="0" w:color="EF6B2D"/>
            </w:tcBorders>
            <w:vAlign w:val="top"/>
          </w:tcPr>
          <w:p>
            <w:pPr>
              <w:pStyle w:val="TableText"/>
              <w:spacing w:before="171" w:line="165" w:lineRule="auto"/>
              <w:ind w:left="14"/>
              <w:rPr>
                <w:sz w:val="18"/>
                <w:szCs w:val="18"/>
              </w:rPr>
            </w:pPr>
            <w:r>
              <w:rPr>
                <w:color w:val="3E3E3F"/>
                <w:spacing w:val="-3"/>
                <w:sz w:val="16"/>
                <w:szCs w:val="16"/>
              </w:rPr>
              <w:t xml:space="preserve">图 11 开展ESG投资实践的109家公募基金公司的情况      </w:t>
            </w:r>
            <w:r>
              <w:rPr>
                <w:b/>
                <w:bCs/>
                <w:color w:val="EF6B2D"/>
                <w:spacing w:val="-3"/>
                <w:position w:val="1"/>
                <w:sz w:val="18"/>
                <w:szCs w:val="18"/>
              </w:rPr>
              <w:t>17</w:t>
            </w:r>
          </w:p>
        </w:tc>
      </w:tr>
      <w:tr>
        <w:tblPrEx>
          <w:tblW w:w="4310" w:type="dxa"/>
          <w:tblInd w:w="11" w:type="dxa"/>
          <w:tblLayout w:type="fixed"/>
        </w:tblPrEx>
        <w:trPr>
          <w:trHeight w:val="473"/>
        </w:trPr>
        <w:tc>
          <w:tcPr>
            <w:tcW w:w="4310" w:type="dxa"/>
            <w:gridSpan w:val="4"/>
            <w:tcBorders>
              <w:top w:val="single" w:sz="2" w:space="0" w:color="EF6B2D"/>
              <w:bottom w:val="single" w:sz="2" w:space="0" w:color="EF6B2D"/>
            </w:tcBorders>
            <w:vAlign w:val="top"/>
          </w:tcPr>
          <w:p>
            <w:pPr>
              <w:pStyle w:val="TableText"/>
              <w:spacing w:before="162" w:line="167" w:lineRule="auto"/>
              <w:ind w:left="14"/>
              <w:rPr>
                <w:sz w:val="18"/>
                <w:szCs w:val="18"/>
              </w:rPr>
            </w:pPr>
            <w:r>
              <w:rPr>
                <w:color w:val="3E3E3F"/>
                <w:spacing w:val="-2"/>
                <w:sz w:val="16"/>
                <w:szCs w:val="16"/>
              </w:rPr>
              <w:t>图 12 已开展ESG投资实践的27家保险资管公司的</w:t>
            </w:r>
            <w:r>
              <w:rPr>
                <w:color w:val="3E3E3F"/>
                <w:spacing w:val="-3"/>
                <w:sz w:val="16"/>
                <w:szCs w:val="16"/>
              </w:rPr>
              <w:t xml:space="preserve">情况    </w:t>
            </w:r>
            <w:r>
              <w:rPr>
                <w:b/>
                <w:bCs/>
                <w:color w:val="EF6B2D"/>
                <w:spacing w:val="-3"/>
                <w:position w:val="1"/>
                <w:sz w:val="18"/>
                <w:szCs w:val="18"/>
              </w:rPr>
              <w:t>18</w:t>
            </w:r>
          </w:p>
        </w:tc>
      </w:tr>
      <w:tr>
        <w:tblPrEx>
          <w:tblW w:w="4310" w:type="dxa"/>
          <w:tblInd w:w="11" w:type="dxa"/>
          <w:tblLayout w:type="fixed"/>
        </w:tblPrEx>
        <w:trPr>
          <w:trHeight w:val="477"/>
        </w:trPr>
        <w:tc>
          <w:tcPr>
            <w:tcW w:w="4310" w:type="dxa"/>
            <w:gridSpan w:val="4"/>
            <w:tcBorders>
              <w:top w:val="single" w:sz="2" w:space="0" w:color="EF6B2D"/>
              <w:bottom w:val="single" w:sz="2" w:space="0" w:color="EF6B2D"/>
            </w:tcBorders>
            <w:vAlign w:val="top"/>
          </w:tcPr>
          <w:p>
            <w:pPr>
              <w:pStyle w:val="TableText"/>
              <w:spacing w:before="160" w:line="175" w:lineRule="auto"/>
              <w:ind w:left="14"/>
              <w:rPr>
                <w:sz w:val="18"/>
                <w:szCs w:val="18"/>
              </w:rPr>
            </w:pPr>
            <w:r>
              <w:rPr>
                <w:color w:val="3E3E3F"/>
                <w:spacing w:val="-2"/>
                <w:sz w:val="16"/>
                <w:szCs w:val="16"/>
              </w:rPr>
              <w:t>图 13 已开展ESG投资实践的26家银行理财子公司的情况</w:t>
            </w:r>
            <w:r>
              <w:rPr>
                <w:b/>
                <w:bCs/>
                <w:color w:val="EF6B2D"/>
                <w:spacing w:val="-2"/>
                <w:sz w:val="18"/>
                <w:szCs w:val="18"/>
              </w:rPr>
              <w:t>19</w:t>
            </w:r>
          </w:p>
        </w:tc>
      </w:tr>
      <w:tr>
        <w:tblPrEx>
          <w:tblW w:w="4310" w:type="dxa"/>
          <w:tblInd w:w="11" w:type="dxa"/>
          <w:tblLayout w:type="fixed"/>
        </w:tblPrEx>
        <w:trPr>
          <w:trHeight w:val="457"/>
        </w:trPr>
        <w:tc>
          <w:tcPr>
            <w:tcW w:w="4310" w:type="dxa"/>
            <w:gridSpan w:val="4"/>
            <w:tcBorders>
              <w:top w:val="single" w:sz="2" w:space="0" w:color="EF6B2D"/>
              <w:bottom w:val="single" w:sz="2" w:space="0" w:color="EF6B2D"/>
            </w:tcBorders>
            <w:vAlign w:val="top"/>
          </w:tcPr>
          <w:p>
            <w:pPr>
              <w:pStyle w:val="TableText"/>
              <w:spacing w:before="49" w:line="150" w:lineRule="exact"/>
              <w:ind w:left="14"/>
              <w:rPr>
                <w:sz w:val="16"/>
                <w:szCs w:val="16"/>
              </w:rPr>
            </w:pPr>
            <w:r>
              <w:pict>
                <v:shape id="_x0000_s1078" type="#_x0000_t202" style="width:12.8pt;height:8.85pt;margin-top:6.75pt;margin-left:195.9pt;position:absolute;z-index:251715584" filled="f" stroked="f">
                  <o:lock v:ext="edit" aspectratio="f"/>
                  <v:textbox inset="0,0,0,0">
                    <w:txbxContent>
                      <w:p>
                        <w:pPr>
                          <w:pStyle w:val="TableText"/>
                          <w:spacing w:before="20" w:line="136" w:lineRule="exact"/>
                          <w:ind w:left="20"/>
                          <w:rPr>
                            <w:sz w:val="18"/>
                            <w:szCs w:val="18"/>
                          </w:rPr>
                        </w:pPr>
                        <w:r>
                          <w:rPr>
                            <w:b/>
                            <w:bCs/>
                            <w:color w:val="EF6B2D"/>
                            <w:spacing w:val="-2"/>
                            <w:position w:val="-3"/>
                            <w:sz w:val="18"/>
                            <w:szCs w:val="18"/>
                          </w:rPr>
                          <w:t>20</w:t>
                        </w:r>
                      </w:p>
                    </w:txbxContent>
                  </v:textbox>
                </v:shape>
              </w:pict>
            </w:r>
            <w:r>
              <w:rPr>
                <w:color w:val="3E3E3F"/>
                <w:spacing w:val="-3"/>
                <w:position w:val="-1"/>
                <w:sz w:val="16"/>
                <w:szCs w:val="16"/>
              </w:rPr>
              <w:t>图 14 基于公募基金2023年中报持仓的基金ESG</w:t>
            </w:r>
            <w:r>
              <w:rPr>
                <w:color w:val="3E3E3F"/>
                <w:spacing w:val="-4"/>
                <w:position w:val="-1"/>
                <w:sz w:val="16"/>
                <w:szCs w:val="16"/>
              </w:rPr>
              <w:t>评分分布</w:t>
            </w:r>
          </w:p>
          <w:p>
            <w:pPr>
              <w:pStyle w:val="TableText"/>
              <w:spacing w:before="87" w:line="160" w:lineRule="exact"/>
              <w:ind w:left="5"/>
              <w:rPr>
                <w:sz w:val="16"/>
                <w:szCs w:val="16"/>
              </w:rPr>
            </w:pPr>
            <w:r>
              <w:rPr>
                <w:color w:val="3E3E3F"/>
                <w:spacing w:val="-2"/>
                <w:position w:val="-1"/>
                <w:sz w:val="16"/>
                <w:szCs w:val="16"/>
              </w:rPr>
              <w:t>情况</w:t>
            </w:r>
          </w:p>
        </w:tc>
      </w:tr>
      <w:tr>
        <w:tblPrEx>
          <w:tblW w:w="4310" w:type="dxa"/>
          <w:tblInd w:w="11" w:type="dxa"/>
          <w:tblLayout w:type="fixed"/>
        </w:tblPrEx>
        <w:trPr>
          <w:trHeight w:val="477"/>
        </w:trPr>
        <w:tc>
          <w:tcPr>
            <w:tcW w:w="4310" w:type="dxa"/>
            <w:gridSpan w:val="4"/>
            <w:tcBorders>
              <w:top w:val="single" w:sz="2" w:space="0" w:color="EF6B2D"/>
              <w:bottom w:val="single" w:sz="2" w:space="0" w:color="EF6B2D"/>
            </w:tcBorders>
            <w:vAlign w:val="top"/>
          </w:tcPr>
          <w:p>
            <w:pPr>
              <w:pStyle w:val="TableText"/>
              <w:spacing w:before="160" w:line="173" w:lineRule="auto"/>
              <w:ind w:left="14"/>
              <w:rPr>
                <w:sz w:val="18"/>
                <w:szCs w:val="18"/>
              </w:rPr>
            </w:pPr>
            <w:r>
              <w:rPr>
                <w:color w:val="3E3E3F"/>
                <w:spacing w:val="-3"/>
                <w:sz w:val="16"/>
                <w:szCs w:val="16"/>
              </w:rPr>
              <w:t>图 15 基于基金持仓的基金碳强度分布情况 (2023Q2)</w:t>
            </w:r>
            <w:r>
              <w:rPr>
                <w:color w:val="3E3E3F"/>
                <w:spacing w:val="-4"/>
                <w:sz w:val="16"/>
                <w:szCs w:val="16"/>
              </w:rPr>
              <w:t xml:space="preserve">      </w:t>
            </w:r>
            <w:r>
              <w:rPr>
                <w:b/>
                <w:bCs/>
                <w:color w:val="EF6B2D"/>
                <w:spacing w:val="-4"/>
                <w:sz w:val="18"/>
                <w:szCs w:val="18"/>
              </w:rPr>
              <w:t>22</w:t>
            </w:r>
          </w:p>
        </w:tc>
      </w:tr>
      <w:tr>
        <w:tblPrEx>
          <w:tblW w:w="4310" w:type="dxa"/>
          <w:tblInd w:w="11" w:type="dxa"/>
          <w:tblLayout w:type="fixed"/>
        </w:tblPrEx>
        <w:trPr>
          <w:trHeight w:val="467"/>
        </w:trPr>
        <w:tc>
          <w:tcPr>
            <w:tcW w:w="3589" w:type="dxa"/>
            <w:tcBorders>
              <w:top w:val="single" w:sz="2" w:space="0" w:color="EF6B2D"/>
              <w:bottom w:val="single" w:sz="2" w:space="0" w:color="EF6B2D"/>
            </w:tcBorders>
            <w:vAlign w:val="top"/>
          </w:tcPr>
          <w:p>
            <w:pPr>
              <w:pStyle w:val="TableText"/>
              <w:spacing w:before="154" w:line="175" w:lineRule="auto"/>
              <w:ind w:left="14"/>
              <w:rPr>
                <w:sz w:val="16"/>
                <w:szCs w:val="16"/>
              </w:rPr>
            </w:pPr>
            <w:r>
              <w:rPr>
                <w:color w:val="3E3E3F"/>
                <w:spacing w:val="-5"/>
                <w:sz w:val="16"/>
                <w:szCs w:val="16"/>
              </w:rPr>
              <w:t>图 16 基金的转型风险评分-2023年</w:t>
            </w:r>
          </w:p>
        </w:tc>
        <w:tc>
          <w:tcPr>
            <w:tcW w:w="721" w:type="dxa"/>
            <w:gridSpan w:val="3"/>
            <w:tcBorders>
              <w:top w:val="single" w:sz="2" w:space="0" w:color="EF6B2D"/>
              <w:bottom w:val="single" w:sz="2" w:space="0" w:color="EF6B2D"/>
            </w:tcBorders>
            <w:vAlign w:val="top"/>
          </w:tcPr>
          <w:p>
            <w:pPr>
              <w:pStyle w:val="TableText"/>
              <w:spacing w:before="162" w:line="169" w:lineRule="auto"/>
              <w:ind w:left="348"/>
              <w:rPr>
                <w:sz w:val="18"/>
                <w:szCs w:val="18"/>
              </w:rPr>
            </w:pPr>
            <w:r>
              <w:rPr>
                <w:b/>
                <w:bCs/>
                <w:color w:val="EF6B2D"/>
                <w:spacing w:val="-2"/>
                <w:sz w:val="18"/>
                <w:szCs w:val="18"/>
              </w:rPr>
              <w:t>23</w:t>
            </w:r>
          </w:p>
        </w:tc>
      </w:tr>
      <w:tr>
        <w:tblPrEx>
          <w:tblW w:w="4310" w:type="dxa"/>
          <w:tblInd w:w="11" w:type="dxa"/>
          <w:tblLayout w:type="fixed"/>
        </w:tblPrEx>
        <w:trPr>
          <w:trHeight w:val="472"/>
        </w:trPr>
        <w:tc>
          <w:tcPr>
            <w:tcW w:w="3589" w:type="dxa"/>
            <w:tcBorders>
              <w:top w:val="single" w:sz="2" w:space="0" w:color="EF6B2D"/>
              <w:bottom w:val="single" w:sz="2" w:space="0" w:color="EF6B2D"/>
            </w:tcBorders>
            <w:vAlign w:val="top"/>
          </w:tcPr>
          <w:p>
            <w:pPr>
              <w:pStyle w:val="TableText"/>
              <w:spacing w:before="159" w:line="173" w:lineRule="auto"/>
              <w:ind w:left="14"/>
              <w:rPr>
                <w:sz w:val="16"/>
                <w:szCs w:val="16"/>
              </w:rPr>
            </w:pPr>
            <w:r>
              <w:rPr>
                <w:color w:val="3E3E3F"/>
                <w:spacing w:val="-5"/>
                <w:sz w:val="16"/>
                <w:szCs w:val="16"/>
              </w:rPr>
              <w:t>图 17 A股ESG指数增长情况</w:t>
            </w:r>
          </w:p>
        </w:tc>
        <w:tc>
          <w:tcPr>
            <w:tcW w:w="721" w:type="dxa"/>
            <w:gridSpan w:val="3"/>
            <w:tcBorders>
              <w:top w:val="single" w:sz="2" w:space="0" w:color="EF6B2D"/>
              <w:bottom w:val="single" w:sz="2" w:space="0" w:color="EF6B2D"/>
            </w:tcBorders>
            <w:vAlign w:val="top"/>
          </w:tcPr>
          <w:p>
            <w:pPr>
              <w:pStyle w:val="TableText"/>
              <w:spacing w:before="166" w:line="169" w:lineRule="auto"/>
              <w:ind w:left="348"/>
              <w:rPr>
                <w:sz w:val="18"/>
                <w:szCs w:val="18"/>
              </w:rPr>
            </w:pPr>
            <w:r>
              <w:rPr>
                <w:b/>
                <w:bCs/>
                <w:color w:val="EF6B2D"/>
                <w:spacing w:val="-2"/>
                <w:sz w:val="18"/>
                <w:szCs w:val="18"/>
              </w:rPr>
              <w:t>26</w:t>
            </w:r>
          </w:p>
        </w:tc>
      </w:tr>
      <w:tr>
        <w:tblPrEx>
          <w:tblW w:w="4310" w:type="dxa"/>
          <w:tblInd w:w="11" w:type="dxa"/>
          <w:tblLayout w:type="fixed"/>
        </w:tblPrEx>
        <w:trPr>
          <w:trHeight w:val="472"/>
        </w:trPr>
        <w:tc>
          <w:tcPr>
            <w:tcW w:w="4310" w:type="dxa"/>
            <w:gridSpan w:val="4"/>
            <w:tcBorders>
              <w:top w:val="single" w:sz="2" w:space="0" w:color="EF6B2D"/>
              <w:bottom w:val="single" w:sz="2" w:space="0" w:color="EF6B2D"/>
            </w:tcBorders>
            <w:vAlign w:val="top"/>
          </w:tcPr>
          <w:p>
            <w:pPr>
              <w:pStyle w:val="TableText"/>
              <w:spacing w:before="156" w:line="162" w:lineRule="auto"/>
              <w:ind w:left="14"/>
              <w:rPr>
                <w:sz w:val="18"/>
                <w:szCs w:val="18"/>
              </w:rPr>
            </w:pPr>
            <w:r>
              <w:rPr>
                <w:color w:val="3E3E3F"/>
                <w:spacing w:val="-5"/>
                <w:sz w:val="16"/>
                <w:szCs w:val="16"/>
              </w:rPr>
              <w:t>图 18 优选类、主题类和剔除类ESG指数年化收益率比较</w:t>
            </w:r>
            <w:r>
              <w:rPr>
                <w:color w:val="3E3E3F"/>
                <w:spacing w:val="16"/>
                <w:sz w:val="16"/>
                <w:szCs w:val="16"/>
              </w:rPr>
              <w:t xml:space="preserve">  </w:t>
            </w:r>
            <w:r>
              <w:rPr>
                <w:b/>
                <w:bCs/>
                <w:color w:val="EF6B2D"/>
                <w:spacing w:val="-5"/>
                <w:sz w:val="18"/>
                <w:szCs w:val="18"/>
              </w:rPr>
              <w:t>26</w:t>
            </w:r>
          </w:p>
        </w:tc>
      </w:tr>
      <w:tr>
        <w:tblPrEx>
          <w:tblW w:w="4310" w:type="dxa"/>
          <w:tblInd w:w="11" w:type="dxa"/>
          <w:tblLayout w:type="fixed"/>
        </w:tblPrEx>
        <w:trPr>
          <w:trHeight w:val="471"/>
        </w:trPr>
        <w:tc>
          <w:tcPr>
            <w:tcW w:w="4310" w:type="dxa"/>
            <w:gridSpan w:val="4"/>
            <w:tcBorders>
              <w:top w:val="single" w:sz="2" w:space="0" w:color="EF6B2D"/>
              <w:bottom w:val="single" w:sz="2" w:space="0" w:color="EF6B2D"/>
            </w:tcBorders>
            <w:vAlign w:val="top"/>
          </w:tcPr>
          <w:p>
            <w:pPr>
              <w:pStyle w:val="TableText"/>
              <w:spacing w:before="155" w:line="162" w:lineRule="auto"/>
              <w:ind w:left="14"/>
              <w:rPr>
                <w:sz w:val="18"/>
                <w:szCs w:val="18"/>
              </w:rPr>
            </w:pPr>
            <w:r>
              <w:rPr>
                <w:color w:val="3E3E3F"/>
                <w:spacing w:val="-4"/>
                <w:sz w:val="16"/>
                <w:szCs w:val="16"/>
              </w:rPr>
              <w:t xml:space="preserve">图 19 优选类、主题类和剔除类ESG指数夏普比率比较 </w:t>
            </w:r>
            <w:r>
              <w:rPr>
                <w:color w:val="3E3E3F"/>
                <w:spacing w:val="-5"/>
                <w:sz w:val="16"/>
                <w:szCs w:val="16"/>
              </w:rPr>
              <w:t xml:space="preserve">     </w:t>
            </w:r>
            <w:r>
              <w:rPr>
                <w:b/>
                <w:bCs/>
                <w:color w:val="EF6B2D"/>
                <w:spacing w:val="-5"/>
                <w:sz w:val="18"/>
                <w:szCs w:val="18"/>
              </w:rPr>
              <w:t>26</w:t>
            </w:r>
          </w:p>
        </w:tc>
      </w:tr>
      <w:tr>
        <w:tblPrEx>
          <w:tblW w:w="4310" w:type="dxa"/>
          <w:tblInd w:w="11" w:type="dxa"/>
          <w:tblLayout w:type="fixed"/>
        </w:tblPrEx>
        <w:trPr>
          <w:trHeight w:val="471"/>
        </w:trPr>
        <w:tc>
          <w:tcPr>
            <w:tcW w:w="3846" w:type="dxa"/>
            <w:gridSpan w:val="2"/>
            <w:tcBorders>
              <w:top w:val="single" w:sz="2" w:space="0" w:color="EF6B2D"/>
              <w:bottom w:val="single" w:sz="2" w:space="0" w:color="EF6B2D"/>
            </w:tcBorders>
            <w:vAlign w:val="top"/>
          </w:tcPr>
          <w:p>
            <w:pPr>
              <w:pStyle w:val="TableText"/>
              <w:spacing w:before="156" w:line="174" w:lineRule="auto"/>
              <w:ind w:left="14"/>
              <w:rPr>
                <w:sz w:val="16"/>
                <w:szCs w:val="16"/>
              </w:rPr>
            </w:pPr>
            <w:r>
              <w:rPr>
                <w:color w:val="3E3E3F"/>
                <w:spacing w:val="-4"/>
                <w:sz w:val="16"/>
                <w:szCs w:val="16"/>
              </w:rPr>
              <w:t>图 20 沪深300ESG单因子择优策略指数表现</w:t>
            </w:r>
          </w:p>
        </w:tc>
        <w:tc>
          <w:tcPr>
            <w:tcW w:w="464" w:type="dxa"/>
            <w:gridSpan w:val="2"/>
            <w:tcBorders>
              <w:top w:val="single" w:sz="2" w:space="0" w:color="EF6B2D"/>
              <w:bottom w:val="single" w:sz="2" w:space="0" w:color="EF6B2D"/>
            </w:tcBorders>
            <w:vAlign w:val="top"/>
          </w:tcPr>
          <w:p>
            <w:pPr>
              <w:pStyle w:val="TableText"/>
              <w:spacing w:before="164" w:line="169" w:lineRule="auto"/>
              <w:ind w:left="91"/>
              <w:rPr>
                <w:sz w:val="18"/>
                <w:szCs w:val="18"/>
              </w:rPr>
            </w:pPr>
            <w:r>
              <w:rPr>
                <w:b/>
                <w:bCs/>
                <w:color w:val="EF6B2D"/>
                <w:spacing w:val="-2"/>
                <w:sz w:val="18"/>
                <w:szCs w:val="18"/>
              </w:rPr>
              <w:t>27</w:t>
            </w:r>
          </w:p>
        </w:tc>
      </w:tr>
      <w:tr>
        <w:tblPrEx>
          <w:tblW w:w="4310" w:type="dxa"/>
          <w:tblInd w:w="11" w:type="dxa"/>
          <w:tblLayout w:type="fixed"/>
        </w:tblPrEx>
        <w:trPr>
          <w:trHeight w:val="461"/>
        </w:trPr>
        <w:tc>
          <w:tcPr>
            <w:tcW w:w="3846" w:type="dxa"/>
            <w:gridSpan w:val="2"/>
            <w:tcBorders>
              <w:top w:val="single" w:sz="2" w:space="0" w:color="EF6B2D"/>
              <w:bottom w:val="single" w:sz="2" w:space="0" w:color="EF6B2D"/>
            </w:tcBorders>
            <w:vAlign w:val="top"/>
          </w:tcPr>
          <w:p>
            <w:pPr>
              <w:pStyle w:val="TableText"/>
              <w:spacing w:before="156" w:line="174" w:lineRule="auto"/>
              <w:ind w:left="14"/>
              <w:rPr>
                <w:sz w:val="16"/>
                <w:szCs w:val="16"/>
              </w:rPr>
            </w:pPr>
            <w:r>
              <w:rPr>
                <w:color w:val="3E3E3F"/>
                <w:spacing w:val="-4"/>
                <w:sz w:val="16"/>
                <w:szCs w:val="16"/>
              </w:rPr>
              <w:t>图 21 中证500ESG单因子择优策略指数表现</w:t>
            </w:r>
          </w:p>
        </w:tc>
        <w:tc>
          <w:tcPr>
            <w:tcW w:w="464" w:type="dxa"/>
            <w:gridSpan w:val="2"/>
            <w:tcBorders>
              <w:top w:val="single" w:sz="2" w:space="0" w:color="EF6B2D"/>
              <w:bottom w:val="single" w:sz="2" w:space="0" w:color="EF6B2D"/>
            </w:tcBorders>
            <w:vAlign w:val="top"/>
          </w:tcPr>
          <w:p>
            <w:pPr>
              <w:pStyle w:val="TableText"/>
              <w:spacing w:before="164" w:line="169" w:lineRule="auto"/>
              <w:ind w:left="91"/>
              <w:rPr>
                <w:sz w:val="18"/>
                <w:szCs w:val="18"/>
              </w:rPr>
            </w:pPr>
            <w:r>
              <w:rPr>
                <w:b/>
                <w:bCs/>
                <w:color w:val="EF6B2D"/>
                <w:spacing w:val="-2"/>
                <w:sz w:val="18"/>
                <w:szCs w:val="18"/>
              </w:rPr>
              <w:t>28</w:t>
            </w:r>
          </w:p>
        </w:tc>
      </w:tr>
      <w:tr>
        <w:tblPrEx>
          <w:tblW w:w="4310" w:type="dxa"/>
          <w:tblInd w:w="11" w:type="dxa"/>
          <w:tblLayout w:type="fixed"/>
        </w:tblPrEx>
        <w:trPr>
          <w:trHeight w:val="491"/>
        </w:trPr>
        <w:tc>
          <w:tcPr>
            <w:tcW w:w="3846" w:type="dxa"/>
            <w:gridSpan w:val="2"/>
            <w:tcBorders>
              <w:top w:val="single" w:sz="2" w:space="0" w:color="EF6B2D"/>
              <w:bottom w:val="single" w:sz="2" w:space="0" w:color="EF6B2D"/>
            </w:tcBorders>
            <w:vAlign w:val="top"/>
          </w:tcPr>
          <w:p>
            <w:pPr>
              <w:pStyle w:val="TableText"/>
              <w:spacing w:before="166" w:line="174" w:lineRule="auto"/>
              <w:ind w:left="14"/>
              <w:rPr>
                <w:sz w:val="16"/>
                <w:szCs w:val="16"/>
              </w:rPr>
            </w:pPr>
            <w:r>
              <w:rPr>
                <w:color w:val="3E3E3F"/>
                <w:spacing w:val="-4"/>
                <w:sz w:val="16"/>
                <w:szCs w:val="16"/>
              </w:rPr>
              <w:t>图 22 ESG基金数量和规模增长情况</w:t>
            </w:r>
          </w:p>
        </w:tc>
        <w:tc>
          <w:tcPr>
            <w:tcW w:w="464" w:type="dxa"/>
            <w:gridSpan w:val="2"/>
            <w:tcBorders>
              <w:top w:val="single" w:sz="2" w:space="0" w:color="EF6B2D"/>
              <w:bottom w:val="single" w:sz="2" w:space="0" w:color="EF6B2D"/>
            </w:tcBorders>
            <w:vAlign w:val="top"/>
          </w:tcPr>
          <w:p>
            <w:pPr>
              <w:pStyle w:val="TableText"/>
              <w:spacing w:before="174" w:line="169" w:lineRule="auto"/>
              <w:ind w:left="91"/>
              <w:rPr>
                <w:sz w:val="18"/>
                <w:szCs w:val="18"/>
              </w:rPr>
            </w:pPr>
            <w:r>
              <w:rPr>
                <w:b/>
                <w:bCs/>
                <w:color w:val="EF6B2D"/>
                <w:spacing w:val="-2"/>
                <w:sz w:val="18"/>
                <w:szCs w:val="18"/>
              </w:rPr>
              <w:t>29</w:t>
            </w:r>
          </w:p>
        </w:tc>
      </w:tr>
      <w:tr>
        <w:tblPrEx>
          <w:tblW w:w="4310" w:type="dxa"/>
          <w:tblInd w:w="11" w:type="dxa"/>
          <w:tblLayout w:type="fixed"/>
        </w:tblPrEx>
        <w:trPr>
          <w:trHeight w:val="452"/>
        </w:trPr>
        <w:tc>
          <w:tcPr>
            <w:tcW w:w="3846" w:type="dxa"/>
            <w:gridSpan w:val="2"/>
            <w:tcBorders>
              <w:top w:val="single" w:sz="2" w:space="0" w:color="EF6B2D"/>
              <w:bottom w:val="single" w:sz="2" w:space="0" w:color="EF6B2D"/>
            </w:tcBorders>
            <w:vAlign w:val="top"/>
          </w:tcPr>
          <w:p>
            <w:pPr>
              <w:pStyle w:val="TableText"/>
              <w:spacing w:before="144" w:line="188" w:lineRule="auto"/>
              <w:ind w:left="14"/>
              <w:rPr>
                <w:sz w:val="16"/>
                <w:szCs w:val="16"/>
              </w:rPr>
            </w:pPr>
            <w:r>
              <w:rPr>
                <w:color w:val="3E3E3F"/>
                <w:spacing w:val="-5"/>
                <w:sz w:val="16"/>
                <w:szCs w:val="16"/>
              </w:rPr>
              <w:t>图 23 主动管理ESG基金长期表现(2013-2023:</w:t>
            </w:r>
            <w:r>
              <w:rPr>
                <w:color w:val="3E3E3F"/>
                <w:spacing w:val="-6"/>
                <w:sz w:val="16"/>
                <w:szCs w:val="16"/>
              </w:rPr>
              <w:t xml:space="preserve"> 10年）</w:t>
            </w:r>
          </w:p>
        </w:tc>
        <w:tc>
          <w:tcPr>
            <w:tcW w:w="464" w:type="dxa"/>
            <w:gridSpan w:val="2"/>
            <w:tcBorders>
              <w:top w:val="single" w:sz="2" w:space="0" w:color="EF6B2D"/>
              <w:bottom w:val="single" w:sz="2" w:space="0" w:color="EF6B2D"/>
            </w:tcBorders>
            <w:vAlign w:val="top"/>
          </w:tcPr>
          <w:p>
            <w:pPr>
              <w:pStyle w:val="TableText"/>
              <w:spacing w:before="162" w:line="169" w:lineRule="auto"/>
              <w:ind w:left="90"/>
              <w:rPr>
                <w:sz w:val="18"/>
                <w:szCs w:val="18"/>
              </w:rPr>
            </w:pPr>
            <w:r>
              <w:rPr>
                <w:b/>
                <w:bCs/>
                <w:color w:val="EF6B2D"/>
                <w:spacing w:val="-2"/>
                <w:sz w:val="18"/>
                <w:szCs w:val="18"/>
              </w:rPr>
              <w:t>30</w:t>
            </w:r>
          </w:p>
        </w:tc>
      </w:tr>
      <w:tr>
        <w:tblPrEx>
          <w:tblW w:w="4310" w:type="dxa"/>
          <w:tblInd w:w="11" w:type="dxa"/>
          <w:tblLayout w:type="fixed"/>
        </w:tblPrEx>
        <w:trPr>
          <w:trHeight w:val="484"/>
        </w:trPr>
        <w:tc>
          <w:tcPr>
            <w:tcW w:w="3846" w:type="dxa"/>
            <w:gridSpan w:val="2"/>
            <w:tcBorders>
              <w:top w:val="single" w:sz="2" w:space="0" w:color="EF6B2D"/>
              <w:bottom w:val="single" w:sz="2" w:space="0" w:color="EF6B2D"/>
            </w:tcBorders>
            <w:vAlign w:val="top"/>
          </w:tcPr>
          <w:p>
            <w:pPr>
              <w:pStyle w:val="TableText"/>
              <w:spacing w:before="165" w:line="175" w:lineRule="auto"/>
              <w:ind w:left="14"/>
              <w:rPr>
                <w:sz w:val="16"/>
                <w:szCs w:val="16"/>
              </w:rPr>
            </w:pPr>
            <w:r>
              <w:rPr>
                <w:color w:val="3E3E3F"/>
                <w:spacing w:val="-2"/>
                <w:sz w:val="16"/>
                <w:szCs w:val="16"/>
              </w:rPr>
              <w:t>图 24 个人投资者对责任投资的了解程</w:t>
            </w:r>
            <w:r>
              <w:rPr>
                <w:color w:val="3E3E3F"/>
                <w:spacing w:val="-3"/>
                <w:sz w:val="16"/>
                <w:szCs w:val="16"/>
              </w:rPr>
              <w:t>度和采纳程度</w:t>
            </w:r>
          </w:p>
        </w:tc>
        <w:tc>
          <w:tcPr>
            <w:tcW w:w="464" w:type="dxa"/>
            <w:gridSpan w:val="2"/>
            <w:tcBorders>
              <w:top w:val="single" w:sz="2" w:space="0" w:color="EF6B2D"/>
              <w:bottom w:val="single" w:sz="2" w:space="0" w:color="EF6B2D"/>
            </w:tcBorders>
            <w:vAlign w:val="top"/>
          </w:tcPr>
          <w:p>
            <w:pPr>
              <w:pStyle w:val="TableText"/>
              <w:spacing w:before="174" w:line="169" w:lineRule="auto"/>
              <w:ind w:left="90"/>
              <w:rPr>
                <w:sz w:val="18"/>
                <w:szCs w:val="18"/>
              </w:rPr>
            </w:pPr>
            <w:r>
              <w:rPr>
                <w:b/>
                <w:bCs/>
                <w:color w:val="EF6B2D"/>
                <w:spacing w:val="-2"/>
                <w:sz w:val="18"/>
                <w:szCs w:val="18"/>
              </w:rPr>
              <w:t>33</w:t>
            </w:r>
          </w:p>
        </w:tc>
      </w:tr>
      <w:tr>
        <w:tblPrEx>
          <w:tblW w:w="4310" w:type="dxa"/>
          <w:tblInd w:w="11" w:type="dxa"/>
          <w:tblLayout w:type="fixed"/>
        </w:tblPrEx>
        <w:trPr>
          <w:trHeight w:val="446"/>
        </w:trPr>
        <w:tc>
          <w:tcPr>
            <w:tcW w:w="3846" w:type="dxa"/>
            <w:gridSpan w:val="2"/>
            <w:tcBorders>
              <w:top w:val="single" w:sz="2" w:space="0" w:color="EF6B2D"/>
              <w:bottom w:val="single" w:sz="2" w:space="0" w:color="EF6B2D"/>
            </w:tcBorders>
            <w:vAlign w:val="top"/>
          </w:tcPr>
          <w:p>
            <w:pPr>
              <w:pStyle w:val="TableText"/>
              <w:spacing w:before="152" w:line="175" w:lineRule="auto"/>
              <w:ind w:left="14"/>
              <w:rPr>
                <w:sz w:val="16"/>
                <w:szCs w:val="16"/>
              </w:rPr>
            </w:pPr>
            <w:r>
              <w:rPr>
                <w:color w:val="3E3E3F"/>
                <w:spacing w:val="-2"/>
                <w:sz w:val="16"/>
                <w:szCs w:val="16"/>
              </w:rPr>
              <w:t>图 25 按了解程度划分个人投资者采纳责任投</w:t>
            </w:r>
            <w:r>
              <w:rPr>
                <w:color w:val="3E3E3F"/>
                <w:spacing w:val="-3"/>
                <w:sz w:val="16"/>
                <w:szCs w:val="16"/>
              </w:rPr>
              <w:t>资的程度</w:t>
            </w:r>
          </w:p>
        </w:tc>
        <w:tc>
          <w:tcPr>
            <w:tcW w:w="464" w:type="dxa"/>
            <w:gridSpan w:val="2"/>
            <w:tcBorders>
              <w:top w:val="single" w:sz="2" w:space="0" w:color="EF6B2D"/>
              <w:bottom w:val="single" w:sz="2" w:space="0" w:color="EF6B2D"/>
            </w:tcBorders>
            <w:vAlign w:val="top"/>
          </w:tcPr>
          <w:p>
            <w:pPr>
              <w:pStyle w:val="TableText"/>
              <w:spacing w:before="161" w:line="169" w:lineRule="auto"/>
              <w:ind w:left="90"/>
              <w:rPr>
                <w:sz w:val="18"/>
                <w:szCs w:val="18"/>
              </w:rPr>
            </w:pPr>
            <w:r>
              <w:rPr>
                <w:b/>
                <w:bCs/>
                <w:color w:val="EF6B2D"/>
                <w:spacing w:val="-2"/>
                <w:sz w:val="18"/>
                <w:szCs w:val="18"/>
              </w:rPr>
              <w:t>33</w:t>
            </w:r>
          </w:p>
        </w:tc>
      </w:tr>
      <w:tr>
        <w:tblPrEx>
          <w:tblW w:w="4310" w:type="dxa"/>
          <w:tblInd w:w="11" w:type="dxa"/>
          <w:tblLayout w:type="fixed"/>
        </w:tblPrEx>
        <w:trPr>
          <w:trHeight w:val="488"/>
        </w:trPr>
        <w:tc>
          <w:tcPr>
            <w:tcW w:w="3846" w:type="dxa"/>
            <w:gridSpan w:val="2"/>
            <w:tcBorders>
              <w:top w:val="single" w:sz="2" w:space="0" w:color="EF6B2D"/>
              <w:bottom w:val="single" w:sz="2" w:space="0" w:color="EF6B2D"/>
            </w:tcBorders>
            <w:vAlign w:val="top"/>
          </w:tcPr>
          <w:p>
            <w:pPr>
              <w:pStyle w:val="TableText"/>
              <w:spacing w:before="177" w:line="175" w:lineRule="auto"/>
              <w:ind w:left="14"/>
              <w:rPr>
                <w:sz w:val="16"/>
                <w:szCs w:val="16"/>
              </w:rPr>
            </w:pPr>
            <w:r>
              <w:rPr>
                <w:color w:val="3E3E3F"/>
                <w:spacing w:val="-3"/>
                <w:sz w:val="16"/>
                <w:szCs w:val="16"/>
              </w:rPr>
              <w:t>图 26 个人投资者采纳责任投资的驱动力</w:t>
            </w:r>
          </w:p>
        </w:tc>
        <w:tc>
          <w:tcPr>
            <w:tcW w:w="464" w:type="dxa"/>
            <w:gridSpan w:val="2"/>
            <w:tcBorders>
              <w:top w:val="single" w:sz="2" w:space="0" w:color="EF6B2D"/>
              <w:bottom w:val="single" w:sz="2" w:space="0" w:color="EF6B2D"/>
            </w:tcBorders>
            <w:vAlign w:val="top"/>
          </w:tcPr>
          <w:p>
            <w:pPr>
              <w:pStyle w:val="TableText"/>
              <w:spacing w:before="189" w:line="169" w:lineRule="auto"/>
              <w:ind w:left="90"/>
              <w:rPr>
                <w:sz w:val="18"/>
                <w:szCs w:val="18"/>
              </w:rPr>
            </w:pPr>
            <w:r>
              <w:rPr>
                <w:b/>
                <w:bCs/>
                <w:color w:val="EF6B2D"/>
                <w:spacing w:val="-2"/>
                <w:sz w:val="18"/>
                <w:szCs w:val="18"/>
              </w:rPr>
              <w:t>34</w:t>
            </w:r>
          </w:p>
        </w:tc>
      </w:tr>
      <w:tr>
        <w:tblPrEx>
          <w:tblW w:w="4310" w:type="dxa"/>
          <w:tblInd w:w="11" w:type="dxa"/>
          <w:tblLayout w:type="fixed"/>
        </w:tblPrEx>
        <w:trPr>
          <w:trHeight w:val="490"/>
        </w:trPr>
        <w:tc>
          <w:tcPr>
            <w:tcW w:w="3846" w:type="dxa"/>
            <w:gridSpan w:val="2"/>
            <w:tcBorders>
              <w:top w:val="single" w:sz="2" w:space="0" w:color="EF6B2D"/>
              <w:bottom w:val="single" w:sz="2" w:space="0" w:color="EF6B2D"/>
            </w:tcBorders>
            <w:vAlign w:val="top"/>
          </w:tcPr>
          <w:p>
            <w:pPr>
              <w:pStyle w:val="TableText"/>
              <w:spacing w:before="160" w:line="189" w:lineRule="auto"/>
              <w:ind w:left="14"/>
              <w:rPr>
                <w:sz w:val="16"/>
                <w:szCs w:val="16"/>
              </w:rPr>
            </w:pPr>
            <w:r>
              <w:rPr>
                <w:color w:val="3E3E3F"/>
                <w:spacing w:val="-3"/>
                <w:sz w:val="16"/>
                <w:szCs w:val="16"/>
              </w:rPr>
              <w:t>图 27 个人投资者采纳责任/ESG投资的驱动力变化</w:t>
            </w:r>
          </w:p>
        </w:tc>
        <w:tc>
          <w:tcPr>
            <w:tcW w:w="464" w:type="dxa"/>
            <w:gridSpan w:val="2"/>
            <w:tcBorders>
              <w:top w:val="single" w:sz="2" w:space="0" w:color="EF6B2D"/>
              <w:bottom w:val="single" w:sz="2" w:space="0" w:color="EF6B2D"/>
            </w:tcBorders>
            <w:vAlign w:val="top"/>
          </w:tcPr>
          <w:p>
            <w:pPr>
              <w:pStyle w:val="TableText"/>
              <w:spacing w:before="190" w:line="169" w:lineRule="auto"/>
              <w:ind w:left="90"/>
              <w:rPr>
                <w:sz w:val="18"/>
                <w:szCs w:val="18"/>
              </w:rPr>
            </w:pPr>
            <w:r>
              <w:rPr>
                <w:b/>
                <w:bCs/>
                <w:color w:val="EF6B2D"/>
                <w:spacing w:val="-2"/>
                <w:sz w:val="18"/>
                <w:szCs w:val="18"/>
              </w:rPr>
              <w:t>34</w:t>
            </w:r>
          </w:p>
        </w:tc>
      </w:tr>
    </w:tbl>
    <w:p>
      <w:pPr>
        <w:pStyle w:val="BodyText"/>
        <w:spacing w:line="229" w:lineRule="exact"/>
        <w:rPr>
          <w:sz w:val="19"/>
        </w:rPr>
      </w:pPr>
    </w:p>
    <w:p>
      <w:pPr>
        <w:pStyle w:val="BodyText"/>
        <w:spacing w:line="14" w:lineRule="auto"/>
        <w:rPr>
          <w:sz w:val="2"/>
        </w:rPr>
        <w:sectPr>
          <w:footerReference w:type="default" r:id="rId33"/>
          <w:type w:val="continuous"/>
          <w:pgSz w:w="12246" w:h="17178"/>
          <w:pgMar w:top="1055" w:right="1497" w:bottom="400" w:left="1433" w:header="0" w:footer="0" w:gutter="0"/>
          <w:pgNumType w:start="12"/>
          <w:cols w:num="2" w:space="708" w:equalWidth="0">
            <w:col w:w="4705" w:space="100"/>
            <w:col w:w="4511" w:space="0"/>
          </w:cols>
        </w:sectPr>
      </w:pPr>
      <w:r>
        <w:rPr>
          <w:sz w:val="2"/>
          <w:szCs w:val="2"/>
        </w:rPr>
        <w:br w:type="column"/>
      </w:r>
    </w:p>
    <w:p>
      <w:pPr>
        <w:spacing w:before="12"/>
      </w:pPr>
    </w:p>
    <w:p>
      <w:pPr>
        <w:spacing w:before="12"/>
      </w:pPr>
    </w:p>
    <w:p>
      <w:pPr>
        <w:spacing w:before="12"/>
      </w:pPr>
    </w:p>
    <w:p>
      <w:pPr>
        <w:spacing w:before="11"/>
      </w:pPr>
    </w:p>
    <w:tbl>
      <w:tblPr>
        <w:tblStyle w:val="TableNormal3"/>
        <w:tblW w:w="4510" w:type="dxa"/>
        <w:tblInd w:w="0" w:type="dxa"/>
        <w:tblBorders>
          <w:top w:val="nil"/>
          <w:left w:val="nil"/>
          <w:bottom w:val="nil"/>
          <w:right w:val="nil"/>
          <w:insideH w:val="nil"/>
          <w:insideV w:val="nil"/>
        </w:tblBorders>
        <w:tblLayout w:type="fixed"/>
      </w:tblPr>
      <w:tblGrid>
        <w:gridCol w:w="4080"/>
        <w:gridCol w:w="430"/>
      </w:tblGrid>
      <w:tr>
        <w:tblPrEx>
          <w:tblW w:w="4510" w:type="dxa"/>
          <w:tblInd w:w="0" w:type="dxa"/>
          <w:tblBorders>
            <w:top w:val="nil"/>
            <w:left w:val="nil"/>
            <w:bottom w:val="nil"/>
            <w:right w:val="nil"/>
            <w:insideH w:val="nil"/>
            <w:insideV w:val="nil"/>
          </w:tblBorders>
          <w:tblLayout w:type="fixed"/>
        </w:tblPrEx>
        <w:trPr>
          <w:trHeight w:val="475"/>
        </w:trPr>
        <w:tc>
          <w:tcPr>
            <w:tcW w:w="4080" w:type="dxa"/>
            <w:tcBorders>
              <w:top w:val="single" w:sz="2" w:space="0" w:color="EF6B2D"/>
              <w:bottom w:val="single" w:sz="2" w:space="0" w:color="EF6B2D"/>
            </w:tcBorders>
            <w:vAlign w:val="top"/>
          </w:tcPr>
          <w:p>
            <w:pPr>
              <w:pStyle w:val="TableText"/>
              <w:spacing w:before="39" w:line="186" w:lineRule="auto"/>
              <w:ind w:left="54" w:right="101"/>
              <w:rPr>
                <w:sz w:val="16"/>
                <w:szCs w:val="16"/>
              </w:rPr>
            </w:pPr>
            <w:r>
              <w:rPr>
                <w:color w:val="3E3E3F"/>
                <w:spacing w:val="-5"/>
                <w:sz w:val="16"/>
                <w:szCs w:val="16"/>
              </w:rPr>
              <w:t>图 28个人投资者对“气候变化和相关政策凸显识别ESG风</w:t>
            </w:r>
            <w:r>
              <w:rPr>
                <w:color w:val="3E3E3F"/>
                <w:spacing w:val="8"/>
                <w:sz w:val="16"/>
                <w:szCs w:val="16"/>
              </w:rPr>
              <w:t xml:space="preserve"> </w:t>
            </w:r>
            <w:r>
              <w:rPr>
                <w:color w:val="3E3E3F"/>
                <w:spacing w:val="-7"/>
                <w:sz w:val="16"/>
                <w:szCs w:val="16"/>
              </w:rPr>
              <w:t>险和机遇”的重要性的同意程度</w:t>
            </w:r>
          </w:p>
        </w:tc>
        <w:tc>
          <w:tcPr>
            <w:tcW w:w="430" w:type="dxa"/>
            <w:tcBorders>
              <w:top w:val="single" w:sz="2" w:space="0" w:color="EF6B2D"/>
              <w:bottom w:val="single" w:sz="2" w:space="0" w:color="EF6B2D"/>
            </w:tcBorders>
            <w:vAlign w:val="top"/>
          </w:tcPr>
          <w:p>
            <w:pPr>
              <w:pStyle w:val="TableText"/>
              <w:spacing w:before="143" w:line="169" w:lineRule="auto"/>
              <w:ind w:left="100"/>
              <w:rPr>
                <w:sz w:val="18"/>
                <w:szCs w:val="18"/>
              </w:rPr>
            </w:pPr>
            <w:r>
              <w:rPr>
                <w:b/>
                <w:bCs/>
                <w:color w:val="EF6B2D"/>
                <w:spacing w:val="-2"/>
                <w:sz w:val="18"/>
                <w:szCs w:val="18"/>
              </w:rPr>
              <w:t>35</w:t>
            </w:r>
          </w:p>
        </w:tc>
      </w:tr>
      <w:tr>
        <w:tblPrEx>
          <w:tblW w:w="4510" w:type="dxa"/>
          <w:tblInd w:w="0" w:type="dxa"/>
          <w:tblLayout w:type="fixed"/>
        </w:tblPrEx>
        <w:trPr>
          <w:trHeight w:val="274"/>
        </w:trPr>
        <w:tc>
          <w:tcPr>
            <w:tcW w:w="4510" w:type="dxa"/>
            <w:gridSpan w:val="2"/>
            <w:tcBorders>
              <w:top w:val="single" w:sz="2" w:space="0" w:color="EF6B2D"/>
            </w:tcBorders>
            <w:vAlign w:val="top"/>
          </w:tcPr>
          <w:p>
            <w:pPr>
              <w:pStyle w:val="TableText"/>
              <w:spacing w:before="79" w:line="161" w:lineRule="auto"/>
              <w:ind w:left="54"/>
              <w:rPr>
                <w:sz w:val="16"/>
                <w:szCs w:val="16"/>
              </w:rPr>
            </w:pPr>
            <w:r>
              <w:rPr>
                <w:color w:val="3E3E3F"/>
                <w:spacing w:val="-5"/>
                <w:sz w:val="16"/>
                <w:szCs w:val="16"/>
              </w:rPr>
              <w:t>图 29 按对“气候变化和相关政策凸显识别ESG风险和机</w:t>
            </w:r>
          </w:p>
        </w:tc>
      </w:tr>
      <w:tr>
        <w:tblPrEx>
          <w:tblW w:w="4510" w:type="dxa"/>
          <w:tblInd w:w="0" w:type="dxa"/>
          <w:tblLayout w:type="fixed"/>
        </w:tblPrEx>
        <w:trPr>
          <w:trHeight w:val="240"/>
        </w:trPr>
        <w:tc>
          <w:tcPr>
            <w:tcW w:w="4510" w:type="dxa"/>
            <w:gridSpan w:val="2"/>
            <w:vAlign w:val="top"/>
          </w:tcPr>
          <w:p>
            <w:pPr>
              <w:pStyle w:val="TableText"/>
              <w:spacing w:before="46" w:line="183" w:lineRule="exact"/>
              <w:ind w:left="47"/>
              <w:rPr>
                <w:sz w:val="18"/>
                <w:szCs w:val="18"/>
              </w:rPr>
            </w:pPr>
            <w:r>
              <w:rPr>
                <w:color w:val="3E3E3F"/>
                <w:spacing w:val="-2"/>
                <w:sz w:val="16"/>
                <w:szCs w:val="16"/>
              </w:rPr>
              <w:t xml:space="preserve">遇重要性”的同意程度划分个人投资者采纳责任投资的程    </w:t>
            </w:r>
            <w:r>
              <w:rPr>
                <w:b/>
                <w:bCs/>
                <w:color w:val="EF6B2D"/>
                <w:spacing w:val="-2"/>
                <w:sz w:val="18"/>
                <w:szCs w:val="18"/>
              </w:rPr>
              <w:t>35</w:t>
            </w:r>
          </w:p>
        </w:tc>
      </w:tr>
      <w:tr>
        <w:tblPrEx>
          <w:tblW w:w="4510" w:type="dxa"/>
          <w:tblInd w:w="0" w:type="dxa"/>
          <w:tblLayout w:type="fixed"/>
        </w:tblPrEx>
        <w:trPr>
          <w:trHeight w:val="264"/>
        </w:trPr>
        <w:tc>
          <w:tcPr>
            <w:tcW w:w="4510" w:type="dxa"/>
            <w:gridSpan w:val="2"/>
            <w:tcBorders>
              <w:bottom w:val="single" w:sz="2" w:space="0" w:color="EF6B2D"/>
            </w:tcBorders>
            <w:vAlign w:val="top"/>
          </w:tcPr>
          <w:p>
            <w:pPr>
              <w:pStyle w:val="TableText"/>
              <w:spacing w:before="46" w:line="175" w:lineRule="auto"/>
              <w:ind w:left="47"/>
              <w:rPr>
                <w:sz w:val="16"/>
                <w:szCs w:val="16"/>
              </w:rPr>
            </w:pPr>
            <w:r>
              <w:rPr>
                <w:color w:val="3E3E3F"/>
                <w:sz w:val="16"/>
                <w:szCs w:val="16"/>
              </w:rPr>
              <w:t>度</w:t>
            </w:r>
          </w:p>
        </w:tc>
      </w:tr>
      <w:tr>
        <w:tblPrEx>
          <w:tblW w:w="4510" w:type="dxa"/>
          <w:tblInd w:w="0" w:type="dxa"/>
          <w:tblLayout w:type="fixed"/>
        </w:tblPrEx>
        <w:trPr>
          <w:trHeight w:val="248"/>
        </w:trPr>
        <w:tc>
          <w:tcPr>
            <w:tcW w:w="4510" w:type="dxa"/>
            <w:gridSpan w:val="2"/>
            <w:tcBorders>
              <w:top w:val="single" w:sz="2" w:space="0" w:color="EF6B2D"/>
            </w:tcBorders>
            <w:vAlign w:val="top"/>
          </w:tcPr>
          <w:p>
            <w:pPr>
              <w:pStyle w:val="TableText"/>
              <w:spacing w:before="57" w:line="158" w:lineRule="auto"/>
              <w:ind w:left="54"/>
              <w:rPr>
                <w:sz w:val="16"/>
                <w:szCs w:val="16"/>
              </w:rPr>
            </w:pPr>
            <w:r>
              <w:rPr>
                <w:color w:val="3E3E3F"/>
                <w:spacing w:val="-5"/>
                <w:sz w:val="16"/>
                <w:szCs w:val="16"/>
              </w:rPr>
              <w:t>图 30 按对“气候变化和相关政策凸显识别ESG风险和机</w:t>
            </w:r>
          </w:p>
        </w:tc>
      </w:tr>
      <w:tr>
        <w:tblPrEx>
          <w:tblW w:w="4510" w:type="dxa"/>
          <w:tblInd w:w="0" w:type="dxa"/>
          <w:tblLayout w:type="fixed"/>
        </w:tblPrEx>
        <w:trPr>
          <w:trHeight w:val="242"/>
        </w:trPr>
        <w:tc>
          <w:tcPr>
            <w:tcW w:w="4510" w:type="dxa"/>
            <w:gridSpan w:val="2"/>
            <w:vAlign w:val="top"/>
          </w:tcPr>
          <w:p>
            <w:pPr>
              <w:pStyle w:val="TableText"/>
              <w:spacing w:before="44" w:line="187" w:lineRule="exact"/>
              <w:ind w:left="47"/>
              <w:rPr>
                <w:sz w:val="18"/>
                <w:szCs w:val="18"/>
              </w:rPr>
            </w:pPr>
            <w:r>
              <w:rPr>
                <w:color w:val="3E3E3F"/>
                <w:spacing w:val="-2"/>
                <w:sz w:val="16"/>
                <w:szCs w:val="16"/>
              </w:rPr>
              <w:t xml:space="preserve">遇重要性”的同意度划分个人投资者责任投资考量与去年    </w:t>
            </w:r>
            <w:r>
              <w:rPr>
                <w:b/>
                <w:bCs/>
                <w:color w:val="EF6B2D"/>
                <w:spacing w:val="-2"/>
                <w:sz w:val="18"/>
                <w:szCs w:val="18"/>
              </w:rPr>
              <w:t>35</w:t>
            </w:r>
          </w:p>
        </w:tc>
      </w:tr>
      <w:tr>
        <w:tblPrEx>
          <w:tblW w:w="4510" w:type="dxa"/>
          <w:tblInd w:w="0" w:type="dxa"/>
          <w:tblLayout w:type="fixed"/>
        </w:tblPrEx>
        <w:trPr>
          <w:trHeight w:val="245"/>
        </w:trPr>
        <w:tc>
          <w:tcPr>
            <w:tcW w:w="4510" w:type="dxa"/>
            <w:gridSpan w:val="2"/>
            <w:tcBorders>
              <w:bottom w:val="single" w:sz="2" w:space="0" w:color="EF6B2D"/>
            </w:tcBorders>
            <w:vAlign w:val="top"/>
          </w:tcPr>
          <w:p>
            <w:pPr>
              <w:pStyle w:val="TableText"/>
              <w:spacing w:before="47" w:line="164" w:lineRule="auto"/>
              <w:ind w:left="45"/>
              <w:rPr>
                <w:sz w:val="16"/>
                <w:szCs w:val="16"/>
              </w:rPr>
            </w:pPr>
            <w:r>
              <w:rPr>
                <w:color w:val="3E3E3F"/>
                <w:spacing w:val="-1"/>
                <w:sz w:val="16"/>
                <w:szCs w:val="16"/>
              </w:rPr>
              <w:t>相比的变化</w:t>
            </w:r>
          </w:p>
        </w:tc>
      </w:tr>
      <w:tr>
        <w:tblPrEx>
          <w:tblW w:w="4510" w:type="dxa"/>
          <w:tblInd w:w="0" w:type="dxa"/>
          <w:tblLayout w:type="fixed"/>
        </w:tblPrEx>
        <w:trPr>
          <w:trHeight w:val="381"/>
        </w:trPr>
        <w:tc>
          <w:tcPr>
            <w:tcW w:w="4510" w:type="dxa"/>
            <w:gridSpan w:val="2"/>
            <w:tcBorders>
              <w:top w:val="single" w:sz="2" w:space="0" w:color="EF6B2D"/>
              <w:bottom w:val="single" w:sz="2" w:space="0" w:color="EF6B2D"/>
            </w:tcBorders>
            <w:vAlign w:val="top"/>
          </w:tcPr>
          <w:p>
            <w:pPr>
              <w:pStyle w:val="TableText"/>
              <w:spacing w:before="117" w:line="163" w:lineRule="auto"/>
              <w:ind w:left="54"/>
              <w:rPr>
                <w:sz w:val="18"/>
                <w:szCs w:val="18"/>
              </w:rPr>
            </w:pPr>
            <w:r>
              <w:rPr>
                <w:color w:val="3E3E3F"/>
                <w:spacing w:val="-1"/>
                <w:sz w:val="16"/>
                <w:szCs w:val="16"/>
              </w:rPr>
              <w:t xml:space="preserve">图 31 按性别划分个人投资者采纳责任投资的程度              </w:t>
            </w:r>
            <w:r>
              <w:rPr>
                <w:b/>
                <w:bCs/>
                <w:color w:val="EF6B2D"/>
                <w:spacing w:val="-1"/>
                <w:sz w:val="18"/>
                <w:szCs w:val="18"/>
              </w:rPr>
              <w:t>36</w:t>
            </w:r>
          </w:p>
        </w:tc>
      </w:tr>
      <w:tr>
        <w:tblPrEx>
          <w:tblW w:w="4510" w:type="dxa"/>
          <w:tblInd w:w="0" w:type="dxa"/>
          <w:tblLayout w:type="fixed"/>
        </w:tblPrEx>
        <w:trPr>
          <w:trHeight w:val="316"/>
        </w:trPr>
        <w:tc>
          <w:tcPr>
            <w:tcW w:w="4510" w:type="dxa"/>
            <w:gridSpan w:val="2"/>
            <w:tcBorders>
              <w:top w:val="single" w:sz="2" w:space="0" w:color="EF6B2D"/>
              <w:bottom w:val="single" w:sz="2" w:space="0" w:color="EF6B2D"/>
            </w:tcBorders>
            <w:vAlign w:val="top"/>
          </w:tcPr>
          <w:p>
            <w:pPr>
              <w:pStyle w:val="TableText"/>
              <w:spacing w:before="88" w:line="165" w:lineRule="auto"/>
              <w:ind w:left="54"/>
              <w:rPr>
                <w:sz w:val="18"/>
                <w:szCs w:val="18"/>
              </w:rPr>
            </w:pPr>
            <w:r>
              <w:rPr>
                <w:color w:val="3E3E3F"/>
                <w:spacing w:val="-2"/>
                <w:sz w:val="16"/>
                <w:szCs w:val="16"/>
              </w:rPr>
              <w:t xml:space="preserve">图 32 按投资资金划分个人投资者采纳责任投资的程度        </w:t>
            </w:r>
            <w:r>
              <w:rPr>
                <w:b/>
                <w:bCs/>
                <w:color w:val="EF6B2D"/>
                <w:spacing w:val="-2"/>
                <w:sz w:val="18"/>
                <w:szCs w:val="18"/>
              </w:rPr>
              <w:t>36</w:t>
            </w:r>
          </w:p>
        </w:tc>
      </w:tr>
      <w:tr>
        <w:tblPrEx>
          <w:tblW w:w="4510" w:type="dxa"/>
          <w:tblInd w:w="0" w:type="dxa"/>
          <w:tblLayout w:type="fixed"/>
        </w:tblPrEx>
        <w:trPr>
          <w:trHeight w:val="552"/>
        </w:trPr>
        <w:tc>
          <w:tcPr>
            <w:tcW w:w="4080" w:type="dxa"/>
            <w:tcBorders>
              <w:top w:val="single" w:sz="2" w:space="0" w:color="EF6B2D"/>
              <w:bottom w:val="single" w:sz="2" w:space="0" w:color="EF6B2D"/>
            </w:tcBorders>
            <w:vAlign w:val="top"/>
          </w:tcPr>
          <w:p>
            <w:pPr>
              <w:pStyle w:val="TableText"/>
              <w:spacing w:before="69" w:line="193" w:lineRule="auto"/>
              <w:ind w:left="49" w:right="118" w:firstLine="5"/>
              <w:rPr>
                <w:sz w:val="16"/>
                <w:szCs w:val="16"/>
              </w:rPr>
            </w:pPr>
            <w:r>
              <w:rPr>
                <w:color w:val="3E3E3F"/>
                <w:spacing w:val="-2"/>
                <w:sz w:val="16"/>
                <w:szCs w:val="16"/>
              </w:rPr>
              <w:t>图 33 按投资资金划分个人投资者采纳责任投资的前</w:t>
            </w:r>
            <w:r>
              <w:rPr>
                <w:color w:val="3E3E3F"/>
                <w:spacing w:val="-3"/>
                <w:sz w:val="16"/>
                <w:szCs w:val="16"/>
              </w:rPr>
              <w:t>三驱</w:t>
            </w:r>
            <w:r>
              <w:rPr>
                <w:color w:val="3E3E3F"/>
                <w:sz w:val="16"/>
                <w:szCs w:val="16"/>
              </w:rPr>
              <w:t xml:space="preserve"> </w:t>
            </w:r>
            <w:r>
              <w:rPr>
                <w:color w:val="3E3E3F"/>
                <w:spacing w:val="-3"/>
                <w:sz w:val="16"/>
                <w:szCs w:val="16"/>
              </w:rPr>
              <w:t>动力</w:t>
            </w:r>
          </w:p>
        </w:tc>
        <w:tc>
          <w:tcPr>
            <w:tcW w:w="430" w:type="dxa"/>
            <w:tcBorders>
              <w:top w:val="single" w:sz="2" w:space="0" w:color="EF6B2D"/>
              <w:bottom w:val="single" w:sz="2" w:space="0" w:color="EF6B2D"/>
            </w:tcBorders>
            <w:vAlign w:val="top"/>
          </w:tcPr>
          <w:p>
            <w:pPr>
              <w:pStyle w:val="TableText"/>
              <w:spacing w:before="219" w:line="169" w:lineRule="auto"/>
              <w:ind w:left="100"/>
              <w:rPr>
                <w:sz w:val="18"/>
                <w:szCs w:val="18"/>
              </w:rPr>
            </w:pPr>
            <w:r>
              <w:rPr>
                <w:b/>
                <w:bCs/>
                <w:color w:val="EF6B2D"/>
                <w:spacing w:val="-2"/>
                <w:sz w:val="18"/>
                <w:szCs w:val="18"/>
              </w:rPr>
              <w:t>36</w:t>
            </w:r>
          </w:p>
        </w:tc>
      </w:tr>
      <w:tr>
        <w:tblPrEx>
          <w:tblW w:w="4510" w:type="dxa"/>
          <w:tblInd w:w="0" w:type="dxa"/>
          <w:tblLayout w:type="fixed"/>
        </w:tblPrEx>
        <w:trPr>
          <w:trHeight w:val="303"/>
        </w:trPr>
        <w:tc>
          <w:tcPr>
            <w:tcW w:w="4510" w:type="dxa"/>
            <w:gridSpan w:val="2"/>
            <w:tcBorders>
              <w:top w:val="single" w:sz="2" w:space="0" w:color="EF6B2D"/>
              <w:bottom w:val="single" w:sz="2" w:space="0" w:color="EF6B2D"/>
            </w:tcBorders>
            <w:vAlign w:val="top"/>
          </w:tcPr>
          <w:p>
            <w:pPr>
              <w:pStyle w:val="TableText"/>
              <w:spacing w:before="52" w:line="183" w:lineRule="auto"/>
              <w:ind w:left="54"/>
              <w:rPr>
                <w:sz w:val="18"/>
                <w:szCs w:val="18"/>
              </w:rPr>
            </w:pPr>
            <w:r>
              <w:rPr>
                <w:color w:val="3E3E3F"/>
                <w:spacing w:val="-1"/>
                <w:sz w:val="16"/>
                <w:szCs w:val="16"/>
              </w:rPr>
              <w:t xml:space="preserve">图 34 按年龄划分个人投资者采纳责任投资的程度              </w:t>
            </w:r>
            <w:r>
              <w:rPr>
                <w:b/>
                <w:bCs/>
                <w:color w:val="EF6B2D"/>
                <w:spacing w:val="-1"/>
                <w:position w:val="-3"/>
                <w:sz w:val="18"/>
                <w:szCs w:val="18"/>
              </w:rPr>
              <w:t>37</w:t>
            </w:r>
          </w:p>
        </w:tc>
      </w:tr>
      <w:tr>
        <w:tblPrEx>
          <w:tblW w:w="4510" w:type="dxa"/>
          <w:tblInd w:w="0" w:type="dxa"/>
          <w:tblLayout w:type="fixed"/>
        </w:tblPrEx>
        <w:trPr>
          <w:trHeight w:val="498"/>
        </w:trPr>
        <w:tc>
          <w:tcPr>
            <w:tcW w:w="4080" w:type="dxa"/>
            <w:tcBorders>
              <w:top w:val="single" w:sz="2" w:space="0" w:color="EF6B2D"/>
              <w:bottom w:val="single" w:sz="2" w:space="0" w:color="EF6B2D"/>
            </w:tcBorders>
            <w:vAlign w:val="top"/>
          </w:tcPr>
          <w:p>
            <w:pPr>
              <w:pStyle w:val="TableText"/>
              <w:spacing w:before="45" w:line="193" w:lineRule="auto"/>
              <w:ind w:left="49" w:right="118" w:firstLine="5"/>
              <w:rPr>
                <w:sz w:val="16"/>
                <w:szCs w:val="16"/>
              </w:rPr>
            </w:pPr>
            <w:r>
              <w:rPr>
                <w:color w:val="3E3E3F"/>
                <w:spacing w:val="-2"/>
                <w:sz w:val="16"/>
                <w:szCs w:val="16"/>
              </w:rPr>
              <w:t>图 35 按年龄层划分个人投资者采纳责任投资的前三</w:t>
            </w:r>
            <w:r>
              <w:rPr>
                <w:color w:val="3E3E3F"/>
                <w:spacing w:val="-3"/>
                <w:sz w:val="16"/>
                <w:szCs w:val="16"/>
              </w:rPr>
              <w:t>驱动</w:t>
            </w:r>
            <w:r>
              <w:rPr>
                <w:color w:val="3E3E3F"/>
                <w:sz w:val="16"/>
                <w:szCs w:val="16"/>
              </w:rPr>
              <w:t xml:space="preserve"> </w:t>
            </w:r>
            <w:r>
              <w:rPr>
                <w:color w:val="3E3E3F"/>
                <w:sz w:val="16"/>
                <w:szCs w:val="16"/>
              </w:rPr>
              <w:t>力</w:t>
            </w:r>
          </w:p>
        </w:tc>
        <w:tc>
          <w:tcPr>
            <w:tcW w:w="430" w:type="dxa"/>
            <w:tcBorders>
              <w:top w:val="single" w:sz="2" w:space="0" w:color="EF6B2D"/>
              <w:bottom w:val="single" w:sz="2" w:space="0" w:color="EF6B2D"/>
            </w:tcBorders>
            <w:vAlign w:val="top"/>
          </w:tcPr>
          <w:p>
            <w:pPr>
              <w:pStyle w:val="TableText"/>
              <w:spacing w:before="190" w:line="169" w:lineRule="auto"/>
              <w:ind w:left="100"/>
              <w:rPr>
                <w:sz w:val="18"/>
                <w:szCs w:val="18"/>
              </w:rPr>
            </w:pPr>
            <w:r>
              <w:rPr>
                <w:b/>
                <w:bCs/>
                <w:color w:val="EF6B2D"/>
                <w:spacing w:val="-2"/>
                <w:sz w:val="18"/>
                <w:szCs w:val="18"/>
              </w:rPr>
              <w:t>37</w:t>
            </w:r>
          </w:p>
        </w:tc>
      </w:tr>
      <w:tr>
        <w:tblPrEx>
          <w:tblW w:w="4510" w:type="dxa"/>
          <w:tblInd w:w="0" w:type="dxa"/>
          <w:tblLayout w:type="fixed"/>
        </w:tblPrEx>
        <w:trPr>
          <w:trHeight w:val="292"/>
        </w:trPr>
        <w:tc>
          <w:tcPr>
            <w:tcW w:w="4510" w:type="dxa"/>
            <w:gridSpan w:val="2"/>
            <w:tcBorders>
              <w:top w:val="single" w:sz="2" w:space="0" w:color="EF6B2D"/>
              <w:bottom w:val="single" w:sz="2" w:space="0" w:color="EF6B2D"/>
            </w:tcBorders>
            <w:vAlign w:val="top"/>
          </w:tcPr>
          <w:p>
            <w:pPr>
              <w:pStyle w:val="TableText"/>
              <w:spacing w:before="82" w:line="200" w:lineRule="exact"/>
              <w:ind w:left="54"/>
              <w:rPr>
                <w:sz w:val="18"/>
                <w:szCs w:val="18"/>
              </w:rPr>
            </w:pPr>
            <w:r>
              <w:rPr>
                <w:color w:val="3E3E3F"/>
                <w:spacing w:val="-1"/>
                <w:sz w:val="16"/>
                <w:szCs w:val="16"/>
              </w:rPr>
              <w:t xml:space="preserve">图 36 个人投资者对ESG风险类型的关注          </w:t>
            </w:r>
            <w:r>
              <w:rPr>
                <w:color w:val="3E3E3F"/>
                <w:spacing w:val="-2"/>
                <w:sz w:val="16"/>
                <w:szCs w:val="16"/>
              </w:rPr>
              <w:t xml:space="preserve">                   </w:t>
            </w:r>
            <w:r>
              <w:rPr>
                <w:b/>
                <w:bCs/>
                <w:color w:val="EF6B2D"/>
                <w:spacing w:val="-2"/>
                <w:sz w:val="18"/>
                <w:szCs w:val="18"/>
              </w:rPr>
              <w:t>38</w:t>
            </w:r>
          </w:p>
        </w:tc>
      </w:tr>
      <w:tr>
        <w:tblPrEx>
          <w:tblW w:w="4510" w:type="dxa"/>
          <w:tblInd w:w="0" w:type="dxa"/>
          <w:tblLayout w:type="fixed"/>
        </w:tblPrEx>
        <w:trPr>
          <w:trHeight w:val="315"/>
        </w:trPr>
        <w:tc>
          <w:tcPr>
            <w:tcW w:w="4510" w:type="dxa"/>
            <w:gridSpan w:val="2"/>
            <w:tcBorders>
              <w:top w:val="single" w:sz="2" w:space="0" w:color="EF6B2D"/>
              <w:bottom w:val="single" w:sz="2" w:space="0" w:color="EF6B2D"/>
            </w:tcBorders>
            <w:vAlign w:val="top"/>
          </w:tcPr>
          <w:p>
            <w:pPr>
              <w:pStyle w:val="TableText"/>
              <w:spacing w:before="85" w:line="163" w:lineRule="auto"/>
              <w:ind w:left="54"/>
              <w:rPr>
                <w:sz w:val="18"/>
                <w:szCs w:val="18"/>
              </w:rPr>
            </w:pPr>
            <w:r>
              <w:rPr>
                <w:color w:val="3E3E3F"/>
                <w:spacing w:val="-1"/>
                <w:sz w:val="16"/>
                <w:szCs w:val="16"/>
              </w:rPr>
              <w:t xml:space="preserve">图 37 个人投资者对行业ESG风险高低的判断          </w:t>
            </w:r>
            <w:r>
              <w:rPr>
                <w:color w:val="3E3E3F"/>
                <w:spacing w:val="-2"/>
                <w:sz w:val="16"/>
                <w:szCs w:val="16"/>
              </w:rPr>
              <w:t xml:space="preserve">            </w:t>
            </w:r>
            <w:r>
              <w:rPr>
                <w:b/>
                <w:bCs/>
                <w:color w:val="EF6B2D"/>
                <w:spacing w:val="-2"/>
                <w:sz w:val="18"/>
                <w:szCs w:val="18"/>
              </w:rPr>
              <w:t>38</w:t>
            </w:r>
          </w:p>
        </w:tc>
      </w:tr>
      <w:tr>
        <w:tblPrEx>
          <w:tblW w:w="4510" w:type="dxa"/>
          <w:tblInd w:w="0" w:type="dxa"/>
          <w:tblLayout w:type="fixed"/>
        </w:tblPrEx>
        <w:trPr>
          <w:trHeight w:val="281"/>
        </w:trPr>
        <w:tc>
          <w:tcPr>
            <w:tcW w:w="4510" w:type="dxa"/>
            <w:gridSpan w:val="2"/>
            <w:tcBorders>
              <w:top w:val="single" w:sz="2" w:space="0" w:color="EF6B2D"/>
              <w:bottom w:val="single" w:sz="2" w:space="0" w:color="EF6B2D"/>
            </w:tcBorders>
            <w:vAlign w:val="top"/>
          </w:tcPr>
          <w:p>
            <w:pPr>
              <w:pStyle w:val="TableText"/>
              <w:spacing w:before="65" w:line="160" w:lineRule="auto"/>
              <w:ind w:left="54"/>
              <w:rPr>
                <w:sz w:val="18"/>
                <w:szCs w:val="18"/>
              </w:rPr>
            </w:pPr>
            <w:r>
              <w:rPr>
                <w:color w:val="3E3E3F"/>
                <w:spacing w:val="-1"/>
                <w:sz w:val="16"/>
                <w:szCs w:val="16"/>
              </w:rPr>
              <w:t xml:space="preserve">图 38 个人投资者的未来责任投资策略           </w:t>
            </w:r>
            <w:r>
              <w:rPr>
                <w:color w:val="3E3E3F"/>
                <w:spacing w:val="-2"/>
                <w:sz w:val="16"/>
                <w:szCs w:val="16"/>
              </w:rPr>
              <w:t xml:space="preserve">                     </w:t>
            </w:r>
            <w:r>
              <w:rPr>
                <w:b/>
                <w:bCs/>
                <w:color w:val="EF6B2D"/>
                <w:spacing w:val="-2"/>
                <w:sz w:val="18"/>
                <w:szCs w:val="18"/>
              </w:rPr>
              <w:t>39</w:t>
            </w:r>
          </w:p>
        </w:tc>
      </w:tr>
      <w:tr>
        <w:tblPrEx>
          <w:tblW w:w="4510" w:type="dxa"/>
          <w:tblInd w:w="0" w:type="dxa"/>
          <w:tblLayout w:type="fixed"/>
        </w:tblPrEx>
        <w:trPr>
          <w:trHeight w:val="540"/>
        </w:trPr>
        <w:tc>
          <w:tcPr>
            <w:tcW w:w="4080" w:type="dxa"/>
            <w:tcBorders>
              <w:top w:val="single" w:sz="2" w:space="0" w:color="EF6B2D"/>
              <w:bottom w:val="single" w:sz="2" w:space="0" w:color="EF6B2D"/>
            </w:tcBorders>
            <w:vAlign w:val="top"/>
          </w:tcPr>
          <w:p>
            <w:pPr>
              <w:pStyle w:val="TableText"/>
              <w:spacing w:before="78" w:line="193" w:lineRule="auto"/>
              <w:ind w:left="44" w:right="118" w:firstLine="10"/>
              <w:rPr>
                <w:sz w:val="16"/>
                <w:szCs w:val="16"/>
              </w:rPr>
            </w:pPr>
            <w:r>
              <w:rPr>
                <w:color w:val="3E3E3F"/>
                <w:spacing w:val="-2"/>
                <w:sz w:val="16"/>
                <w:szCs w:val="16"/>
              </w:rPr>
              <w:t>图 39 当下不会考虑责任投资的个人投资者的未来一</w:t>
            </w:r>
            <w:r>
              <w:rPr>
                <w:color w:val="3E3E3F"/>
                <w:spacing w:val="-3"/>
                <w:sz w:val="16"/>
                <w:szCs w:val="16"/>
              </w:rPr>
              <w:t>年责</w:t>
            </w:r>
            <w:r>
              <w:rPr>
                <w:color w:val="3E3E3F"/>
                <w:sz w:val="16"/>
                <w:szCs w:val="16"/>
              </w:rPr>
              <w:t xml:space="preserve"> </w:t>
            </w:r>
            <w:r>
              <w:rPr>
                <w:color w:val="3E3E3F"/>
                <w:spacing w:val="-1"/>
                <w:sz w:val="16"/>
                <w:szCs w:val="16"/>
              </w:rPr>
              <w:t>任投资计划</w:t>
            </w:r>
          </w:p>
        </w:tc>
        <w:tc>
          <w:tcPr>
            <w:tcW w:w="430" w:type="dxa"/>
            <w:tcBorders>
              <w:top w:val="single" w:sz="2" w:space="0" w:color="EF6B2D"/>
              <w:bottom w:val="single" w:sz="2" w:space="0" w:color="EF6B2D"/>
            </w:tcBorders>
            <w:vAlign w:val="top"/>
          </w:tcPr>
          <w:p>
            <w:pPr>
              <w:pStyle w:val="TableText"/>
              <w:spacing w:before="200" w:line="169" w:lineRule="auto"/>
              <w:ind w:left="100"/>
              <w:rPr>
                <w:sz w:val="18"/>
                <w:szCs w:val="18"/>
              </w:rPr>
            </w:pPr>
            <w:r>
              <w:rPr>
                <w:b/>
                <w:bCs/>
                <w:color w:val="EF6B2D"/>
                <w:spacing w:val="-2"/>
                <w:sz w:val="18"/>
                <w:szCs w:val="18"/>
              </w:rPr>
              <w:t>39</w:t>
            </w:r>
          </w:p>
        </w:tc>
      </w:tr>
      <w:tr>
        <w:tblPrEx>
          <w:tblW w:w="4510" w:type="dxa"/>
          <w:tblInd w:w="0" w:type="dxa"/>
          <w:tblLayout w:type="fixed"/>
        </w:tblPrEx>
        <w:trPr>
          <w:trHeight w:val="303"/>
        </w:trPr>
        <w:tc>
          <w:tcPr>
            <w:tcW w:w="4510" w:type="dxa"/>
            <w:gridSpan w:val="2"/>
            <w:tcBorders>
              <w:top w:val="single" w:sz="2" w:space="0" w:color="EF6B2D"/>
              <w:bottom w:val="single" w:sz="2" w:space="0" w:color="EF6B2D"/>
            </w:tcBorders>
            <w:vAlign w:val="top"/>
          </w:tcPr>
          <w:p>
            <w:pPr>
              <w:pStyle w:val="TableText"/>
              <w:spacing w:before="74" w:line="163" w:lineRule="auto"/>
              <w:ind w:left="54"/>
              <w:rPr>
                <w:sz w:val="18"/>
                <w:szCs w:val="18"/>
              </w:rPr>
            </w:pPr>
            <w:r>
              <w:rPr>
                <w:color w:val="3E3E3F"/>
                <w:spacing w:val="-1"/>
                <w:sz w:val="16"/>
                <w:szCs w:val="16"/>
              </w:rPr>
              <w:t>图</w:t>
            </w:r>
            <w:r>
              <w:rPr>
                <w:color w:val="3E3E3F"/>
                <w:spacing w:val="5"/>
                <w:sz w:val="16"/>
                <w:szCs w:val="16"/>
              </w:rPr>
              <w:t xml:space="preserve"> </w:t>
            </w:r>
            <w:r>
              <w:rPr>
                <w:color w:val="3E3E3F"/>
                <w:spacing w:val="-1"/>
                <w:sz w:val="16"/>
                <w:szCs w:val="16"/>
              </w:rPr>
              <w:t xml:space="preserve">40 个人投资者的ESG信息获取渠道偏好                         </w:t>
            </w:r>
            <w:r>
              <w:rPr>
                <w:b/>
                <w:bCs/>
                <w:color w:val="EF6B2D"/>
                <w:spacing w:val="-1"/>
                <w:sz w:val="18"/>
                <w:szCs w:val="18"/>
              </w:rPr>
              <w:t>39</w:t>
            </w:r>
          </w:p>
        </w:tc>
      </w:tr>
      <w:tr>
        <w:tblPrEx>
          <w:tblW w:w="4510" w:type="dxa"/>
          <w:tblInd w:w="0" w:type="dxa"/>
          <w:tblLayout w:type="fixed"/>
        </w:tblPrEx>
        <w:trPr>
          <w:trHeight w:val="281"/>
        </w:trPr>
        <w:tc>
          <w:tcPr>
            <w:tcW w:w="4510" w:type="dxa"/>
            <w:gridSpan w:val="2"/>
            <w:tcBorders>
              <w:top w:val="single" w:sz="2" w:space="0" w:color="EF6B2D"/>
              <w:bottom w:val="single" w:sz="2" w:space="0" w:color="EF6B2D"/>
            </w:tcBorders>
            <w:vAlign w:val="top"/>
          </w:tcPr>
          <w:p>
            <w:pPr>
              <w:pStyle w:val="TableText"/>
              <w:spacing w:before="66" w:line="159" w:lineRule="auto"/>
              <w:ind w:left="54"/>
              <w:rPr>
                <w:sz w:val="18"/>
                <w:szCs w:val="18"/>
              </w:rPr>
            </w:pPr>
            <w:r>
              <w:rPr>
                <w:color w:val="3E3E3F"/>
                <w:spacing w:val="-1"/>
                <w:sz w:val="16"/>
                <w:szCs w:val="16"/>
              </w:rPr>
              <w:t>图</w:t>
            </w:r>
            <w:r>
              <w:rPr>
                <w:color w:val="3E3E3F"/>
                <w:spacing w:val="-9"/>
                <w:sz w:val="16"/>
                <w:szCs w:val="16"/>
              </w:rPr>
              <w:t xml:space="preserve"> </w:t>
            </w:r>
            <w:r>
              <w:rPr>
                <w:color w:val="3E3E3F"/>
                <w:spacing w:val="-1"/>
                <w:sz w:val="16"/>
                <w:szCs w:val="16"/>
              </w:rPr>
              <w:t xml:space="preserve">41 个人投资者开展责任投资的障碍                   </w:t>
            </w:r>
            <w:r>
              <w:rPr>
                <w:color w:val="3E3E3F"/>
                <w:spacing w:val="-2"/>
                <w:sz w:val="16"/>
                <w:szCs w:val="16"/>
              </w:rPr>
              <w:t xml:space="preserve">             </w:t>
            </w:r>
            <w:r>
              <w:rPr>
                <w:b/>
                <w:bCs/>
                <w:color w:val="EF6B2D"/>
                <w:spacing w:val="-2"/>
                <w:position w:val="-1"/>
                <w:sz w:val="18"/>
                <w:szCs w:val="18"/>
              </w:rPr>
              <w:t>40</w:t>
            </w:r>
          </w:p>
        </w:tc>
      </w:tr>
      <w:tr>
        <w:tblPrEx>
          <w:tblW w:w="4510" w:type="dxa"/>
          <w:tblInd w:w="0" w:type="dxa"/>
          <w:tblLayout w:type="fixed"/>
        </w:tblPrEx>
        <w:trPr>
          <w:trHeight w:val="292"/>
        </w:trPr>
        <w:tc>
          <w:tcPr>
            <w:tcW w:w="4510" w:type="dxa"/>
            <w:gridSpan w:val="2"/>
            <w:tcBorders>
              <w:top w:val="single" w:sz="2" w:space="0" w:color="EF6B2D"/>
              <w:bottom w:val="single" w:sz="2" w:space="0" w:color="EF6B2D"/>
            </w:tcBorders>
            <w:vAlign w:val="top"/>
          </w:tcPr>
          <w:p>
            <w:pPr>
              <w:pStyle w:val="TableText"/>
              <w:spacing w:before="79" w:line="157" w:lineRule="auto"/>
              <w:ind w:left="54"/>
              <w:rPr>
                <w:sz w:val="18"/>
                <w:szCs w:val="18"/>
              </w:rPr>
            </w:pPr>
            <w:r>
              <w:rPr>
                <w:color w:val="3E3E3F"/>
                <w:sz w:val="16"/>
                <w:szCs w:val="16"/>
              </w:rPr>
              <w:t>图</w:t>
            </w:r>
            <w:r>
              <w:rPr>
                <w:color w:val="3E3E3F"/>
                <w:spacing w:val="-9"/>
                <w:sz w:val="16"/>
                <w:szCs w:val="16"/>
              </w:rPr>
              <w:t xml:space="preserve"> </w:t>
            </w:r>
            <w:r>
              <w:rPr>
                <w:color w:val="3E3E3F"/>
                <w:sz w:val="16"/>
                <w:szCs w:val="16"/>
              </w:rPr>
              <w:t xml:space="preserve">44 个人投资者采纳责任投资前三大障碍的变化 </w:t>
            </w:r>
            <w:r>
              <w:rPr>
                <w:color w:val="3E3E3F"/>
                <w:spacing w:val="-1"/>
                <w:sz w:val="16"/>
                <w:szCs w:val="16"/>
              </w:rPr>
              <w:t xml:space="preserve">             </w:t>
            </w:r>
            <w:r>
              <w:rPr>
                <w:b/>
                <w:bCs/>
                <w:color w:val="EF6B2D"/>
                <w:spacing w:val="-1"/>
                <w:sz w:val="18"/>
                <w:szCs w:val="18"/>
              </w:rPr>
              <w:t>40</w:t>
            </w:r>
          </w:p>
        </w:tc>
      </w:tr>
      <w:tr>
        <w:tblPrEx>
          <w:tblW w:w="4510" w:type="dxa"/>
          <w:tblInd w:w="0" w:type="dxa"/>
          <w:tblLayout w:type="fixed"/>
        </w:tblPrEx>
        <w:trPr>
          <w:trHeight w:val="1271"/>
        </w:trPr>
        <w:tc>
          <w:tcPr>
            <w:tcW w:w="4510" w:type="dxa"/>
            <w:gridSpan w:val="2"/>
            <w:tcBorders>
              <w:top w:val="single" w:sz="2" w:space="0" w:color="EF6B2D"/>
              <w:bottom w:val="single" w:sz="2" w:space="0" w:color="EF6B2D"/>
            </w:tcBorders>
            <w:vAlign w:val="top"/>
          </w:tcPr>
          <w:p>
            <w:pPr>
              <w:pStyle w:val="TableText"/>
              <w:spacing w:before="417" w:line="230" w:lineRule="auto"/>
              <w:ind w:left="54"/>
              <w:rPr>
                <w:sz w:val="48"/>
                <w:szCs w:val="48"/>
              </w:rPr>
            </w:pPr>
            <w:r>
              <w:rPr>
                <w:color w:val="EF6B2D"/>
                <w:position w:val="-20"/>
                <w:sz w:val="48"/>
                <w:szCs w:val="48"/>
              </w:rPr>
              <w:drawing>
                <wp:inline distT="0" distB="0" distL="0" distR="0">
                  <wp:extent cx="163076" cy="488687"/>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34"/>
                          <a:stretch>
                            <a:fillRect/>
                          </a:stretch>
                        </pic:blipFill>
                        <pic:spPr>
                          <a:xfrm>
                            <a:off x="0" y="0"/>
                            <a:ext cx="163076" cy="488687"/>
                          </a:xfrm>
                          <a:prstGeom prst="rect">
                            <a:avLst/>
                          </a:prstGeom>
                        </pic:spPr>
                      </pic:pic>
                    </a:graphicData>
                  </a:graphic>
                </wp:inline>
              </w:drawing>
            </w:r>
            <w:r>
              <w:rPr>
                <w:color w:val="EF6B2D"/>
                <w:spacing w:val="91"/>
                <w:sz w:val="48"/>
                <w:szCs w:val="48"/>
              </w:rPr>
              <w:t xml:space="preserve"> </w:t>
            </w:r>
            <w:r>
              <w:rPr>
                <w:color w:val="EF6B2D"/>
                <w:spacing w:val="-5"/>
                <w:sz w:val="48"/>
                <w:szCs w:val="48"/>
                <w14:textFill>
                  <w14:solidFill>
                    <w14:srgbClr w14:val="EF6B2D">
                      <w14:alpha w14:val="30196"/>
                    </w14:srgbClr>
                  </w14:solidFill>
                </w14:textFill>
              </w:rPr>
              <w:t>表目录</w:t>
            </w:r>
          </w:p>
        </w:tc>
      </w:tr>
    </w:tbl>
    <w:p>
      <w:pPr>
        <w:spacing w:before="180" w:line="164" w:lineRule="auto"/>
        <w:ind w:left="7"/>
        <w:rPr>
          <w:rFonts w:ascii="Microsoft YaHei" w:eastAsia="Microsoft YaHei" w:hAnsi="Microsoft YaHei" w:cs="Microsoft YaHei"/>
          <w:sz w:val="18"/>
          <w:szCs w:val="18"/>
        </w:rPr>
      </w:pPr>
      <w:r>
        <w:rPr>
          <w:rFonts w:ascii="Microsoft YaHei" w:eastAsia="Microsoft YaHei" w:hAnsi="Microsoft YaHei" w:cs="Microsoft YaHei"/>
          <w:color w:val="3E3E3F"/>
          <w:spacing w:val="-1"/>
          <w:sz w:val="16"/>
          <w:szCs w:val="16"/>
        </w:rPr>
        <w:t xml:space="preserve">表 1 全球五大市场责任投资总规模                                      </w:t>
      </w:r>
      <w:r>
        <w:rPr>
          <w:rFonts w:ascii="Microsoft YaHei" w:eastAsia="Microsoft YaHei" w:hAnsi="Microsoft YaHei" w:cs="Microsoft YaHei"/>
          <w:b/>
          <w:bCs/>
          <w:color w:val="EF6B2D"/>
          <w:spacing w:val="-1"/>
          <w:sz w:val="18"/>
          <w:szCs w:val="18"/>
          <w14:textFill>
            <w14:solidFill>
              <w14:srgbClr w14:val="EF6B2D">
                <w14:alpha w14:val="30196"/>
              </w14:srgbClr>
            </w14:solidFill>
          </w14:textFill>
        </w:rPr>
        <w:t>06</w:t>
      </w:r>
    </w:p>
    <w:p>
      <w:pPr>
        <w:spacing w:before="262" w:line="170" w:lineRule="auto"/>
        <w:ind w:left="7"/>
        <w:rPr>
          <w:rFonts w:ascii="Microsoft YaHei" w:eastAsia="Microsoft YaHei" w:hAnsi="Microsoft YaHei" w:cs="Microsoft YaHei"/>
          <w:sz w:val="18"/>
          <w:szCs w:val="18"/>
        </w:rPr>
      </w:pPr>
      <w:r>
        <w:rPr>
          <w:rFonts w:ascii="Microsoft YaHei" w:eastAsia="Microsoft YaHei" w:hAnsi="Microsoft YaHei" w:cs="Microsoft YaHei"/>
          <w:color w:val="3E3E3F"/>
          <w:spacing w:val="-5"/>
          <w:sz w:val="16"/>
          <w:szCs w:val="16"/>
        </w:rPr>
        <w:t>表 2 全球五大市场责任投资规模增长情况（2014-2020）</w:t>
      </w:r>
      <w:r>
        <w:rPr>
          <w:rFonts w:ascii="Microsoft YaHei" w:eastAsia="Microsoft YaHei" w:hAnsi="Microsoft YaHei" w:cs="Microsoft YaHei"/>
          <w:color w:val="3E3E3F"/>
          <w:spacing w:val="-6"/>
          <w:sz w:val="16"/>
          <w:szCs w:val="16"/>
        </w:rPr>
        <w:t xml:space="preserve">       </w:t>
      </w:r>
      <w:r>
        <w:rPr>
          <w:rFonts w:ascii="Microsoft YaHei" w:eastAsia="Microsoft YaHei" w:hAnsi="Microsoft YaHei" w:cs="Microsoft YaHei"/>
          <w:b/>
          <w:bCs/>
          <w:color w:val="EF6B2D"/>
          <w:spacing w:val="-6"/>
          <w:position w:val="-1"/>
          <w:sz w:val="18"/>
          <w:szCs w:val="18"/>
          <w14:textFill>
            <w14:solidFill>
              <w14:srgbClr w14:val="EF6B2D">
                <w14:alpha w14:val="30196"/>
              </w14:srgbClr>
            </w14:solidFill>
          </w14:textFill>
        </w:rPr>
        <w:t>06</w:t>
      </w:r>
    </w:p>
    <w:p>
      <w:pPr>
        <w:spacing w:before="259" w:line="171" w:lineRule="auto"/>
        <w:ind w:left="7"/>
        <w:rPr>
          <w:rFonts w:ascii="Microsoft YaHei" w:eastAsia="Microsoft YaHei" w:hAnsi="Microsoft YaHei" w:cs="Microsoft YaHei"/>
          <w:sz w:val="18"/>
          <w:szCs w:val="18"/>
        </w:rPr>
      </w:pPr>
      <w:r>
        <w:rPr>
          <w:rFonts w:ascii="Microsoft YaHei" w:eastAsia="Microsoft YaHei" w:hAnsi="Microsoft YaHei" w:cs="Microsoft YaHei"/>
          <w:color w:val="3E3E3F"/>
          <w:spacing w:val="-4"/>
          <w:sz w:val="16"/>
          <w:szCs w:val="16"/>
        </w:rPr>
        <w:t>表 3 基于公募基金2020年-2023年的基金ESG评分分布情况</w:t>
      </w:r>
      <w:r>
        <w:rPr>
          <w:rFonts w:ascii="Microsoft YaHei" w:eastAsia="Microsoft YaHei" w:hAnsi="Microsoft YaHei" w:cs="Microsoft YaHei"/>
          <w:color w:val="3E3E3F"/>
          <w:spacing w:val="14"/>
          <w:sz w:val="16"/>
          <w:szCs w:val="16"/>
        </w:rPr>
        <w:t xml:space="preserve">  </w:t>
      </w:r>
      <w:r>
        <w:rPr>
          <w:rFonts w:ascii="Microsoft YaHei" w:eastAsia="Microsoft YaHei" w:hAnsi="Microsoft YaHei" w:cs="Microsoft YaHei"/>
          <w:b/>
          <w:bCs/>
          <w:color w:val="EF6B2D"/>
          <w:spacing w:val="-4"/>
          <w:position w:val="-1"/>
          <w:sz w:val="18"/>
          <w:szCs w:val="18"/>
          <w14:textFill>
            <w14:solidFill>
              <w14:srgbClr w14:val="EF6B2D">
                <w14:alpha w14:val="30196"/>
              </w14:srgbClr>
            </w14:solidFill>
          </w14:textFill>
        </w:rPr>
        <w:t>21</w:t>
      </w:r>
    </w:p>
    <w:p>
      <w:pPr>
        <w:spacing w:before="255" w:line="183" w:lineRule="auto"/>
        <w:ind w:left="7"/>
        <w:rPr>
          <w:rFonts w:ascii="Microsoft YaHei" w:eastAsia="Microsoft YaHei" w:hAnsi="Microsoft YaHei" w:cs="Microsoft YaHei"/>
          <w:sz w:val="18"/>
          <w:szCs w:val="18"/>
        </w:rPr>
      </w:pPr>
      <w:r>
        <w:rPr>
          <w:rFonts w:ascii="Microsoft YaHei" w:eastAsia="Microsoft YaHei" w:hAnsi="Microsoft YaHei" w:cs="Microsoft YaHei"/>
          <w:color w:val="3E3E3F"/>
          <w:spacing w:val="-4"/>
          <w:sz w:val="16"/>
          <w:szCs w:val="16"/>
        </w:rPr>
        <w:t xml:space="preserve">表 4 公募基金2020Q2-2023Q2的基金碳强度分布情况          </w:t>
      </w:r>
      <w:r>
        <w:rPr>
          <w:rFonts w:ascii="Microsoft YaHei" w:eastAsia="Microsoft YaHei" w:hAnsi="Microsoft YaHei" w:cs="Microsoft YaHei"/>
          <w:b/>
          <w:bCs/>
          <w:color w:val="EF6B2D"/>
          <w:spacing w:val="-4"/>
          <w:position w:val="-1"/>
          <w:sz w:val="18"/>
          <w:szCs w:val="18"/>
          <w14:textFill>
            <w14:solidFill>
              <w14:srgbClr w14:val="EF6B2D">
                <w14:alpha w14:val="30196"/>
              </w14:srgbClr>
            </w14:solidFill>
          </w14:textFill>
        </w:rPr>
        <w:t>23</w:t>
      </w:r>
    </w:p>
    <w:p>
      <w:pPr>
        <w:spacing w:before="242" w:line="170" w:lineRule="auto"/>
        <w:ind w:left="7"/>
        <w:rPr>
          <w:rFonts w:ascii="Microsoft YaHei" w:eastAsia="Microsoft YaHei" w:hAnsi="Microsoft YaHei" w:cs="Microsoft YaHei"/>
          <w:sz w:val="18"/>
          <w:szCs w:val="18"/>
        </w:rPr>
      </w:pPr>
      <w:r>
        <w:rPr>
          <w:rFonts w:ascii="Microsoft YaHei" w:eastAsia="Microsoft YaHei" w:hAnsi="Microsoft YaHei" w:cs="Microsoft YaHei"/>
          <w:color w:val="3E3E3F"/>
          <w:spacing w:val="-1"/>
          <w:sz w:val="16"/>
          <w:szCs w:val="16"/>
        </w:rPr>
        <w:t xml:space="preserve">表 5 被动指数的ESG评分与未来半年投资表现的关系           </w:t>
      </w:r>
      <w:r>
        <w:rPr>
          <w:rFonts w:ascii="Microsoft YaHei" w:eastAsia="Microsoft YaHei" w:hAnsi="Microsoft YaHei" w:cs="Microsoft YaHei"/>
          <w:b/>
          <w:bCs/>
          <w:color w:val="EF6B2D"/>
          <w:spacing w:val="-1"/>
          <w:position w:val="-1"/>
          <w:sz w:val="18"/>
          <w:szCs w:val="18"/>
          <w14:textFill>
            <w14:solidFill>
              <w14:srgbClr w14:val="EF6B2D">
                <w14:alpha w14:val="30196"/>
              </w14:srgbClr>
            </w14:solidFill>
          </w14:textFill>
        </w:rPr>
        <w:t>24</w:t>
      </w:r>
    </w:p>
    <w:p>
      <w:pPr>
        <w:spacing w:before="258" w:line="162" w:lineRule="auto"/>
        <w:ind w:left="7"/>
        <w:rPr>
          <w:rFonts w:ascii="Microsoft YaHei" w:eastAsia="Microsoft YaHei" w:hAnsi="Microsoft YaHei" w:cs="Microsoft YaHei"/>
          <w:sz w:val="18"/>
          <w:szCs w:val="18"/>
        </w:rPr>
      </w:pPr>
      <w:r>
        <w:rPr>
          <w:rFonts w:ascii="Microsoft YaHei" w:eastAsia="Microsoft YaHei" w:hAnsi="Microsoft YaHei" w:cs="Microsoft YaHei"/>
          <w:color w:val="3E3E3F"/>
          <w:spacing w:val="-1"/>
          <w:sz w:val="16"/>
          <w:szCs w:val="16"/>
        </w:rPr>
        <w:t xml:space="preserve">表 6 ESG择优选股指数与高质量发展                                   </w:t>
      </w:r>
      <w:r>
        <w:rPr>
          <w:rFonts w:ascii="Microsoft YaHei" w:eastAsia="Microsoft YaHei" w:hAnsi="Microsoft YaHei" w:cs="Microsoft YaHei"/>
          <w:b/>
          <w:bCs/>
          <w:color w:val="EF6B2D"/>
          <w:spacing w:val="-1"/>
          <w:sz w:val="18"/>
          <w:szCs w:val="18"/>
          <w14:textFill>
            <w14:solidFill>
              <w14:srgbClr w14:val="EF6B2D">
                <w14:alpha w14:val="30196"/>
              </w14:srgbClr>
            </w14:solidFill>
          </w14:textFill>
        </w:rPr>
        <w:t>29</w:t>
      </w:r>
    </w:p>
    <w:p>
      <w:pPr>
        <w:spacing w:before="266" w:line="163" w:lineRule="auto"/>
        <w:ind w:left="7"/>
        <w:rPr>
          <w:rFonts w:ascii="Microsoft YaHei" w:eastAsia="Microsoft YaHei" w:hAnsi="Microsoft YaHei" w:cs="Microsoft YaHei"/>
          <w:sz w:val="18"/>
          <w:szCs w:val="18"/>
        </w:rPr>
      </w:pPr>
      <w:r>
        <w:rPr>
          <w:rFonts w:ascii="Microsoft YaHei" w:eastAsia="Microsoft YaHei" w:hAnsi="Microsoft YaHei" w:cs="Microsoft YaHei"/>
          <w:color w:val="3E3E3F"/>
          <w:spacing w:val="-1"/>
          <w:sz w:val="16"/>
          <w:szCs w:val="16"/>
        </w:rPr>
        <w:t xml:space="preserve">表 7 ESG基金数量和规模                </w:t>
      </w:r>
      <w:r>
        <w:rPr>
          <w:rFonts w:ascii="Microsoft YaHei" w:eastAsia="Microsoft YaHei" w:hAnsi="Microsoft YaHei" w:cs="Microsoft YaHei"/>
          <w:color w:val="3E3E3F"/>
          <w:spacing w:val="-2"/>
          <w:sz w:val="16"/>
          <w:szCs w:val="16"/>
        </w:rPr>
        <w:t xml:space="preserve">                                     </w:t>
      </w:r>
      <w:r>
        <w:rPr>
          <w:rFonts w:ascii="Microsoft YaHei" w:eastAsia="Microsoft YaHei" w:hAnsi="Microsoft YaHei" w:cs="Microsoft YaHei"/>
          <w:b/>
          <w:bCs/>
          <w:color w:val="EF6B2D"/>
          <w:spacing w:val="-2"/>
          <w:sz w:val="18"/>
          <w:szCs w:val="18"/>
          <w14:textFill>
            <w14:solidFill>
              <w14:srgbClr w14:val="EF6B2D">
                <w14:alpha w14:val="30196"/>
              </w14:srgbClr>
            </w14:solidFill>
          </w14:textFill>
        </w:rPr>
        <w:t>30</w:t>
      </w:r>
    </w:p>
    <w:p>
      <w:pPr>
        <w:spacing w:before="267" w:line="181" w:lineRule="auto"/>
        <w:ind w:left="7"/>
        <w:rPr>
          <w:rFonts w:ascii="Microsoft YaHei" w:eastAsia="Microsoft YaHei" w:hAnsi="Microsoft YaHei" w:cs="Microsoft YaHei"/>
          <w:sz w:val="18"/>
          <w:szCs w:val="18"/>
        </w:rPr>
      </w:pPr>
      <w:r>
        <w:rPr>
          <w:rFonts w:ascii="Microsoft YaHei" w:eastAsia="Microsoft YaHei" w:hAnsi="Microsoft YaHei" w:cs="Microsoft YaHei"/>
          <w:color w:val="3E3E3F"/>
          <w:spacing w:val="-4"/>
          <w:sz w:val="16"/>
          <w:szCs w:val="16"/>
        </w:rPr>
        <w:t xml:space="preserve">表 8 主动管理ESG基金长期表现(2013-2023: 10年)                </w:t>
      </w:r>
      <w:r>
        <w:rPr>
          <w:rFonts w:ascii="Microsoft YaHei" w:eastAsia="Microsoft YaHei" w:hAnsi="Microsoft YaHei" w:cs="Microsoft YaHei"/>
          <w:b/>
          <w:bCs/>
          <w:color w:val="EF6B2D"/>
          <w:spacing w:val="-4"/>
          <w:position w:val="-1"/>
          <w:sz w:val="18"/>
          <w:szCs w:val="18"/>
          <w14:textFill>
            <w14:solidFill>
              <w14:srgbClr w14:val="EF6B2D">
                <w14:alpha w14:val="30196"/>
              </w14:srgbClr>
            </w14:solidFill>
          </w14:textFill>
        </w:rPr>
        <w:t>31</w:t>
      </w:r>
    </w:p>
    <w:p>
      <w:pPr>
        <w:spacing w:before="243" w:line="181" w:lineRule="auto"/>
        <w:ind w:left="7"/>
        <w:rPr>
          <w:rFonts w:ascii="Microsoft YaHei" w:eastAsia="Microsoft YaHei" w:hAnsi="Microsoft YaHei" w:cs="Microsoft YaHei"/>
          <w:sz w:val="18"/>
          <w:szCs w:val="18"/>
        </w:rPr>
      </w:pPr>
      <w:r>
        <w:rPr>
          <w:rFonts w:ascii="Microsoft YaHei" w:eastAsia="Microsoft YaHei" w:hAnsi="Microsoft YaHei" w:cs="Microsoft YaHei"/>
          <w:color w:val="3E3E3F"/>
          <w:spacing w:val="-4"/>
          <w:sz w:val="16"/>
          <w:szCs w:val="16"/>
        </w:rPr>
        <w:t xml:space="preserve">表 9 不同类型的ESG基金的表现(2013-2023: 10年)                </w:t>
      </w:r>
      <w:r>
        <w:rPr>
          <w:rFonts w:ascii="Microsoft YaHei" w:eastAsia="Microsoft YaHei" w:hAnsi="Microsoft YaHei" w:cs="Microsoft YaHei"/>
          <w:b/>
          <w:bCs/>
          <w:color w:val="EF6B2D"/>
          <w:spacing w:val="-4"/>
          <w:position w:val="-1"/>
          <w:sz w:val="18"/>
          <w:szCs w:val="18"/>
          <w14:textFill>
            <w14:solidFill>
              <w14:srgbClr w14:val="EF6B2D">
                <w14:alpha w14:val="30196"/>
              </w14:srgbClr>
            </w14:solidFill>
          </w14:textFill>
        </w:rPr>
        <w:t>31</w:t>
      </w:r>
    </w:p>
    <w:p>
      <w:pPr>
        <w:spacing w:before="242" w:line="164" w:lineRule="auto"/>
        <w:ind w:left="7"/>
        <w:rPr>
          <w:rFonts w:ascii="Microsoft YaHei" w:eastAsia="Microsoft YaHei" w:hAnsi="Microsoft YaHei" w:cs="Microsoft YaHei"/>
          <w:sz w:val="18"/>
          <w:szCs w:val="18"/>
        </w:rPr>
      </w:pPr>
      <w:r>
        <w:rPr>
          <w:rFonts w:ascii="Microsoft YaHei" w:eastAsia="Microsoft YaHei" w:hAnsi="Microsoft YaHei" w:cs="Microsoft YaHei"/>
          <w:color w:val="3E3E3F"/>
          <w:spacing w:val="-2"/>
          <w:sz w:val="16"/>
          <w:szCs w:val="16"/>
        </w:rPr>
        <w:t xml:space="preserve">表 10 ESG基金的ESG评分                                                    </w:t>
      </w:r>
      <w:r>
        <w:rPr>
          <w:rFonts w:ascii="Microsoft YaHei" w:eastAsia="Microsoft YaHei" w:hAnsi="Microsoft YaHei" w:cs="Microsoft YaHei"/>
          <w:b/>
          <w:bCs/>
          <w:color w:val="EF6B2D"/>
          <w:spacing w:val="-2"/>
          <w:sz w:val="18"/>
          <w:szCs w:val="18"/>
          <w14:textFill>
            <w14:solidFill>
              <w14:srgbClr w14:val="EF6B2D">
                <w14:alpha w14:val="30196"/>
              </w14:srgbClr>
            </w14:solidFill>
          </w14:textFill>
        </w:rPr>
        <w:t>32</w:t>
      </w:r>
    </w:p>
    <w:p>
      <w:pPr>
        <w:spacing w:before="265" w:line="180" w:lineRule="auto"/>
        <w:ind w:left="7" w:right="112"/>
        <w:rPr>
          <w:rFonts w:ascii="Microsoft YaHei" w:eastAsia="Microsoft YaHei" w:hAnsi="Microsoft YaHei" w:cs="Microsoft YaHei"/>
          <w:sz w:val="16"/>
          <w:szCs w:val="16"/>
        </w:rPr>
      </w:pPr>
      <w:r>
        <w:rPr>
          <w:rFonts w:ascii="Microsoft YaHei" w:eastAsia="Microsoft YaHei" w:hAnsi="Microsoft YaHei" w:cs="Microsoft YaHei"/>
          <w:color w:val="3E3E3F"/>
          <w:spacing w:val="-5"/>
          <w:sz w:val="16"/>
          <w:szCs w:val="16"/>
        </w:rPr>
        <w:t>表 11 全部基金、ESG基金与ESG基金细分类别的转型风险评</w:t>
      </w:r>
      <w:r>
        <w:rPr>
          <w:rFonts w:ascii="Microsoft YaHei" w:eastAsia="Microsoft YaHei" w:hAnsi="Microsoft YaHei" w:cs="Microsoft YaHei"/>
          <w:color w:val="3E3E3F"/>
          <w:spacing w:val="43"/>
          <w:w w:val="101"/>
          <w:sz w:val="16"/>
          <w:szCs w:val="16"/>
        </w:rPr>
        <w:t xml:space="preserve"> </w:t>
      </w:r>
      <w:r>
        <w:rPr>
          <w:rFonts w:ascii="Microsoft YaHei" w:eastAsia="Microsoft YaHei" w:hAnsi="Microsoft YaHei" w:cs="Microsoft YaHei"/>
          <w:b/>
          <w:bCs/>
          <w:color w:val="EF6B2D"/>
          <w:spacing w:val="-5"/>
          <w:sz w:val="18"/>
          <w:szCs w:val="18"/>
          <w14:textFill>
            <w14:solidFill>
              <w14:srgbClr w14:val="EF6B2D">
                <w14:alpha w14:val="30196"/>
              </w14:srgbClr>
            </w14:solidFill>
          </w14:textFill>
        </w:rPr>
        <w:t>32</w:t>
      </w:r>
      <w:r>
        <w:rPr>
          <w:rFonts w:ascii="Microsoft YaHei" w:eastAsia="Microsoft YaHei" w:hAnsi="Microsoft YaHei" w:cs="Microsoft YaHei"/>
          <w:b/>
          <w:bCs/>
          <w:color w:val="EF6B2D"/>
          <w:sz w:val="18"/>
          <w:szCs w:val="18"/>
          <w14:textFill>
            <w14:solidFill>
              <w14:srgbClr w14:val="EF6B2D">
                <w14:alpha w14:val="30196"/>
              </w14:srgbClr>
            </w14:solidFill>
          </w14:textFill>
        </w:rPr>
        <w:t xml:space="preserve"> </w:t>
      </w:r>
      <w:r>
        <w:rPr>
          <w:rFonts w:ascii="Microsoft YaHei" w:eastAsia="Microsoft YaHei" w:hAnsi="Microsoft YaHei" w:cs="Microsoft YaHei"/>
          <w:color w:val="3E3E3F"/>
          <w:sz w:val="16"/>
          <w:szCs w:val="16"/>
        </w:rPr>
        <w:t>分</w:t>
      </w:r>
    </w:p>
    <w:p>
      <w:pPr>
        <w:spacing w:line="180" w:lineRule="auto"/>
        <w:rPr>
          <w:rFonts w:ascii="Microsoft YaHei" w:eastAsia="Microsoft YaHei" w:hAnsi="Microsoft YaHei" w:cs="Microsoft YaHei"/>
          <w:sz w:val="16"/>
          <w:szCs w:val="16"/>
        </w:rPr>
        <w:sectPr>
          <w:footerReference w:type="default" r:id="rId35"/>
          <w:type w:val="nextPage"/>
          <w:pgSz w:w="12246" w:h="17178"/>
          <w:pgMar w:top="1055" w:right="1497" w:bottom="400" w:left="1433" w:header="0" w:footer="0" w:gutter="0"/>
          <w:pgNumType w:start="13"/>
          <w:cols w:num="2" w:space="708" w:equalWidth="0">
            <w:col w:w="4705" w:space="100"/>
            <w:col w:w="4511" w:space="0"/>
          </w:cols>
          <w:titlePg w:val="0"/>
        </w:sectPr>
      </w:pPr>
    </w:p>
    <w:p>
      <w:pPr>
        <w:spacing w:before="50" w:line="236" w:lineRule="auto"/>
        <w:ind w:left="649"/>
        <w:rPr>
          <w:rFonts w:ascii="Microsoft YaHei" w:eastAsia="Microsoft YaHei" w:hAnsi="Microsoft YaHei" w:cs="Microsoft YaHei"/>
          <w:sz w:val="16"/>
          <w:szCs w:val="16"/>
        </w:rPr>
      </w:pPr>
      <w:r>
        <w:pict>
          <v:shape id="_x0000_s1079" style="width:153pt;height:0.25pt;margin-top:787.18pt;margin-left:73.15pt;mso-position-horizontal-relative:page;mso-position-vertical-relative:page;position:absolute;z-index:251717632" coordorigin="0,0" coordsize="3060,5" o:allowincell="f" path="m,2l3059,2e" filled="f" strokecolor="#808285" strokeweight="0.25pt">
            <v:stroke joinstyle="miter"/>
          </v:shape>
        </w:pict>
      </w:r>
      <w:r>
        <w:pict>
          <v:shape id="_x0000_s1080" type="#_x0000_t202" style="width:12.5pt;height:13.95pt;margin-top:3.84pt;margin-left:-1pt;position:absolute;z-index:251716608" filled="f" stroked="f">
            <o:lock v:ext="edit" aspectratio="f"/>
            <v:textbox inset="0,0,0,0">
              <w:txbxContent>
                <w:p>
                  <w:pPr>
                    <w:spacing w:before="20" w:line="167" w:lineRule="auto"/>
                    <w:ind w:left="20"/>
                    <w:rPr>
                      <w:rFonts w:ascii="Microsoft YaHei" w:eastAsia="Microsoft YaHei" w:hAnsi="Microsoft YaHei" w:cs="Microsoft YaHei"/>
                      <w:sz w:val="20"/>
                      <w:szCs w:val="20"/>
                    </w:rPr>
                  </w:pPr>
                  <w:r>
                    <w:rPr>
                      <w:rFonts w:ascii="Microsoft YaHei" w:eastAsia="Microsoft YaHei" w:hAnsi="Microsoft YaHei" w:cs="Microsoft YaHei"/>
                      <w:color w:val="EF6B2D"/>
                      <w:spacing w:val="-7"/>
                      <w:sz w:val="20"/>
                      <w:szCs w:val="20"/>
                    </w:rPr>
                    <w:t>04</w:t>
                  </w:r>
                </w:p>
              </w:txbxContent>
            </v:textbox>
          </v:shape>
        </w:pict>
      </w:r>
      <w:r>
        <w:rPr>
          <w:rFonts w:ascii="Microsoft YaHei" w:eastAsia="Microsoft YaHei" w:hAnsi="Microsoft YaHei" w:cs="Microsoft YaHei"/>
          <w:color w:val="EF6B2D"/>
          <w:position w:val="-6"/>
          <w:sz w:val="16"/>
          <w:szCs w:val="16"/>
        </w:rPr>
        <w:drawing>
          <wp:inline distT="0" distB="0" distL="0" distR="0">
            <wp:extent cx="54236" cy="162521"/>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18"/>
                    <a:stretch>
                      <a:fillRect/>
                    </a:stretch>
                  </pic:blipFill>
                  <pic:spPr>
                    <a:xfrm>
                      <a:off x="0" y="0"/>
                      <a:ext cx="54236" cy="162521"/>
                    </a:xfrm>
                    <a:prstGeom prst="rect">
                      <a:avLst/>
                    </a:prstGeom>
                  </pic:spPr>
                </pic:pic>
              </a:graphicData>
            </a:graphic>
          </wp:inline>
        </w:drawing>
      </w:r>
      <w:r>
        <w:rPr>
          <w:rFonts w:ascii="Microsoft YaHei" w:eastAsia="Microsoft YaHei" w:hAnsi="Microsoft YaHei" w:cs="Microsoft YaHei"/>
          <w:color w:val="EF6B2D"/>
          <w:spacing w:val="2"/>
          <w:sz w:val="16"/>
          <w:szCs w:val="16"/>
        </w:rPr>
        <w:t xml:space="preserve">  </w:t>
      </w:r>
      <w:r>
        <w:rPr>
          <w:rFonts w:ascii="Microsoft YaHei" w:eastAsia="Microsoft YaHei" w:hAnsi="Microsoft YaHei" w:cs="Microsoft YaHei"/>
          <w:color w:val="EF6B2D"/>
          <w:sz w:val="16"/>
          <w:szCs w:val="16"/>
        </w:rPr>
        <w:t xml:space="preserve">中国责任投资年度报告2023   </w:t>
      </w:r>
      <w:r>
        <w:rPr>
          <w:rFonts w:ascii="Microsoft YaHei" w:eastAsia="Microsoft YaHei" w:hAnsi="Microsoft YaHei" w:cs="Microsoft YaHei"/>
          <w:strike/>
          <w:color w:val="EF6B2D"/>
          <w:sz w:val="16"/>
          <w:szCs w:val="16"/>
        </w:rPr>
        <w:t xml:space="preserve">        </w:t>
      </w:r>
      <w:r>
        <w:rPr>
          <w:rFonts w:ascii="Microsoft YaHei" w:eastAsia="Microsoft YaHei" w:hAnsi="Microsoft YaHei" w:cs="Microsoft YaHei"/>
          <w:strike/>
          <w:color w:val="EF6B2D"/>
          <w:spacing w:val="-1"/>
          <w:sz w:val="16"/>
          <w:szCs w:val="16"/>
        </w:rPr>
        <w:t xml:space="preserve">                                                                                                                                               </w:t>
      </w:r>
    </w:p>
    <w:p>
      <w:pPr>
        <w:pStyle w:val="BodyText"/>
        <w:spacing w:line="278" w:lineRule="auto"/>
      </w:pPr>
    </w:p>
    <w:p>
      <w:pPr>
        <w:pStyle w:val="BodyText"/>
        <w:spacing w:line="279" w:lineRule="auto"/>
      </w:pPr>
    </w:p>
    <w:p>
      <w:pPr>
        <w:spacing w:before="206" w:line="236" w:lineRule="auto"/>
        <w:ind w:left="662"/>
        <w:rPr>
          <w:rFonts w:ascii="Microsoft YaHei" w:eastAsia="Microsoft YaHei" w:hAnsi="Microsoft YaHei" w:cs="Microsoft YaHei"/>
          <w:sz w:val="48"/>
          <w:szCs w:val="48"/>
        </w:rPr>
      </w:pPr>
      <w:r>
        <w:rPr>
          <w:rFonts w:ascii="Microsoft YaHei" w:eastAsia="Microsoft YaHei" w:hAnsi="Microsoft YaHei" w:cs="Microsoft YaHei"/>
          <w:color w:val="EF6B2D"/>
          <w:position w:val="-18"/>
          <w:sz w:val="48"/>
          <w:szCs w:val="48"/>
        </w:rPr>
        <w:drawing>
          <wp:inline distT="0" distB="0" distL="0" distR="0">
            <wp:extent cx="163079" cy="488687"/>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36"/>
                    <a:stretch>
                      <a:fillRect/>
                    </a:stretch>
                  </pic:blipFill>
                  <pic:spPr>
                    <a:xfrm>
                      <a:off x="0" y="0"/>
                      <a:ext cx="163079" cy="488687"/>
                    </a:xfrm>
                    <a:prstGeom prst="rect">
                      <a:avLst/>
                    </a:prstGeom>
                  </pic:spPr>
                </pic:pic>
              </a:graphicData>
            </a:graphic>
          </wp:inline>
        </w:drawing>
      </w:r>
      <w:r>
        <w:rPr>
          <w:rFonts w:ascii="Microsoft YaHei" w:eastAsia="Microsoft YaHei" w:hAnsi="Microsoft YaHei" w:cs="Microsoft YaHei"/>
          <w:color w:val="EF6B2D"/>
          <w:spacing w:val="58"/>
          <w:sz w:val="48"/>
          <w:szCs w:val="48"/>
        </w:rPr>
        <w:t xml:space="preserve"> </w:t>
      </w:r>
      <w:r>
        <w:rPr>
          <w:rFonts w:ascii="Microsoft YaHei" w:eastAsia="Microsoft YaHei" w:hAnsi="Microsoft YaHei" w:cs="Microsoft YaHei"/>
          <w:color w:val="EF6B2D"/>
          <w:spacing w:val="-4"/>
          <w:sz w:val="48"/>
          <w:szCs w:val="48"/>
        </w:rPr>
        <w:t>关于本报告</w:t>
      </w:r>
    </w:p>
    <w:p>
      <w:pPr>
        <w:spacing w:before="373" w:line="179" w:lineRule="auto"/>
        <w:ind w:left="675"/>
        <w:rPr>
          <w:rFonts w:ascii="Microsoft YaHei" w:eastAsia="Microsoft YaHei" w:hAnsi="Microsoft YaHei" w:cs="Microsoft YaHei"/>
          <w:sz w:val="32"/>
          <w:szCs w:val="32"/>
        </w:rPr>
      </w:pPr>
      <w:r>
        <w:rPr>
          <w:rFonts w:ascii="Microsoft YaHei" w:eastAsia="Microsoft YaHei" w:hAnsi="Microsoft YaHei" w:cs="Microsoft YaHei"/>
          <w:color w:val="EF6B2D"/>
          <w:spacing w:val="-2"/>
          <w:sz w:val="32"/>
          <w:szCs w:val="32"/>
        </w:rPr>
        <w:t>方法论和定义</w:t>
      </w:r>
    </w:p>
    <w:p>
      <w:pPr>
        <w:pStyle w:val="BodyText"/>
        <w:spacing w:line="315" w:lineRule="auto"/>
      </w:pPr>
    </w:p>
    <w:p>
      <w:pPr>
        <w:spacing w:before="77" w:line="214" w:lineRule="auto"/>
        <w:ind w:left="670" w:right="51" w:hanging="1"/>
        <w:rPr>
          <w:rFonts w:ascii="Microsoft YaHei" w:eastAsia="Microsoft YaHei" w:hAnsi="Microsoft YaHei" w:cs="Microsoft YaHei"/>
          <w:sz w:val="18"/>
          <w:szCs w:val="18"/>
        </w:rPr>
      </w:pPr>
      <w:r>
        <w:rPr>
          <w:rFonts w:ascii="Microsoft YaHei" w:eastAsia="Microsoft YaHei" w:hAnsi="Microsoft YaHei" w:cs="Microsoft YaHei"/>
          <w:color w:val="57585A"/>
          <w:spacing w:val="-5"/>
          <w:sz w:val="18"/>
          <w:szCs w:val="18"/>
        </w:rPr>
        <w:t>本报告中，责任投资是指在传统的金融分析和组合构建研究的基础上，在做出投资决策或践行积极所有权时，</w:t>
      </w:r>
      <w:r>
        <w:rPr>
          <w:rFonts w:ascii="Microsoft YaHei" w:eastAsia="Microsoft YaHei" w:hAnsi="Microsoft YaHei" w:cs="Microsoft YaHei"/>
          <w:color w:val="57585A"/>
          <w:spacing w:val="-6"/>
          <w:sz w:val="18"/>
          <w:szCs w:val="18"/>
        </w:rPr>
        <w:t>纳入对ESG因</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8"/>
          <w:w w:val="97"/>
          <w:sz w:val="18"/>
          <w:szCs w:val="18"/>
        </w:rPr>
        <w:t>素的考量。本报告中的责任投资一词，涵盖了可持续金融、ESG投资、低碳金融、气候金融、绿色金融等概念。</w:t>
      </w:r>
    </w:p>
    <w:p>
      <w:pPr>
        <w:spacing w:before="270" w:line="177" w:lineRule="auto"/>
        <w:ind w:left="669"/>
        <w:rPr>
          <w:rFonts w:ascii="Microsoft YaHei" w:eastAsia="Microsoft YaHei" w:hAnsi="Microsoft YaHei" w:cs="Microsoft YaHei"/>
          <w:sz w:val="18"/>
          <w:szCs w:val="18"/>
        </w:rPr>
      </w:pPr>
      <w:r>
        <w:rPr>
          <w:rFonts w:ascii="Microsoft YaHei" w:eastAsia="Microsoft YaHei" w:hAnsi="Microsoft YaHei" w:cs="Microsoft YaHei"/>
          <w:color w:val="57585A"/>
          <w:spacing w:val="-4"/>
          <w:sz w:val="18"/>
          <w:szCs w:val="18"/>
        </w:rPr>
        <w:t>本报告中责任投资主要包括以下策略：</w:t>
      </w:r>
    </w:p>
    <w:p>
      <w:pPr>
        <w:spacing w:before="151"/>
      </w:pPr>
    </w:p>
    <w:tbl>
      <w:tblPr>
        <w:tblStyle w:val="TableNormal4"/>
        <w:tblW w:w="9277" w:type="dxa"/>
        <w:tblInd w:w="683" w:type="dxa"/>
        <w:tblBorders>
          <w:top w:val="single" w:sz="2" w:space="0" w:color="EF6B2D"/>
          <w:left w:val="single" w:sz="2" w:space="0" w:color="EF6B2D"/>
          <w:bottom w:val="single" w:sz="2" w:space="0" w:color="EF6B2D"/>
          <w:right w:val="single" w:sz="2" w:space="0" w:color="EF6B2D"/>
        </w:tblBorders>
        <w:tblLayout w:type="fixed"/>
      </w:tblPr>
      <w:tblGrid>
        <w:gridCol w:w="9277"/>
      </w:tblGrid>
      <w:tr>
        <w:tblPrEx>
          <w:tblW w:w="9277" w:type="dxa"/>
          <w:tblInd w:w="683" w:type="dxa"/>
          <w:tblBorders>
            <w:top w:val="single" w:sz="2" w:space="0" w:color="EF6B2D"/>
            <w:left w:val="single" w:sz="2" w:space="0" w:color="EF6B2D"/>
            <w:bottom w:val="single" w:sz="2" w:space="0" w:color="EF6B2D"/>
            <w:right w:val="single" w:sz="2" w:space="0" w:color="EF6B2D"/>
          </w:tblBorders>
          <w:tblLayout w:type="fixed"/>
        </w:tblPrEx>
        <w:trPr>
          <w:trHeight w:val="3382"/>
        </w:trPr>
        <w:tc>
          <w:tcPr>
            <w:tcW w:w="9277" w:type="dxa"/>
            <w:vAlign w:val="top"/>
          </w:tcPr>
          <w:p>
            <w:pPr>
              <w:spacing w:line="259" w:lineRule="auto"/>
              <w:rPr>
                <w:rFonts w:ascii="Arial"/>
                <w:sz w:val="21"/>
              </w:rPr>
            </w:pPr>
          </w:p>
          <w:p>
            <w:pPr>
              <w:pStyle w:val="TableText"/>
              <w:spacing w:before="77" w:line="500" w:lineRule="exact"/>
              <w:ind w:left="216"/>
              <w:rPr>
                <w:sz w:val="18"/>
                <w:szCs w:val="18"/>
              </w:rPr>
            </w:pPr>
            <w:r>
              <w:rPr>
                <w:color w:val="3E3E3F"/>
                <w:spacing w:val="43"/>
                <w:w w:val="151"/>
                <w:position w:val="25"/>
                <w:sz w:val="18"/>
                <w:szCs w:val="18"/>
              </w:rPr>
              <w:t>·</w:t>
            </w:r>
            <w:r>
              <w:rPr>
                <w:color w:val="3E3E3F"/>
                <w:position w:val="25"/>
                <w:sz w:val="18"/>
                <w:szCs w:val="18"/>
              </w:rPr>
              <w:t xml:space="preserve"> </w:t>
            </w:r>
            <w:r>
              <w:rPr>
                <w:color w:val="57585A"/>
                <w:spacing w:val="-6"/>
                <w:position w:val="25"/>
                <w:sz w:val="18"/>
                <w:szCs w:val="18"/>
              </w:rPr>
              <w:t>正面筛选（Positive/best-in-class screening</w:t>
            </w:r>
            <w:r>
              <w:rPr>
                <w:color w:val="57585A"/>
                <w:spacing w:val="-28"/>
                <w:w w:val="55"/>
                <w:position w:val="25"/>
                <w:sz w:val="18"/>
                <w:szCs w:val="18"/>
              </w:rPr>
              <w:t>）：</w:t>
            </w:r>
            <w:r>
              <w:rPr>
                <w:color w:val="57585A"/>
                <w:spacing w:val="-6"/>
                <w:position w:val="25"/>
                <w:sz w:val="18"/>
                <w:szCs w:val="18"/>
              </w:rPr>
              <w:t>选择相较于同业ESG绩效较好的行业、</w:t>
            </w:r>
            <w:r>
              <w:rPr>
                <w:color w:val="57585A"/>
                <w:spacing w:val="-7"/>
                <w:position w:val="25"/>
                <w:sz w:val="18"/>
                <w:szCs w:val="18"/>
              </w:rPr>
              <w:t>公司或项目作为投资对象；</w:t>
            </w:r>
          </w:p>
          <w:p>
            <w:pPr>
              <w:pStyle w:val="TableText"/>
              <w:spacing w:line="185" w:lineRule="auto"/>
              <w:ind w:left="216"/>
              <w:rPr>
                <w:sz w:val="18"/>
                <w:szCs w:val="18"/>
              </w:rPr>
            </w:pPr>
            <w:r>
              <w:rPr>
                <w:color w:val="3E3E3F"/>
                <w:spacing w:val="43"/>
                <w:w w:val="151"/>
                <w:sz w:val="18"/>
                <w:szCs w:val="18"/>
              </w:rPr>
              <w:t>·</w:t>
            </w:r>
            <w:r>
              <w:rPr>
                <w:color w:val="3E3E3F"/>
                <w:spacing w:val="1"/>
                <w:sz w:val="18"/>
                <w:szCs w:val="18"/>
              </w:rPr>
              <w:t xml:space="preserve"> </w:t>
            </w:r>
            <w:r>
              <w:rPr>
                <w:color w:val="57585A"/>
                <w:spacing w:val="-6"/>
                <w:sz w:val="18"/>
                <w:szCs w:val="18"/>
              </w:rPr>
              <w:t>负面筛选（Negative/exclusionary</w:t>
            </w:r>
            <w:r>
              <w:rPr>
                <w:color w:val="57585A"/>
                <w:spacing w:val="-7"/>
                <w:sz w:val="18"/>
                <w:szCs w:val="18"/>
              </w:rPr>
              <w:t xml:space="preserve"> screening</w:t>
            </w:r>
            <w:r>
              <w:rPr>
                <w:color w:val="57585A"/>
                <w:spacing w:val="-28"/>
                <w:w w:val="55"/>
                <w:sz w:val="18"/>
                <w:szCs w:val="18"/>
              </w:rPr>
              <w:t>）：</w:t>
            </w:r>
            <w:r>
              <w:rPr>
                <w:color w:val="57585A"/>
                <w:spacing w:val="-7"/>
                <w:sz w:val="18"/>
                <w:szCs w:val="18"/>
              </w:rPr>
              <w:t>根据特定的ESG标准，从投资组合中剔除相应的投资对象；</w:t>
            </w:r>
          </w:p>
          <w:p>
            <w:pPr>
              <w:pStyle w:val="TableText"/>
              <w:spacing w:before="260" w:line="215" w:lineRule="auto"/>
              <w:ind w:left="371" w:right="191" w:hanging="155"/>
              <w:rPr>
                <w:sz w:val="18"/>
                <w:szCs w:val="18"/>
              </w:rPr>
            </w:pPr>
            <w:r>
              <w:rPr>
                <w:color w:val="3E3E3F"/>
                <w:spacing w:val="-5"/>
                <w:position w:val="-1"/>
                <w:sz w:val="18"/>
                <w:szCs w:val="18"/>
              </w:rPr>
              <w:t xml:space="preserve">· </w:t>
            </w:r>
            <w:r>
              <w:rPr>
                <w:color w:val="57585A"/>
                <w:spacing w:val="-5"/>
                <w:sz w:val="18"/>
                <w:szCs w:val="18"/>
              </w:rPr>
              <w:t>可持续发展主题投资（Sustainability themed</w:t>
            </w:r>
            <w:r>
              <w:rPr>
                <w:color w:val="57585A"/>
                <w:spacing w:val="-6"/>
                <w:sz w:val="18"/>
                <w:szCs w:val="18"/>
              </w:rPr>
              <w:t xml:space="preserve"> investing</w:t>
            </w:r>
            <w:r>
              <w:rPr>
                <w:color w:val="57585A"/>
                <w:spacing w:val="-28"/>
                <w:w w:val="55"/>
                <w:sz w:val="18"/>
                <w:szCs w:val="18"/>
              </w:rPr>
              <w:t>）：</w:t>
            </w:r>
            <w:r>
              <w:rPr>
                <w:color w:val="57585A"/>
                <w:spacing w:val="-6"/>
                <w:sz w:val="18"/>
                <w:szCs w:val="18"/>
              </w:rPr>
              <w:t>投资于应对特定可持续发展挑战的资产，如气候变化、食</w:t>
            </w:r>
            <w:r>
              <w:rPr>
                <w:color w:val="57585A"/>
                <w:spacing w:val="3"/>
                <w:sz w:val="18"/>
                <w:szCs w:val="18"/>
              </w:rPr>
              <w:t xml:space="preserve"> </w:t>
            </w:r>
            <w:r>
              <w:rPr>
                <w:color w:val="57585A"/>
                <w:spacing w:val="-8"/>
                <w:w w:val="93"/>
                <w:sz w:val="18"/>
                <w:szCs w:val="18"/>
              </w:rPr>
              <w:t>物、水、可再生能源、清洁生产技术、农业等；</w:t>
            </w:r>
          </w:p>
          <w:p>
            <w:pPr>
              <w:pStyle w:val="TableText"/>
              <w:spacing w:before="258" w:line="222" w:lineRule="auto"/>
              <w:ind w:left="375" w:right="191" w:hanging="159"/>
              <w:rPr>
                <w:sz w:val="18"/>
                <w:szCs w:val="18"/>
              </w:rPr>
            </w:pPr>
            <w:r>
              <w:rPr>
                <w:color w:val="3E3E3F"/>
                <w:spacing w:val="43"/>
                <w:w w:val="151"/>
                <w:position w:val="-1"/>
                <w:sz w:val="18"/>
                <w:szCs w:val="18"/>
              </w:rPr>
              <w:t>·</w:t>
            </w:r>
            <w:r>
              <w:rPr>
                <w:color w:val="3E3E3F"/>
                <w:spacing w:val="-2"/>
                <w:position w:val="-1"/>
                <w:sz w:val="18"/>
                <w:szCs w:val="18"/>
              </w:rPr>
              <w:t xml:space="preserve"> </w:t>
            </w:r>
            <w:r>
              <w:rPr>
                <w:color w:val="57585A"/>
                <w:spacing w:val="-7"/>
                <w:sz w:val="18"/>
                <w:szCs w:val="18"/>
              </w:rPr>
              <w:t>主动沟通（Corporate</w:t>
            </w:r>
            <w:r>
              <w:rPr>
                <w:color w:val="57585A"/>
                <w:spacing w:val="19"/>
                <w:sz w:val="18"/>
                <w:szCs w:val="18"/>
              </w:rPr>
              <w:t xml:space="preserve"> </w:t>
            </w:r>
            <w:r>
              <w:rPr>
                <w:color w:val="57585A"/>
                <w:spacing w:val="-7"/>
                <w:sz w:val="18"/>
                <w:szCs w:val="18"/>
              </w:rPr>
              <w:t>engagement</w:t>
            </w:r>
            <w:r>
              <w:rPr>
                <w:color w:val="57585A"/>
                <w:spacing w:val="20"/>
                <w:sz w:val="18"/>
                <w:szCs w:val="18"/>
              </w:rPr>
              <w:t xml:space="preserve"> </w:t>
            </w:r>
            <w:r>
              <w:rPr>
                <w:color w:val="57585A"/>
                <w:spacing w:val="-7"/>
                <w:sz w:val="18"/>
                <w:szCs w:val="18"/>
              </w:rPr>
              <w:t>and</w:t>
            </w:r>
            <w:r>
              <w:rPr>
                <w:color w:val="57585A"/>
                <w:spacing w:val="15"/>
                <w:sz w:val="18"/>
                <w:szCs w:val="18"/>
              </w:rPr>
              <w:t xml:space="preserve"> </w:t>
            </w:r>
            <w:r>
              <w:rPr>
                <w:color w:val="57585A"/>
                <w:spacing w:val="-7"/>
                <w:sz w:val="18"/>
                <w:szCs w:val="18"/>
              </w:rPr>
              <w:t>shareholder</w:t>
            </w:r>
            <w:r>
              <w:rPr>
                <w:color w:val="57585A"/>
                <w:spacing w:val="19"/>
                <w:sz w:val="18"/>
                <w:szCs w:val="18"/>
              </w:rPr>
              <w:t xml:space="preserve"> </w:t>
            </w:r>
            <w:r>
              <w:rPr>
                <w:color w:val="57585A"/>
                <w:spacing w:val="-7"/>
                <w:sz w:val="18"/>
                <w:szCs w:val="18"/>
              </w:rPr>
              <w:t>action</w:t>
            </w:r>
            <w:r>
              <w:rPr>
                <w:color w:val="57585A"/>
                <w:spacing w:val="-30"/>
                <w:w w:val="60"/>
                <w:sz w:val="18"/>
                <w:szCs w:val="18"/>
              </w:rPr>
              <w:t>）：</w:t>
            </w:r>
            <w:r>
              <w:rPr>
                <w:color w:val="57585A"/>
                <w:spacing w:val="-7"/>
                <w:sz w:val="18"/>
                <w:szCs w:val="18"/>
              </w:rPr>
              <w:t>利用股东的权利通过直接与投资对象沟通（corpo-</w:t>
            </w:r>
            <w:r>
              <w:rPr>
                <w:color w:val="57585A"/>
                <w:sz w:val="18"/>
                <w:szCs w:val="18"/>
              </w:rPr>
              <w:t xml:space="preserve"> </w:t>
            </w:r>
            <w:r>
              <w:rPr>
                <w:color w:val="57585A"/>
                <w:spacing w:val="-11"/>
                <w:sz w:val="18"/>
                <w:szCs w:val="18"/>
              </w:rPr>
              <w:t>rate</w:t>
            </w:r>
            <w:r>
              <w:rPr>
                <w:color w:val="57585A"/>
                <w:spacing w:val="38"/>
                <w:w w:val="101"/>
                <w:sz w:val="18"/>
                <w:szCs w:val="18"/>
              </w:rPr>
              <w:t xml:space="preserve"> </w:t>
            </w:r>
            <w:r>
              <w:rPr>
                <w:color w:val="57585A"/>
                <w:spacing w:val="-11"/>
                <w:sz w:val="18"/>
                <w:szCs w:val="18"/>
              </w:rPr>
              <w:t>engagement）、提交或共</w:t>
            </w:r>
            <w:r>
              <w:rPr>
                <w:color w:val="57585A"/>
                <w:spacing w:val="-12"/>
                <w:sz w:val="18"/>
                <w:szCs w:val="18"/>
              </w:rPr>
              <w:t>同提交股东建议（shareholder  proposal）和代理投票（proxy</w:t>
            </w:r>
            <w:r>
              <w:rPr>
                <w:color w:val="57585A"/>
                <w:spacing w:val="32"/>
                <w:sz w:val="18"/>
                <w:szCs w:val="18"/>
              </w:rPr>
              <w:t xml:space="preserve"> </w:t>
            </w:r>
            <w:r>
              <w:rPr>
                <w:color w:val="57585A"/>
                <w:spacing w:val="-12"/>
                <w:sz w:val="18"/>
                <w:szCs w:val="18"/>
              </w:rPr>
              <w:t>voting）来影响投资对</w:t>
            </w:r>
            <w:r>
              <w:rPr>
                <w:color w:val="57585A"/>
                <w:sz w:val="18"/>
                <w:szCs w:val="18"/>
              </w:rPr>
              <w:t xml:space="preserve"> </w:t>
            </w:r>
            <w:r>
              <w:rPr>
                <w:color w:val="57585A"/>
                <w:spacing w:val="-3"/>
                <w:sz w:val="18"/>
                <w:szCs w:val="18"/>
              </w:rPr>
              <w:t>象ESG相关行为。</w:t>
            </w:r>
          </w:p>
        </w:tc>
      </w:tr>
    </w:tbl>
    <w:p>
      <w:pPr>
        <w:spacing w:before="267" w:line="226" w:lineRule="auto"/>
        <w:ind w:left="669" w:right="53" w:firstLine="11"/>
        <w:jc w:val="both"/>
        <w:rPr>
          <w:rFonts w:ascii="Microsoft YaHei" w:eastAsia="Microsoft YaHei" w:hAnsi="Microsoft YaHei" w:cs="Microsoft YaHei"/>
          <w:sz w:val="18"/>
          <w:szCs w:val="18"/>
        </w:rPr>
      </w:pPr>
      <w:r>
        <w:rPr>
          <w:rFonts w:ascii="Microsoft YaHei" w:eastAsia="Microsoft YaHei" w:hAnsi="Microsoft YaHei" w:cs="Microsoft YaHei"/>
          <w:color w:val="57585A"/>
          <w:spacing w:val="-8"/>
          <w:sz w:val="18"/>
          <w:szCs w:val="18"/>
        </w:rPr>
        <w:t>以上策略分类及定义与全球可持续投资联盟（Global</w:t>
      </w:r>
      <w:r>
        <w:rPr>
          <w:rFonts w:ascii="Microsoft YaHei" w:eastAsia="Microsoft YaHei" w:hAnsi="Microsoft YaHei" w:cs="Microsoft YaHei"/>
          <w:color w:val="57585A"/>
          <w:spacing w:val="30"/>
          <w:w w:val="101"/>
          <w:sz w:val="18"/>
          <w:szCs w:val="18"/>
        </w:rPr>
        <w:t xml:space="preserve"> </w:t>
      </w:r>
      <w:r>
        <w:rPr>
          <w:rFonts w:ascii="Microsoft YaHei" w:eastAsia="Microsoft YaHei" w:hAnsi="Microsoft YaHei" w:cs="Microsoft YaHei"/>
          <w:color w:val="57585A"/>
          <w:spacing w:val="-8"/>
          <w:sz w:val="18"/>
          <w:szCs w:val="18"/>
        </w:rPr>
        <w:t>Sustainable</w:t>
      </w:r>
      <w:r>
        <w:rPr>
          <w:rFonts w:ascii="Microsoft YaHei" w:eastAsia="Microsoft YaHei" w:hAnsi="Microsoft YaHei" w:cs="Microsoft YaHei"/>
          <w:color w:val="57585A"/>
          <w:spacing w:val="35"/>
          <w:sz w:val="18"/>
          <w:szCs w:val="18"/>
        </w:rPr>
        <w:t xml:space="preserve"> </w:t>
      </w:r>
      <w:r>
        <w:rPr>
          <w:rFonts w:ascii="Microsoft YaHei" w:eastAsia="Microsoft YaHei" w:hAnsi="Microsoft YaHei" w:cs="Microsoft YaHei"/>
          <w:color w:val="57585A"/>
          <w:spacing w:val="-8"/>
          <w:sz w:val="18"/>
          <w:szCs w:val="18"/>
        </w:rPr>
        <w:t>Investme</w:t>
      </w:r>
      <w:r>
        <w:rPr>
          <w:rFonts w:ascii="Microsoft YaHei" w:eastAsia="Microsoft YaHei" w:hAnsi="Microsoft YaHei" w:cs="Microsoft YaHei"/>
          <w:color w:val="57585A"/>
          <w:spacing w:val="-9"/>
          <w:sz w:val="18"/>
          <w:szCs w:val="18"/>
        </w:rPr>
        <w:t>nt</w:t>
      </w:r>
      <w:r>
        <w:rPr>
          <w:rFonts w:ascii="Microsoft YaHei" w:eastAsia="Microsoft YaHei" w:hAnsi="Microsoft YaHei" w:cs="Microsoft YaHei"/>
          <w:color w:val="57585A"/>
          <w:spacing w:val="18"/>
          <w:sz w:val="18"/>
          <w:szCs w:val="18"/>
        </w:rPr>
        <w:t xml:space="preserve"> </w:t>
      </w:r>
      <w:r>
        <w:rPr>
          <w:rFonts w:ascii="Microsoft YaHei" w:eastAsia="Microsoft YaHei" w:hAnsi="Microsoft YaHei" w:cs="Microsoft YaHei"/>
          <w:color w:val="57585A"/>
          <w:spacing w:val="-9"/>
          <w:sz w:val="18"/>
          <w:szCs w:val="18"/>
        </w:rPr>
        <w:t>Alliance，简称GSIA）</w:t>
      </w:r>
      <w:r>
        <w:rPr>
          <w:rFonts w:ascii="Microsoft YaHei" w:eastAsia="Microsoft YaHei" w:hAnsi="Microsoft YaHei" w:cs="Microsoft YaHei"/>
          <w:color w:val="57585A"/>
          <w:spacing w:val="-9"/>
          <w:position w:val="5"/>
          <w:sz w:val="10"/>
          <w:szCs w:val="10"/>
        </w:rPr>
        <w:t>2</w:t>
      </w:r>
      <w:r>
        <w:rPr>
          <w:rFonts w:ascii="Microsoft YaHei" w:eastAsia="Microsoft YaHei" w:hAnsi="Microsoft YaHei" w:cs="Microsoft YaHei"/>
          <w:color w:val="57585A"/>
          <w:spacing w:val="-12"/>
          <w:sz w:val="18"/>
          <w:szCs w:val="18"/>
        </w:rPr>
        <w:t>保持一致。GSIA定义的</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8"/>
          <w:w w:val="97"/>
          <w:sz w:val="18"/>
          <w:szCs w:val="18"/>
        </w:rPr>
        <w:t>责任投资策略包括负面筛选、正面筛选、基于规范（</w:t>
      </w:r>
      <w:r>
        <w:rPr>
          <w:rFonts w:ascii="Microsoft YaHei" w:eastAsia="Microsoft YaHei" w:hAnsi="Microsoft YaHei" w:cs="Microsoft YaHei"/>
          <w:color w:val="57585A"/>
          <w:spacing w:val="-9"/>
          <w:w w:val="97"/>
          <w:sz w:val="18"/>
          <w:szCs w:val="18"/>
        </w:rPr>
        <w:t>norm）的筛选、ESG整合、可持续发展主题投资、影响力/社区投资、主动沟</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4"/>
          <w:sz w:val="18"/>
          <w:szCs w:val="18"/>
        </w:rPr>
        <w:t>通等。</w:t>
      </w:r>
    </w:p>
    <w:p>
      <w:pPr>
        <w:pStyle w:val="BodyText"/>
        <w:spacing w:line="251" w:lineRule="auto"/>
      </w:pPr>
    </w:p>
    <w:p>
      <w:pPr>
        <w:pStyle w:val="BodyText"/>
        <w:spacing w:line="252" w:lineRule="auto"/>
      </w:pPr>
    </w:p>
    <w:p>
      <w:pPr>
        <w:spacing w:before="138" w:line="178" w:lineRule="auto"/>
        <w:ind w:left="671"/>
        <w:rPr>
          <w:rFonts w:ascii="Microsoft YaHei" w:eastAsia="Microsoft YaHei" w:hAnsi="Microsoft YaHei" w:cs="Microsoft YaHei"/>
          <w:sz w:val="32"/>
          <w:szCs w:val="32"/>
        </w:rPr>
      </w:pPr>
      <w:r>
        <w:rPr>
          <w:rFonts w:ascii="Microsoft YaHei" w:eastAsia="Microsoft YaHei" w:hAnsi="Microsoft YaHei" w:cs="Microsoft YaHei"/>
          <w:color w:val="EF6B2D"/>
          <w:spacing w:val="-2"/>
          <w:sz w:val="32"/>
          <w:szCs w:val="32"/>
        </w:rPr>
        <w:t>报告范围</w:t>
      </w:r>
    </w:p>
    <w:p>
      <w:pPr>
        <w:pStyle w:val="BodyText"/>
        <w:spacing w:line="314" w:lineRule="auto"/>
      </w:pPr>
    </w:p>
    <w:p>
      <w:pPr>
        <w:spacing w:before="78" w:line="211" w:lineRule="auto"/>
        <w:ind w:left="668" w:firstLine="11"/>
        <w:rPr>
          <w:rFonts w:ascii="Microsoft YaHei" w:eastAsia="Microsoft YaHei" w:hAnsi="Microsoft YaHei" w:cs="Microsoft YaHei"/>
          <w:sz w:val="18"/>
          <w:szCs w:val="18"/>
        </w:rPr>
      </w:pPr>
      <w:r>
        <w:rPr>
          <w:rFonts w:ascii="Microsoft YaHei" w:eastAsia="Microsoft YaHei" w:hAnsi="Microsoft YaHei" w:cs="Microsoft YaHei"/>
          <w:color w:val="57585A"/>
          <w:spacing w:val="-7"/>
          <w:sz w:val="18"/>
          <w:szCs w:val="18"/>
        </w:rPr>
        <w:t>中国的责任投资早期主要体现在银行信贷业务上，近年来逐步</w:t>
      </w:r>
      <w:r>
        <w:rPr>
          <w:rFonts w:ascii="Microsoft YaHei" w:eastAsia="Microsoft YaHei" w:hAnsi="Microsoft YaHei" w:cs="Microsoft YaHei"/>
          <w:color w:val="57585A"/>
          <w:spacing w:val="-8"/>
          <w:sz w:val="18"/>
          <w:szCs w:val="18"/>
        </w:rPr>
        <w:t>发展到证券投资、股权投资和产业基金实践中，ESG股票指数、</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9"/>
          <w:sz w:val="18"/>
          <w:szCs w:val="18"/>
        </w:rPr>
        <w:t>绿色债券、绿色基金等责任投资类型不断涌现（图 1</w:t>
      </w:r>
      <w:r>
        <w:rPr>
          <w:rFonts w:ascii="Microsoft YaHei" w:eastAsia="Microsoft YaHei" w:hAnsi="Microsoft YaHei" w:cs="Microsoft YaHei"/>
          <w:color w:val="57585A"/>
          <w:spacing w:val="-18"/>
          <w:w w:val="58"/>
          <w:sz w:val="18"/>
          <w:szCs w:val="18"/>
        </w:rPr>
        <w:t>）（</w:t>
      </w:r>
      <w:r>
        <w:rPr>
          <w:rFonts w:ascii="Microsoft YaHei" w:eastAsia="Microsoft YaHei" w:hAnsi="Microsoft YaHei" w:cs="Microsoft YaHei"/>
          <w:color w:val="57585A"/>
          <w:spacing w:val="-9"/>
          <w:sz w:val="18"/>
          <w:szCs w:val="18"/>
        </w:rPr>
        <w:t>相关定义及规模统计可见附录</w:t>
      </w:r>
      <w:r>
        <w:rPr>
          <w:rFonts w:ascii="Microsoft YaHei" w:eastAsia="Microsoft YaHei" w:hAnsi="Microsoft YaHei" w:cs="Microsoft YaHei"/>
          <w:color w:val="57585A"/>
          <w:spacing w:val="-10"/>
          <w:sz w:val="18"/>
          <w:szCs w:val="18"/>
        </w:rPr>
        <w:t>1）。</w:t>
      </w:r>
    </w:p>
    <w:p>
      <w:pPr>
        <w:pStyle w:val="BodyText"/>
        <w:spacing w:line="337" w:lineRule="auto"/>
      </w:pPr>
    </w:p>
    <w:p>
      <w:pPr>
        <w:spacing w:before="77" w:line="214" w:lineRule="auto"/>
        <w:ind w:left="670" w:right="51" w:hanging="1"/>
        <w:rPr>
          <w:rFonts w:ascii="Microsoft YaHei" w:eastAsia="Microsoft YaHei" w:hAnsi="Microsoft YaHei" w:cs="Microsoft YaHei"/>
          <w:sz w:val="18"/>
          <w:szCs w:val="18"/>
        </w:rPr>
      </w:pPr>
      <w:r>
        <w:rPr>
          <w:rFonts w:ascii="Microsoft YaHei" w:eastAsia="Microsoft YaHei" w:hAnsi="Microsoft YaHei" w:cs="Microsoft YaHei"/>
          <w:color w:val="57585A"/>
          <w:spacing w:val="-5"/>
          <w:sz w:val="18"/>
          <w:szCs w:val="18"/>
        </w:rPr>
        <w:t>本报告主要聚焦可持续证券投资基金这一类别。报告对投资者采用的责任投资策略不设限。ESG股票指数、</w:t>
      </w:r>
      <w:r>
        <w:rPr>
          <w:rFonts w:ascii="Microsoft YaHei" w:eastAsia="Microsoft YaHei" w:hAnsi="Microsoft YaHei" w:cs="Microsoft YaHei"/>
          <w:color w:val="57585A"/>
          <w:spacing w:val="-6"/>
          <w:sz w:val="18"/>
          <w:szCs w:val="18"/>
        </w:rPr>
        <w:t>基金部分的统计</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8"/>
          <w:sz w:val="18"/>
          <w:szCs w:val="18"/>
        </w:rPr>
        <w:t>对投资者所考量的ESG因素也不设限，考量一个或一个以上E、S、G因素的产品均被纳入统计范围。</w:t>
      </w: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sectPr>
          <w:footerReference w:type="default" r:id="rId37"/>
          <w:pgSz w:w="12246" w:h="17178"/>
          <w:pgMar w:top="993" w:right="1307" w:bottom="400" w:left="800" w:header="0" w:footer="0" w:gutter="0"/>
          <w:pgNumType w:start="14"/>
          <w:cols w:space="708"/>
        </w:sectPr>
      </w:pPr>
    </w:p>
    <w:p>
      <w:pPr>
        <w:pStyle w:val="BodyText"/>
        <w:spacing w:line="261"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spacing w:before="69" w:line="183" w:lineRule="auto"/>
        <w:ind w:left="665"/>
        <w:rPr>
          <w:rFonts w:ascii="Microsoft YaHei" w:eastAsia="Microsoft YaHei" w:hAnsi="Microsoft YaHei" w:cs="Microsoft YaHei"/>
          <w:sz w:val="16"/>
          <w:szCs w:val="16"/>
        </w:rPr>
      </w:pPr>
      <w:r>
        <w:rPr>
          <w:rFonts w:ascii="Microsoft YaHei" w:eastAsia="Microsoft YaHei" w:hAnsi="Microsoft YaHei" w:cs="Microsoft YaHei"/>
          <w:color w:val="808285"/>
          <w:spacing w:val="-3"/>
          <w:position w:val="5"/>
          <w:sz w:val="9"/>
          <w:szCs w:val="9"/>
        </w:rPr>
        <w:t xml:space="preserve">2   </w:t>
      </w:r>
      <w:r>
        <w:rPr>
          <w:rFonts w:ascii="Microsoft YaHei" w:eastAsia="Microsoft YaHei" w:hAnsi="Microsoft YaHei" w:cs="Microsoft YaHei"/>
          <w:color w:val="808285"/>
          <w:spacing w:val="-3"/>
          <w:sz w:val="16"/>
          <w:szCs w:val="16"/>
        </w:rPr>
        <w:t>Global Sustainable Investment</w:t>
      </w:r>
      <w:r>
        <w:rPr>
          <w:rFonts w:ascii="Microsoft YaHei" w:eastAsia="Microsoft YaHei" w:hAnsi="Microsoft YaHei" w:cs="Microsoft YaHei"/>
          <w:color w:val="808285"/>
          <w:spacing w:val="-11"/>
          <w:sz w:val="16"/>
          <w:szCs w:val="16"/>
        </w:rPr>
        <w:t xml:space="preserve"> </w:t>
      </w:r>
      <w:r>
        <w:rPr>
          <w:rFonts w:ascii="Microsoft YaHei" w:eastAsia="Microsoft YaHei" w:hAnsi="Microsoft YaHei" w:cs="Microsoft YaHei"/>
          <w:color w:val="808285"/>
          <w:spacing w:val="-3"/>
          <w:sz w:val="16"/>
          <w:szCs w:val="16"/>
        </w:rPr>
        <w:t>Alliance (GSIA), 2023.Global Sustainable Investment Review 2</w:t>
      </w:r>
      <w:r>
        <w:rPr>
          <w:rFonts w:ascii="Microsoft YaHei" w:eastAsia="Microsoft YaHei" w:hAnsi="Microsoft YaHei" w:cs="Microsoft YaHei"/>
          <w:color w:val="808285"/>
          <w:spacing w:val="-4"/>
          <w:sz w:val="16"/>
          <w:szCs w:val="16"/>
        </w:rPr>
        <w:t>022.</w:t>
      </w:r>
    </w:p>
    <w:p>
      <w:pPr>
        <w:spacing w:line="183" w:lineRule="auto"/>
        <w:rPr>
          <w:rFonts w:ascii="Microsoft YaHei" w:eastAsia="Microsoft YaHei" w:hAnsi="Microsoft YaHei" w:cs="Microsoft YaHei"/>
          <w:sz w:val="16"/>
          <w:szCs w:val="16"/>
        </w:rPr>
        <w:sectPr>
          <w:footerReference w:type="default" r:id="rId38"/>
          <w:type w:val="nextPage"/>
          <w:pgSz w:w="12246" w:h="17178"/>
          <w:pgMar w:top="993" w:right="1307" w:bottom="400" w:left="800" w:header="0" w:footer="0" w:gutter="0"/>
          <w:pgNumType w:start="15"/>
          <w:cols w:space="708"/>
          <w:titlePg w:val="0"/>
        </w:sectPr>
      </w:pPr>
    </w:p>
    <w:p>
      <w:pPr>
        <w:tabs>
          <w:tab w:val="left" w:pos="6989"/>
        </w:tabs>
        <w:spacing w:before="51" w:line="201" w:lineRule="auto"/>
        <w:rPr>
          <w:rFonts w:ascii="Microsoft YaHei" w:eastAsia="Microsoft YaHei" w:hAnsi="Microsoft YaHei" w:cs="Microsoft YaHei"/>
          <w:sz w:val="20"/>
          <w:szCs w:val="20"/>
        </w:rPr>
      </w:pPr>
      <w:r>
        <w:pict>
          <v:rect id="_x0000_s1081" style="width:87.05pt;height:30.2pt;margin-top:184.62pt;margin-left:115.12pt;mso-position-horizontal-relative:page;mso-position-vertical-relative:page;position:absolute;z-index:251744256" o:allowincell="f" filled="t" fillcolor="#fdece3" stroked="f"/>
        </w:pict>
      </w:r>
      <w:r>
        <w:pict>
          <v:rect id="_x0000_s1082" style="width:74.65pt;height:29.95pt;margin-top:280.19pt;margin-left:127.12pt;mso-position-horizontal-relative:page;mso-position-vertical-relative:page;position:absolute;z-index:251747328" o:allowincell="f" filled="t" fillcolor="#ef6b2d" stroked="f"/>
        </w:pict>
      </w:r>
      <w:r>
        <w:pict>
          <v:rect id="_x0000_s1083" style="width:87.05pt;height:30.2pt;margin-top:184.62pt;margin-left:214.32pt;mso-position-horizontal-relative:page;mso-position-vertical-relative:page;position:absolute;z-index:251741184" o:allowincell="f" filled="t" fillcolor="#fdece3" stroked="f"/>
        </w:pict>
      </w:r>
      <w:r>
        <w:pict>
          <v:rect id="_x0000_s1084" style="width:87.05pt;height:30.2pt;margin-top:232.34pt;margin-left:214.13pt;mso-position-horizontal-relative:page;mso-position-vertical-relative:page;position:absolute;z-index:251742208" o:allowincell="f" filled="t" fillcolor="#fdece3" stroked="f"/>
        </w:pict>
      </w:r>
      <w:r>
        <w:pict>
          <v:rect id="_x0000_s1085" style="width:74.9pt;height:30.2pt;margin-top:280.07pt;margin-left:226.26pt;mso-position-horizontal-relative:page;mso-position-vertical-relative:page;position:absolute;z-index:251746304" o:allowincell="f" filled="t" fillcolor="#fdece3" stroked="f"/>
        </w:pict>
      </w:r>
      <w:r>
        <w:pict>
          <v:rect id="_x0000_s1086" style="width:87.05pt;height:30.2pt;margin-top:232.34pt;margin-left:312.62pt;mso-position-horizontal-relative:page;mso-position-vertical-relative:page;position:absolute;z-index:251743232" o:allowincell="f" filled="t" fillcolor="#fdece3" stroked="f"/>
        </w:pict>
      </w:r>
      <w:r>
        <w:pict>
          <v:rect id="_x0000_s1087" style="width:74.9pt;height:30.2pt;margin-top:232.34pt;margin-left:422.7pt;mso-position-horizontal-relative:page;mso-position-vertical-relative:page;position:absolute;z-index:251745280" o:allowincell="f" filled="t" fillcolor="#fdece3" stroked="f"/>
        </w:pict>
      </w:r>
      <w:r>
        <w:pict>
          <v:shape id="_x0000_s1088" style="width:0.25pt;height:83.5pt;margin-top:214.78pt;margin-left:414.58pt;mso-position-horizontal-relative:page;mso-position-vertical-relative:page;position:absolute;z-index:-251580416" coordorigin="0,0" coordsize="5,1670" o:allowincell="f" path="m2,l2,1669e" filled="f" strokecolor="#808285" strokeweight="0.25pt">
            <v:stroke joinstyle="miter"/>
          </v:shape>
        </w:pict>
      </w:r>
      <w:r>
        <w:pict>
          <v:shape id="_x0000_s1089" style="width:0.25pt;height:83.5pt;margin-top:262.38pt;margin-left:118.89pt;mso-position-horizontal-relative:page;mso-position-vertical-relative:page;position:absolute;z-index:251750400" coordorigin="0,0" coordsize="5,1670" o:allowincell="f" path="m2,l2,1669e" filled="f" strokecolor="#808285" strokeweight="0.25pt">
            <v:stroke joinstyle="miter"/>
          </v:shape>
        </w:pict>
      </w:r>
      <w:r>
        <w:pict>
          <v:shape id="_x0000_s1090" style="width:153pt;height:0.25pt;margin-top:784.36pt;margin-left:73.94pt;mso-position-horizontal-relative:page;mso-position-vertical-relative:page;position:absolute;z-index:251756544" coordorigin="0,0" coordsize="3060,5" o:allowincell="f" path="m,2l3059,2e" filled="f" strokecolor="#808285" strokeweight="0.25pt">
            <v:stroke joinstyle="miter"/>
          </v:shape>
        </w:pict>
      </w:r>
      <w:r>
        <w:pict>
          <v:shape id="_x0000_s1091" style="width:382.5pt;height:72.5pt;margin-top:142.33pt;margin-left:115.12pt;mso-position-horizontal-relative:page;mso-position-vertical-relative:page;position:absolute;z-index:-251578368" coordorigin="0,0" coordsize="7650,1450" o:allowincell="f" path="m5049,483l2600,483l2600,2l5049,2l5049,483m1737,1446l2,1446l2,848l1737,848l1737,1446m3722,1446l1986,1446l1986,848l3722,848l3722,1446m7647,1446l5911,1446l5911,848l7647,848l7647,1446e" filled="f" strokecolor="#ef6b2d" strokeweight="0.25pt">
            <v:stroke joinstyle="miter"/>
          </v:shape>
        </w:pict>
      </w:r>
      <w:r>
        <w:pict>
          <v:shape id="_x0000_s1092" style="width:295.75pt;height:66pt;margin-top:166.52pt;margin-left:158.5pt;mso-position-horizontal-relative:page;mso-position-vertical-relative:page;position:absolute;z-index:-251577344" coordorigin="0,0" coordsize="5915,1320" o:allowincell="f" path="m2957,l2957,186m2,364l2,186m1985,364l1985,186m5911,364l5911,186m2,186l5911,186m15,1319l15,1140m2019,1319l2019,962m3952,1319l3952,1140m15,1140l3952,1140e" filled="f" strokecolor="#808285" strokeweight="0.25pt">
            <v:stroke joinstyle="miter"/>
          </v:shape>
        </w:pict>
      </w:r>
      <w:r>
        <w:pict>
          <v:shape id="_x0000_s1093" type="#_x0000_t202" style="width:247.8pt;height:13.4pt;margin-top:241.96pt;margin-left:237.23pt;mso-position-horizontal-relative:page;mso-position-vertical-relative:page;position:absolute;z-index:251748352" o:allowincell="f" filled="f" stroked="f">
            <o:lock v:ext="edit" aspectratio="f"/>
            <v:textbox inset="0,0,0,0">
              <w:txbxContent>
                <w:p>
                  <w:pPr>
                    <w:spacing w:before="20" w:line="190" w:lineRule="auto"/>
                    <w:ind w:left="20"/>
                    <w:rPr>
                      <w:rFonts w:ascii="Microsoft YaHei" w:eastAsia="Microsoft YaHei" w:hAnsi="Microsoft YaHei" w:cs="Microsoft YaHei"/>
                      <w:sz w:val="16"/>
                      <w:szCs w:val="16"/>
                    </w:rPr>
                  </w:pPr>
                  <w:r>
                    <w:rPr>
                      <w:rFonts w:ascii="Microsoft YaHei" w:eastAsia="Microsoft YaHei" w:hAnsi="Microsoft YaHei" w:cs="Microsoft YaHei"/>
                      <w:color w:val="EF6B2D"/>
                      <w:spacing w:val="-1"/>
                      <w:sz w:val="16"/>
                      <w:szCs w:val="16"/>
                    </w:rPr>
                    <w:t xml:space="preserve">可持续债券                      可持续理财产品                      </w:t>
                  </w:r>
                  <w:r>
                    <w:rPr>
                      <w:rFonts w:ascii="Microsoft YaHei" w:eastAsia="Microsoft YaHei" w:hAnsi="Microsoft YaHei" w:cs="Microsoft YaHei"/>
                      <w:color w:val="EF6B2D"/>
                      <w:spacing w:val="-1"/>
                      <w:position w:val="1"/>
                      <w:sz w:val="16"/>
                      <w:szCs w:val="16"/>
                    </w:rPr>
                    <w:t>绿色产业基金</w:t>
                  </w:r>
                </w:p>
              </w:txbxContent>
            </v:textbox>
          </v:shape>
        </w:pict>
      </w:r>
      <w:r>
        <w:pict>
          <v:shape id="_x0000_s1094" style="width:283.5pt;height:261.8pt;margin-top:232.34pt;margin-left:214.13pt;mso-position-horizontal-relative:page;mso-position-vertical-relative:page;position:absolute;z-index:-251581440" coordorigin="0,0" coordsize="5670,5235" o:allowincell="f" path="m1737,1555l245,1555l245,956l1737,956l1737,1555m1737,4298l245,4298l245,3700l1737,3700l1737,4298m1737,5233l245,5233l245,4635l1737,4635l1737,5233m1737,3364l245,3364l245,2766l1737,2766l1737,3364m1737,600l2,600l2,2l1737,2l1737,600m3707,600l1972,600l1972,2l3707,2l3707,600m5666,600l4173,600l4173,2l5666,2l5666,600m5666,1517l4173,1517l4173,919l5666,919l5666,1517m1737,2449l245,2449l245,1851l1737,1851l1737,2449e" filled="f" strokecolor="#ef6b2d" strokeweight="0.25pt">
            <v:stroke joinstyle="miter"/>
          </v:shape>
        </w:pict>
      </w:r>
      <w:r>
        <w:pict>
          <v:shape id="_x0000_s1095" style="width:204.65pt;height:228.55pt;margin-top:248.51pt;margin-left:218.16pt;mso-position-horizontal-relative:page;mso-position-vertical-relative:page;position:absolute;z-index:-251579392" coordorigin="0,0" coordsize="4092,4571" o:allowincell="f" path="m3930,2l4092,2m3930,995l4092,995m2,277l2,4570m2,954l164,954m2,1827l164,1827e" filled="f" strokecolor="#808285" strokeweight="0.25pt">
            <v:stroke joinstyle="miter"/>
          </v:shape>
        </w:pict>
      </w:r>
      <w:r>
        <w:pict>
          <v:shape id="_x0000_s1096" style="width:8.15pt;height:49.9pt;margin-top:296.12pt;margin-left:119.02pt;mso-position-horizontal-relative:page;mso-position-vertical-relative:page;position:absolute;z-index:251751424" coordorigin="0,0" coordsize="162,998" o:allowincell="f" path="m,2l162,2m,995l162,995e" filled="f" strokecolor="#808285" strokeweight="0.25pt">
            <v:stroke joinstyle="miter"/>
          </v:shape>
        </w:pict>
      </w:r>
      <w:r>
        <w:pict>
          <v:shape id="_x0000_s1097" style="width:74.9pt;height:30.2pt;margin-top:325.8pt;margin-left:127pt;mso-position-horizontal-relative:page;mso-position-vertical-relative:page;position:absolute;z-index:-251576320" coordorigin="0,0" coordsize="1498,604" o:allowincell="f" path="m1495,600l2,600l2,2l1495,2l1495,600e" filled="f" strokecolor="#ef6b2d" strokeweight="0.25pt">
            <v:stroke joinstyle="miter"/>
          </v:shape>
        </w:pict>
      </w:r>
      <w:r>
        <w:pict>
          <v:shape id="_x0000_s1098" style="width:8.15pt;height:91.75pt;margin-top:385.48pt;margin-left:218.28pt;mso-position-horizontal-relative:page;mso-position-vertical-relative:page;position:absolute;z-index:251749376" coordorigin="0,0" coordsize="162,1835" o:allowincell="f" path="m,2l162,2m,937l162,937m,1831l162,1831e" filled="f" strokecolor="#808285" strokeweight="0.25pt">
            <v:stroke joinstyle="miter"/>
          </v:shape>
        </w:pict>
      </w:r>
      <w:r>
        <w:rPr>
          <w:rFonts w:ascii="Microsoft YaHei" w:eastAsia="Microsoft YaHei" w:hAnsi="Microsoft YaHei" w:cs="Microsoft YaHei"/>
          <w:strike/>
          <w:color w:val="EF6B2D"/>
          <w:sz w:val="16"/>
          <w:szCs w:val="16"/>
        </w:rPr>
        <w:tab/>
      </w:r>
      <w:r>
        <w:rPr>
          <w:rFonts w:ascii="Microsoft YaHei" w:eastAsia="Microsoft YaHei" w:hAnsi="Microsoft YaHei" w:cs="Microsoft YaHei"/>
          <w:color w:val="EF6B2D"/>
          <w:spacing w:val="10"/>
          <w:sz w:val="16"/>
          <w:szCs w:val="16"/>
        </w:rPr>
        <w:t xml:space="preserve">   </w:t>
      </w:r>
      <w:r>
        <w:rPr>
          <w:rFonts w:ascii="Microsoft YaHei" w:eastAsia="Microsoft YaHei" w:hAnsi="Microsoft YaHei" w:cs="Microsoft YaHei"/>
          <w:color w:val="EF6B2D"/>
          <w:spacing w:val="-4"/>
          <w:sz w:val="16"/>
          <w:szCs w:val="16"/>
        </w:rPr>
        <w:t>中国责任投资年度报告2023</w:t>
      </w:r>
      <w:r>
        <w:rPr>
          <w:rFonts w:ascii="Microsoft YaHei" w:eastAsia="Microsoft YaHei" w:hAnsi="Microsoft YaHei" w:cs="Microsoft YaHei"/>
          <w:color w:val="EF6B2D"/>
          <w:spacing w:val="36"/>
          <w:sz w:val="16"/>
          <w:szCs w:val="16"/>
        </w:rPr>
        <w:t xml:space="preserve"> </w:t>
      </w:r>
      <w:r>
        <w:rPr>
          <w:position w:val="-6"/>
          <w:sz w:val="16"/>
          <w:szCs w:val="16"/>
        </w:rPr>
        <w:drawing>
          <wp:inline distT="0" distB="0" distL="0" distR="0">
            <wp:extent cx="54241" cy="162534"/>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23"/>
                    <a:stretch>
                      <a:fillRect/>
                    </a:stretch>
                  </pic:blipFill>
                  <pic:spPr>
                    <a:xfrm>
                      <a:off x="0" y="0"/>
                      <a:ext cx="54241" cy="162534"/>
                    </a:xfrm>
                    <a:prstGeom prst="rect">
                      <a:avLst/>
                    </a:prstGeom>
                  </pic:spPr>
                </pic:pic>
              </a:graphicData>
            </a:graphic>
          </wp:inline>
        </w:drawing>
      </w:r>
      <w:r>
        <w:rPr>
          <w:rFonts w:ascii="Microsoft YaHei" w:eastAsia="Microsoft YaHei" w:hAnsi="Microsoft YaHei" w:cs="Microsoft YaHei"/>
          <w:color w:val="EF6B2D"/>
          <w:spacing w:val="3"/>
          <w:sz w:val="16"/>
          <w:szCs w:val="16"/>
        </w:rPr>
        <w:t xml:space="preserve">            </w:t>
      </w:r>
      <w:r>
        <w:rPr>
          <w:rFonts w:ascii="Microsoft YaHei" w:eastAsia="Microsoft YaHei" w:hAnsi="Microsoft YaHei" w:cs="Microsoft YaHei"/>
          <w:color w:val="EF6B2D"/>
          <w:spacing w:val="-4"/>
          <w:sz w:val="20"/>
          <w:szCs w:val="20"/>
        </w:rPr>
        <w:t>05</w:t>
      </w:r>
    </w:p>
    <w:p>
      <w:pPr>
        <w:pStyle w:val="BodyText"/>
        <w:spacing w:line="275" w:lineRule="auto"/>
      </w:pPr>
    </w:p>
    <w:p>
      <w:pPr>
        <w:pStyle w:val="BodyText"/>
        <w:spacing w:line="276" w:lineRule="auto"/>
      </w:pPr>
    </w:p>
    <w:p>
      <w:pPr>
        <w:pStyle w:val="BodyText"/>
        <w:spacing w:line="276" w:lineRule="auto"/>
      </w:pPr>
    </w:p>
    <w:p>
      <w:pPr>
        <w:spacing w:before="69" w:line="177" w:lineRule="auto"/>
        <w:ind w:left="3755"/>
        <w:rPr>
          <w:rFonts w:ascii="Microsoft YaHei" w:eastAsia="Microsoft YaHei" w:hAnsi="Microsoft YaHei" w:cs="Microsoft YaHei"/>
          <w:sz w:val="16"/>
          <w:szCs w:val="16"/>
        </w:rPr>
      </w:pPr>
      <w:r>
        <w:rPr>
          <w:rFonts w:ascii="Microsoft YaHei" w:eastAsia="Microsoft YaHei" w:hAnsi="Microsoft YaHei" w:cs="Microsoft YaHei"/>
          <w:color w:val="3E3E3F"/>
          <w:spacing w:val="-4"/>
          <w:sz w:val="16"/>
          <w:szCs w:val="16"/>
        </w:rPr>
        <w:t>图 1 中国主要责任投资类型</w:t>
      </w:r>
    </w:p>
    <w:p>
      <w:pPr>
        <w:pStyle w:val="BodyText"/>
        <w:spacing w:line="250" w:lineRule="auto"/>
      </w:pPr>
    </w:p>
    <w:p>
      <w:pPr>
        <w:pStyle w:val="BodyText"/>
        <w:spacing w:line="251" w:lineRule="auto"/>
      </w:pPr>
    </w:p>
    <w:p>
      <w:pPr>
        <w:spacing w:before="69" w:line="177" w:lineRule="auto"/>
        <w:ind w:left="4069"/>
        <w:rPr>
          <w:rFonts w:ascii="Microsoft YaHei" w:eastAsia="Microsoft YaHei" w:hAnsi="Microsoft YaHei" w:cs="Microsoft YaHei"/>
          <w:sz w:val="16"/>
          <w:szCs w:val="16"/>
        </w:rPr>
      </w:pPr>
      <w:r>
        <mc:AlternateContent>
          <mc:Choice Requires="wps">
            <w:drawing>
              <wp:anchor distT="0" distB="0" distL="0" distR="0" simplePos="0" relativeHeight="251719680" behindDoc="1" locked="0" layoutInCell="1" allowOverlap="1">
                <wp:simplePos x="0" y="0"/>
                <wp:positionH relativeFrom="column">
                  <wp:posOffset>2202491</wp:posOffset>
                </wp:positionH>
                <wp:positionV relativeFrom="paragraph">
                  <wp:posOffset>-58506</wp:posOffset>
                </wp:positionV>
                <wp:extent cx="1558289" cy="309245"/>
                <wp:effectExtent l="0" t="0" r="0" b="0"/>
                <wp:wrapNone/>
                <wp:docPr id="66" name="Rect 66"/>
                <wp:cNvGraphicFramePr/>
                <a:graphic xmlns:a="http://schemas.openxmlformats.org/drawingml/2006/main">
                  <a:graphicData uri="http://schemas.microsoft.com/office/word/2010/wordprocessingShape">
                    <wps:wsp xmlns:wps="http://schemas.microsoft.com/office/word/2010/wordprocessingShape">
                      <wps:cNvSpPr/>
                      <wps:spPr>
                        <a:xfrm>
                          <a:off x="2202491" y="-58506"/>
                          <a:ext cx="1558289" cy="309245"/>
                        </a:xfrm>
                        <a:prstGeom prst="rect">
                          <a:avLst/>
                        </a:prstGeom>
                        <a:solidFill>
                          <a:srgbClr val="FDECE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6" o:spid="_x0000_s1099" style="width:122.7pt;height:24.35pt;margin-top:-4.61pt;margin-left:173.42pt;mso-wrap-distance-bottom:0;mso-wrap-distance-left:0;mso-wrap-distance-right:0;mso-wrap-distance-top:0;position:absolute;v-text-anchor:top;z-index:-251597824" fillcolor="#fdece3" stroked="f"/>
            </w:pict>
          </mc:Fallback>
        </mc:AlternateContent>
      </w:r>
      <w:r>
        <w:rPr>
          <w:rFonts w:ascii="Microsoft YaHei" w:eastAsia="Microsoft YaHei" w:hAnsi="Microsoft YaHei" w:cs="Microsoft YaHei"/>
          <w:color w:val="EF6B2D"/>
          <w:spacing w:val="-3"/>
          <w:sz w:val="16"/>
          <w:szCs w:val="16"/>
        </w:rPr>
        <w:t>主要责任投资类型</w:t>
      </w:r>
    </w:p>
    <w:p>
      <w:pPr>
        <w:pStyle w:val="BodyText"/>
        <w:spacing w:line="311" w:lineRule="auto"/>
      </w:pPr>
    </w:p>
    <w:p>
      <w:pPr>
        <w:pStyle w:val="BodyText"/>
        <w:spacing w:line="312" w:lineRule="auto"/>
      </w:pPr>
    </w:p>
    <w:p>
      <w:pPr>
        <w:spacing w:before="68" w:line="177" w:lineRule="auto"/>
        <w:ind w:left="7103"/>
        <w:rPr>
          <w:rFonts w:ascii="Microsoft YaHei" w:eastAsia="Microsoft YaHei" w:hAnsi="Microsoft YaHei" w:cs="Microsoft YaHei"/>
          <w:sz w:val="16"/>
          <w:szCs w:val="16"/>
        </w:rPr>
      </w:pPr>
      <w:r>
        <mc:AlternateContent>
          <mc:Choice Requires="wps">
            <w:drawing>
              <wp:anchor distT="0" distB="0" distL="0" distR="0" simplePos="0" relativeHeight="251721728" behindDoc="1" locked="0" layoutInCell="1" allowOverlap="1">
                <wp:simplePos x="0" y="0"/>
                <wp:positionH relativeFrom="column">
                  <wp:posOffset>4305128</wp:posOffset>
                </wp:positionH>
                <wp:positionV relativeFrom="paragraph">
                  <wp:posOffset>-91991</wp:posOffset>
                </wp:positionV>
                <wp:extent cx="1105535" cy="383540"/>
                <wp:effectExtent l="0" t="0" r="0" b="0"/>
                <wp:wrapNone/>
                <wp:docPr id="68" name="Rect 68"/>
                <wp:cNvGraphicFramePr/>
                <a:graphic xmlns:a="http://schemas.openxmlformats.org/drawingml/2006/main">
                  <a:graphicData uri="http://schemas.microsoft.com/office/word/2010/wordprocessingShape">
                    <wps:wsp xmlns:wps="http://schemas.microsoft.com/office/word/2010/wordprocessingShape">
                      <wps:cNvSpPr/>
                      <wps:spPr>
                        <a:xfrm>
                          <a:off x="4305128" y="-91991"/>
                          <a:ext cx="1105535" cy="383540"/>
                        </a:xfrm>
                        <a:prstGeom prst="rect">
                          <a:avLst/>
                        </a:prstGeom>
                        <a:solidFill>
                          <a:srgbClr val="FDECE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8" o:spid="_x0000_s1100" style="width:87.05pt;height:30.2pt;margin-top:-7.24pt;margin-left:338.99pt;mso-wrap-distance-bottom:0;mso-wrap-distance-left:0;mso-wrap-distance-right:0;mso-wrap-distance-top:0;position:absolute;v-text-anchor:top;z-index:-251595776" fillcolor="#fdece3" stroked="f"/>
            </w:pict>
          </mc:Fallback>
        </mc:AlternateContent>
      </w:r>
      <w:r>
        <w:pict>
          <v:shape id="_x0000_s1101" type="#_x0000_t202" style="width:41.3pt;height:12.15pt;margin-top:2.42pt;margin-left:165.74pt;position:absolute;z-index:251753472" filled="f" stroked="f">
            <o:lock v:ext="edit" aspectratio="f"/>
            <v:textbox inset="0,0,0,0">
              <w:txbxContent>
                <w:p>
                  <w:pPr>
                    <w:spacing w:before="19" w:line="177" w:lineRule="auto"/>
                    <w:ind w:left="20"/>
                    <w:rPr>
                      <w:rFonts w:ascii="Microsoft YaHei" w:eastAsia="Microsoft YaHei" w:hAnsi="Microsoft YaHei" w:cs="Microsoft YaHei"/>
                      <w:sz w:val="16"/>
                      <w:szCs w:val="16"/>
                    </w:rPr>
                  </w:pPr>
                  <w:r>
                    <w:rPr>
                      <w:rFonts w:ascii="Microsoft YaHei" w:eastAsia="Microsoft YaHei" w:hAnsi="Microsoft YaHei" w:cs="Microsoft YaHei"/>
                      <w:color w:val="EF6B2D"/>
                      <w:spacing w:val="-3"/>
                      <w:sz w:val="16"/>
                      <w:szCs w:val="16"/>
                    </w:rPr>
                    <w:t>可持续证券</w:t>
                  </w:r>
                </w:p>
              </w:txbxContent>
            </v:textbox>
          </v:shape>
        </w:pict>
      </w:r>
      <w:r>
        <w:pict>
          <v:shape id="_x0000_s1102" type="#_x0000_t202" style="width:33.55pt;height:12.15pt;margin-top:2.74pt;margin-left:70.33pt;position:absolute;z-index:251754496" filled="f" stroked="f">
            <o:lock v:ext="edit" aspectratio="f"/>
            <v:textbox inset="0,0,0,0">
              <w:txbxContent>
                <w:p>
                  <w:pPr>
                    <w:spacing w:before="20" w:line="177" w:lineRule="auto"/>
                    <w:ind w:left="20"/>
                    <w:rPr>
                      <w:rFonts w:ascii="Microsoft YaHei" w:eastAsia="Microsoft YaHei" w:hAnsi="Microsoft YaHei" w:cs="Microsoft YaHei"/>
                      <w:sz w:val="16"/>
                      <w:szCs w:val="16"/>
                    </w:rPr>
                  </w:pPr>
                  <w:r>
                    <w:rPr>
                      <w:rFonts w:ascii="Microsoft YaHei" w:eastAsia="Microsoft YaHei" w:hAnsi="Microsoft YaHei" w:cs="Microsoft YaHei"/>
                      <w:color w:val="EF6B2D"/>
                      <w:spacing w:val="-2"/>
                      <w:sz w:val="16"/>
                      <w:szCs w:val="16"/>
                    </w:rPr>
                    <w:t>绿色信贷</w:t>
                  </w:r>
                </w:p>
              </w:txbxContent>
            </v:textbox>
          </v:shape>
        </w:pict>
      </w:r>
      <w:r>
        <w:rPr>
          <w:rFonts w:ascii="Microsoft YaHei" w:eastAsia="Microsoft YaHei" w:hAnsi="Microsoft YaHei" w:cs="Microsoft YaHei"/>
          <w:color w:val="EF6B2D"/>
          <w:spacing w:val="-3"/>
          <w:sz w:val="16"/>
          <w:szCs w:val="16"/>
        </w:rPr>
        <w:t>可持续股权投资</w:t>
      </w:r>
    </w:p>
    <w:p>
      <w:pPr>
        <w:pStyle w:val="BodyText"/>
        <w:spacing w:line="268" w:lineRule="auto"/>
      </w:pPr>
    </w:p>
    <w:p>
      <w:pPr>
        <w:pStyle w:val="BodyText"/>
        <w:spacing w:line="269" w:lineRule="auto"/>
      </w:pPr>
    </w:p>
    <w:p>
      <w:pPr>
        <w:spacing w:before="1" w:line="598" w:lineRule="exact"/>
        <w:ind w:firstLine="868"/>
      </w:pPr>
      <w:r>
        <w:rPr>
          <w:position w:val="-11"/>
        </w:rPr>
        <w:pict>
          <v:shape id="_x0000_i1103" type="#_x0000_t202" style="width:86.8pt;height:29.95pt;mso-position-horizontal-relative:char;mso-position-vertical-relative:line" filled="t" fillcolor="#ef6b2d" stroked="f">
            <o:lock v:ext="edit" aspectratio="f"/>
            <v:textbox inset="0,0,0,0">
              <w:txbxContent>
                <w:p>
                  <w:pPr>
                    <w:spacing w:before="114" w:line="191" w:lineRule="auto"/>
                    <w:ind w:left="477"/>
                    <w:rPr>
                      <w:rFonts w:ascii="Microsoft YaHei" w:eastAsia="Microsoft YaHei" w:hAnsi="Microsoft YaHei" w:cs="Microsoft YaHei"/>
                      <w:sz w:val="16"/>
                      <w:szCs w:val="16"/>
                    </w:rPr>
                  </w:pPr>
                  <w:r>
                    <w:rPr>
                      <w:rFonts w:ascii="Microsoft YaHei" w:eastAsia="Microsoft YaHei" w:hAnsi="Microsoft YaHei" w:cs="Microsoft YaHei"/>
                      <w:color w:val="FFFFFF"/>
                      <w:spacing w:val="-3"/>
                      <w:sz w:val="16"/>
                      <w:szCs w:val="16"/>
                    </w:rPr>
                    <w:t>可持续证券</w:t>
                  </w:r>
                </w:p>
                <w:p>
                  <w:pPr>
                    <w:spacing w:line="178" w:lineRule="auto"/>
                    <w:ind w:left="553"/>
                    <w:rPr>
                      <w:rFonts w:ascii="Microsoft YaHei" w:eastAsia="Microsoft YaHei" w:hAnsi="Microsoft YaHei" w:cs="Microsoft YaHei"/>
                      <w:sz w:val="16"/>
                      <w:szCs w:val="16"/>
                    </w:rPr>
                  </w:pPr>
                  <w:r>
                    <w:rPr>
                      <w:rFonts w:ascii="Microsoft YaHei" w:eastAsia="Microsoft YaHei" w:hAnsi="Microsoft YaHei" w:cs="Microsoft YaHei"/>
                      <w:color w:val="FFFFFF"/>
                      <w:spacing w:val="-2"/>
                      <w:sz w:val="16"/>
                      <w:szCs w:val="16"/>
                    </w:rPr>
                    <w:t>投资基金</w:t>
                  </w:r>
                </w:p>
              </w:txbxContent>
            </v:textbox>
            <w10:wrap type="none"/>
          </v:shape>
        </w:pict>
      </w:r>
    </w:p>
    <w:p>
      <w:pPr>
        <w:pStyle w:val="BodyText"/>
        <w:spacing w:line="459" w:lineRule="auto"/>
      </w:pPr>
    </w:p>
    <w:p>
      <w:pPr>
        <w:spacing w:before="69" w:line="179" w:lineRule="auto"/>
        <w:ind w:left="7161"/>
        <w:rPr>
          <w:rFonts w:ascii="Microsoft YaHei" w:eastAsia="Microsoft YaHei" w:hAnsi="Microsoft YaHei" w:cs="Microsoft YaHei"/>
          <w:sz w:val="16"/>
          <w:szCs w:val="16"/>
        </w:rPr>
      </w:pPr>
      <w:r>
        <mc:AlternateContent>
          <mc:Choice Requires="wps">
            <w:drawing>
              <wp:anchor distT="0" distB="0" distL="0" distR="0" simplePos="0" relativeHeight="251723776" behindDoc="1" locked="0" layoutInCell="1" allowOverlap="1">
                <wp:simplePos x="0" y="0"/>
                <wp:positionH relativeFrom="column">
                  <wp:posOffset>4459166</wp:posOffset>
                </wp:positionH>
                <wp:positionV relativeFrom="paragraph">
                  <wp:posOffset>-92736</wp:posOffset>
                </wp:positionV>
                <wp:extent cx="951230" cy="383540"/>
                <wp:effectExtent l="0" t="0" r="0" b="0"/>
                <wp:wrapNone/>
                <wp:docPr id="70" name="Rect 70"/>
                <wp:cNvGraphicFramePr/>
                <a:graphic xmlns:a="http://schemas.openxmlformats.org/drawingml/2006/main">
                  <a:graphicData uri="http://schemas.microsoft.com/office/word/2010/wordprocessingShape">
                    <wps:wsp xmlns:wps="http://schemas.microsoft.com/office/word/2010/wordprocessingShape">
                      <wps:cNvSpPr/>
                      <wps:spPr>
                        <a:xfrm>
                          <a:off x="4459166" y="-92736"/>
                          <a:ext cx="951230" cy="383540"/>
                        </a:xfrm>
                        <a:prstGeom prst="rect">
                          <a:avLst/>
                        </a:prstGeom>
                        <a:solidFill>
                          <a:srgbClr val="FDECE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70" o:spid="_x0000_s1104" style="width:74.9pt;height:30.2pt;margin-top:-7.3pt;margin-left:351.12pt;mso-wrap-distance-bottom:0;mso-wrap-distance-left:0;mso-wrap-distance-right:0;mso-wrap-distance-top:0;position:absolute;v-text-anchor:top;z-index:-251593728" fillcolor="#fdece3" stroked="f"/>
            </w:pict>
          </mc:Fallback>
        </mc:AlternateContent>
      </w:r>
      <w:r>
        <w:pict>
          <v:shape id="_x0000_s1105" type="#_x0000_t202" style="width:48.05pt;height:12.25pt;margin-top:4.86pt;margin-left:69.22pt;position:absolute;z-index:251752448" filled="f" stroked="f">
            <o:lock v:ext="edit" aspectratio="f"/>
            <v:textbox inset="0,0,0,0">
              <w:txbxContent>
                <w:p>
                  <w:pPr>
                    <w:spacing w:before="19" w:line="179" w:lineRule="auto"/>
                    <w:ind w:left="20"/>
                    <w:rPr>
                      <w:rFonts w:ascii="Microsoft YaHei" w:eastAsia="Microsoft YaHei" w:hAnsi="Microsoft YaHei" w:cs="Microsoft YaHei"/>
                      <w:sz w:val="16"/>
                      <w:szCs w:val="16"/>
                    </w:rPr>
                  </w:pPr>
                  <w:r>
                    <w:rPr>
                      <w:rFonts w:ascii="Microsoft YaHei" w:eastAsia="Microsoft YaHei" w:hAnsi="Microsoft YaHei" w:cs="Microsoft YaHei"/>
                      <w:color w:val="FFFFFF"/>
                      <w:spacing w:val="-3"/>
                      <w:sz w:val="16"/>
                      <w:szCs w:val="16"/>
                    </w:rPr>
                    <w:t>ESG公募基金</w:t>
                  </w:r>
                </w:p>
              </w:txbxContent>
            </v:textbox>
          </v:shape>
        </w:pict>
      </w:r>
      <w:r>
        <w:pict>
          <v:shape id="_x0000_s1106" type="#_x0000_t202" style="width:33.55pt;height:12.15pt;margin-top:4.9pt;margin-left:175.26pt;position:absolute;z-index:251755520" filled="f" stroked="f">
            <o:lock v:ext="edit" aspectratio="f"/>
            <v:textbox inset="0,0,0,0">
              <w:txbxContent>
                <w:p>
                  <w:pPr>
                    <w:spacing w:before="19" w:line="177" w:lineRule="auto"/>
                    <w:ind w:left="20"/>
                    <w:rPr>
                      <w:rFonts w:ascii="Microsoft YaHei" w:eastAsia="Microsoft YaHei" w:hAnsi="Microsoft YaHei" w:cs="Microsoft YaHei"/>
                      <w:sz w:val="16"/>
                      <w:szCs w:val="16"/>
                    </w:rPr>
                  </w:pPr>
                  <w:r>
                    <w:rPr>
                      <w:rFonts w:ascii="Microsoft YaHei" w:eastAsia="Microsoft YaHei" w:hAnsi="Microsoft YaHei" w:cs="Microsoft YaHei"/>
                      <w:color w:val="EF6B2D"/>
                      <w:spacing w:val="-2"/>
                      <w:sz w:val="16"/>
                      <w:szCs w:val="16"/>
                    </w:rPr>
                    <w:t>绿色债券</w:t>
                  </w:r>
                </w:p>
              </w:txbxContent>
            </v:textbox>
          </v:shape>
        </w:pict>
      </w:r>
      <w:r>
        <w:rPr>
          <w:rFonts w:ascii="Microsoft YaHei" w:eastAsia="Microsoft YaHei" w:hAnsi="Microsoft YaHei" w:cs="Microsoft YaHei"/>
          <w:color w:val="EF6B2D"/>
          <w:spacing w:val="-3"/>
          <w:sz w:val="16"/>
          <w:szCs w:val="16"/>
        </w:rPr>
        <w:t>ESG私募股权基金</w:t>
      </w:r>
    </w:p>
    <w:p>
      <w:pPr>
        <w:pStyle w:val="BodyText"/>
        <w:spacing w:line="327" w:lineRule="auto"/>
      </w:pPr>
    </w:p>
    <w:p>
      <w:pPr>
        <w:pStyle w:val="BodyText"/>
        <w:spacing w:line="328" w:lineRule="auto"/>
      </w:pPr>
    </w:p>
    <w:p>
      <w:pPr>
        <w:spacing w:before="69" w:line="187" w:lineRule="auto"/>
        <w:ind w:left="1404"/>
        <w:rPr>
          <w:rFonts w:ascii="Microsoft YaHei" w:eastAsia="Microsoft YaHei" w:hAnsi="Microsoft YaHei" w:cs="Microsoft YaHei"/>
          <w:sz w:val="16"/>
          <w:szCs w:val="16"/>
        </w:rPr>
      </w:pPr>
      <w:r>
        <mc:AlternateContent>
          <mc:Choice Requires="wps">
            <w:drawing>
              <wp:anchor distT="0" distB="0" distL="0" distR="0" simplePos="0" relativeHeight="251725824" behindDoc="1" locked="0" layoutInCell="1" allowOverlap="1">
                <wp:simplePos x="0" y="0"/>
                <wp:positionH relativeFrom="column">
                  <wp:posOffset>703687</wp:posOffset>
                </wp:positionH>
                <wp:positionV relativeFrom="paragraph">
                  <wp:posOffset>-80655</wp:posOffset>
                </wp:positionV>
                <wp:extent cx="951230" cy="383540"/>
                <wp:effectExtent l="0" t="0" r="0" b="0"/>
                <wp:wrapNone/>
                <wp:docPr id="72" name="Rect 72"/>
                <wp:cNvGraphicFramePr/>
                <a:graphic xmlns:a="http://schemas.openxmlformats.org/drawingml/2006/main">
                  <a:graphicData uri="http://schemas.microsoft.com/office/word/2010/wordprocessingShape">
                    <wps:wsp xmlns:wps="http://schemas.microsoft.com/office/word/2010/wordprocessingShape">
                      <wps:cNvSpPr/>
                      <wps:spPr>
                        <a:xfrm>
                          <a:off x="703687" y="-80655"/>
                          <a:ext cx="951230" cy="383540"/>
                        </a:xfrm>
                        <a:prstGeom prst="rect">
                          <a:avLst/>
                        </a:prstGeom>
                        <a:solidFill>
                          <a:srgbClr val="FDECE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72" o:spid="_x0000_s1107" style="width:74.9pt;height:30.2pt;margin-top:-6.35pt;margin-left:55.41pt;mso-wrap-distance-bottom:0;mso-wrap-distance-left:0;mso-wrap-distance-right:0;mso-wrap-distance-top:0;position:absolute;v-text-anchor:top;z-index:-251591680" fillcolor="#fdece3" stroked="f"/>
            </w:pict>
          </mc:Fallback>
        </mc:AlternateContent>
      </w:r>
      <w:r>
        <mc:AlternateContent>
          <mc:Choice Requires="wps">
            <w:drawing>
              <wp:anchor distT="0" distB="0" distL="0" distR="0" simplePos="0" relativeHeight="251727872" behindDoc="1" locked="0" layoutInCell="1" allowOverlap="1">
                <wp:simplePos x="0" y="0"/>
                <wp:positionH relativeFrom="column">
                  <wp:posOffset>1964366</wp:posOffset>
                </wp:positionH>
                <wp:positionV relativeFrom="paragraph">
                  <wp:posOffset>-93355</wp:posOffset>
                </wp:positionV>
                <wp:extent cx="951230" cy="383540"/>
                <wp:effectExtent l="0" t="0" r="0" b="0"/>
                <wp:wrapNone/>
                <wp:docPr id="74" name="Rect 74"/>
                <wp:cNvGraphicFramePr/>
                <a:graphic xmlns:a="http://schemas.openxmlformats.org/drawingml/2006/main">
                  <a:graphicData uri="http://schemas.microsoft.com/office/word/2010/wordprocessingShape">
                    <wps:wsp xmlns:wps="http://schemas.microsoft.com/office/word/2010/wordprocessingShape">
                      <wps:cNvSpPr/>
                      <wps:spPr>
                        <a:xfrm>
                          <a:off x="1964366" y="-93355"/>
                          <a:ext cx="951230" cy="383540"/>
                        </a:xfrm>
                        <a:prstGeom prst="rect">
                          <a:avLst/>
                        </a:prstGeom>
                        <a:solidFill>
                          <a:srgbClr val="FDECE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74" o:spid="_x0000_s1108" style="width:74.9pt;height:30.2pt;margin-top:-7.35pt;margin-left:154.67pt;mso-wrap-distance-bottom:0;mso-wrap-distance-left:0;mso-wrap-distance-right:0;mso-wrap-distance-top:0;position:absolute;v-text-anchor:top;z-index:-251589632" fillcolor="#fdece3" stroked="f"/>
            </w:pict>
          </mc:Fallback>
        </mc:AlternateContent>
      </w:r>
      <w:r>
        <w:rPr>
          <w:rFonts w:ascii="Microsoft YaHei" w:eastAsia="Microsoft YaHei" w:hAnsi="Microsoft YaHei" w:cs="Microsoft YaHei"/>
          <w:color w:val="EF6B2D"/>
          <w:spacing w:val="-1"/>
          <w:position w:val="-1"/>
          <w:sz w:val="16"/>
          <w:szCs w:val="16"/>
        </w:rPr>
        <w:t xml:space="preserve">ESG私募基金                 </w:t>
      </w:r>
      <w:r>
        <w:rPr>
          <w:rFonts w:ascii="Microsoft YaHei" w:eastAsia="Microsoft YaHei" w:hAnsi="Microsoft YaHei" w:cs="Microsoft YaHei"/>
          <w:color w:val="EF6B2D"/>
          <w:spacing w:val="-1"/>
          <w:sz w:val="16"/>
          <w:szCs w:val="16"/>
        </w:rPr>
        <w:t>可持续发展挂</w:t>
      </w:r>
      <w:r>
        <w:rPr>
          <w:rFonts w:ascii="Microsoft YaHei" w:eastAsia="Microsoft YaHei" w:hAnsi="Microsoft YaHei" w:cs="Microsoft YaHei"/>
          <w:color w:val="EF6B2D"/>
          <w:spacing w:val="-2"/>
          <w:sz w:val="16"/>
          <w:szCs w:val="16"/>
        </w:rPr>
        <w:t>钩债券</w:t>
      </w:r>
    </w:p>
    <w:p>
      <w:pPr>
        <w:pStyle w:val="BodyText"/>
        <w:spacing w:line="309" w:lineRule="auto"/>
      </w:pPr>
    </w:p>
    <w:p>
      <w:pPr>
        <w:pStyle w:val="BodyText"/>
        <w:spacing w:line="309" w:lineRule="auto"/>
      </w:pPr>
    </w:p>
    <w:p>
      <w:pPr>
        <w:spacing w:before="70" w:line="177" w:lineRule="auto"/>
        <w:ind w:left="3526"/>
        <w:rPr>
          <w:rFonts w:ascii="Microsoft YaHei" w:eastAsia="Microsoft YaHei" w:hAnsi="Microsoft YaHei" w:cs="Microsoft YaHei"/>
          <w:sz w:val="16"/>
          <w:szCs w:val="16"/>
        </w:rPr>
      </w:pPr>
      <w:r>
        <mc:AlternateContent>
          <mc:Choice Requires="wps">
            <w:drawing>
              <wp:anchor distT="0" distB="0" distL="0" distR="0" simplePos="0" relativeHeight="251729920" behindDoc="1" locked="0" layoutInCell="1" allowOverlap="1">
                <wp:simplePos x="0" y="0"/>
                <wp:positionH relativeFrom="column">
                  <wp:posOffset>1964366</wp:posOffset>
                </wp:positionH>
                <wp:positionV relativeFrom="paragraph">
                  <wp:posOffset>-93324</wp:posOffset>
                </wp:positionV>
                <wp:extent cx="951230" cy="383540"/>
                <wp:effectExtent l="0" t="0" r="0" b="0"/>
                <wp:wrapNone/>
                <wp:docPr id="76" name="Rect 76"/>
                <wp:cNvGraphicFramePr/>
                <a:graphic xmlns:a="http://schemas.openxmlformats.org/drawingml/2006/main">
                  <a:graphicData uri="http://schemas.microsoft.com/office/word/2010/wordprocessingShape">
                    <wps:wsp xmlns:wps="http://schemas.microsoft.com/office/word/2010/wordprocessingShape">
                      <wps:cNvSpPr/>
                      <wps:spPr>
                        <a:xfrm>
                          <a:off x="1964366" y="-93324"/>
                          <a:ext cx="951230" cy="383540"/>
                        </a:xfrm>
                        <a:prstGeom prst="rect">
                          <a:avLst/>
                        </a:prstGeom>
                        <a:solidFill>
                          <a:srgbClr val="FDECE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76" o:spid="_x0000_s1109" style="width:74.9pt;height:30.2pt;margin-top:-7.35pt;margin-left:154.67pt;mso-wrap-distance-bottom:0;mso-wrap-distance-left:0;mso-wrap-distance-right:0;mso-wrap-distance-top:0;position:absolute;v-text-anchor:top;z-index:-251587584" fillcolor="#fdece3" stroked="f"/>
            </w:pict>
          </mc:Fallback>
        </mc:AlternateContent>
      </w:r>
      <w:r>
        <w:rPr>
          <w:rFonts w:ascii="Microsoft YaHei" w:eastAsia="Microsoft YaHei" w:hAnsi="Microsoft YaHei" w:cs="Microsoft YaHei"/>
          <w:color w:val="EF6B2D"/>
          <w:spacing w:val="-2"/>
          <w:sz w:val="16"/>
          <w:szCs w:val="16"/>
        </w:rPr>
        <w:t>转型债券</w:t>
      </w:r>
    </w:p>
    <w:p>
      <w:pPr>
        <w:pStyle w:val="BodyText"/>
        <w:spacing w:line="329" w:lineRule="auto"/>
      </w:pPr>
    </w:p>
    <w:p>
      <w:pPr>
        <w:pStyle w:val="BodyText"/>
        <w:spacing w:line="330" w:lineRule="auto"/>
      </w:pPr>
    </w:p>
    <w:p>
      <w:pPr>
        <w:spacing w:before="68" w:line="177" w:lineRule="auto"/>
        <w:ind w:left="3524"/>
        <w:rPr>
          <w:rFonts w:ascii="Microsoft YaHei" w:eastAsia="Microsoft YaHei" w:hAnsi="Microsoft YaHei" w:cs="Microsoft YaHei"/>
          <w:sz w:val="16"/>
          <w:szCs w:val="16"/>
        </w:rPr>
      </w:pPr>
      <w:r>
        <mc:AlternateContent>
          <mc:Choice Requires="wps">
            <w:drawing>
              <wp:anchor distT="0" distB="0" distL="0" distR="0" simplePos="0" relativeHeight="251731968" behindDoc="1" locked="0" layoutInCell="1" allowOverlap="1">
                <wp:simplePos x="0" y="0"/>
                <wp:positionH relativeFrom="column">
                  <wp:posOffset>1964366</wp:posOffset>
                </wp:positionH>
                <wp:positionV relativeFrom="paragraph">
                  <wp:posOffset>-93723</wp:posOffset>
                </wp:positionV>
                <wp:extent cx="951230" cy="383540"/>
                <wp:effectExtent l="0" t="0" r="0" b="0"/>
                <wp:wrapNone/>
                <wp:docPr id="78" name="Rect 78"/>
                <wp:cNvGraphicFramePr/>
                <a:graphic xmlns:a="http://schemas.openxmlformats.org/drawingml/2006/main">
                  <a:graphicData uri="http://schemas.microsoft.com/office/word/2010/wordprocessingShape">
                    <wps:wsp xmlns:wps="http://schemas.microsoft.com/office/word/2010/wordprocessingShape">
                      <wps:cNvSpPr/>
                      <wps:spPr>
                        <a:xfrm>
                          <a:off x="1964366" y="-93723"/>
                          <a:ext cx="951230" cy="383540"/>
                        </a:xfrm>
                        <a:prstGeom prst="rect">
                          <a:avLst/>
                        </a:prstGeom>
                        <a:solidFill>
                          <a:srgbClr val="FDECE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78" o:spid="_x0000_s1110" style="width:74.9pt;height:30.2pt;margin-top:-7.38pt;margin-left:154.67pt;mso-wrap-distance-bottom:0;mso-wrap-distance-left:0;mso-wrap-distance-right:0;mso-wrap-distance-top:0;position:absolute;v-text-anchor:top;z-index:-251585536" fillcolor="#fdece3" stroked="f"/>
            </w:pict>
          </mc:Fallback>
        </mc:AlternateContent>
      </w:r>
      <w:r>
        <w:rPr>
          <w:rFonts w:ascii="Microsoft YaHei" w:eastAsia="Microsoft YaHei" w:hAnsi="Microsoft YaHei" w:cs="Microsoft YaHei"/>
          <w:color w:val="EF6B2D"/>
          <w:spacing w:val="-2"/>
          <w:sz w:val="16"/>
          <w:szCs w:val="16"/>
        </w:rPr>
        <w:t>社会债券</w:t>
      </w:r>
    </w:p>
    <w:p>
      <w:pPr>
        <w:pStyle w:val="BodyText"/>
        <w:spacing w:line="329" w:lineRule="auto"/>
      </w:pPr>
    </w:p>
    <w:p>
      <w:pPr>
        <w:pStyle w:val="BodyText"/>
        <w:spacing w:line="330" w:lineRule="auto"/>
      </w:pPr>
    </w:p>
    <w:p>
      <w:pPr>
        <w:spacing w:before="70" w:line="177" w:lineRule="auto"/>
        <w:ind w:left="3291"/>
        <w:rPr>
          <w:rFonts w:ascii="Microsoft YaHei" w:eastAsia="Microsoft YaHei" w:hAnsi="Microsoft YaHei" w:cs="Microsoft YaHei"/>
          <w:sz w:val="16"/>
          <w:szCs w:val="16"/>
        </w:rPr>
      </w:pPr>
      <w:r>
        <mc:AlternateContent>
          <mc:Choice Requires="wps">
            <w:drawing>
              <wp:anchor distT="0" distB="0" distL="0" distR="0" simplePos="0" relativeHeight="251734016" behindDoc="1" locked="0" layoutInCell="1" allowOverlap="1">
                <wp:simplePos x="0" y="0"/>
                <wp:positionH relativeFrom="column">
                  <wp:posOffset>1964366</wp:posOffset>
                </wp:positionH>
                <wp:positionV relativeFrom="paragraph">
                  <wp:posOffset>-93215</wp:posOffset>
                </wp:positionV>
                <wp:extent cx="951230" cy="383540"/>
                <wp:effectExtent l="0" t="0" r="0" b="0"/>
                <wp:wrapNone/>
                <wp:docPr id="80" name="Rect 80"/>
                <wp:cNvGraphicFramePr/>
                <a:graphic xmlns:a="http://schemas.openxmlformats.org/drawingml/2006/main">
                  <a:graphicData uri="http://schemas.microsoft.com/office/word/2010/wordprocessingShape">
                    <wps:wsp xmlns:wps="http://schemas.microsoft.com/office/word/2010/wordprocessingShape">
                      <wps:cNvSpPr/>
                      <wps:spPr>
                        <a:xfrm>
                          <a:off x="1964366" y="-93215"/>
                          <a:ext cx="951230" cy="383540"/>
                        </a:xfrm>
                        <a:prstGeom prst="rect">
                          <a:avLst/>
                        </a:prstGeom>
                        <a:solidFill>
                          <a:srgbClr val="FDECE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0" o:spid="_x0000_s1111" style="width:74.9pt;height:30.2pt;margin-top:-7.34pt;margin-left:154.67pt;mso-wrap-distance-bottom:0;mso-wrap-distance-left:0;mso-wrap-distance-right:0;mso-wrap-distance-top:0;position:absolute;v-text-anchor:top;z-index:-251583488" fillcolor="#fdece3" stroked="f"/>
            </w:pict>
          </mc:Fallback>
        </mc:AlternateContent>
      </w:r>
      <w:r>
        <w:rPr>
          <w:rFonts w:ascii="Microsoft YaHei" w:eastAsia="Microsoft YaHei" w:hAnsi="Microsoft YaHei" w:cs="Microsoft YaHei"/>
          <w:color w:val="EF6B2D"/>
          <w:spacing w:val="-3"/>
          <w:sz w:val="16"/>
          <w:szCs w:val="16"/>
        </w:rPr>
        <w:t>可持续发展债券</w:t>
      </w:r>
    </w:p>
    <w:p>
      <w:pPr>
        <w:pStyle w:val="BodyText"/>
        <w:spacing w:line="467" w:lineRule="auto"/>
      </w:pPr>
    </w:p>
    <w:p>
      <w:pPr>
        <w:spacing w:before="138" w:line="176" w:lineRule="auto"/>
        <w:ind w:left="46"/>
        <w:rPr>
          <w:rFonts w:ascii="Microsoft YaHei" w:eastAsia="Microsoft YaHei" w:hAnsi="Microsoft YaHei" w:cs="Microsoft YaHei"/>
          <w:sz w:val="32"/>
          <w:szCs w:val="32"/>
        </w:rPr>
      </w:pPr>
      <w:r>
        <w:rPr>
          <w:rFonts w:ascii="Microsoft YaHei" w:eastAsia="Microsoft YaHei" w:hAnsi="Microsoft YaHei" w:cs="Microsoft YaHei"/>
          <w:color w:val="EF6B2D"/>
          <w:spacing w:val="-2"/>
          <w:sz w:val="32"/>
          <w:szCs w:val="32"/>
        </w:rPr>
        <w:t>数据来源</w:t>
      </w:r>
    </w:p>
    <w:p>
      <w:pPr>
        <w:pStyle w:val="BodyText"/>
        <w:spacing w:line="301" w:lineRule="auto"/>
      </w:pPr>
    </w:p>
    <w:p>
      <w:pPr>
        <w:spacing w:before="77" w:line="175" w:lineRule="auto"/>
        <w:ind w:left="42"/>
        <w:rPr>
          <w:rFonts w:ascii="Microsoft YaHei" w:eastAsia="Microsoft YaHei" w:hAnsi="Microsoft YaHei" w:cs="Microsoft YaHei"/>
          <w:sz w:val="18"/>
          <w:szCs w:val="18"/>
        </w:rPr>
      </w:pPr>
      <w:r>
        <w:rPr>
          <w:rFonts w:ascii="Microsoft YaHei" w:eastAsia="Microsoft YaHei" w:hAnsi="Microsoft YaHei" w:cs="Microsoft YaHei"/>
          <w:color w:val="57585A"/>
          <w:spacing w:val="-5"/>
          <w:sz w:val="18"/>
          <w:szCs w:val="18"/>
        </w:rPr>
        <w:t>报告主要数据</w:t>
      </w:r>
      <w:r>
        <w:rPr>
          <w:rFonts w:ascii="Microsoft YaHei" w:eastAsia="Microsoft YaHei" w:hAnsi="Microsoft YaHei" w:cs="Microsoft YaHei"/>
          <w:color w:val="57585A"/>
          <w:spacing w:val="-5"/>
          <w:position w:val="5"/>
          <w:sz w:val="9"/>
          <w:szCs w:val="9"/>
        </w:rPr>
        <w:t>3</w:t>
      </w:r>
      <w:r>
        <w:rPr>
          <w:rFonts w:ascii="Microsoft YaHei" w:eastAsia="Microsoft YaHei" w:hAnsi="Microsoft YaHei" w:cs="Microsoft YaHei"/>
          <w:color w:val="57585A"/>
          <w:spacing w:val="-5"/>
          <w:sz w:val="18"/>
          <w:szCs w:val="18"/>
        </w:rPr>
        <w:t>来源如下：</w:t>
      </w:r>
    </w:p>
    <w:p>
      <w:pPr>
        <w:spacing w:before="271" w:line="176" w:lineRule="auto"/>
        <w:ind w:left="47"/>
        <w:rPr>
          <w:rFonts w:ascii="Microsoft YaHei" w:eastAsia="Microsoft YaHei" w:hAnsi="Microsoft YaHei" w:cs="Microsoft YaHei"/>
          <w:sz w:val="18"/>
          <w:szCs w:val="18"/>
        </w:rPr>
      </w:pPr>
      <w:r>
        <w:rPr>
          <w:rFonts w:ascii="Microsoft YaHei" w:eastAsia="Microsoft YaHei" w:hAnsi="Microsoft YaHei" w:cs="Microsoft YaHei"/>
          <w:color w:val="57585A"/>
          <w:spacing w:val="-5"/>
          <w:sz w:val="18"/>
          <w:szCs w:val="18"/>
        </w:rPr>
        <w:t>·</w:t>
      </w:r>
      <w:r>
        <w:rPr>
          <w:rFonts w:ascii="Microsoft YaHei" w:eastAsia="Microsoft YaHei" w:hAnsi="Microsoft YaHei" w:cs="Microsoft YaHei"/>
          <w:color w:val="57585A"/>
          <w:spacing w:val="13"/>
          <w:sz w:val="18"/>
          <w:szCs w:val="18"/>
        </w:rPr>
        <w:t xml:space="preserve"> </w:t>
      </w:r>
      <w:r>
        <w:rPr>
          <w:rFonts w:ascii="Microsoft YaHei" w:eastAsia="Microsoft YaHei" w:hAnsi="Microsoft YaHei" w:cs="Microsoft YaHei"/>
          <w:color w:val="57585A"/>
          <w:spacing w:val="-5"/>
          <w:sz w:val="18"/>
          <w:szCs w:val="18"/>
        </w:rPr>
        <w:t>责任投资政策：该部分数据主要来自商道融绿“中</w:t>
      </w:r>
      <w:r>
        <w:rPr>
          <w:rFonts w:ascii="Microsoft YaHei" w:eastAsia="Microsoft YaHei" w:hAnsi="Microsoft YaHei" w:cs="Microsoft YaHei"/>
          <w:color w:val="57585A"/>
          <w:spacing w:val="-6"/>
          <w:sz w:val="18"/>
          <w:szCs w:val="18"/>
        </w:rPr>
        <w:t>国绿色金融政策数据库”。</w:t>
      </w:r>
    </w:p>
    <w:p>
      <w:pPr>
        <w:spacing w:before="274" w:line="179" w:lineRule="auto"/>
        <w:ind w:left="47"/>
        <w:rPr>
          <w:rFonts w:ascii="Microsoft YaHei" w:eastAsia="Microsoft YaHei" w:hAnsi="Microsoft YaHei" w:cs="Microsoft YaHei"/>
          <w:sz w:val="18"/>
          <w:szCs w:val="18"/>
        </w:rPr>
        <w:sectPr>
          <w:footerReference w:type="default" r:id="rId39"/>
          <w:pgSz w:w="12246" w:h="17178"/>
          <w:pgMar w:top="991" w:right="730" w:bottom="400" w:left="1431" w:header="0" w:footer="0" w:gutter="0"/>
          <w:pgNumType w:start="16"/>
          <w:cols w:space="708"/>
        </w:sectPr>
      </w:pPr>
      <w:r>
        <w:rPr>
          <w:rFonts w:ascii="Microsoft YaHei" w:eastAsia="Microsoft YaHei" w:hAnsi="Microsoft YaHei" w:cs="Microsoft YaHei"/>
          <w:color w:val="57585A"/>
          <w:spacing w:val="-5"/>
          <w:sz w:val="18"/>
          <w:szCs w:val="18"/>
        </w:rPr>
        <w:t>·</w:t>
      </w:r>
      <w:r>
        <w:rPr>
          <w:rFonts w:ascii="Microsoft YaHei" w:eastAsia="Microsoft YaHei" w:hAnsi="Microsoft YaHei" w:cs="Microsoft YaHei"/>
          <w:color w:val="57585A"/>
          <w:spacing w:val="19"/>
          <w:w w:val="101"/>
          <w:sz w:val="18"/>
          <w:szCs w:val="18"/>
        </w:rPr>
        <w:t xml:space="preserve"> </w:t>
      </w:r>
      <w:r>
        <w:rPr>
          <w:rFonts w:ascii="Microsoft YaHei" w:eastAsia="Microsoft YaHei" w:hAnsi="Microsoft YaHei" w:cs="Microsoft YaHei"/>
          <w:color w:val="57585A"/>
          <w:spacing w:val="-5"/>
          <w:sz w:val="18"/>
          <w:szCs w:val="18"/>
        </w:rPr>
        <w:t>责任投资实践：来自各家金融机构自主披露的公开信息，由中国责任投资论坛收集整理。</w:t>
      </w:r>
    </w:p>
    <w:p>
      <w:pPr>
        <w:spacing w:before="269" w:line="213" w:lineRule="auto"/>
        <w:ind w:left="216" w:right="636" w:hanging="169"/>
        <w:rPr>
          <w:rFonts w:ascii="Microsoft YaHei" w:eastAsia="Microsoft YaHei" w:hAnsi="Microsoft YaHei" w:cs="Microsoft YaHei"/>
          <w:sz w:val="18"/>
          <w:szCs w:val="18"/>
        </w:rPr>
      </w:pPr>
      <w:r>
        <w:rPr>
          <w:rFonts w:ascii="Microsoft YaHei" w:eastAsia="Microsoft YaHei" w:hAnsi="Microsoft YaHei" w:cs="Microsoft YaHei"/>
          <w:color w:val="57585A"/>
          <w:spacing w:val="-4"/>
          <w:sz w:val="18"/>
          <w:szCs w:val="18"/>
        </w:rPr>
        <w:t>·</w:t>
      </w:r>
      <w:r>
        <w:rPr>
          <w:rFonts w:ascii="Microsoft YaHei" w:eastAsia="Microsoft YaHei" w:hAnsi="Microsoft YaHei" w:cs="Microsoft YaHei"/>
          <w:color w:val="57585A"/>
          <w:spacing w:val="12"/>
          <w:sz w:val="18"/>
          <w:szCs w:val="18"/>
        </w:rPr>
        <w:t xml:space="preserve"> </w:t>
      </w:r>
      <w:r>
        <w:rPr>
          <w:rFonts w:ascii="Microsoft YaHei" w:eastAsia="Microsoft YaHei" w:hAnsi="Microsoft YaHei" w:cs="Microsoft YaHei"/>
          <w:color w:val="57585A"/>
          <w:spacing w:val="-4"/>
          <w:sz w:val="18"/>
          <w:szCs w:val="18"/>
        </w:rPr>
        <w:t>责任投资产品：可统计的涉及ESG考量的股票指数、公募证券基金、理财产品的数据由中国责任投资论</w:t>
      </w:r>
      <w:r>
        <w:rPr>
          <w:rFonts w:ascii="Microsoft YaHei" w:eastAsia="Microsoft YaHei" w:hAnsi="Microsoft YaHei" w:cs="Microsoft YaHei"/>
          <w:color w:val="57585A"/>
          <w:spacing w:val="-5"/>
          <w:sz w:val="18"/>
          <w:szCs w:val="18"/>
        </w:rPr>
        <w:t>坛根据公开信息收</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3"/>
          <w:sz w:val="18"/>
          <w:szCs w:val="18"/>
        </w:rPr>
        <w:t>集整理。</w:t>
      </w:r>
    </w:p>
    <w:p>
      <w:pPr>
        <w:spacing w:before="272" w:line="210" w:lineRule="auto"/>
        <w:ind w:left="217" w:right="634" w:hanging="170"/>
        <w:rPr>
          <w:rFonts w:ascii="Microsoft YaHei" w:eastAsia="Microsoft YaHei" w:hAnsi="Microsoft YaHei" w:cs="Microsoft YaHei"/>
          <w:sz w:val="18"/>
          <w:szCs w:val="18"/>
        </w:rPr>
      </w:pPr>
      <w:r>
        <w:rPr>
          <w:rFonts w:ascii="Microsoft YaHei" w:eastAsia="Microsoft YaHei" w:hAnsi="Microsoft YaHei" w:cs="Microsoft YaHei"/>
          <w:color w:val="57585A"/>
          <w:spacing w:val="-3"/>
          <w:position w:val="1"/>
          <w:sz w:val="18"/>
          <w:szCs w:val="18"/>
        </w:rPr>
        <w:t xml:space="preserve">· </w:t>
      </w:r>
      <w:r>
        <w:rPr>
          <w:rFonts w:ascii="Microsoft YaHei" w:eastAsia="Microsoft YaHei" w:hAnsi="Microsoft YaHei" w:cs="Microsoft YaHei"/>
          <w:color w:val="57585A"/>
          <w:spacing w:val="-3"/>
          <w:sz w:val="18"/>
          <w:szCs w:val="18"/>
        </w:rPr>
        <w:t>个人投资者责任投资态度调查：结果来源于中国责</w:t>
      </w:r>
      <w:r>
        <w:rPr>
          <w:rFonts w:ascii="Microsoft YaHei" w:eastAsia="Microsoft YaHei" w:hAnsi="Microsoft YaHei" w:cs="Microsoft YaHei"/>
          <w:color w:val="57585A"/>
          <w:spacing w:val="-4"/>
          <w:sz w:val="18"/>
          <w:szCs w:val="18"/>
        </w:rPr>
        <w:t>任投资论坛联合新浪财经于2023年10月发起的“2023责任投资公众态</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12"/>
          <w:sz w:val="18"/>
          <w:szCs w:val="18"/>
        </w:rPr>
        <w:t>度调查问卷”，回收有效答卷1241份，该问卷调</w:t>
      </w:r>
      <w:r>
        <w:rPr>
          <w:rFonts w:ascii="Microsoft YaHei" w:eastAsia="Microsoft YaHei" w:hAnsi="Microsoft YaHei" w:cs="Microsoft YaHei"/>
          <w:color w:val="57585A"/>
          <w:spacing w:val="-13"/>
          <w:sz w:val="18"/>
          <w:szCs w:val="18"/>
        </w:rPr>
        <w:t>查为匿名制，面向个人投资者。</w:t>
      </w:r>
    </w:p>
    <w:p>
      <w:pPr>
        <w:spacing w:before="270" w:line="210" w:lineRule="auto"/>
        <w:ind w:left="228" w:right="632" w:hanging="181"/>
        <w:rPr>
          <w:rFonts w:ascii="Microsoft YaHei" w:eastAsia="Microsoft YaHei" w:hAnsi="Microsoft YaHei" w:cs="Microsoft YaHei"/>
          <w:sz w:val="18"/>
          <w:szCs w:val="18"/>
        </w:rPr>
      </w:pPr>
      <w:r>
        <w:rPr>
          <w:rFonts w:ascii="Microsoft YaHei" w:eastAsia="Microsoft YaHei" w:hAnsi="Microsoft YaHei" w:cs="Microsoft YaHei"/>
          <w:color w:val="57585A"/>
          <w:spacing w:val="-2"/>
          <w:position w:val="1"/>
          <w:sz w:val="18"/>
          <w:szCs w:val="18"/>
        </w:rPr>
        <w:t xml:space="preserve">· </w:t>
      </w:r>
      <w:r>
        <w:rPr>
          <w:rFonts w:ascii="Microsoft YaHei" w:eastAsia="Microsoft YaHei" w:hAnsi="Microsoft YaHei" w:cs="Microsoft YaHei"/>
          <w:color w:val="57585A"/>
          <w:spacing w:val="-2"/>
          <w:sz w:val="18"/>
          <w:szCs w:val="18"/>
        </w:rPr>
        <w:t>资产所有者尽责管理态度调查：结果来源于中国</w:t>
      </w:r>
      <w:r>
        <w:rPr>
          <w:rFonts w:ascii="Microsoft YaHei" w:eastAsia="Microsoft YaHei" w:hAnsi="Microsoft YaHei" w:cs="Microsoft YaHei"/>
          <w:color w:val="57585A"/>
          <w:spacing w:val="-3"/>
          <w:sz w:val="18"/>
          <w:szCs w:val="18"/>
        </w:rPr>
        <w:t>责任投资论坛、商道融绿与南方基金联合在2023年10月对资产所有者在</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5"/>
          <w:sz w:val="18"/>
          <w:szCs w:val="18"/>
        </w:rPr>
        <w:t>中国市场进行尽责管理和沟通参与的问卷调查，共有境内外50多家资产所有者回答了问卷。</w:t>
      </w: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spacing w:before="69" w:line="179" w:lineRule="auto"/>
        <w:ind w:left="49"/>
        <w:rPr>
          <w:rFonts w:ascii="Microsoft YaHei" w:eastAsia="Microsoft YaHei" w:hAnsi="Microsoft YaHei" w:cs="Microsoft YaHei"/>
          <w:sz w:val="16"/>
          <w:szCs w:val="16"/>
        </w:rPr>
      </w:pPr>
      <w:r>
        <w:rPr>
          <w:rFonts w:ascii="Microsoft YaHei" w:eastAsia="Microsoft YaHei" w:hAnsi="Microsoft YaHei" w:cs="Microsoft YaHei"/>
          <w:color w:val="808285"/>
          <w:spacing w:val="-5"/>
          <w:position w:val="5"/>
          <w:sz w:val="9"/>
          <w:szCs w:val="9"/>
        </w:rPr>
        <w:t xml:space="preserve">3   </w:t>
      </w:r>
      <w:r>
        <w:rPr>
          <w:rFonts w:ascii="Microsoft YaHei" w:eastAsia="Microsoft YaHei" w:hAnsi="Microsoft YaHei" w:cs="Microsoft YaHei"/>
          <w:color w:val="808285"/>
          <w:spacing w:val="-5"/>
          <w:sz w:val="16"/>
          <w:szCs w:val="16"/>
        </w:rPr>
        <w:t>如未特殊说明，本报告中涉及的中国数据不包括香港特别行政区、澳</w:t>
      </w:r>
      <w:r>
        <w:rPr>
          <w:rFonts w:ascii="Microsoft YaHei" w:eastAsia="Microsoft YaHei" w:hAnsi="Microsoft YaHei" w:cs="Microsoft YaHei"/>
          <w:color w:val="808285"/>
          <w:spacing w:val="-6"/>
          <w:sz w:val="16"/>
          <w:szCs w:val="16"/>
        </w:rPr>
        <w:t>门特别行政区、台湾省的数据。</w:t>
      </w:r>
    </w:p>
    <w:p>
      <w:pPr>
        <w:spacing w:line="179" w:lineRule="auto"/>
        <w:rPr>
          <w:rFonts w:ascii="Microsoft YaHei" w:eastAsia="Microsoft YaHei" w:hAnsi="Microsoft YaHei" w:cs="Microsoft YaHei"/>
          <w:sz w:val="16"/>
          <w:szCs w:val="16"/>
        </w:rPr>
        <w:sectPr>
          <w:footerReference w:type="default" r:id="rId40"/>
          <w:type w:val="nextPage"/>
          <w:pgSz w:w="12246" w:h="17178"/>
          <w:pgMar w:top="991" w:right="730" w:bottom="400" w:left="1431" w:header="0" w:footer="0" w:gutter="0"/>
          <w:pgNumType w:start="17"/>
          <w:cols w:space="708"/>
          <w:titlePg w:val="0"/>
        </w:sectPr>
      </w:pPr>
    </w:p>
    <w:p>
      <w:pPr>
        <w:spacing w:before="51" w:line="215" w:lineRule="auto"/>
        <w:rPr>
          <w:rFonts w:ascii="Microsoft YaHei" w:eastAsia="Microsoft YaHei" w:hAnsi="Microsoft YaHei" w:cs="Microsoft YaHei"/>
          <w:sz w:val="16"/>
          <w:szCs w:val="16"/>
        </w:rPr>
      </w:pPr>
      <w:r>
        <w:pict>
          <v:shape id="_x0000_s1112" style="width:153pt;height:0.25pt;margin-top:774.06pt;margin-left:72.54pt;mso-position-horizontal-relative:page;mso-position-vertical-relative:page;position:absolute;z-index:251757568" coordorigin="0,0" coordsize="3060,5" o:allowincell="f" path="m,2l3059,2e" filled="f" strokecolor="#808285" strokeweight="0.25pt">
            <v:stroke joinstyle="miter"/>
          </v:shape>
        </w:pict>
      </w:r>
      <w:r>
        <w:rPr>
          <w:rFonts w:ascii="Microsoft YaHei" w:eastAsia="Microsoft YaHei" w:hAnsi="Microsoft YaHei" w:cs="Microsoft YaHei"/>
          <w:color w:val="EF6B2D"/>
          <w:spacing w:val="-3"/>
          <w:position w:val="-2"/>
          <w:sz w:val="20"/>
          <w:szCs w:val="20"/>
        </w:rPr>
        <w:t xml:space="preserve">06        </w:t>
      </w:r>
      <w:r>
        <w:rPr>
          <w:position w:val="-6"/>
          <w:sz w:val="20"/>
          <w:szCs w:val="20"/>
        </w:rPr>
        <w:drawing>
          <wp:inline distT="0" distB="0" distL="0" distR="0">
            <wp:extent cx="54236" cy="162521"/>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18"/>
                    <a:stretch>
                      <a:fillRect/>
                    </a:stretch>
                  </pic:blipFill>
                  <pic:spPr>
                    <a:xfrm>
                      <a:off x="0" y="0"/>
                      <a:ext cx="54236" cy="162521"/>
                    </a:xfrm>
                    <a:prstGeom prst="rect">
                      <a:avLst/>
                    </a:prstGeom>
                  </pic:spPr>
                </pic:pic>
              </a:graphicData>
            </a:graphic>
          </wp:inline>
        </w:drawing>
      </w:r>
      <w:r>
        <w:rPr>
          <w:rFonts w:ascii="Microsoft YaHei" w:eastAsia="Microsoft YaHei" w:hAnsi="Microsoft YaHei" w:cs="Microsoft YaHei"/>
          <w:color w:val="EF6B2D"/>
          <w:spacing w:val="55"/>
          <w:position w:val="-2"/>
          <w:sz w:val="20"/>
          <w:szCs w:val="20"/>
        </w:rPr>
        <w:t xml:space="preserve"> </w:t>
      </w:r>
      <w:r>
        <w:rPr>
          <w:rFonts w:ascii="Microsoft YaHei" w:eastAsia="Microsoft YaHei" w:hAnsi="Microsoft YaHei" w:cs="Microsoft YaHei"/>
          <w:color w:val="EF6B2D"/>
          <w:spacing w:val="-3"/>
          <w:sz w:val="16"/>
          <w:szCs w:val="16"/>
        </w:rPr>
        <w:t>中国责任投资年度报告2023</w:t>
      </w:r>
      <w:r>
        <w:rPr>
          <w:rFonts w:ascii="Microsoft YaHei" w:eastAsia="Microsoft YaHei" w:hAnsi="Microsoft YaHei" w:cs="Microsoft YaHei"/>
          <w:color w:val="EF6B2D"/>
          <w:spacing w:val="5"/>
          <w:sz w:val="16"/>
          <w:szCs w:val="16"/>
        </w:rPr>
        <w:t xml:space="preserve">   </w:t>
      </w:r>
      <w:r>
        <w:rPr>
          <w:rFonts w:ascii="Microsoft YaHei" w:eastAsia="Microsoft YaHei" w:hAnsi="Microsoft YaHei" w:cs="Microsoft YaHei"/>
          <w:strike/>
          <w:color w:val="EF6B2D"/>
          <w:sz w:val="16"/>
          <w:szCs w:val="16"/>
        </w:rPr>
        <w:t xml:space="preserve">                                                                                                                                                     </w:t>
      </w:r>
    </w:p>
    <w:p>
      <w:pPr>
        <w:pStyle w:val="BodyText"/>
        <w:spacing w:line="255" w:lineRule="auto"/>
      </w:pPr>
    </w:p>
    <w:p>
      <w:pPr>
        <w:pStyle w:val="BodyText"/>
        <w:spacing w:line="255" w:lineRule="auto"/>
      </w:pPr>
    </w:p>
    <w:p>
      <w:pPr>
        <w:spacing w:before="206" w:line="236" w:lineRule="auto"/>
        <w:ind w:left="692"/>
        <w:rPr>
          <w:rFonts w:ascii="Microsoft YaHei" w:eastAsia="Microsoft YaHei" w:hAnsi="Microsoft YaHei" w:cs="Microsoft YaHei"/>
          <w:sz w:val="48"/>
          <w:szCs w:val="48"/>
        </w:rPr>
      </w:pPr>
      <w:r>
        <w:rPr>
          <w:rFonts w:ascii="Microsoft YaHei" w:eastAsia="Microsoft YaHei" w:hAnsi="Microsoft YaHei" w:cs="Microsoft YaHei"/>
          <w:color w:val="EF6B2D"/>
          <w:position w:val="-18"/>
          <w:sz w:val="48"/>
          <w:szCs w:val="48"/>
        </w:rPr>
        <w:drawing>
          <wp:inline distT="0" distB="0" distL="0" distR="0">
            <wp:extent cx="163079" cy="488683"/>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41"/>
                    <a:stretch>
                      <a:fillRect/>
                    </a:stretch>
                  </pic:blipFill>
                  <pic:spPr>
                    <a:xfrm>
                      <a:off x="0" y="0"/>
                      <a:ext cx="163079" cy="488683"/>
                    </a:xfrm>
                    <a:prstGeom prst="rect">
                      <a:avLst/>
                    </a:prstGeom>
                  </pic:spPr>
                </pic:pic>
              </a:graphicData>
            </a:graphic>
          </wp:inline>
        </w:drawing>
      </w:r>
      <w:r>
        <w:rPr>
          <w:rFonts w:ascii="Microsoft YaHei" w:eastAsia="Microsoft YaHei" w:hAnsi="Microsoft YaHei" w:cs="Microsoft YaHei"/>
          <w:color w:val="EF6B2D"/>
          <w:spacing w:val="11"/>
          <w:sz w:val="48"/>
          <w:szCs w:val="48"/>
        </w:rPr>
        <w:t xml:space="preserve">  </w:t>
      </w:r>
      <w:r>
        <w:rPr>
          <w:rFonts w:ascii="Microsoft YaHei" w:eastAsia="Microsoft YaHei" w:hAnsi="Microsoft YaHei" w:cs="Microsoft YaHei"/>
          <w:color w:val="EF6B2D"/>
          <w:spacing w:val="-4"/>
          <w:sz w:val="48"/>
          <w:szCs w:val="48"/>
        </w:rPr>
        <w:t>1. 全球责任投资趋势和重要进展</w:t>
      </w:r>
    </w:p>
    <w:p>
      <w:pPr>
        <w:pStyle w:val="BodyText"/>
        <w:spacing w:line="243" w:lineRule="auto"/>
      </w:pPr>
    </w:p>
    <w:p>
      <w:pPr>
        <w:spacing w:before="138" w:line="168" w:lineRule="auto"/>
        <w:ind w:left="688" w:right="19" w:hanging="4"/>
        <w:rPr>
          <w:rFonts w:ascii="Microsoft YaHei" w:eastAsia="Microsoft YaHei" w:hAnsi="Microsoft YaHei" w:cs="Microsoft YaHei"/>
          <w:sz w:val="32"/>
          <w:szCs w:val="32"/>
        </w:rPr>
      </w:pPr>
      <w:r>
        <w:rPr>
          <w:rFonts w:ascii="Microsoft YaHei" w:eastAsia="Microsoft YaHei" w:hAnsi="Microsoft YaHei" w:cs="Microsoft YaHei"/>
          <w:color w:val="EF6B2D"/>
          <w:spacing w:val="-1"/>
          <w:sz w:val="32"/>
          <w:szCs w:val="32"/>
        </w:rPr>
        <w:t>全球五大市场责任投资规模约30万亿美元，责任投资机构数量持续</w:t>
      </w:r>
      <w:r>
        <w:rPr>
          <w:rFonts w:ascii="Microsoft YaHei" w:eastAsia="Microsoft YaHei" w:hAnsi="Microsoft YaHei" w:cs="Microsoft YaHei"/>
          <w:color w:val="EF6B2D"/>
          <w:spacing w:val="11"/>
          <w:sz w:val="32"/>
          <w:szCs w:val="32"/>
        </w:rPr>
        <w:t xml:space="preserve"> </w:t>
      </w:r>
      <w:r>
        <w:rPr>
          <w:rFonts w:ascii="Microsoft YaHei" w:eastAsia="Microsoft YaHei" w:hAnsi="Microsoft YaHei" w:cs="Microsoft YaHei"/>
          <w:color w:val="EF6B2D"/>
          <w:spacing w:val="-3"/>
          <w:sz w:val="32"/>
          <w:szCs w:val="32"/>
        </w:rPr>
        <w:t>增长</w:t>
      </w:r>
    </w:p>
    <w:p>
      <w:pPr>
        <w:pStyle w:val="BodyText"/>
        <w:spacing w:line="305" w:lineRule="auto"/>
      </w:pPr>
    </w:p>
    <w:p>
      <w:pPr>
        <w:spacing w:before="77" w:line="214" w:lineRule="auto"/>
        <w:ind w:left="693" w:right="29" w:hanging="9"/>
        <w:rPr>
          <w:rFonts w:ascii="Microsoft YaHei" w:eastAsia="Microsoft YaHei" w:hAnsi="Microsoft YaHei" w:cs="Microsoft YaHei"/>
          <w:sz w:val="18"/>
          <w:szCs w:val="18"/>
        </w:rPr>
      </w:pPr>
      <w:r>
        <w:rPr>
          <w:rFonts w:ascii="Microsoft YaHei" w:eastAsia="Microsoft YaHei" w:hAnsi="Microsoft YaHei" w:cs="Microsoft YaHei"/>
          <w:color w:val="57585A"/>
          <w:spacing w:val="-12"/>
          <w:sz w:val="18"/>
          <w:szCs w:val="18"/>
        </w:rPr>
        <w:t>根据全球可持续投资联盟（GSIA）</w:t>
      </w:r>
      <w:r>
        <w:rPr>
          <w:rFonts w:ascii="Microsoft YaHei" w:eastAsia="Microsoft YaHei" w:hAnsi="Microsoft YaHei" w:cs="Microsoft YaHei"/>
          <w:color w:val="57585A"/>
          <w:spacing w:val="-6"/>
          <w:position w:val="5"/>
          <w:sz w:val="9"/>
          <w:szCs w:val="9"/>
        </w:rPr>
        <w:t>4</w:t>
      </w:r>
      <w:r>
        <w:rPr>
          <w:rFonts w:ascii="Microsoft YaHei" w:eastAsia="Microsoft YaHei" w:hAnsi="Microsoft YaHei" w:cs="Microsoft YaHei"/>
          <w:color w:val="57585A"/>
          <w:spacing w:val="-6"/>
          <w:sz w:val="18"/>
          <w:szCs w:val="18"/>
        </w:rPr>
        <w:t>最新统计，受美国方法论和所属资产规模变动影响，截至2022年初，</w:t>
      </w:r>
      <w:r>
        <w:rPr>
          <w:rFonts w:ascii="Microsoft YaHei" w:eastAsia="Microsoft YaHei" w:hAnsi="Microsoft YaHei" w:cs="Microsoft YaHei"/>
          <w:color w:val="57585A"/>
          <w:spacing w:val="-7"/>
          <w:sz w:val="18"/>
          <w:szCs w:val="18"/>
        </w:rPr>
        <w:t>全球五个主要市场</w:t>
      </w:r>
      <w:r>
        <w:rPr>
          <w:rFonts w:ascii="Microsoft YaHei" w:eastAsia="Microsoft YaHei" w:hAnsi="Microsoft YaHei" w:cs="Microsoft YaHei"/>
          <w:color w:val="57585A"/>
          <w:spacing w:val="-7"/>
          <w:position w:val="5"/>
          <w:sz w:val="10"/>
          <w:szCs w:val="10"/>
        </w:rPr>
        <w:t>5</w:t>
      </w:r>
      <w:r>
        <w:rPr>
          <w:rFonts w:ascii="Microsoft YaHei" w:eastAsia="Microsoft YaHei" w:hAnsi="Microsoft YaHei" w:cs="Microsoft YaHei"/>
          <w:color w:val="57585A"/>
          <w:spacing w:val="1"/>
          <w:position w:val="5"/>
          <w:sz w:val="10"/>
          <w:szCs w:val="10"/>
        </w:rPr>
        <w:t xml:space="preserve"> </w:t>
      </w:r>
      <w:r>
        <w:rPr>
          <w:rFonts w:ascii="Microsoft YaHei" w:eastAsia="Microsoft YaHei" w:hAnsi="Microsoft YaHei" w:cs="Microsoft YaHei"/>
          <w:color w:val="57585A"/>
          <w:spacing w:val="-7"/>
          <w:sz w:val="18"/>
          <w:szCs w:val="18"/>
        </w:rPr>
        <w:t>的可持续投资规模约为30万亿美元，较2020年初减少14%，占五个市场资产管理规模的2</w:t>
      </w:r>
      <w:r>
        <w:rPr>
          <w:rFonts w:ascii="Microsoft YaHei" w:eastAsia="Microsoft YaHei" w:hAnsi="Microsoft YaHei" w:cs="Microsoft YaHei"/>
          <w:color w:val="57585A"/>
          <w:spacing w:val="-8"/>
          <w:sz w:val="18"/>
          <w:szCs w:val="18"/>
        </w:rPr>
        <w:t>4.4%。</w:t>
      </w:r>
    </w:p>
    <w:p>
      <w:pPr>
        <w:spacing w:before="304" w:line="179" w:lineRule="auto"/>
        <w:ind w:left="4115"/>
        <w:rPr>
          <w:rFonts w:ascii="Microsoft YaHei" w:eastAsia="Microsoft YaHei" w:hAnsi="Microsoft YaHei" w:cs="Microsoft YaHei"/>
          <w:sz w:val="16"/>
          <w:szCs w:val="16"/>
        </w:rPr>
      </w:pPr>
      <w:r>
        <w:rPr>
          <w:rFonts w:ascii="Microsoft YaHei" w:eastAsia="Microsoft YaHei" w:hAnsi="Microsoft YaHei" w:cs="Microsoft YaHei"/>
          <w:color w:val="3E3E3F"/>
          <w:spacing w:val="-2"/>
          <w:sz w:val="16"/>
          <w:szCs w:val="16"/>
        </w:rPr>
        <w:t>表1</w:t>
      </w:r>
      <w:r>
        <w:rPr>
          <w:rFonts w:ascii="Microsoft YaHei" w:eastAsia="Microsoft YaHei" w:hAnsi="Microsoft YaHei" w:cs="Microsoft YaHei"/>
          <w:color w:val="3E3E3F"/>
          <w:spacing w:val="-12"/>
          <w:sz w:val="16"/>
          <w:szCs w:val="16"/>
        </w:rPr>
        <w:t xml:space="preserve"> </w:t>
      </w:r>
      <w:r>
        <w:rPr>
          <w:rFonts w:ascii="Microsoft YaHei" w:eastAsia="Microsoft YaHei" w:hAnsi="Microsoft YaHei" w:cs="Microsoft YaHei"/>
          <w:color w:val="3E3E3F"/>
          <w:spacing w:val="-2"/>
          <w:sz w:val="16"/>
          <w:szCs w:val="16"/>
        </w:rPr>
        <w:t>全球五大市场责任投资总规模</w:t>
      </w:r>
    </w:p>
    <w:p>
      <w:pPr>
        <w:spacing w:line="117" w:lineRule="exact"/>
      </w:pPr>
    </w:p>
    <w:tbl>
      <w:tblPr>
        <w:tblStyle w:val="TableNormal5"/>
        <w:tblW w:w="6485" w:type="dxa"/>
        <w:tblInd w:w="3528" w:type="dxa"/>
        <w:tblBorders>
          <w:top w:val="single" w:sz="2" w:space="0" w:color="FFFFFF"/>
          <w:left w:val="single" w:sz="2" w:space="0" w:color="FFFFFF"/>
          <w:bottom w:val="single" w:sz="2" w:space="0" w:color="FFFFFF"/>
          <w:right w:val="single" w:sz="2" w:space="0" w:color="FFFFFF"/>
          <w:insideH w:val="single" w:sz="2" w:space="0" w:color="FFFFFF"/>
          <w:insideV w:val="single" w:sz="2" w:space="0" w:color="FFFFFF"/>
        </w:tblBorders>
        <w:shd w:val="clear" w:color="auto" w:fill="EF6B2D"/>
        <w:tblLayout w:type="fixed"/>
      </w:tblPr>
      <w:tblGrid>
        <w:gridCol w:w="1550"/>
        <w:gridCol w:w="1570"/>
        <w:gridCol w:w="1694"/>
        <w:gridCol w:w="1671"/>
      </w:tblGrid>
      <w:tr>
        <w:tblPrEx>
          <w:tblW w:w="6485" w:type="dxa"/>
          <w:tblInd w:w="3528" w:type="dxa"/>
          <w:tblBorders>
            <w:top w:val="single" w:sz="2" w:space="0" w:color="FFFFFF"/>
            <w:left w:val="single" w:sz="2" w:space="0" w:color="FFFFFF"/>
            <w:bottom w:val="single" w:sz="2" w:space="0" w:color="FFFFFF"/>
            <w:right w:val="single" w:sz="2" w:space="0" w:color="FFFFFF"/>
            <w:insideH w:val="single" w:sz="2" w:space="0" w:color="FFFFFF"/>
            <w:insideV w:val="single" w:sz="2" w:space="0" w:color="FFFFFF"/>
          </w:tblBorders>
          <w:shd w:val="clear" w:color="auto" w:fill="EF6B2D"/>
          <w:tblLayout w:type="fixed"/>
        </w:tblPrEx>
        <w:trPr>
          <w:trHeight w:val="551"/>
        </w:trPr>
        <w:tc>
          <w:tcPr>
            <w:tcW w:w="1550" w:type="dxa"/>
            <w:tcBorders>
              <w:top w:val="nil"/>
              <w:bottom w:val="nil"/>
            </w:tcBorders>
            <w:shd w:val="clear" w:color="auto" w:fill="EF6B2D"/>
            <w:vAlign w:val="top"/>
          </w:tcPr>
          <w:p>
            <w:pPr>
              <w:pStyle w:val="TableText"/>
              <w:spacing w:before="195" w:line="168" w:lineRule="auto"/>
              <w:ind w:left="654"/>
              <w:rPr>
                <w:sz w:val="16"/>
                <w:szCs w:val="16"/>
              </w:rPr>
            </w:pPr>
            <w:r>
              <w:rPr>
                <w:color w:val="FFFFFF"/>
                <w:spacing w:val="-4"/>
                <w:sz w:val="16"/>
                <w:szCs w:val="16"/>
              </w:rPr>
              <w:t>2016</w:t>
            </w:r>
          </w:p>
        </w:tc>
        <w:tc>
          <w:tcPr>
            <w:tcW w:w="1570" w:type="dxa"/>
            <w:tcBorders>
              <w:top w:val="nil"/>
              <w:bottom w:val="nil"/>
            </w:tcBorders>
            <w:shd w:val="clear" w:color="auto" w:fill="EF6B2D"/>
            <w:vAlign w:val="top"/>
          </w:tcPr>
          <w:p>
            <w:pPr>
              <w:pStyle w:val="TableText"/>
              <w:spacing w:before="195" w:line="168" w:lineRule="auto"/>
              <w:ind w:left="543"/>
              <w:rPr>
                <w:sz w:val="16"/>
                <w:szCs w:val="16"/>
              </w:rPr>
            </w:pPr>
            <w:r>
              <w:rPr>
                <w:color w:val="FFFFFF"/>
                <w:spacing w:val="-4"/>
                <w:sz w:val="16"/>
                <w:szCs w:val="16"/>
              </w:rPr>
              <w:t>2018</w:t>
            </w:r>
          </w:p>
        </w:tc>
        <w:tc>
          <w:tcPr>
            <w:tcW w:w="1694" w:type="dxa"/>
            <w:tcBorders>
              <w:top w:val="nil"/>
              <w:bottom w:val="nil"/>
            </w:tcBorders>
            <w:shd w:val="clear" w:color="auto" w:fill="EF6B2D"/>
            <w:vAlign w:val="top"/>
          </w:tcPr>
          <w:p>
            <w:pPr>
              <w:pStyle w:val="TableText"/>
              <w:spacing w:before="195" w:line="168" w:lineRule="auto"/>
              <w:ind w:left="642"/>
              <w:rPr>
                <w:sz w:val="16"/>
                <w:szCs w:val="16"/>
              </w:rPr>
            </w:pPr>
            <w:r>
              <w:rPr>
                <w:color w:val="FFFFFF"/>
                <w:spacing w:val="-4"/>
                <w:sz w:val="16"/>
                <w:szCs w:val="16"/>
              </w:rPr>
              <w:t>2020</w:t>
            </w:r>
          </w:p>
        </w:tc>
        <w:tc>
          <w:tcPr>
            <w:tcW w:w="1671" w:type="dxa"/>
            <w:tcBorders>
              <w:top w:val="nil"/>
              <w:bottom w:val="nil"/>
            </w:tcBorders>
            <w:shd w:val="clear" w:color="auto" w:fill="EF6B2D"/>
            <w:vAlign w:val="top"/>
          </w:tcPr>
          <w:p>
            <w:pPr>
              <w:pStyle w:val="TableText"/>
              <w:spacing w:before="195" w:line="168" w:lineRule="auto"/>
              <w:ind w:left="647"/>
              <w:rPr>
                <w:sz w:val="16"/>
                <w:szCs w:val="16"/>
              </w:rPr>
            </w:pPr>
            <w:r>
              <w:rPr>
                <w:color w:val="FFFFFF"/>
                <w:spacing w:val="-4"/>
                <w:sz w:val="16"/>
                <w:szCs w:val="16"/>
              </w:rPr>
              <w:t>2022</w:t>
            </w:r>
          </w:p>
        </w:tc>
      </w:tr>
    </w:tbl>
    <w:tbl>
      <w:tblPr>
        <w:tblStyle w:val="TableNormal5"/>
        <w:tblW w:w="9332" w:type="dxa"/>
        <w:tblInd w:w="681" w:type="dxa"/>
        <w:tblBorders>
          <w:top w:val="single" w:sz="2" w:space="0" w:color="AAACAF"/>
          <w:left w:val="single" w:sz="2" w:space="0" w:color="AAACAF"/>
          <w:bottom w:val="single" w:sz="2" w:space="0" w:color="AAACAF"/>
          <w:right w:val="single" w:sz="2" w:space="0" w:color="AAACAF"/>
          <w:insideH w:val="single" w:sz="2" w:space="0" w:color="AAACAF"/>
          <w:insideV w:val="single" w:sz="2" w:space="0" w:color="AAACAF"/>
        </w:tblBorders>
        <w:tblLayout w:type="fixed"/>
      </w:tblPr>
      <w:tblGrid>
        <w:gridCol w:w="2848"/>
        <w:gridCol w:w="1548"/>
        <w:gridCol w:w="1570"/>
        <w:gridCol w:w="1694"/>
        <w:gridCol w:w="1672"/>
      </w:tblGrid>
      <w:tr>
        <w:tblPrEx>
          <w:tblW w:w="9332" w:type="dxa"/>
          <w:tblInd w:w="681" w:type="dxa"/>
          <w:tblBorders>
            <w:top w:val="single" w:sz="2" w:space="0" w:color="AAACAF"/>
            <w:left w:val="single" w:sz="2" w:space="0" w:color="AAACAF"/>
            <w:bottom w:val="single" w:sz="2" w:space="0" w:color="AAACAF"/>
            <w:right w:val="single" w:sz="2" w:space="0" w:color="AAACAF"/>
            <w:insideH w:val="single" w:sz="2" w:space="0" w:color="AAACAF"/>
            <w:insideV w:val="single" w:sz="2" w:space="0" w:color="AAACAF"/>
          </w:tblBorders>
          <w:tblLayout w:type="fixed"/>
        </w:tblPrEx>
        <w:trPr>
          <w:trHeight w:val="397"/>
        </w:trPr>
        <w:tc>
          <w:tcPr>
            <w:tcW w:w="2848" w:type="dxa"/>
            <w:vAlign w:val="top"/>
          </w:tcPr>
          <w:p>
            <w:pPr>
              <w:pStyle w:val="TableText"/>
              <w:spacing w:before="134" w:line="176" w:lineRule="auto"/>
              <w:ind w:left="273"/>
              <w:rPr>
                <w:sz w:val="16"/>
                <w:szCs w:val="16"/>
              </w:rPr>
            </w:pPr>
            <w:r>
              <w:rPr>
                <w:color w:val="3E3E3F"/>
                <w:spacing w:val="-6"/>
                <w:sz w:val="16"/>
                <w:szCs w:val="16"/>
              </w:rPr>
              <w:t>全球可持续投资规模（十亿美元）</w:t>
            </w:r>
          </w:p>
        </w:tc>
        <w:tc>
          <w:tcPr>
            <w:tcW w:w="1548" w:type="dxa"/>
            <w:vAlign w:val="top"/>
          </w:tcPr>
          <w:p>
            <w:pPr>
              <w:pStyle w:val="TableText"/>
              <w:spacing w:before="156" w:line="174" w:lineRule="auto"/>
              <w:ind w:left="595"/>
              <w:rPr>
                <w:sz w:val="16"/>
                <w:szCs w:val="16"/>
              </w:rPr>
            </w:pPr>
            <w:r>
              <w:rPr>
                <w:color w:val="6C6D70"/>
                <w:spacing w:val="-5"/>
                <w:sz w:val="16"/>
                <w:szCs w:val="16"/>
              </w:rPr>
              <w:t>22,872</w:t>
            </w:r>
          </w:p>
        </w:tc>
        <w:tc>
          <w:tcPr>
            <w:tcW w:w="1570" w:type="dxa"/>
            <w:vAlign w:val="top"/>
          </w:tcPr>
          <w:p>
            <w:pPr>
              <w:pStyle w:val="TableText"/>
              <w:spacing w:before="156" w:line="174" w:lineRule="auto"/>
              <w:ind w:left="505"/>
              <w:rPr>
                <w:sz w:val="16"/>
                <w:szCs w:val="16"/>
              </w:rPr>
            </w:pPr>
            <w:r>
              <w:rPr>
                <w:color w:val="6C6D70"/>
                <w:spacing w:val="-5"/>
                <w:sz w:val="16"/>
                <w:szCs w:val="16"/>
              </w:rPr>
              <w:t>30,683</w:t>
            </w:r>
          </w:p>
        </w:tc>
        <w:tc>
          <w:tcPr>
            <w:tcW w:w="1694" w:type="dxa"/>
            <w:vAlign w:val="top"/>
          </w:tcPr>
          <w:p>
            <w:pPr>
              <w:pStyle w:val="TableText"/>
              <w:spacing w:before="156" w:line="174" w:lineRule="auto"/>
              <w:ind w:left="603"/>
              <w:rPr>
                <w:sz w:val="16"/>
                <w:szCs w:val="16"/>
              </w:rPr>
            </w:pPr>
            <w:r>
              <w:rPr>
                <w:color w:val="6C6D70"/>
                <w:spacing w:val="-5"/>
                <w:sz w:val="16"/>
                <w:szCs w:val="16"/>
              </w:rPr>
              <w:t>35,301</w:t>
            </w:r>
          </w:p>
        </w:tc>
        <w:tc>
          <w:tcPr>
            <w:tcW w:w="1672" w:type="dxa"/>
            <w:vAlign w:val="top"/>
          </w:tcPr>
          <w:p>
            <w:pPr>
              <w:pStyle w:val="TableText"/>
              <w:spacing w:before="156" w:line="174" w:lineRule="auto"/>
              <w:ind w:left="608"/>
              <w:rPr>
                <w:sz w:val="16"/>
                <w:szCs w:val="16"/>
              </w:rPr>
            </w:pPr>
            <w:r>
              <w:rPr>
                <w:color w:val="6C6D70"/>
                <w:spacing w:val="-5"/>
                <w:sz w:val="16"/>
                <w:szCs w:val="16"/>
              </w:rPr>
              <w:t>30,321</w:t>
            </w:r>
          </w:p>
        </w:tc>
      </w:tr>
      <w:tr>
        <w:tblPrEx>
          <w:tblW w:w="9332" w:type="dxa"/>
          <w:tblInd w:w="681" w:type="dxa"/>
          <w:tblLayout w:type="fixed"/>
        </w:tblPrEx>
        <w:trPr>
          <w:trHeight w:val="394"/>
        </w:trPr>
        <w:tc>
          <w:tcPr>
            <w:tcW w:w="2848" w:type="dxa"/>
            <w:vAlign w:val="top"/>
          </w:tcPr>
          <w:p>
            <w:pPr>
              <w:pStyle w:val="TableText"/>
              <w:spacing w:before="133" w:line="180" w:lineRule="auto"/>
              <w:ind w:left="293"/>
              <w:rPr>
                <w:sz w:val="16"/>
                <w:szCs w:val="16"/>
              </w:rPr>
            </w:pPr>
            <w:r>
              <w:rPr>
                <w:color w:val="3E3E3F"/>
                <w:spacing w:val="-2"/>
                <w:sz w:val="16"/>
                <w:szCs w:val="16"/>
              </w:rPr>
              <w:t>占全球资产管理规模百分比</w:t>
            </w:r>
          </w:p>
        </w:tc>
        <w:tc>
          <w:tcPr>
            <w:tcW w:w="1548" w:type="dxa"/>
            <w:vAlign w:val="top"/>
          </w:tcPr>
          <w:p>
            <w:pPr>
              <w:pStyle w:val="TableText"/>
              <w:spacing w:before="151" w:line="170" w:lineRule="auto"/>
              <w:ind w:left="610"/>
              <w:rPr>
                <w:sz w:val="16"/>
                <w:szCs w:val="16"/>
              </w:rPr>
            </w:pPr>
            <w:r>
              <w:rPr>
                <w:color w:val="6C6D70"/>
                <w:spacing w:val="-3"/>
                <w:sz w:val="16"/>
                <w:szCs w:val="16"/>
              </w:rPr>
              <w:t>27.9%</w:t>
            </w:r>
          </w:p>
        </w:tc>
        <w:tc>
          <w:tcPr>
            <w:tcW w:w="1570" w:type="dxa"/>
            <w:vAlign w:val="top"/>
          </w:tcPr>
          <w:p>
            <w:pPr>
              <w:pStyle w:val="TableText"/>
              <w:spacing w:before="151" w:line="170" w:lineRule="auto"/>
              <w:ind w:left="520"/>
              <w:rPr>
                <w:sz w:val="16"/>
                <w:szCs w:val="16"/>
              </w:rPr>
            </w:pPr>
            <w:r>
              <w:rPr>
                <w:color w:val="6C6D70"/>
                <w:spacing w:val="-3"/>
                <w:sz w:val="16"/>
                <w:szCs w:val="16"/>
              </w:rPr>
              <w:t>33.4%</w:t>
            </w:r>
          </w:p>
        </w:tc>
        <w:tc>
          <w:tcPr>
            <w:tcW w:w="1694" w:type="dxa"/>
            <w:vAlign w:val="top"/>
          </w:tcPr>
          <w:p>
            <w:pPr>
              <w:pStyle w:val="TableText"/>
              <w:spacing w:before="151" w:line="170" w:lineRule="auto"/>
              <w:ind w:left="618"/>
              <w:rPr>
                <w:sz w:val="16"/>
                <w:szCs w:val="16"/>
              </w:rPr>
            </w:pPr>
            <w:r>
              <w:rPr>
                <w:color w:val="6C6D70"/>
                <w:spacing w:val="-3"/>
                <w:sz w:val="16"/>
                <w:szCs w:val="16"/>
              </w:rPr>
              <w:t>35.9%</w:t>
            </w:r>
          </w:p>
        </w:tc>
        <w:tc>
          <w:tcPr>
            <w:tcW w:w="1672" w:type="dxa"/>
            <w:vAlign w:val="top"/>
          </w:tcPr>
          <w:p>
            <w:pPr>
              <w:pStyle w:val="TableText"/>
              <w:spacing w:before="151" w:line="170" w:lineRule="auto"/>
              <w:ind w:left="625"/>
              <w:rPr>
                <w:sz w:val="16"/>
                <w:szCs w:val="16"/>
              </w:rPr>
            </w:pPr>
            <w:r>
              <w:rPr>
                <w:color w:val="6C6D70"/>
                <w:spacing w:val="-3"/>
                <w:sz w:val="16"/>
                <w:szCs w:val="16"/>
              </w:rPr>
              <w:t>24.4%</w:t>
            </w:r>
          </w:p>
        </w:tc>
      </w:tr>
      <w:tr>
        <w:tblPrEx>
          <w:tblW w:w="9332" w:type="dxa"/>
          <w:tblInd w:w="681" w:type="dxa"/>
          <w:tblLayout w:type="fixed"/>
        </w:tblPrEx>
        <w:trPr>
          <w:trHeight w:val="397"/>
        </w:trPr>
        <w:tc>
          <w:tcPr>
            <w:tcW w:w="2848" w:type="dxa"/>
            <w:vAlign w:val="top"/>
          </w:tcPr>
          <w:p>
            <w:pPr>
              <w:pStyle w:val="TableText"/>
              <w:spacing w:before="135" w:line="177" w:lineRule="auto"/>
              <w:ind w:left="278"/>
              <w:rPr>
                <w:sz w:val="16"/>
                <w:szCs w:val="16"/>
              </w:rPr>
            </w:pPr>
            <w:r>
              <w:rPr>
                <w:color w:val="3E3E3F"/>
                <w:spacing w:val="-1"/>
                <w:sz w:val="16"/>
                <w:szCs w:val="16"/>
              </w:rPr>
              <w:t>可持续投资占比增量</w:t>
            </w:r>
          </w:p>
        </w:tc>
        <w:tc>
          <w:tcPr>
            <w:tcW w:w="1548" w:type="dxa"/>
            <w:vAlign w:val="top"/>
          </w:tcPr>
          <w:p>
            <w:pPr>
              <w:rPr>
                <w:rFonts w:ascii="Arial"/>
                <w:sz w:val="21"/>
              </w:rPr>
            </w:pPr>
          </w:p>
        </w:tc>
        <w:tc>
          <w:tcPr>
            <w:tcW w:w="1570" w:type="dxa"/>
            <w:vAlign w:val="top"/>
          </w:tcPr>
          <w:p>
            <w:pPr>
              <w:pStyle w:val="TableText"/>
              <w:spacing w:before="152" w:line="170" w:lineRule="auto"/>
              <w:ind w:left="564"/>
              <w:rPr>
                <w:sz w:val="16"/>
                <w:szCs w:val="16"/>
              </w:rPr>
            </w:pPr>
            <w:r>
              <w:rPr>
                <w:color w:val="6C6D70"/>
                <w:spacing w:val="-2"/>
                <w:sz w:val="16"/>
                <w:szCs w:val="16"/>
              </w:rPr>
              <w:t>5.5%</w:t>
            </w:r>
          </w:p>
        </w:tc>
        <w:tc>
          <w:tcPr>
            <w:tcW w:w="1694" w:type="dxa"/>
            <w:vAlign w:val="top"/>
          </w:tcPr>
          <w:p>
            <w:pPr>
              <w:pStyle w:val="TableText"/>
              <w:spacing w:before="152" w:line="170" w:lineRule="auto"/>
              <w:ind w:left="664"/>
              <w:rPr>
                <w:sz w:val="16"/>
                <w:szCs w:val="16"/>
              </w:rPr>
            </w:pPr>
            <w:r>
              <w:rPr>
                <w:color w:val="6C6D70"/>
                <w:spacing w:val="-3"/>
                <w:sz w:val="16"/>
                <w:szCs w:val="16"/>
              </w:rPr>
              <w:t>2.5%</w:t>
            </w:r>
          </w:p>
        </w:tc>
        <w:tc>
          <w:tcPr>
            <w:tcW w:w="1672" w:type="dxa"/>
            <w:vAlign w:val="top"/>
          </w:tcPr>
          <w:p>
            <w:pPr>
              <w:pStyle w:val="TableText"/>
              <w:spacing w:before="152" w:line="170" w:lineRule="auto"/>
              <w:ind w:left="598"/>
              <w:rPr>
                <w:sz w:val="16"/>
                <w:szCs w:val="16"/>
              </w:rPr>
            </w:pPr>
            <w:r>
              <w:rPr>
                <w:color w:val="6C6D70"/>
                <w:spacing w:val="-5"/>
                <w:sz w:val="16"/>
                <w:szCs w:val="16"/>
              </w:rPr>
              <w:t>-11.5%</w:t>
            </w:r>
          </w:p>
        </w:tc>
      </w:tr>
    </w:tbl>
    <w:p>
      <w:pPr>
        <w:spacing w:before="195" w:line="173" w:lineRule="auto"/>
        <w:ind w:left="4896"/>
        <w:rPr>
          <w:rFonts w:ascii="Microsoft YaHei" w:eastAsia="Microsoft YaHei" w:hAnsi="Microsoft YaHei" w:cs="Microsoft YaHei"/>
          <w:sz w:val="14"/>
          <w:szCs w:val="14"/>
        </w:rPr>
      </w:pPr>
      <w:r>
        <w:rPr>
          <w:rFonts w:ascii="Microsoft YaHei" w:eastAsia="Microsoft YaHei" w:hAnsi="Microsoft YaHei" w:cs="Microsoft YaHei"/>
          <w:color w:val="6C6D70"/>
          <w:spacing w:val="-12"/>
          <w:sz w:val="14"/>
          <w:szCs w:val="14"/>
        </w:rPr>
        <w:t>数据来源：GSIA</w:t>
      </w:r>
    </w:p>
    <w:p>
      <w:pPr>
        <w:spacing w:before="197" w:line="179" w:lineRule="auto"/>
        <w:ind w:left="691"/>
        <w:rPr>
          <w:rFonts w:ascii="Microsoft YaHei" w:eastAsia="Microsoft YaHei" w:hAnsi="Microsoft YaHei" w:cs="Microsoft YaHei"/>
          <w:sz w:val="18"/>
          <w:szCs w:val="18"/>
        </w:rPr>
      </w:pPr>
      <w:r>
        <w:rPr>
          <w:rFonts w:ascii="Microsoft YaHei" w:eastAsia="Microsoft YaHei" w:hAnsi="Microsoft YaHei" w:cs="Microsoft YaHei"/>
          <w:color w:val="57585A"/>
          <w:spacing w:val="-5"/>
          <w:sz w:val="18"/>
          <w:szCs w:val="18"/>
        </w:rPr>
        <w:t>欧洲和美国仍为可持续投资规模最大的市场，规模分别为12万亿欧元和8万亿美元。</w:t>
      </w:r>
    </w:p>
    <w:p>
      <w:pPr>
        <w:spacing w:before="176" w:line="225" w:lineRule="auto"/>
        <w:ind w:left="892" w:right="28" w:hanging="186"/>
        <w:rPr>
          <w:rFonts w:ascii="Microsoft YaHei" w:eastAsia="Microsoft YaHei" w:hAnsi="Microsoft YaHei" w:cs="Microsoft YaHei"/>
          <w:sz w:val="18"/>
          <w:szCs w:val="18"/>
        </w:rPr>
      </w:pPr>
      <w:r>
        <w:rPr>
          <w:rFonts w:ascii="Microsoft YaHei" w:eastAsia="Microsoft YaHei" w:hAnsi="Microsoft YaHei" w:cs="Microsoft YaHei"/>
          <w:color w:val="57585A"/>
          <w:spacing w:val="1"/>
          <w:sz w:val="18"/>
          <w:szCs w:val="18"/>
        </w:rPr>
        <w:t>·</w:t>
      </w:r>
      <w:r>
        <w:rPr>
          <w:rFonts w:ascii="Microsoft YaHei" w:eastAsia="Microsoft YaHei" w:hAnsi="Microsoft YaHei" w:cs="Microsoft YaHei"/>
          <w:color w:val="57585A"/>
          <w:spacing w:val="28"/>
          <w:sz w:val="18"/>
          <w:szCs w:val="18"/>
        </w:rPr>
        <w:t xml:space="preserve"> </w:t>
      </w:r>
      <w:r>
        <w:rPr>
          <w:rFonts w:ascii="Microsoft YaHei" w:eastAsia="Microsoft YaHei" w:hAnsi="Microsoft YaHei" w:cs="Microsoft YaHei"/>
          <w:color w:val="57585A"/>
          <w:spacing w:val="1"/>
          <w:sz w:val="18"/>
          <w:szCs w:val="18"/>
        </w:rPr>
        <w:t>美国修订后的方法论规定如果投资者表示在公司范围实行</w:t>
      </w:r>
      <w:r>
        <w:rPr>
          <w:rFonts w:ascii="Microsoft YaHei" w:eastAsia="Microsoft YaHei" w:hAnsi="Microsoft YaHei" w:cs="Microsoft YaHei"/>
          <w:color w:val="57585A"/>
          <w:sz w:val="18"/>
          <w:szCs w:val="18"/>
        </w:rPr>
        <w:t>ESG</w:t>
      </w:r>
      <w:r>
        <w:rPr>
          <w:rFonts w:ascii="Microsoft YaHei" w:eastAsia="Microsoft YaHei" w:hAnsi="Microsoft YaHei" w:cs="Microsoft YaHei"/>
          <w:color w:val="57585A"/>
          <w:spacing w:val="1"/>
          <w:sz w:val="18"/>
          <w:szCs w:val="18"/>
        </w:rPr>
        <w:t>整</w:t>
      </w:r>
      <w:r>
        <w:rPr>
          <w:rFonts w:ascii="Microsoft YaHei" w:eastAsia="Microsoft YaHei" w:hAnsi="Microsoft YaHei" w:cs="Microsoft YaHei"/>
          <w:color w:val="57585A"/>
          <w:sz w:val="18"/>
          <w:szCs w:val="18"/>
        </w:rPr>
        <w:t xml:space="preserve">合，但是没有提供投资决策中使用的具体ESG标准信 </w:t>
      </w:r>
      <w:r>
        <w:rPr>
          <w:rFonts w:ascii="Microsoft YaHei" w:eastAsia="Microsoft YaHei" w:hAnsi="Microsoft YaHei" w:cs="Microsoft YaHei"/>
          <w:color w:val="57585A"/>
          <w:spacing w:val="-6"/>
          <w:sz w:val="18"/>
          <w:szCs w:val="18"/>
        </w:rPr>
        <w:t>息（例如生物多样性、人权和烟草等</w:t>
      </w:r>
      <w:r>
        <w:rPr>
          <w:rFonts w:ascii="Microsoft YaHei" w:eastAsia="Microsoft YaHei" w:hAnsi="Microsoft YaHei" w:cs="Microsoft YaHei"/>
          <w:color w:val="57585A"/>
          <w:spacing w:val="-29"/>
          <w:w w:val="68"/>
          <w:sz w:val="18"/>
          <w:szCs w:val="18"/>
        </w:rPr>
        <w:t>），</w:t>
      </w:r>
      <w:r>
        <w:rPr>
          <w:rFonts w:ascii="Microsoft YaHei" w:eastAsia="Microsoft YaHei" w:hAnsi="Microsoft YaHei" w:cs="Microsoft YaHei"/>
          <w:color w:val="57585A"/>
          <w:spacing w:val="-6"/>
          <w:sz w:val="18"/>
          <w:szCs w:val="18"/>
        </w:rPr>
        <w:t>则这些投资者的资产管理规模不计入可持续投资规模，</w:t>
      </w:r>
      <w:r>
        <w:rPr>
          <w:rFonts w:ascii="Microsoft YaHei" w:eastAsia="Microsoft YaHei" w:hAnsi="Microsoft YaHei" w:cs="Microsoft YaHei"/>
          <w:color w:val="57585A"/>
          <w:spacing w:val="-7"/>
          <w:sz w:val="18"/>
          <w:szCs w:val="18"/>
        </w:rPr>
        <w:t>因此美国市场的2022年数</w:t>
      </w:r>
      <w:r>
        <w:rPr>
          <w:rFonts w:ascii="Microsoft YaHei" w:eastAsia="Microsoft YaHei" w:hAnsi="Microsoft YaHei" w:cs="Microsoft YaHei"/>
          <w:color w:val="57585A"/>
          <w:spacing w:val="1"/>
          <w:sz w:val="18"/>
          <w:szCs w:val="18"/>
        </w:rPr>
        <w:t xml:space="preserve"> </w:t>
      </w:r>
      <w:r>
        <w:rPr>
          <w:rFonts w:ascii="Microsoft YaHei" w:eastAsia="Microsoft YaHei" w:hAnsi="Microsoft YaHei" w:cs="Microsoft YaHei"/>
          <w:color w:val="57585A"/>
          <w:spacing w:val="-6"/>
          <w:sz w:val="18"/>
          <w:szCs w:val="18"/>
        </w:rPr>
        <w:t>据口径与前几年有所不同，规模和增速缺乏直接可比性。</w:t>
      </w:r>
    </w:p>
    <w:p>
      <w:pPr>
        <w:spacing w:before="268" w:line="218" w:lineRule="auto"/>
        <w:ind w:left="894" w:right="28" w:hanging="188"/>
        <w:rPr>
          <w:rFonts w:ascii="Microsoft YaHei" w:eastAsia="Microsoft YaHei" w:hAnsi="Microsoft YaHei" w:cs="Microsoft YaHei"/>
          <w:sz w:val="18"/>
          <w:szCs w:val="18"/>
        </w:rPr>
      </w:pPr>
      <w:r>
        <w:rPr>
          <w:rFonts w:ascii="Microsoft YaHei" w:eastAsia="Microsoft YaHei" w:hAnsi="Microsoft YaHei" w:cs="Microsoft YaHei"/>
          <w:color w:val="57585A"/>
          <w:spacing w:val="-5"/>
          <w:position w:val="-3"/>
          <w:sz w:val="18"/>
          <w:szCs w:val="18"/>
        </w:rPr>
        <w:t>·</w:t>
      </w:r>
      <w:r>
        <w:rPr>
          <w:rFonts w:ascii="Microsoft YaHei" w:eastAsia="Microsoft YaHei" w:hAnsi="Microsoft YaHei" w:cs="Microsoft YaHei"/>
          <w:color w:val="57585A"/>
          <w:spacing w:val="42"/>
          <w:w w:val="101"/>
          <w:position w:val="-3"/>
          <w:sz w:val="18"/>
          <w:szCs w:val="18"/>
        </w:rPr>
        <w:t xml:space="preserve"> </w:t>
      </w:r>
      <w:r>
        <w:rPr>
          <w:rFonts w:ascii="Microsoft YaHei" w:eastAsia="Microsoft YaHei" w:hAnsi="Microsoft YaHei" w:cs="Microsoft YaHei"/>
          <w:color w:val="57585A"/>
          <w:spacing w:val="-5"/>
          <w:sz w:val="18"/>
          <w:szCs w:val="18"/>
        </w:rPr>
        <w:t>欧洲以及澳大利亚和新西兰因为对可持续投资的定义在此期间发生了重大变化（例如，欧盟2020年正式发布《欧盟可持</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9"/>
          <w:sz w:val="18"/>
          <w:szCs w:val="18"/>
        </w:rPr>
        <w:t>续金融分类方案（EU   Taxonomy）》，首次对可持续活动给出了官方性质的详细定义</w:t>
      </w:r>
      <w:r>
        <w:rPr>
          <w:rFonts w:ascii="Microsoft YaHei" w:eastAsia="Microsoft YaHei" w:hAnsi="Microsoft YaHei" w:cs="Microsoft YaHei"/>
          <w:color w:val="57585A"/>
          <w:spacing w:val="-28"/>
          <w:w w:val="66"/>
          <w:sz w:val="18"/>
          <w:szCs w:val="18"/>
        </w:rPr>
        <w:t>），</w:t>
      </w:r>
      <w:r>
        <w:rPr>
          <w:rFonts w:ascii="Microsoft YaHei" w:eastAsia="Microsoft YaHei" w:hAnsi="Microsoft YaHei" w:cs="Microsoft YaHei"/>
          <w:color w:val="57585A"/>
          <w:spacing w:val="-9"/>
          <w:sz w:val="18"/>
          <w:szCs w:val="18"/>
        </w:rPr>
        <w:t>这两个市场的2020年数据口径与</w:t>
      </w:r>
      <w:r>
        <w:rPr>
          <w:rFonts w:ascii="Microsoft YaHei" w:eastAsia="Microsoft YaHei" w:hAnsi="Microsoft YaHei" w:cs="Microsoft YaHei"/>
          <w:color w:val="57585A"/>
          <w:spacing w:val="2"/>
          <w:sz w:val="18"/>
          <w:szCs w:val="18"/>
        </w:rPr>
        <w:t xml:space="preserve"> </w:t>
      </w:r>
      <w:r>
        <w:rPr>
          <w:rFonts w:ascii="Microsoft YaHei" w:eastAsia="Microsoft YaHei" w:hAnsi="Microsoft YaHei" w:cs="Microsoft YaHei"/>
          <w:color w:val="57585A"/>
          <w:spacing w:val="-7"/>
          <w:sz w:val="18"/>
          <w:szCs w:val="18"/>
        </w:rPr>
        <w:t>前几年有所不同，规模和增速缺乏直接可比性。</w:t>
      </w:r>
    </w:p>
    <w:p>
      <w:pPr>
        <w:spacing w:before="298" w:line="176" w:lineRule="auto"/>
        <w:ind w:left="3413"/>
        <w:rPr>
          <w:rFonts w:ascii="Microsoft YaHei" w:eastAsia="Microsoft YaHei" w:hAnsi="Microsoft YaHei" w:cs="Microsoft YaHei"/>
          <w:sz w:val="16"/>
          <w:szCs w:val="16"/>
        </w:rPr>
      </w:pPr>
      <w:r>
        <w:rPr>
          <w:rFonts w:ascii="Microsoft YaHei" w:eastAsia="Microsoft YaHei" w:hAnsi="Microsoft YaHei" w:cs="Microsoft YaHei"/>
          <w:color w:val="3E3E3F"/>
          <w:spacing w:val="-6"/>
          <w:sz w:val="16"/>
          <w:szCs w:val="16"/>
        </w:rPr>
        <w:t>表2</w:t>
      </w:r>
      <w:r>
        <w:rPr>
          <w:rFonts w:ascii="Microsoft YaHei" w:eastAsia="Microsoft YaHei" w:hAnsi="Microsoft YaHei" w:cs="Microsoft YaHei"/>
          <w:color w:val="3E3E3F"/>
          <w:spacing w:val="-4"/>
          <w:sz w:val="16"/>
          <w:szCs w:val="16"/>
        </w:rPr>
        <w:t xml:space="preserve"> </w:t>
      </w:r>
      <w:r>
        <w:rPr>
          <w:rFonts w:ascii="Microsoft YaHei" w:eastAsia="Microsoft YaHei" w:hAnsi="Microsoft YaHei" w:cs="Microsoft YaHei"/>
          <w:color w:val="3E3E3F"/>
          <w:spacing w:val="-6"/>
          <w:sz w:val="16"/>
          <w:szCs w:val="16"/>
        </w:rPr>
        <w:t>全球五大市场责任投资规模增长情况（2014-2022）</w:t>
      </w:r>
    </w:p>
    <w:tbl>
      <w:tblPr>
        <w:tblStyle w:val="TableNormal5"/>
        <w:tblW w:w="9341" w:type="dxa"/>
        <w:tblInd w:w="678" w:type="dxa"/>
        <w:tblBorders>
          <w:top w:val="single" w:sz="2" w:space="0" w:color="AAACAF"/>
          <w:left w:val="single" w:sz="2" w:space="0" w:color="AAACAF"/>
          <w:bottom w:val="single" w:sz="2" w:space="0" w:color="AAACAF"/>
          <w:right w:val="single" w:sz="2" w:space="0" w:color="AAACAF"/>
          <w:insideH w:val="single" w:sz="2" w:space="0" w:color="AAACAF"/>
          <w:insideV w:val="single" w:sz="2" w:space="0" w:color="AAACAF"/>
        </w:tblBorders>
        <w:tblLayout w:type="fixed"/>
      </w:tblPr>
      <w:tblGrid>
        <w:gridCol w:w="1098"/>
        <w:gridCol w:w="647"/>
        <w:gridCol w:w="764"/>
        <w:gridCol w:w="839"/>
        <w:gridCol w:w="871"/>
        <w:gridCol w:w="747"/>
        <w:gridCol w:w="869"/>
        <w:gridCol w:w="854"/>
        <w:gridCol w:w="862"/>
        <w:gridCol w:w="880"/>
        <w:gridCol w:w="910"/>
      </w:tblGrid>
      <w:tr>
        <w:tblPrEx>
          <w:tblW w:w="9341" w:type="dxa"/>
          <w:tblInd w:w="678" w:type="dxa"/>
          <w:tblBorders>
            <w:top w:val="single" w:sz="2" w:space="0" w:color="AAACAF"/>
            <w:left w:val="single" w:sz="2" w:space="0" w:color="AAACAF"/>
            <w:bottom w:val="single" w:sz="2" w:space="0" w:color="AAACAF"/>
            <w:right w:val="single" w:sz="2" w:space="0" w:color="AAACAF"/>
            <w:insideH w:val="single" w:sz="2" w:space="0" w:color="AAACAF"/>
            <w:insideV w:val="single" w:sz="2" w:space="0" w:color="AAACAF"/>
          </w:tblBorders>
          <w:tblLayout w:type="fixed"/>
        </w:tblPrEx>
        <w:trPr>
          <w:trHeight w:val="467"/>
        </w:trPr>
        <w:tc>
          <w:tcPr>
            <w:tcW w:w="1098" w:type="dxa"/>
            <w:vMerge w:val="restart"/>
            <w:tcBorders>
              <w:bottom w:val="nil"/>
            </w:tcBorders>
            <w:shd w:val="clear" w:color="auto" w:fill="EF6B2D"/>
            <w:vAlign w:val="top"/>
          </w:tcPr>
          <w:p>
            <w:pPr>
              <w:rPr>
                <w:rFonts w:ascii="Arial"/>
                <w:sz w:val="21"/>
              </w:rPr>
            </w:pPr>
          </w:p>
        </w:tc>
        <w:tc>
          <w:tcPr>
            <w:tcW w:w="647" w:type="dxa"/>
            <w:vMerge w:val="restart"/>
            <w:tcBorders>
              <w:bottom w:val="nil"/>
            </w:tcBorders>
            <w:shd w:val="clear" w:color="auto" w:fill="EF6B2D"/>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168" w:lineRule="auto"/>
              <w:ind w:left="155"/>
              <w:rPr>
                <w:sz w:val="16"/>
                <w:szCs w:val="16"/>
              </w:rPr>
            </w:pPr>
            <w:r>
              <w:rPr>
                <w:color w:val="FFFFFF"/>
                <w:spacing w:val="-4"/>
                <w:sz w:val="16"/>
                <w:szCs w:val="16"/>
              </w:rPr>
              <w:t>2014</w:t>
            </w:r>
          </w:p>
        </w:tc>
        <w:tc>
          <w:tcPr>
            <w:tcW w:w="764" w:type="dxa"/>
            <w:vMerge w:val="restart"/>
            <w:tcBorders>
              <w:bottom w:val="nil"/>
            </w:tcBorders>
            <w:shd w:val="clear" w:color="auto" w:fill="EF6B2D"/>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168" w:lineRule="auto"/>
              <w:ind w:left="177"/>
              <w:rPr>
                <w:sz w:val="16"/>
                <w:szCs w:val="16"/>
              </w:rPr>
            </w:pPr>
            <w:r>
              <w:rPr>
                <w:color w:val="FFFFFF"/>
                <w:spacing w:val="-4"/>
                <w:sz w:val="16"/>
                <w:szCs w:val="16"/>
              </w:rPr>
              <w:t>2016</w:t>
            </w:r>
          </w:p>
        </w:tc>
        <w:tc>
          <w:tcPr>
            <w:tcW w:w="839" w:type="dxa"/>
            <w:vMerge w:val="restart"/>
            <w:tcBorders>
              <w:bottom w:val="nil"/>
            </w:tcBorders>
            <w:shd w:val="clear" w:color="auto" w:fill="EF6B2D"/>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168" w:lineRule="auto"/>
              <w:ind w:left="267"/>
              <w:rPr>
                <w:sz w:val="16"/>
                <w:szCs w:val="16"/>
              </w:rPr>
            </w:pPr>
            <w:r>
              <w:rPr>
                <w:color w:val="FFFFFF"/>
                <w:spacing w:val="-4"/>
                <w:sz w:val="16"/>
                <w:szCs w:val="16"/>
              </w:rPr>
              <w:t>2018</w:t>
            </w:r>
          </w:p>
        </w:tc>
        <w:tc>
          <w:tcPr>
            <w:tcW w:w="871" w:type="dxa"/>
            <w:vMerge w:val="restart"/>
            <w:tcBorders>
              <w:bottom w:val="nil"/>
            </w:tcBorders>
            <w:shd w:val="clear" w:color="auto" w:fill="EF6B2D"/>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168" w:lineRule="auto"/>
              <w:ind w:left="270"/>
              <w:rPr>
                <w:sz w:val="16"/>
                <w:szCs w:val="16"/>
              </w:rPr>
            </w:pPr>
            <w:r>
              <w:rPr>
                <w:color w:val="FFFFFF"/>
                <w:spacing w:val="-4"/>
                <w:sz w:val="16"/>
                <w:szCs w:val="16"/>
              </w:rPr>
              <w:t>2020</w:t>
            </w:r>
          </w:p>
        </w:tc>
        <w:tc>
          <w:tcPr>
            <w:tcW w:w="747" w:type="dxa"/>
            <w:vMerge w:val="restart"/>
            <w:tcBorders>
              <w:bottom w:val="nil"/>
            </w:tcBorders>
            <w:shd w:val="clear" w:color="auto" w:fill="EF6B2D"/>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168" w:lineRule="auto"/>
              <w:ind w:left="209"/>
              <w:rPr>
                <w:sz w:val="16"/>
                <w:szCs w:val="16"/>
              </w:rPr>
            </w:pPr>
            <w:r>
              <w:rPr>
                <w:color w:val="FFFFFF"/>
                <w:spacing w:val="-4"/>
                <w:sz w:val="16"/>
                <w:szCs w:val="16"/>
              </w:rPr>
              <w:t>2022</w:t>
            </w:r>
          </w:p>
        </w:tc>
        <w:tc>
          <w:tcPr>
            <w:tcW w:w="3465" w:type="dxa"/>
            <w:gridSpan w:val="4"/>
            <w:shd w:val="clear" w:color="auto" w:fill="EF6B2D"/>
            <w:vAlign w:val="top"/>
          </w:tcPr>
          <w:p>
            <w:pPr>
              <w:pStyle w:val="TableText"/>
              <w:spacing w:before="172" w:line="179" w:lineRule="auto"/>
              <w:ind w:left="1318"/>
              <w:rPr>
                <w:sz w:val="16"/>
                <w:szCs w:val="16"/>
              </w:rPr>
            </w:pPr>
            <w:r>
              <w:rPr>
                <w:color w:val="FFFFFF"/>
                <w:spacing w:val="-1"/>
                <w:sz w:val="16"/>
                <w:szCs w:val="16"/>
              </w:rPr>
              <w:t>每个时间段增长率</w:t>
            </w:r>
          </w:p>
        </w:tc>
        <w:tc>
          <w:tcPr>
            <w:tcW w:w="910" w:type="dxa"/>
            <w:vMerge w:val="restart"/>
            <w:tcBorders>
              <w:bottom w:val="nil"/>
            </w:tcBorders>
            <w:shd w:val="clear" w:color="auto" w:fill="EF6B2D"/>
            <w:vAlign w:val="top"/>
          </w:tcPr>
          <w:p>
            <w:pPr>
              <w:spacing w:line="399" w:lineRule="auto"/>
              <w:rPr>
                <w:rFonts w:ascii="Arial"/>
                <w:sz w:val="21"/>
              </w:rPr>
            </w:pPr>
          </w:p>
          <w:p>
            <w:pPr>
              <w:pStyle w:val="TableText"/>
              <w:spacing w:before="68" w:line="157" w:lineRule="auto"/>
              <w:ind w:left="114" w:right="61" w:hanging="52"/>
              <w:rPr>
                <w:sz w:val="16"/>
                <w:szCs w:val="16"/>
              </w:rPr>
            </w:pPr>
            <w:r>
              <w:rPr>
                <w:color w:val="FFFFFF"/>
                <w:spacing w:val="-5"/>
                <w:sz w:val="16"/>
                <w:szCs w:val="16"/>
              </w:rPr>
              <w:t>2014-2020</w:t>
            </w:r>
            <w:r>
              <w:rPr>
                <w:color w:val="FFFFFF"/>
                <w:spacing w:val="4"/>
                <w:sz w:val="16"/>
                <w:szCs w:val="16"/>
              </w:rPr>
              <w:t xml:space="preserve"> </w:t>
            </w:r>
            <w:r>
              <w:rPr>
                <w:color w:val="FFFFFF"/>
                <w:spacing w:val="-13"/>
                <w:sz w:val="16"/>
                <w:szCs w:val="16"/>
              </w:rPr>
              <w:t>（CAGR）</w:t>
            </w:r>
          </w:p>
        </w:tc>
      </w:tr>
      <w:tr>
        <w:tblPrEx>
          <w:tblW w:w="9341" w:type="dxa"/>
          <w:tblInd w:w="678" w:type="dxa"/>
          <w:tblLayout w:type="fixed"/>
        </w:tblPrEx>
        <w:trPr>
          <w:trHeight w:val="613"/>
        </w:trPr>
        <w:tc>
          <w:tcPr>
            <w:tcW w:w="1098" w:type="dxa"/>
            <w:vMerge/>
            <w:tcBorders>
              <w:top w:val="nil"/>
            </w:tcBorders>
            <w:vAlign w:val="top"/>
          </w:tcPr>
          <w:p>
            <w:pPr>
              <w:rPr>
                <w:rFonts w:ascii="Arial"/>
                <w:sz w:val="21"/>
              </w:rPr>
            </w:pPr>
          </w:p>
        </w:tc>
        <w:tc>
          <w:tcPr>
            <w:tcW w:w="647" w:type="dxa"/>
            <w:vMerge/>
            <w:tcBorders>
              <w:top w:val="nil"/>
            </w:tcBorders>
            <w:vAlign w:val="top"/>
          </w:tcPr>
          <w:p>
            <w:pPr>
              <w:rPr>
                <w:rFonts w:ascii="Arial"/>
                <w:sz w:val="21"/>
              </w:rPr>
            </w:pPr>
          </w:p>
        </w:tc>
        <w:tc>
          <w:tcPr>
            <w:tcW w:w="764" w:type="dxa"/>
            <w:vMerge/>
            <w:tcBorders>
              <w:top w:val="nil"/>
            </w:tcBorders>
            <w:vAlign w:val="top"/>
          </w:tcPr>
          <w:p>
            <w:pPr>
              <w:rPr>
                <w:rFonts w:ascii="Arial"/>
                <w:sz w:val="21"/>
              </w:rPr>
            </w:pPr>
          </w:p>
        </w:tc>
        <w:tc>
          <w:tcPr>
            <w:tcW w:w="839" w:type="dxa"/>
            <w:vMerge/>
            <w:tcBorders>
              <w:top w:val="nil"/>
            </w:tcBorders>
            <w:vAlign w:val="top"/>
          </w:tcPr>
          <w:p>
            <w:pPr>
              <w:rPr>
                <w:rFonts w:ascii="Arial"/>
                <w:sz w:val="21"/>
              </w:rPr>
            </w:pPr>
          </w:p>
        </w:tc>
        <w:tc>
          <w:tcPr>
            <w:tcW w:w="871" w:type="dxa"/>
            <w:vMerge/>
            <w:tcBorders>
              <w:top w:val="nil"/>
            </w:tcBorders>
            <w:vAlign w:val="top"/>
          </w:tcPr>
          <w:p>
            <w:pPr>
              <w:rPr>
                <w:rFonts w:ascii="Arial"/>
                <w:sz w:val="21"/>
              </w:rPr>
            </w:pPr>
          </w:p>
        </w:tc>
        <w:tc>
          <w:tcPr>
            <w:tcW w:w="747" w:type="dxa"/>
            <w:vMerge/>
            <w:tcBorders>
              <w:top w:val="nil"/>
            </w:tcBorders>
            <w:vAlign w:val="top"/>
          </w:tcPr>
          <w:p>
            <w:pPr>
              <w:rPr>
                <w:rFonts w:ascii="Arial"/>
                <w:sz w:val="21"/>
              </w:rPr>
            </w:pPr>
          </w:p>
        </w:tc>
        <w:tc>
          <w:tcPr>
            <w:tcW w:w="869" w:type="dxa"/>
            <w:shd w:val="clear" w:color="auto" w:fill="EF6B2D"/>
            <w:vAlign w:val="top"/>
          </w:tcPr>
          <w:p>
            <w:pPr>
              <w:pStyle w:val="TableText"/>
              <w:spacing w:before="168" w:line="159" w:lineRule="auto"/>
              <w:ind w:left="200" w:right="34" w:hanging="152"/>
              <w:rPr>
                <w:sz w:val="16"/>
                <w:szCs w:val="16"/>
              </w:rPr>
            </w:pPr>
            <w:r>
              <w:rPr>
                <w:color w:val="FFFFFF"/>
                <w:spacing w:val="-5"/>
                <w:sz w:val="16"/>
                <w:szCs w:val="16"/>
              </w:rPr>
              <w:t>2014-2016</w:t>
            </w:r>
            <w:r>
              <w:rPr>
                <w:color w:val="FFFFFF"/>
                <w:spacing w:val="4"/>
                <w:sz w:val="16"/>
                <w:szCs w:val="16"/>
              </w:rPr>
              <w:t xml:space="preserve"> </w:t>
            </w:r>
            <w:r>
              <w:rPr>
                <w:color w:val="FFFFFF"/>
                <w:spacing w:val="-2"/>
                <w:sz w:val="16"/>
                <w:szCs w:val="16"/>
              </w:rPr>
              <w:t>增长率</w:t>
            </w:r>
          </w:p>
        </w:tc>
        <w:tc>
          <w:tcPr>
            <w:tcW w:w="854" w:type="dxa"/>
            <w:shd w:val="clear" w:color="auto" w:fill="EF6B2D"/>
            <w:vAlign w:val="top"/>
          </w:tcPr>
          <w:p>
            <w:pPr>
              <w:pStyle w:val="TableText"/>
              <w:spacing w:before="168" w:line="159" w:lineRule="auto"/>
              <w:ind w:left="183" w:right="36" w:hanging="152"/>
              <w:rPr>
                <w:sz w:val="16"/>
                <w:szCs w:val="16"/>
              </w:rPr>
            </w:pPr>
            <w:r>
              <w:rPr>
                <w:color w:val="FFFFFF"/>
                <w:spacing w:val="-5"/>
                <w:sz w:val="16"/>
                <w:szCs w:val="16"/>
              </w:rPr>
              <w:t>2016-2018</w:t>
            </w:r>
            <w:r>
              <w:rPr>
                <w:color w:val="FFFFFF"/>
                <w:spacing w:val="4"/>
                <w:sz w:val="16"/>
                <w:szCs w:val="16"/>
              </w:rPr>
              <w:t xml:space="preserve"> </w:t>
            </w:r>
            <w:r>
              <w:rPr>
                <w:color w:val="FFFFFF"/>
                <w:spacing w:val="-2"/>
                <w:sz w:val="16"/>
                <w:szCs w:val="16"/>
              </w:rPr>
              <w:t>增长率</w:t>
            </w:r>
          </w:p>
        </w:tc>
        <w:tc>
          <w:tcPr>
            <w:tcW w:w="862" w:type="dxa"/>
            <w:shd w:val="clear" w:color="auto" w:fill="EF6B2D"/>
            <w:vAlign w:val="top"/>
          </w:tcPr>
          <w:p>
            <w:pPr>
              <w:pStyle w:val="TableText"/>
              <w:spacing w:before="168" w:line="159" w:lineRule="auto"/>
              <w:ind w:left="190" w:right="37" w:hanging="152"/>
              <w:rPr>
                <w:sz w:val="16"/>
                <w:szCs w:val="16"/>
              </w:rPr>
            </w:pPr>
            <w:r>
              <w:rPr>
                <w:color w:val="FFFFFF"/>
                <w:spacing w:val="-5"/>
                <w:sz w:val="16"/>
                <w:szCs w:val="16"/>
              </w:rPr>
              <w:t>2018-2020</w:t>
            </w:r>
            <w:r>
              <w:rPr>
                <w:color w:val="FFFFFF"/>
                <w:spacing w:val="4"/>
                <w:sz w:val="16"/>
                <w:szCs w:val="16"/>
              </w:rPr>
              <w:t xml:space="preserve"> </w:t>
            </w:r>
            <w:r>
              <w:rPr>
                <w:color w:val="FFFFFF"/>
                <w:spacing w:val="-2"/>
                <w:sz w:val="16"/>
                <w:szCs w:val="16"/>
              </w:rPr>
              <w:t>增长率</w:t>
            </w:r>
          </w:p>
        </w:tc>
        <w:tc>
          <w:tcPr>
            <w:tcW w:w="880" w:type="dxa"/>
            <w:shd w:val="clear" w:color="auto" w:fill="EF6B2D"/>
            <w:vAlign w:val="top"/>
          </w:tcPr>
          <w:p>
            <w:pPr>
              <w:pStyle w:val="TableText"/>
              <w:spacing w:before="168" w:line="159" w:lineRule="auto"/>
              <w:ind w:left="192" w:right="53" w:hanging="152"/>
              <w:rPr>
                <w:sz w:val="16"/>
                <w:szCs w:val="16"/>
              </w:rPr>
            </w:pPr>
            <w:r>
              <w:rPr>
                <w:color w:val="FFFFFF"/>
                <w:spacing w:val="-5"/>
                <w:sz w:val="16"/>
                <w:szCs w:val="16"/>
              </w:rPr>
              <w:t>2020-2022</w:t>
            </w:r>
            <w:r>
              <w:rPr>
                <w:color w:val="FFFFFF"/>
                <w:spacing w:val="4"/>
                <w:sz w:val="16"/>
                <w:szCs w:val="16"/>
              </w:rPr>
              <w:t xml:space="preserve"> </w:t>
            </w:r>
            <w:r>
              <w:rPr>
                <w:color w:val="FFFFFF"/>
                <w:spacing w:val="-2"/>
                <w:sz w:val="16"/>
                <w:szCs w:val="16"/>
              </w:rPr>
              <w:t>增长率</w:t>
            </w:r>
          </w:p>
        </w:tc>
        <w:tc>
          <w:tcPr>
            <w:tcW w:w="910" w:type="dxa"/>
            <w:vMerge/>
            <w:tcBorders>
              <w:top w:val="nil"/>
            </w:tcBorders>
            <w:vAlign w:val="top"/>
          </w:tcPr>
          <w:p>
            <w:pPr>
              <w:rPr>
                <w:rFonts w:ascii="Arial"/>
                <w:sz w:val="21"/>
              </w:rPr>
            </w:pPr>
          </w:p>
        </w:tc>
      </w:tr>
      <w:tr>
        <w:tblPrEx>
          <w:tblW w:w="9341" w:type="dxa"/>
          <w:tblInd w:w="678" w:type="dxa"/>
          <w:tblLayout w:type="fixed"/>
        </w:tblPrEx>
        <w:trPr>
          <w:trHeight w:val="399"/>
        </w:trPr>
        <w:tc>
          <w:tcPr>
            <w:tcW w:w="1098" w:type="dxa"/>
            <w:vAlign w:val="top"/>
          </w:tcPr>
          <w:p>
            <w:pPr>
              <w:pStyle w:val="TableText"/>
              <w:spacing w:before="128" w:line="176" w:lineRule="auto"/>
              <w:ind w:left="113"/>
              <w:rPr>
                <w:sz w:val="16"/>
                <w:szCs w:val="16"/>
              </w:rPr>
            </w:pPr>
            <w:r>
              <w:rPr>
                <w:color w:val="3E3E3F"/>
                <w:spacing w:val="-11"/>
                <w:w w:val="95"/>
                <w:sz w:val="16"/>
                <w:szCs w:val="16"/>
              </w:rPr>
              <w:t>欧洲（欧元）</w:t>
            </w:r>
          </w:p>
        </w:tc>
        <w:tc>
          <w:tcPr>
            <w:tcW w:w="647" w:type="dxa"/>
            <w:vAlign w:val="top"/>
          </w:tcPr>
          <w:p>
            <w:pPr>
              <w:pStyle w:val="TableText"/>
              <w:spacing w:before="150" w:line="174" w:lineRule="auto"/>
              <w:ind w:left="113"/>
              <w:rPr>
                <w:sz w:val="16"/>
                <w:szCs w:val="16"/>
              </w:rPr>
            </w:pPr>
            <w:r>
              <w:rPr>
                <w:color w:val="6C6D70"/>
                <w:spacing w:val="-5"/>
                <w:sz w:val="16"/>
                <w:szCs w:val="16"/>
              </w:rPr>
              <w:t>€9,885</w:t>
            </w:r>
          </w:p>
        </w:tc>
        <w:tc>
          <w:tcPr>
            <w:tcW w:w="764" w:type="dxa"/>
            <w:vAlign w:val="top"/>
          </w:tcPr>
          <w:p>
            <w:pPr>
              <w:pStyle w:val="TableText"/>
              <w:spacing w:before="150" w:line="174" w:lineRule="auto"/>
              <w:ind w:left="88"/>
              <w:rPr>
                <w:sz w:val="16"/>
                <w:szCs w:val="16"/>
              </w:rPr>
            </w:pPr>
            <w:r>
              <w:rPr>
                <w:color w:val="6C6D70"/>
                <w:spacing w:val="-5"/>
                <w:sz w:val="16"/>
                <w:szCs w:val="16"/>
              </w:rPr>
              <w:t>€11,045</w:t>
            </w:r>
          </w:p>
        </w:tc>
        <w:tc>
          <w:tcPr>
            <w:tcW w:w="839" w:type="dxa"/>
            <w:vAlign w:val="top"/>
          </w:tcPr>
          <w:p>
            <w:pPr>
              <w:pStyle w:val="TableText"/>
              <w:spacing w:before="150" w:line="174" w:lineRule="auto"/>
              <w:ind w:left="148"/>
              <w:rPr>
                <w:sz w:val="16"/>
                <w:szCs w:val="16"/>
              </w:rPr>
            </w:pPr>
            <w:r>
              <w:rPr>
                <w:color w:val="6C6D70"/>
                <w:spacing w:val="-5"/>
                <w:sz w:val="16"/>
                <w:szCs w:val="16"/>
              </w:rPr>
              <w:t>€12,306</w:t>
            </w:r>
          </w:p>
        </w:tc>
        <w:tc>
          <w:tcPr>
            <w:tcW w:w="871" w:type="dxa"/>
            <w:vAlign w:val="top"/>
          </w:tcPr>
          <w:p>
            <w:pPr>
              <w:pStyle w:val="TableText"/>
              <w:spacing w:before="150" w:line="174" w:lineRule="auto"/>
              <w:ind w:left="152"/>
              <w:rPr>
                <w:sz w:val="16"/>
                <w:szCs w:val="16"/>
              </w:rPr>
            </w:pPr>
            <w:r>
              <w:rPr>
                <w:color w:val="6C6D70"/>
                <w:spacing w:val="-5"/>
                <w:sz w:val="16"/>
                <w:szCs w:val="16"/>
              </w:rPr>
              <w:t>€10,730</w:t>
            </w:r>
          </w:p>
        </w:tc>
        <w:tc>
          <w:tcPr>
            <w:tcW w:w="747" w:type="dxa"/>
            <w:vAlign w:val="top"/>
          </w:tcPr>
          <w:p>
            <w:pPr>
              <w:pStyle w:val="TableText"/>
              <w:spacing w:before="150" w:line="174" w:lineRule="auto"/>
              <w:ind w:left="91"/>
              <w:rPr>
                <w:sz w:val="16"/>
                <w:szCs w:val="16"/>
              </w:rPr>
            </w:pPr>
            <w:r>
              <w:rPr>
                <w:color w:val="6C6D70"/>
                <w:spacing w:val="-5"/>
                <w:sz w:val="16"/>
                <w:szCs w:val="16"/>
              </w:rPr>
              <w:t>€12,401</w:t>
            </w:r>
          </w:p>
        </w:tc>
        <w:tc>
          <w:tcPr>
            <w:tcW w:w="869" w:type="dxa"/>
            <w:vAlign w:val="top"/>
          </w:tcPr>
          <w:p>
            <w:pPr>
              <w:pStyle w:val="TableText"/>
              <w:spacing w:before="147" w:line="170" w:lineRule="auto"/>
              <w:ind w:left="275"/>
              <w:rPr>
                <w:sz w:val="16"/>
                <w:szCs w:val="16"/>
              </w:rPr>
            </w:pPr>
            <w:r>
              <w:rPr>
                <w:color w:val="6C6D70"/>
                <w:spacing w:val="-5"/>
                <w:sz w:val="16"/>
                <w:szCs w:val="16"/>
              </w:rPr>
              <w:t>12%</w:t>
            </w:r>
          </w:p>
        </w:tc>
        <w:tc>
          <w:tcPr>
            <w:tcW w:w="854" w:type="dxa"/>
            <w:vAlign w:val="top"/>
          </w:tcPr>
          <w:p>
            <w:pPr>
              <w:pStyle w:val="TableText"/>
              <w:spacing w:before="147" w:line="170" w:lineRule="auto"/>
              <w:ind w:left="287"/>
              <w:rPr>
                <w:sz w:val="16"/>
                <w:szCs w:val="16"/>
              </w:rPr>
            </w:pPr>
            <w:r>
              <w:rPr>
                <w:color w:val="6C6D70"/>
                <w:spacing w:val="-5"/>
                <w:sz w:val="16"/>
                <w:szCs w:val="16"/>
              </w:rPr>
              <w:t>11%</w:t>
            </w:r>
          </w:p>
        </w:tc>
        <w:tc>
          <w:tcPr>
            <w:tcW w:w="862" w:type="dxa"/>
            <w:vAlign w:val="top"/>
          </w:tcPr>
          <w:p>
            <w:pPr>
              <w:pStyle w:val="TableText"/>
              <w:spacing w:before="147" w:line="170" w:lineRule="auto"/>
              <w:ind w:left="232"/>
              <w:rPr>
                <w:sz w:val="16"/>
                <w:szCs w:val="16"/>
              </w:rPr>
            </w:pPr>
            <w:r>
              <w:rPr>
                <w:color w:val="6C6D70"/>
                <w:spacing w:val="-7"/>
                <w:sz w:val="16"/>
                <w:szCs w:val="16"/>
              </w:rPr>
              <w:t>-13%</w:t>
            </w:r>
          </w:p>
        </w:tc>
        <w:tc>
          <w:tcPr>
            <w:tcW w:w="880" w:type="dxa"/>
            <w:vAlign w:val="top"/>
          </w:tcPr>
          <w:p>
            <w:pPr>
              <w:pStyle w:val="TableText"/>
              <w:spacing w:before="147" w:line="170" w:lineRule="auto"/>
              <w:ind w:left="259"/>
              <w:rPr>
                <w:sz w:val="16"/>
                <w:szCs w:val="16"/>
              </w:rPr>
            </w:pPr>
            <w:r>
              <w:rPr>
                <w:color w:val="6C6D70"/>
                <w:spacing w:val="-3"/>
                <w:sz w:val="16"/>
                <w:szCs w:val="16"/>
              </w:rPr>
              <w:t>31%</w:t>
            </w:r>
          </w:p>
        </w:tc>
        <w:tc>
          <w:tcPr>
            <w:tcW w:w="910" w:type="dxa"/>
            <w:vAlign w:val="top"/>
          </w:tcPr>
          <w:p>
            <w:pPr>
              <w:pStyle w:val="TableText"/>
              <w:spacing w:before="147" w:line="170" w:lineRule="auto"/>
              <w:ind w:left="331"/>
              <w:rPr>
                <w:sz w:val="16"/>
                <w:szCs w:val="16"/>
              </w:rPr>
            </w:pPr>
            <w:r>
              <w:rPr>
                <w:color w:val="6C6D70"/>
                <w:spacing w:val="-2"/>
                <w:sz w:val="16"/>
                <w:szCs w:val="16"/>
              </w:rPr>
              <w:t>4%</w:t>
            </w:r>
          </w:p>
        </w:tc>
      </w:tr>
      <w:tr>
        <w:tblPrEx>
          <w:tblW w:w="9341" w:type="dxa"/>
          <w:tblInd w:w="678" w:type="dxa"/>
          <w:tblLayout w:type="fixed"/>
        </w:tblPrEx>
        <w:trPr>
          <w:trHeight w:val="399"/>
        </w:trPr>
        <w:tc>
          <w:tcPr>
            <w:tcW w:w="1098" w:type="dxa"/>
            <w:vAlign w:val="top"/>
          </w:tcPr>
          <w:p>
            <w:pPr>
              <w:pStyle w:val="TableText"/>
              <w:spacing w:before="124" w:line="176" w:lineRule="auto"/>
              <w:ind w:left="108"/>
              <w:rPr>
                <w:sz w:val="16"/>
                <w:szCs w:val="16"/>
              </w:rPr>
            </w:pPr>
            <w:r>
              <w:rPr>
                <w:color w:val="3E3E3F"/>
                <w:spacing w:val="-14"/>
                <w:w w:val="97"/>
                <w:sz w:val="16"/>
                <w:szCs w:val="16"/>
              </w:rPr>
              <w:t>美国（美元）</w:t>
            </w:r>
          </w:p>
        </w:tc>
        <w:tc>
          <w:tcPr>
            <w:tcW w:w="647" w:type="dxa"/>
            <w:vAlign w:val="top"/>
          </w:tcPr>
          <w:p>
            <w:pPr>
              <w:pStyle w:val="TableText"/>
              <w:spacing w:before="129" w:line="189" w:lineRule="auto"/>
              <w:ind w:left="118"/>
              <w:rPr>
                <w:sz w:val="16"/>
                <w:szCs w:val="16"/>
              </w:rPr>
            </w:pPr>
            <w:r>
              <w:rPr>
                <w:color w:val="6C6D70"/>
                <w:spacing w:val="-5"/>
                <w:sz w:val="16"/>
                <w:szCs w:val="16"/>
              </w:rPr>
              <w:t>$6,572</w:t>
            </w:r>
          </w:p>
        </w:tc>
        <w:tc>
          <w:tcPr>
            <w:tcW w:w="764" w:type="dxa"/>
            <w:vAlign w:val="top"/>
          </w:tcPr>
          <w:p>
            <w:pPr>
              <w:pStyle w:val="TableText"/>
              <w:spacing w:before="129" w:line="189" w:lineRule="auto"/>
              <w:ind w:left="138"/>
              <w:rPr>
                <w:sz w:val="16"/>
                <w:szCs w:val="16"/>
              </w:rPr>
            </w:pPr>
            <w:r>
              <w:rPr>
                <w:color w:val="6C6D70"/>
                <w:spacing w:val="-5"/>
                <w:sz w:val="16"/>
                <w:szCs w:val="16"/>
              </w:rPr>
              <w:t>$8,723</w:t>
            </w:r>
          </w:p>
        </w:tc>
        <w:tc>
          <w:tcPr>
            <w:tcW w:w="839" w:type="dxa"/>
            <w:vAlign w:val="top"/>
          </w:tcPr>
          <w:p>
            <w:pPr>
              <w:pStyle w:val="TableText"/>
              <w:spacing w:before="129" w:line="189" w:lineRule="auto"/>
              <w:ind w:left="154"/>
              <w:rPr>
                <w:sz w:val="16"/>
                <w:szCs w:val="16"/>
              </w:rPr>
            </w:pPr>
            <w:r>
              <w:rPr>
                <w:color w:val="6C6D70"/>
                <w:spacing w:val="-5"/>
                <w:sz w:val="16"/>
                <w:szCs w:val="16"/>
              </w:rPr>
              <w:t>$11,995</w:t>
            </w:r>
          </w:p>
        </w:tc>
        <w:tc>
          <w:tcPr>
            <w:tcW w:w="871" w:type="dxa"/>
            <w:vAlign w:val="top"/>
          </w:tcPr>
          <w:p>
            <w:pPr>
              <w:pStyle w:val="TableText"/>
              <w:spacing w:before="129" w:line="189" w:lineRule="auto"/>
              <w:ind w:left="158"/>
              <w:rPr>
                <w:sz w:val="16"/>
                <w:szCs w:val="16"/>
              </w:rPr>
            </w:pPr>
            <w:r>
              <w:rPr>
                <w:color w:val="6C6D70"/>
                <w:spacing w:val="-5"/>
                <w:sz w:val="16"/>
                <w:szCs w:val="16"/>
              </w:rPr>
              <w:t>$17,081</w:t>
            </w:r>
          </w:p>
        </w:tc>
        <w:tc>
          <w:tcPr>
            <w:tcW w:w="747" w:type="dxa"/>
            <w:vAlign w:val="top"/>
          </w:tcPr>
          <w:p>
            <w:pPr>
              <w:pStyle w:val="TableText"/>
              <w:spacing w:before="129" w:line="189" w:lineRule="auto"/>
              <w:ind w:left="141"/>
              <w:rPr>
                <w:sz w:val="16"/>
                <w:szCs w:val="16"/>
              </w:rPr>
            </w:pPr>
            <w:r>
              <w:rPr>
                <w:color w:val="6C6D70"/>
                <w:spacing w:val="-5"/>
                <w:sz w:val="16"/>
                <w:szCs w:val="16"/>
              </w:rPr>
              <w:t>$8,400</w:t>
            </w:r>
          </w:p>
        </w:tc>
        <w:tc>
          <w:tcPr>
            <w:tcW w:w="869" w:type="dxa"/>
            <w:vAlign w:val="top"/>
          </w:tcPr>
          <w:p>
            <w:pPr>
              <w:pStyle w:val="TableText"/>
              <w:spacing w:before="143" w:line="170" w:lineRule="auto"/>
              <w:ind w:left="265"/>
              <w:rPr>
                <w:sz w:val="16"/>
                <w:szCs w:val="16"/>
              </w:rPr>
            </w:pPr>
            <w:r>
              <w:rPr>
                <w:color w:val="6C6D70"/>
                <w:spacing w:val="-3"/>
                <w:sz w:val="16"/>
                <w:szCs w:val="16"/>
              </w:rPr>
              <w:t>33%</w:t>
            </w:r>
          </w:p>
        </w:tc>
        <w:tc>
          <w:tcPr>
            <w:tcW w:w="854" w:type="dxa"/>
            <w:vAlign w:val="top"/>
          </w:tcPr>
          <w:p>
            <w:pPr>
              <w:pStyle w:val="TableText"/>
              <w:spacing w:before="143" w:line="170" w:lineRule="auto"/>
              <w:ind w:left="277"/>
              <w:rPr>
                <w:sz w:val="16"/>
                <w:szCs w:val="16"/>
              </w:rPr>
            </w:pPr>
            <w:r>
              <w:rPr>
                <w:color w:val="6C6D70"/>
                <w:spacing w:val="-3"/>
                <w:sz w:val="16"/>
                <w:szCs w:val="16"/>
              </w:rPr>
              <w:t>38%</w:t>
            </w:r>
          </w:p>
        </w:tc>
        <w:tc>
          <w:tcPr>
            <w:tcW w:w="862" w:type="dxa"/>
            <w:vAlign w:val="top"/>
          </w:tcPr>
          <w:p>
            <w:pPr>
              <w:pStyle w:val="TableText"/>
              <w:spacing w:before="143" w:line="170" w:lineRule="auto"/>
              <w:ind w:left="256"/>
              <w:rPr>
                <w:sz w:val="16"/>
                <w:szCs w:val="16"/>
              </w:rPr>
            </w:pPr>
            <w:r>
              <w:rPr>
                <w:color w:val="6C6D70"/>
                <w:spacing w:val="-3"/>
                <w:sz w:val="16"/>
                <w:szCs w:val="16"/>
              </w:rPr>
              <w:t>42%</w:t>
            </w:r>
          </w:p>
        </w:tc>
        <w:tc>
          <w:tcPr>
            <w:tcW w:w="880" w:type="dxa"/>
            <w:vAlign w:val="top"/>
          </w:tcPr>
          <w:p>
            <w:pPr>
              <w:pStyle w:val="TableText"/>
              <w:spacing w:before="143" w:line="170" w:lineRule="auto"/>
              <w:ind w:left="234"/>
              <w:rPr>
                <w:sz w:val="16"/>
                <w:szCs w:val="16"/>
              </w:rPr>
            </w:pPr>
            <w:r>
              <w:rPr>
                <w:color w:val="6C6D70"/>
                <w:spacing w:val="-7"/>
                <w:sz w:val="16"/>
                <w:szCs w:val="16"/>
              </w:rPr>
              <w:t>-51%</w:t>
            </w:r>
          </w:p>
        </w:tc>
        <w:tc>
          <w:tcPr>
            <w:tcW w:w="910" w:type="dxa"/>
            <w:vAlign w:val="top"/>
          </w:tcPr>
          <w:p>
            <w:pPr>
              <w:pStyle w:val="TableText"/>
              <w:spacing w:before="143" w:line="170" w:lineRule="auto"/>
              <w:ind w:left="333"/>
              <w:rPr>
                <w:sz w:val="16"/>
                <w:szCs w:val="16"/>
              </w:rPr>
            </w:pPr>
            <w:r>
              <w:rPr>
                <w:color w:val="6C6D70"/>
                <w:spacing w:val="-2"/>
                <w:sz w:val="16"/>
                <w:szCs w:val="16"/>
              </w:rPr>
              <w:t>3%</w:t>
            </w:r>
          </w:p>
        </w:tc>
      </w:tr>
      <w:tr>
        <w:tblPrEx>
          <w:tblW w:w="9341" w:type="dxa"/>
          <w:tblInd w:w="678" w:type="dxa"/>
          <w:tblLayout w:type="fixed"/>
        </w:tblPrEx>
        <w:trPr>
          <w:trHeight w:val="399"/>
        </w:trPr>
        <w:tc>
          <w:tcPr>
            <w:tcW w:w="1098" w:type="dxa"/>
            <w:vAlign w:val="top"/>
          </w:tcPr>
          <w:p>
            <w:pPr>
              <w:pStyle w:val="TableText"/>
              <w:spacing w:before="119" w:line="177" w:lineRule="auto"/>
              <w:jc w:val="right"/>
              <w:rPr>
                <w:sz w:val="16"/>
                <w:szCs w:val="16"/>
              </w:rPr>
            </w:pPr>
            <w:r>
              <w:rPr>
                <w:color w:val="3E3E3F"/>
                <w:spacing w:val="-9"/>
                <w:w w:val="93"/>
                <w:sz w:val="16"/>
                <w:szCs w:val="16"/>
              </w:rPr>
              <w:t>加拿大（加元）</w:t>
            </w:r>
          </w:p>
        </w:tc>
        <w:tc>
          <w:tcPr>
            <w:tcW w:w="647" w:type="dxa"/>
            <w:vAlign w:val="top"/>
          </w:tcPr>
          <w:p>
            <w:pPr>
              <w:pStyle w:val="TableText"/>
              <w:spacing w:before="125" w:line="189" w:lineRule="auto"/>
              <w:ind w:left="118"/>
              <w:rPr>
                <w:sz w:val="16"/>
                <w:szCs w:val="16"/>
              </w:rPr>
            </w:pPr>
            <w:r>
              <w:rPr>
                <w:color w:val="6C6D70"/>
                <w:spacing w:val="-5"/>
                <w:sz w:val="16"/>
                <w:szCs w:val="16"/>
              </w:rPr>
              <w:t>$1,011</w:t>
            </w:r>
          </w:p>
        </w:tc>
        <w:tc>
          <w:tcPr>
            <w:tcW w:w="764" w:type="dxa"/>
            <w:vAlign w:val="top"/>
          </w:tcPr>
          <w:p>
            <w:pPr>
              <w:pStyle w:val="TableText"/>
              <w:spacing w:before="125" w:line="189" w:lineRule="auto"/>
              <w:ind w:left="138"/>
              <w:rPr>
                <w:sz w:val="16"/>
                <w:szCs w:val="16"/>
              </w:rPr>
            </w:pPr>
            <w:r>
              <w:rPr>
                <w:color w:val="6C6D70"/>
                <w:spacing w:val="-5"/>
                <w:sz w:val="16"/>
                <w:szCs w:val="16"/>
              </w:rPr>
              <w:t>$1,505</w:t>
            </w:r>
          </w:p>
        </w:tc>
        <w:tc>
          <w:tcPr>
            <w:tcW w:w="839" w:type="dxa"/>
            <w:vAlign w:val="top"/>
          </w:tcPr>
          <w:p>
            <w:pPr>
              <w:pStyle w:val="TableText"/>
              <w:spacing w:before="125" w:line="189" w:lineRule="auto"/>
              <w:ind w:left="198"/>
              <w:rPr>
                <w:sz w:val="16"/>
                <w:szCs w:val="16"/>
              </w:rPr>
            </w:pPr>
            <w:r>
              <w:rPr>
                <w:color w:val="6C6D70"/>
                <w:spacing w:val="-5"/>
                <w:sz w:val="16"/>
                <w:szCs w:val="16"/>
              </w:rPr>
              <w:t>$2,132</w:t>
            </w:r>
          </w:p>
        </w:tc>
        <w:tc>
          <w:tcPr>
            <w:tcW w:w="871" w:type="dxa"/>
            <w:vAlign w:val="top"/>
          </w:tcPr>
          <w:p>
            <w:pPr>
              <w:pStyle w:val="TableText"/>
              <w:spacing w:before="125" w:line="189" w:lineRule="auto"/>
              <w:ind w:left="202"/>
              <w:rPr>
                <w:sz w:val="16"/>
                <w:szCs w:val="16"/>
              </w:rPr>
            </w:pPr>
            <w:r>
              <w:rPr>
                <w:color w:val="6C6D70"/>
                <w:spacing w:val="-5"/>
                <w:sz w:val="16"/>
                <w:szCs w:val="16"/>
              </w:rPr>
              <w:t>$3,166</w:t>
            </w:r>
          </w:p>
        </w:tc>
        <w:tc>
          <w:tcPr>
            <w:tcW w:w="747" w:type="dxa"/>
            <w:vAlign w:val="top"/>
          </w:tcPr>
          <w:p>
            <w:pPr>
              <w:pStyle w:val="TableText"/>
              <w:spacing w:before="125" w:line="189" w:lineRule="auto"/>
              <w:ind w:left="141"/>
              <w:rPr>
                <w:sz w:val="16"/>
                <w:szCs w:val="16"/>
              </w:rPr>
            </w:pPr>
            <w:r>
              <w:rPr>
                <w:color w:val="6C6D70"/>
                <w:spacing w:val="-5"/>
                <w:sz w:val="16"/>
                <w:szCs w:val="16"/>
              </w:rPr>
              <w:t>$3,014</w:t>
            </w:r>
          </w:p>
        </w:tc>
        <w:tc>
          <w:tcPr>
            <w:tcW w:w="869" w:type="dxa"/>
            <w:vAlign w:val="top"/>
          </w:tcPr>
          <w:p>
            <w:pPr>
              <w:pStyle w:val="TableText"/>
              <w:spacing w:before="139" w:line="170" w:lineRule="auto"/>
              <w:ind w:left="264"/>
              <w:rPr>
                <w:sz w:val="16"/>
                <w:szCs w:val="16"/>
              </w:rPr>
            </w:pPr>
            <w:r>
              <w:rPr>
                <w:color w:val="6C6D70"/>
                <w:spacing w:val="-3"/>
                <w:sz w:val="16"/>
                <w:szCs w:val="16"/>
              </w:rPr>
              <w:t>49%</w:t>
            </w:r>
          </w:p>
        </w:tc>
        <w:tc>
          <w:tcPr>
            <w:tcW w:w="854" w:type="dxa"/>
            <w:vAlign w:val="top"/>
          </w:tcPr>
          <w:p>
            <w:pPr>
              <w:pStyle w:val="TableText"/>
              <w:spacing w:before="139" w:line="170" w:lineRule="auto"/>
              <w:ind w:left="276"/>
              <w:rPr>
                <w:sz w:val="16"/>
                <w:szCs w:val="16"/>
              </w:rPr>
            </w:pPr>
            <w:r>
              <w:rPr>
                <w:color w:val="6C6D70"/>
                <w:spacing w:val="-3"/>
                <w:sz w:val="16"/>
                <w:szCs w:val="16"/>
              </w:rPr>
              <w:t>42%</w:t>
            </w:r>
          </w:p>
        </w:tc>
        <w:tc>
          <w:tcPr>
            <w:tcW w:w="862" w:type="dxa"/>
            <w:vAlign w:val="top"/>
          </w:tcPr>
          <w:p>
            <w:pPr>
              <w:pStyle w:val="TableText"/>
              <w:spacing w:before="139" w:line="170" w:lineRule="auto"/>
              <w:ind w:left="256"/>
              <w:rPr>
                <w:sz w:val="16"/>
                <w:szCs w:val="16"/>
              </w:rPr>
            </w:pPr>
            <w:r>
              <w:rPr>
                <w:color w:val="6C6D70"/>
                <w:spacing w:val="-3"/>
                <w:sz w:val="16"/>
                <w:szCs w:val="16"/>
              </w:rPr>
              <w:t>48%</w:t>
            </w:r>
          </w:p>
        </w:tc>
        <w:tc>
          <w:tcPr>
            <w:tcW w:w="880" w:type="dxa"/>
            <w:vAlign w:val="top"/>
          </w:tcPr>
          <w:p>
            <w:pPr>
              <w:pStyle w:val="TableText"/>
              <w:spacing w:before="139" w:line="170" w:lineRule="auto"/>
              <w:ind w:left="278"/>
              <w:rPr>
                <w:sz w:val="16"/>
                <w:szCs w:val="16"/>
              </w:rPr>
            </w:pPr>
            <w:r>
              <w:rPr>
                <w:color w:val="6C6D70"/>
                <w:spacing w:val="-8"/>
                <w:sz w:val="16"/>
                <w:szCs w:val="16"/>
              </w:rPr>
              <w:t>-5%</w:t>
            </w:r>
          </w:p>
        </w:tc>
        <w:tc>
          <w:tcPr>
            <w:tcW w:w="910" w:type="dxa"/>
            <w:vAlign w:val="top"/>
          </w:tcPr>
          <w:p>
            <w:pPr>
              <w:pStyle w:val="TableText"/>
              <w:spacing w:before="139" w:line="170" w:lineRule="auto"/>
              <w:ind w:left="299"/>
              <w:rPr>
                <w:sz w:val="16"/>
                <w:szCs w:val="16"/>
              </w:rPr>
            </w:pPr>
            <w:r>
              <w:rPr>
                <w:color w:val="6C6D70"/>
                <w:spacing w:val="-5"/>
                <w:sz w:val="16"/>
                <w:szCs w:val="16"/>
              </w:rPr>
              <w:t>15%</w:t>
            </w:r>
          </w:p>
        </w:tc>
      </w:tr>
      <w:tr>
        <w:tblPrEx>
          <w:tblW w:w="9341" w:type="dxa"/>
          <w:tblInd w:w="678" w:type="dxa"/>
          <w:tblLayout w:type="fixed"/>
        </w:tblPrEx>
        <w:trPr>
          <w:trHeight w:val="399"/>
        </w:trPr>
        <w:tc>
          <w:tcPr>
            <w:tcW w:w="1098" w:type="dxa"/>
            <w:vAlign w:val="top"/>
          </w:tcPr>
          <w:p>
            <w:pPr>
              <w:pStyle w:val="TableText"/>
              <w:spacing w:before="51" w:line="169" w:lineRule="exact"/>
              <w:ind w:left="110" w:right="77" w:hanging="3"/>
              <w:rPr>
                <w:sz w:val="16"/>
                <w:szCs w:val="16"/>
              </w:rPr>
            </w:pPr>
            <w:r>
              <w:rPr>
                <w:color w:val="3E3E3F"/>
                <w:spacing w:val="-3"/>
                <w:w w:val="98"/>
                <w:sz w:val="16"/>
                <w:szCs w:val="16"/>
              </w:rPr>
              <w:t>澳大利亚&amp;新</w:t>
            </w:r>
            <w:r>
              <w:rPr>
                <w:color w:val="3E3E3F"/>
                <w:spacing w:val="4"/>
                <w:sz w:val="16"/>
                <w:szCs w:val="16"/>
              </w:rPr>
              <w:t xml:space="preserve"> </w:t>
            </w:r>
            <w:r>
              <w:rPr>
                <w:color w:val="3E3E3F"/>
                <w:spacing w:val="-12"/>
                <w:w w:val="96"/>
                <w:position w:val="1"/>
                <w:sz w:val="16"/>
                <w:szCs w:val="16"/>
              </w:rPr>
              <w:t>西兰（澳元）</w:t>
            </w:r>
          </w:p>
        </w:tc>
        <w:tc>
          <w:tcPr>
            <w:tcW w:w="647" w:type="dxa"/>
            <w:vAlign w:val="top"/>
          </w:tcPr>
          <w:p>
            <w:pPr>
              <w:pStyle w:val="TableText"/>
              <w:spacing w:before="121" w:line="184" w:lineRule="auto"/>
              <w:ind w:left="184"/>
              <w:rPr>
                <w:sz w:val="16"/>
                <w:szCs w:val="16"/>
              </w:rPr>
            </w:pPr>
            <w:r>
              <w:rPr>
                <w:color w:val="6C6D70"/>
                <w:spacing w:val="-7"/>
                <w:sz w:val="16"/>
                <w:szCs w:val="16"/>
              </w:rPr>
              <w:t>$203</w:t>
            </w:r>
          </w:p>
        </w:tc>
        <w:tc>
          <w:tcPr>
            <w:tcW w:w="764" w:type="dxa"/>
            <w:vAlign w:val="top"/>
          </w:tcPr>
          <w:p>
            <w:pPr>
              <w:pStyle w:val="TableText"/>
              <w:spacing w:before="121" w:line="184" w:lineRule="auto"/>
              <w:ind w:left="203"/>
              <w:rPr>
                <w:sz w:val="16"/>
                <w:szCs w:val="16"/>
              </w:rPr>
            </w:pPr>
            <w:r>
              <w:rPr>
                <w:color w:val="6C6D70"/>
                <w:spacing w:val="-7"/>
                <w:sz w:val="16"/>
                <w:szCs w:val="16"/>
              </w:rPr>
              <w:t>$707</w:t>
            </w:r>
          </w:p>
        </w:tc>
        <w:tc>
          <w:tcPr>
            <w:tcW w:w="839" w:type="dxa"/>
            <w:vAlign w:val="top"/>
          </w:tcPr>
          <w:p>
            <w:pPr>
              <w:pStyle w:val="TableText"/>
              <w:spacing w:before="121" w:line="189" w:lineRule="auto"/>
              <w:ind w:left="198"/>
              <w:rPr>
                <w:sz w:val="16"/>
                <w:szCs w:val="16"/>
              </w:rPr>
            </w:pPr>
            <w:r>
              <w:rPr>
                <w:color w:val="6C6D70"/>
                <w:spacing w:val="-5"/>
                <w:sz w:val="16"/>
                <w:szCs w:val="16"/>
              </w:rPr>
              <w:t>$1,033</w:t>
            </w:r>
          </w:p>
        </w:tc>
        <w:tc>
          <w:tcPr>
            <w:tcW w:w="871" w:type="dxa"/>
            <w:vAlign w:val="top"/>
          </w:tcPr>
          <w:p>
            <w:pPr>
              <w:pStyle w:val="TableText"/>
              <w:spacing w:before="121" w:line="189" w:lineRule="auto"/>
              <w:ind w:left="202"/>
              <w:rPr>
                <w:sz w:val="16"/>
                <w:szCs w:val="16"/>
              </w:rPr>
            </w:pPr>
            <w:r>
              <w:rPr>
                <w:color w:val="6C6D70"/>
                <w:spacing w:val="-5"/>
                <w:sz w:val="16"/>
                <w:szCs w:val="16"/>
              </w:rPr>
              <w:t>$1,295</w:t>
            </w:r>
          </w:p>
        </w:tc>
        <w:tc>
          <w:tcPr>
            <w:tcW w:w="747" w:type="dxa"/>
            <w:vAlign w:val="top"/>
          </w:tcPr>
          <w:p>
            <w:pPr>
              <w:pStyle w:val="TableText"/>
              <w:spacing w:before="121" w:line="189" w:lineRule="auto"/>
              <w:ind w:left="141"/>
              <w:rPr>
                <w:sz w:val="16"/>
                <w:szCs w:val="16"/>
              </w:rPr>
            </w:pPr>
            <w:r>
              <w:rPr>
                <w:color w:val="6C6D70"/>
                <w:spacing w:val="-5"/>
                <w:sz w:val="16"/>
                <w:szCs w:val="16"/>
              </w:rPr>
              <w:t>$1,680</w:t>
            </w:r>
          </w:p>
        </w:tc>
        <w:tc>
          <w:tcPr>
            <w:tcW w:w="869" w:type="dxa"/>
            <w:vAlign w:val="top"/>
          </w:tcPr>
          <w:p>
            <w:pPr>
              <w:pStyle w:val="TableText"/>
              <w:spacing w:before="135" w:line="170" w:lineRule="auto"/>
              <w:ind w:left="223"/>
              <w:rPr>
                <w:sz w:val="16"/>
                <w:szCs w:val="16"/>
              </w:rPr>
            </w:pPr>
            <w:r>
              <w:rPr>
                <w:color w:val="6C6D70"/>
                <w:spacing w:val="-4"/>
                <w:sz w:val="16"/>
                <w:szCs w:val="16"/>
              </w:rPr>
              <w:t>248%</w:t>
            </w:r>
          </w:p>
        </w:tc>
        <w:tc>
          <w:tcPr>
            <w:tcW w:w="854" w:type="dxa"/>
            <w:vAlign w:val="top"/>
          </w:tcPr>
          <w:p>
            <w:pPr>
              <w:pStyle w:val="TableText"/>
              <w:spacing w:before="135" w:line="170" w:lineRule="auto"/>
              <w:ind w:left="276"/>
              <w:rPr>
                <w:sz w:val="16"/>
                <w:szCs w:val="16"/>
              </w:rPr>
            </w:pPr>
            <w:r>
              <w:rPr>
                <w:color w:val="6C6D70"/>
                <w:spacing w:val="-3"/>
                <w:sz w:val="16"/>
                <w:szCs w:val="16"/>
              </w:rPr>
              <w:t>46%</w:t>
            </w:r>
          </w:p>
        </w:tc>
        <w:tc>
          <w:tcPr>
            <w:tcW w:w="862" w:type="dxa"/>
            <w:vAlign w:val="top"/>
          </w:tcPr>
          <w:p>
            <w:pPr>
              <w:pStyle w:val="TableText"/>
              <w:spacing w:before="135" w:line="170" w:lineRule="auto"/>
              <w:ind w:left="259"/>
              <w:rPr>
                <w:sz w:val="16"/>
                <w:szCs w:val="16"/>
              </w:rPr>
            </w:pPr>
            <w:r>
              <w:rPr>
                <w:color w:val="6C6D70"/>
                <w:spacing w:val="-3"/>
                <w:sz w:val="16"/>
                <w:szCs w:val="16"/>
              </w:rPr>
              <w:t>25%</w:t>
            </w:r>
          </w:p>
        </w:tc>
        <w:tc>
          <w:tcPr>
            <w:tcW w:w="880" w:type="dxa"/>
            <w:vAlign w:val="top"/>
          </w:tcPr>
          <w:p>
            <w:pPr>
              <w:pStyle w:val="TableText"/>
              <w:spacing w:before="135" w:line="170" w:lineRule="auto"/>
              <w:ind w:left="259"/>
              <w:rPr>
                <w:sz w:val="16"/>
                <w:szCs w:val="16"/>
              </w:rPr>
            </w:pPr>
            <w:r>
              <w:rPr>
                <w:color w:val="6C6D70"/>
                <w:spacing w:val="-3"/>
                <w:sz w:val="16"/>
                <w:szCs w:val="16"/>
              </w:rPr>
              <w:t>30%</w:t>
            </w:r>
          </w:p>
        </w:tc>
        <w:tc>
          <w:tcPr>
            <w:tcW w:w="910" w:type="dxa"/>
            <w:vAlign w:val="top"/>
          </w:tcPr>
          <w:p>
            <w:pPr>
              <w:pStyle w:val="TableText"/>
              <w:spacing w:before="135" w:line="170" w:lineRule="auto"/>
              <w:ind w:left="289"/>
              <w:rPr>
                <w:sz w:val="16"/>
                <w:szCs w:val="16"/>
              </w:rPr>
            </w:pPr>
            <w:r>
              <w:rPr>
                <w:color w:val="6C6D70"/>
                <w:spacing w:val="-3"/>
                <w:sz w:val="16"/>
                <w:szCs w:val="16"/>
              </w:rPr>
              <w:t>30%</w:t>
            </w:r>
          </w:p>
        </w:tc>
      </w:tr>
    </w:tbl>
    <w:p>
      <w:pPr>
        <w:sectPr>
          <w:footerReference w:type="default" r:id="rId42"/>
          <w:pgSz w:w="12246" w:h="17178"/>
          <w:pgMar w:top="993" w:right="1450" w:bottom="400" w:left="772" w:header="0" w:footer="0" w:gutter="0"/>
          <w:pgNumType w:start="18"/>
          <w:cols w:space="708"/>
        </w:sectPr>
      </w:pPr>
    </w:p>
    <w:tbl>
      <w:tblPr>
        <w:tblStyle w:val="TableNormal6"/>
        <w:tblW w:w="9341" w:type="dxa"/>
        <w:tblInd w:w="678" w:type="dxa"/>
        <w:tblBorders>
          <w:top w:val="single" w:sz="2" w:space="0" w:color="AAACAF"/>
          <w:left w:val="single" w:sz="2" w:space="0" w:color="AAACAF"/>
          <w:bottom w:val="single" w:sz="2" w:space="0" w:color="AAACAF"/>
          <w:right w:val="single" w:sz="2" w:space="0" w:color="AAACAF"/>
          <w:insideH w:val="single" w:sz="2" w:space="0" w:color="AAACAF"/>
          <w:insideV w:val="single" w:sz="2" w:space="0" w:color="AAACAF"/>
        </w:tblBorders>
        <w:tblLayout w:type="fixed"/>
      </w:tblPr>
      <w:tblGrid>
        <w:gridCol w:w="1098"/>
        <w:gridCol w:w="647"/>
        <w:gridCol w:w="764"/>
        <w:gridCol w:w="839"/>
        <w:gridCol w:w="871"/>
        <w:gridCol w:w="747"/>
        <w:gridCol w:w="869"/>
        <w:gridCol w:w="854"/>
        <w:gridCol w:w="862"/>
        <w:gridCol w:w="880"/>
        <w:gridCol w:w="910"/>
      </w:tblGrid>
      <w:tr>
        <w:tblPrEx>
          <w:tblW w:w="9341" w:type="dxa"/>
          <w:tblInd w:w="678" w:type="dxa"/>
          <w:tblBorders>
            <w:top w:val="single" w:sz="2" w:space="0" w:color="AAACAF"/>
            <w:left w:val="single" w:sz="2" w:space="0" w:color="AAACAF"/>
            <w:bottom w:val="single" w:sz="2" w:space="0" w:color="AAACAF"/>
            <w:right w:val="single" w:sz="2" w:space="0" w:color="AAACAF"/>
            <w:insideH w:val="single" w:sz="2" w:space="0" w:color="AAACAF"/>
            <w:insideV w:val="single" w:sz="2" w:space="0" w:color="AAACAF"/>
          </w:tblBorders>
          <w:tblLayout w:type="fixed"/>
        </w:tblPrEx>
        <w:trPr>
          <w:trHeight w:val="402"/>
        </w:trPr>
        <w:tc>
          <w:tcPr>
            <w:tcW w:w="1098" w:type="dxa"/>
            <w:vAlign w:val="top"/>
          </w:tcPr>
          <w:p>
            <w:pPr>
              <w:pStyle w:val="TableText"/>
              <w:spacing w:before="112" w:line="176" w:lineRule="auto"/>
              <w:ind w:left="129"/>
              <w:rPr>
                <w:sz w:val="16"/>
                <w:szCs w:val="16"/>
              </w:rPr>
            </w:pPr>
            <w:r>
              <w:rPr>
                <w:color w:val="3E3E3F"/>
                <w:spacing w:val="-23"/>
                <w:sz w:val="16"/>
                <w:szCs w:val="16"/>
              </w:rPr>
              <w:t>日本（日元）</w:t>
            </w:r>
          </w:p>
        </w:tc>
        <w:tc>
          <w:tcPr>
            <w:tcW w:w="647" w:type="dxa"/>
            <w:vAlign w:val="top"/>
          </w:tcPr>
          <w:p>
            <w:pPr>
              <w:pStyle w:val="TableText"/>
              <w:spacing w:before="134" w:line="167" w:lineRule="auto"/>
              <w:ind w:left="169"/>
              <w:rPr>
                <w:sz w:val="16"/>
                <w:szCs w:val="16"/>
              </w:rPr>
            </w:pPr>
            <w:r>
              <w:rPr>
                <w:color w:val="6C6D70"/>
                <w:spacing w:val="-18"/>
                <w:sz w:val="16"/>
                <w:szCs w:val="16"/>
              </w:rPr>
              <w:t>￥840</w:t>
            </w:r>
          </w:p>
        </w:tc>
        <w:tc>
          <w:tcPr>
            <w:tcW w:w="764" w:type="dxa"/>
            <w:vAlign w:val="top"/>
          </w:tcPr>
          <w:p>
            <w:pPr>
              <w:pStyle w:val="TableText"/>
              <w:spacing w:before="134" w:line="162" w:lineRule="auto"/>
              <w:ind w:left="60"/>
              <w:rPr>
                <w:sz w:val="16"/>
                <w:szCs w:val="16"/>
              </w:rPr>
            </w:pPr>
            <w:r>
              <w:rPr>
                <w:color w:val="6C6D70"/>
                <w:spacing w:val="-23"/>
                <w:sz w:val="16"/>
                <w:szCs w:val="16"/>
              </w:rPr>
              <w:t>￥57，056</w:t>
            </w:r>
          </w:p>
        </w:tc>
        <w:tc>
          <w:tcPr>
            <w:tcW w:w="839" w:type="dxa"/>
            <w:vAlign w:val="top"/>
          </w:tcPr>
          <w:p>
            <w:pPr>
              <w:pStyle w:val="TableText"/>
              <w:spacing w:before="134" w:line="162" w:lineRule="auto"/>
              <w:ind w:left="76"/>
              <w:rPr>
                <w:sz w:val="16"/>
                <w:szCs w:val="16"/>
              </w:rPr>
            </w:pPr>
            <w:r>
              <w:rPr>
                <w:color w:val="6C6D70"/>
                <w:spacing w:val="-21"/>
                <w:sz w:val="16"/>
                <w:szCs w:val="16"/>
              </w:rPr>
              <w:t>￥231，952</w:t>
            </w:r>
          </w:p>
        </w:tc>
        <w:tc>
          <w:tcPr>
            <w:tcW w:w="871" w:type="dxa"/>
            <w:vAlign w:val="top"/>
          </w:tcPr>
          <w:p>
            <w:pPr>
              <w:pStyle w:val="TableText"/>
              <w:spacing w:before="134" w:line="162" w:lineRule="auto"/>
              <w:ind w:left="80"/>
              <w:rPr>
                <w:sz w:val="16"/>
                <w:szCs w:val="16"/>
              </w:rPr>
            </w:pPr>
            <w:r>
              <w:rPr>
                <w:color w:val="6C6D70"/>
                <w:spacing w:val="-21"/>
                <w:sz w:val="16"/>
                <w:szCs w:val="16"/>
              </w:rPr>
              <w:t>￥310，039</w:t>
            </w:r>
          </w:p>
        </w:tc>
        <w:tc>
          <w:tcPr>
            <w:tcW w:w="747" w:type="dxa"/>
            <w:vAlign w:val="top"/>
          </w:tcPr>
          <w:p>
            <w:pPr>
              <w:pStyle w:val="TableText"/>
              <w:spacing w:before="134" w:line="174" w:lineRule="auto"/>
              <w:ind w:left="38"/>
              <w:rPr>
                <w:sz w:val="16"/>
                <w:szCs w:val="16"/>
              </w:rPr>
            </w:pPr>
            <w:r>
              <w:rPr>
                <w:color w:val="6C6D70"/>
                <w:spacing w:val="-11"/>
                <w:sz w:val="16"/>
                <w:szCs w:val="16"/>
              </w:rPr>
              <w:t>￥493,598</w:t>
            </w:r>
          </w:p>
        </w:tc>
        <w:tc>
          <w:tcPr>
            <w:tcW w:w="869" w:type="dxa"/>
            <w:vAlign w:val="top"/>
          </w:tcPr>
          <w:p>
            <w:pPr>
              <w:pStyle w:val="TableText"/>
              <w:spacing w:before="131" w:line="170" w:lineRule="auto"/>
              <w:ind w:left="182"/>
              <w:rPr>
                <w:sz w:val="16"/>
                <w:szCs w:val="16"/>
              </w:rPr>
            </w:pPr>
            <w:r>
              <w:rPr>
                <w:color w:val="6C6D70"/>
                <w:spacing w:val="-5"/>
                <w:sz w:val="16"/>
                <w:szCs w:val="16"/>
              </w:rPr>
              <w:t>6692%</w:t>
            </w:r>
          </w:p>
        </w:tc>
        <w:tc>
          <w:tcPr>
            <w:tcW w:w="854" w:type="dxa"/>
            <w:vAlign w:val="top"/>
          </w:tcPr>
          <w:p>
            <w:pPr>
              <w:pStyle w:val="TableText"/>
              <w:spacing w:before="131" w:line="170" w:lineRule="auto"/>
              <w:ind w:left="233"/>
              <w:rPr>
                <w:sz w:val="16"/>
                <w:szCs w:val="16"/>
              </w:rPr>
            </w:pPr>
            <w:r>
              <w:rPr>
                <w:color w:val="6C6D70"/>
                <w:spacing w:val="-4"/>
                <w:sz w:val="16"/>
                <w:szCs w:val="16"/>
              </w:rPr>
              <w:t>307%</w:t>
            </w:r>
          </w:p>
        </w:tc>
        <w:tc>
          <w:tcPr>
            <w:tcW w:w="862" w:type="dxa"/>
            <w:vAlign w:val="top"/>
          </w:tcPr>
          <w:p>
            <w:pPr>
              <w:pStyle w:val="TableText"/>
              <w:spacing w:before="131" w:line="170" w:lineRule="auto"/>
              <w:ind w:left="257"/>
              <w:rPr>
                <w:sz w:val="16"/>
                <w:szCs w:val="16"/>
              </w:rPr>
            </w:pPr>
            <w:r>
              <w:rPr>
                <w:color w:val="6C6D70"/>
                <w:spacing w:val="-3"/>
                <w:sz w:val="16"/>
                <w:szCs w:val="16"/>
              </w:rPr>
              <w:t>34%</w:t>
            </w:r>
          </w:p>
        </w:tc>
        <w:tc>
          <w:tcPr>
            <w:tcW w:w="880" w:type="dxa"/>
            <w:vAlign w:val="top"/>
          </w:tcPr>
          <w:p>
            <w:pPr>
              <w:pStyle w:val="TableText"/>
              <w:spacing w:before="131" w:line="170" w:lineRule="auto"/>
              <w:ind w:left="259"/>
              <w:rPr>
                <w:sz w:val="16"/>
                <w:szCs w:val="16"/>
              </w:rPr>
            </w:pPr>
            <w:r>
              <w:rPr>
                <w:color w:val="6C6D70"/>
                <w:spacing w:val="-3"/>
                <w:sz w:val="16"/>
                <w:szCs w:val="16"/>
              </w:rPr>
              <w:t>59%</w:t>
            </w:r>
          </w:p>
        </w:tc>
        <w:tc>
          <w:tcPr>
            <w:tcW w:w="910" w:type="dxa"/>
            <w:vAlign w:val="top"/>
          </w:tcPr>
          <w:p>
            <w:pPr>
              <w:pStyle w:val="TableText"/>
              <w:spacing w:before="131" w:line="170" w:lineRule="auto"/>
              <w:ind w:left="255"/>
              <w:rPr>
                <w:sz w:val="16"/>
                <w:szCs w:val="16"/>
              </w:rPr>
            </w:pPr>
            <w:r>
              <w:rPr>
                <w:color w:val="6C6D70"/>
                <w:spacing w:val="-5"/>
                <w:sz w:val="16"/>
                <w:szCs w:val="16"/>
              </w:rPr>
              <w:t>122%</w:t>
            </w:r>
          </w:p>
        </w:tc>
      </w:tr>
    </w:tbl>
    <w:p>
      <w:pPr>
        <w:spacing w:before="227" w:line="175" w:lineRule="auto"/>
        <w:ind w:left="691"/>
        <w:rPr>
          <w:rFonts w:ascii="Microsoft YaHei" w:eastAsia="Microsoft YaHei" w:hAnsi="Microsoft YaHei" w:cs="Microsoft YaHei"/>
          <w:sz w:val="14"/>
          <w:szCs w:val="14"/>
        </w:rPr>
      </w:pPr>
      <w:r>
        <w:rPr>
          <w:rFonts w:ascii="Microsoft YaHei" w:eastAsia="Microsoft YaHei" w:hAnsi="Microsoft YaHei" w:cs="Microsoft YaHei"/>
          <w:color w:val="6C6D70"/>
          <w:spacing w:val="-6"/>
          <w:sz w:val="14"/>
          <w:szCs w:val="14"/>
        </w:rPr>
        <w:t>注：资产价值以十亿为单位。</w:t>
      </w:r>
    </w:p>
    <w:p>
      <w:pPr>
        <w:spacing w:before="64" w:line="176" w:lineRule="auto"/>
        <w:ind w:left="712"/>
        <w:rPr>
          <w:rFonts w:ascii="Microsoft YaHei" w:eastAsia="Microsoft YaHei" w:hAnsi="Microsoft YaHei" w:cs="Microsoft YaHei"/>
          <w:sz w:val="14"/>
          <w:szCs w:val="14"/>
        </w:rPr>
      </w:pPr>
      <w:r>
        <w:rPr>
          <w:rFonts w:ascii="Microsoft YaHei" w:eastAsia="Microsoft YaHei" w:hAnsi="Microsoft YaHei" w:cs="Microsoft YaHei"/>
          <w:color w:val="6C6D70"/>
          <w:spacing w:val="-5"/>
          <w:sz w:val="14"/>
          <w:szCs w:val="14"/>
        </w:rPr>
        <w:t>日本数据截止日期为2022年3月31日，其他市场数据截止日期为2021年12月31日。</w:t>
      </w:r>
    </w:p>
    <w:p>
      <w:pPr>
        <w:spacing w:before="84" w:line="173" w:lineRule="auto"/>
        <w:ind w:left="4896"/>
        <w:rPr>
          <w:rFonts w:ascii="Microsoft YaHei" w:eastAsia="Microsoft YaHei" w:hAnsi="Microsoft YaHei" w:cs="Microsoft YaHei"/>
          <w:sz w:val="14"/>
          <w:szCs w:val="14"/>
        </w:rPr>
      </w:pPr>
      <w:r>
        <w:rPr>
          <w:rFonts w:ascii="Microsoft YaHei" w:eastAsia="Microsoft YaHei" w:hAnsi="Microsoft YaHei" w:cs="Microsoft YaHei"/>
          <w:color w:val="6C6D70"/>
          <w:spacing w:val="-12"/>
          <w:sz w:val="14"/>
          <w:szCs w:val="14"/>
        </w:rPr>
        <w:t>数据来源：GSIA</w:t>
      </w:r>
    </w:p>
    <w:p>
      <w:pPr>
        <w:pStyle w:val="BodyText"/>
        <w:spacing w:line="322" w:lineRule="auto"/>
      </w:pPr>
    </w:p>
    <w:p>
      <w:pPr>
        <w:pStyle w:val="BodyText"/>
        <w:spacing w:line="322" w:lineRule="auto"/>
      </w:pPr>
    </w:p>
    <w:p>
      <w:pPr>
        <w:spacing w:before="69" w:line="184" w:lineRule="auto"/>
        <w:ind w:left="680"/>
        <w:rPr>
          <w:rFonts w:ascii="Microsoft YaHei" w:eastAsia="Microsoft YaHei" w:hAnsi="Microsoft YaHei" w:cs="Microsoft YaHei"/>
          <w:sz w:val="16"/>
          <w:szCs w:val="16"/>
        </w:rPr>
      </w:pPr>
      <w:r>
        <w:rPr>
          <w:rFonts w:ascii="Microsoft YaHei" w:eastAsia="Microsoft YaHei" w:hAnsi="Microsoft YaHei" w:cs="Microsoft YaHei"/>
          <w:color w:val="808285"/>
          <w:w w:val="93"/>
          <w:position w:val="5"/>
          <w:sz w:val="9"/>
          <w:szCs w:val="9"/>
        </w:rPr>
        <w:t>4</w:t>
      </w:r>
      <w:r>
        <w:rPr>
          <w:rFonts w:ascii="Microsoft YaHei" w:eastAsia="Microsoft YaHei" w:hAnsi="Microsoft YaHei" w:cs="Microsoft YaHei"/>
          <w:color w:val="808285"/>
          <w:spacing w:val="7"/>
          <w:w w:val="101"/>
          <w:position w:val="5"/>
          <w:sz w:val="9"/>
          <w:szCs w:val="9"/>
        </w:rPr>
        <w:t xml:space="preserve">    </w:t>
      </w:r>
      <w:r>
        <w:rPr>
          <w:rFonts w:ascii="Microsoft YaHei" w:eastAsia="Microsoft YaHei" w:hAnsi="Microsoft YaHei" w:cs="Microsoft YaHei"/>
          <w:color w:val="808285"/>
          <w:spacing w:val="-4"/>
          <w:sz w:val="16"/>
          <w:szCs w:val="16"/>
        </w:rPr>
        <w:t>GSIA, 2023. Global Sustainable Investment Review 2022.</w:t>
      </w:r>
    </w:p>
    <w:p>
      <w:pPr>
        <w:spacing w:before="40" w:line="175" w:lineRule="auto"/>
        <w:ind w:left="680"/>
        <w:rPr>
          <w:rFonts w:ascii="Microsoft YaHei" w:eastAsia="Microsoft YaHei" w:hAnsi="Microsoft YaHei" w:cs="Microsoft YaHei"/>
          <w:sz w:val="16"/>
          <w:szCs w:val="16"/>
        </w:rPr>
      </w:pPr>
      <w:r>
        <w:rPr>
          <w:rFonts w:ascii="Microsoft YaHei" w:eastAsia="Microsoft YaHei" w:hAnsi="Microsoft YaHei" w:cs="Microsoft YaHei"/>
          <w:color w:val="808285"/>
          <w:spacing w:val="-9"/>
          <w:position w:val="5"/>
          <w:sz w:val="9"/>
          <w:szCs w:val="9"/>
        </w:rPr>
        <w:t xml:space="preserve">5   </w:t>
      </w:r>
      <w:r>
        <w:rPr>
          <w:rFonts w:ascii="Microsoft YaHei" w:eastAsia="Microsoft YaHei" w:hAnsi="Microsoft YaHei" w:cs="Microsoft YaHei"/>
          <w:color w:val="808285"/>
          <w:spacing w:val="-9"/>
          <w:sz w:val="16"/>
          <w:szCs w:val="16"/>
        </w:rPr>
        <w:t>五大市场包括欧洲、美国、日本、加拿大以及澳大利亚和新西兰（A</w:t>
      </w:r>
      <w:r>
        <w:rPr>
          <w:rFonts w:ascii="Microsoft YaHei" w:eastAsia="Microsoft YaHei" w:hAnsi="Microsoft YaHei" w:cs="Microsoft YaHei"/>
          <w:color w:val="808285"/>
          <w:spacing w:val="-10"/>
          <w:sz w:val="16"/>
          <w:szCs w:val="16"/>
        </w:rPr>
        <w:t>ustralasia）.</w:t>
      </w:r>
    </w:p>
    <w:p>
      <w:pPr>
        <w:spacing w:line="175" w:lineRule="auto"/>
        <w:rPr>
          <w:rFonts w:ascii="Microsoft YaHei" w:eastAsia="Microsoft YaHei" w:hAnsi="Microsoft YaHei" w:cs="Microsoft YaHei"/>
          <w:sz w:val="16"/>
          <w:szCs w:val="16"/>
        </w:rPr>
        <w:sectPr>
          <w:footerReference w:type="default" r:id="rId43"/>
          <w:type w:val="nextPage"/>
          <w:pgSz w:w="12246" w:h="17178"/>
          <w:pgMar w:top="993" w:right="1450" w:bottom="400" w:left="772" w:header="0" w:footer="0" w:gutter="0"/>
          <w:pgNumType w:start="19"/>
          <w:cols w:space="708"/>
          <w:titlePg w:val="0"/>
        </w:sectPr>
      </w:pPr>
    </w:p>
    <w:p>
      <w:pPr>
        <w:tabs>
          <w:tab w:val="left" w:pos="6989"/>
        </w:tabs>
        <w:spacing w:before="51" w:line="215" w:lineRule="auto"/>
        <w:rPr>
          <w:rFonts w:ascii="Microsoft YaHei" w:eastAsia="Microsoft YaHei" w:hAnsi="Microsoft YaHei" w:cs="Microsoft YaHei"/>
          <w:sz w:val="20"/>
          <w:szCs w:val="20"/>
        </w:rPr>
      </w:pPr>
      <w:r>
        <w:pict>
          <v:rect id="_x0000_s1113" style="width:2.7pt;height:2.7pt;margin-top:212.76pt;margin-left:502.04pt;mso-position-horizontal-relative:page;mso-position-vertical-relative:page;position:absolute;z-index:251760640" o:allowincell="f" filled="t" fillcolor="#d4ad43" stroked="f"/>
        </w:pict>
      </w:r>
      <w:r>
        <w:pict>
          <v:rect id="_x0000_s1114" style="width:2.7pt;height:2.7pt;margin-top:399.49pt;margin-left:407.36pt;mso-position-horizontal-relative:page;mso-position-vertical-relative:page;position:absolute;z-index:251782144" o:allowincell="f" filled="t" fillcolor="#4395c2" stroked="f"/>
        </w:pict>
      </w:r>
      <w:r>
        <w:pict>
          <v:rect id="_x0000_s1115" style="width:2.7pt;height:2.7pt;margin-top:392.57pt;margin-left:430.46pt;mso-position-horizontal-relative:page;mso-position-vertical-relative:page;position:absolute;z-index:251781120" o:allowincell="f" filled="t" fillcolor="#4395c2" stroked="f"/>
        </w:pict>
      </w:r>
      <w:r>
        <w:pict>
          <v:rect id="_x0000_s1116" style="width:2.7pt;height:2.7pt;margin-top:396.27pt;margin-left:165.95pt;mso-position-horizontal-relative:page;mso-position-vertical-relative:page;position:absolute;z-index:251772928" o:allowincell="f" filled="t" fillcolor="#d4ad43" stroked="f"/>
        </w:pict>
      </w:r>
      <w:r>
        <w:pict>
          <v:rect id="_x0000_s1117" style="width:2.7pt;height:2.7pt;margin-top:388.18pt;margin-left:190.12pt;mso-position-horizontal-relative:page;mso-position-vertical-relative:page;position:absolute;z-index:251770880" o:allowincell="f" filled="t" fillcolor="#d4ad43" stroked="f"/>
        </w:pict>
      </w:r>
      <w:r>
        <w:pict>
          <v:rect id="_x0000_s1118" style="width:2.7pt;height:2.7pt;margin-top:382.59pt;margin-left:214.04pt;mso-position-horizontal-relative:page;mso-position-vertical-relative:page;position:absolute;z-index:251764736" o:allowincell="f" filled="t" fillcolor="#d4ad43" stroked="f"/>
        </w:pict>
      </w:r>
      <w:r>
        <w:pict>
          <v:rect id="_x0000_s1119" style="width:2.7pt;height:2.7pt;margin-top:376.32pt;margin-left:238.7pt;mso-position-horizontal-relative:page;mso-position-vertical-relative:page;position:absolute;z-index:251766784" o:allowincell="f" filled="t" fillcolor="#d4ad43" stroked="f"/>
        </w:pict>
      </w:r>
      <w:r>
        <w:pict>
          <v:rect id="_x0000_s1120" style="width:2.7pt;height:2.7pt;margin-top:371.44pt;margin-left:262.64pt;mso-position-horizontal-relative:page;mso-position-vertical-relative:page;position:absolute;z-index:251776000" o:allowincell="f" filled="t" fillcolor="#d4ad43" stroked="f"/>
        </w:pict>
      </w:r>
      <w:r>
        <w:pict>
          <v:rect id="_x0000_s1121" style="width:2.7pt;height:2.7pt;margin-top:368.41pt;margin-left:286.76pt;mso-position-horizontal-relative:page;mso-position-vertical-relative:page;position:absolute;z-index:251768832" o:allowincell="f" filled="t" fillcolor="#d4ad43" stroked="f"/>
        </w:pict>
      </w:r>
      <w:r>
        <w:pict>
          <v:rect id="_x0000_s1122" style="width:2.7pt;height:2.7pt;margin-top:363.85pt;margin-left:311.08pt;mso-position-horizontal-relative:page;mso-position-vertical-relative:page;position:absolute;z-index:251767808" o:allowincell="f" filled="t" fillcolor="#d4ad43" stroked="f"/>
        </w:pict>
      </w:r>
      <w:r>
        <w:pict>
          <v:rect id="_x0000_s1123" style="width:2.7pt;height:2.7pt;margin-top:359.23pt;margin-left:334.98pt;mso-position-horizontal-relative:page;mso-position-vertical-relative:page;position:absolute;z-index:251774976" o:allowincell="f" filled="t" fillcolor="#d4ad43" stroked="f"/>
        </w:pict>
      </w:r>
      <w:r>
        <w:pict>
          <v:rect id="_x0000_s1124" style="width:2.7pt;height:2.7pt;margin-top:351.17pt;margin-left:358.87pt;mso-position-horizontal-relative:page;mso-position-vertical-relative:page;position:absolute;z-index:251773952" o:allowincell="f" filled="t" fillcolor="#d4ad43" stroked="f"/>
        </w:pict>
      </w:r>
      <w:r>
        <w:pict>
          <v:rect id="_x0000_s1125" style="width:2.7pt;height:2.7pt;margin-top:342.15pt;margin-left:383.12pt;mso-position-horizontal-relative:page;mso-position-vertical-relative:page;position:absolute;z-index:251778048" o:allowincell="f" filled="t" fillcolor="#d4ad43" stroked="f"/>
        </w:pict>
      </w:r>
      <w:r>
        <w:pict>
          <v:rect id="_x0000_s1126" style="width:2.7pt;height:2.7pt;margin-top:326.01pt;margin-left:407.79pt;mso-position-horizontal-relative:page;mso-position-vertical-relative:page;position:absolute;z-index:251777024" o:allowincell="f" filled="t" fillcolor="#d4ad43" stroked="f"/>
        </w:pict>
      </w:r>
      <w:r>
        <w:pict>
          <v:rect id="_x0000_s1127" style="width:2.7pt;height:2.7pt;margin-top:293.68pt;margin-left:430.9pt;mso-position-horizontal-relative:page;mso-position-vertical-relative:page;position:absolute;z-index:251765760" o:allowincell="f" filled="t" fillcolor="#d4ad43" stroked="f"/>
        </w:pict>
      </w:r>
      <w:r>
        <w:pict>
          <v:rect id="_x0000_s1128" style="width:2.7pt;height:2.7pt;margin-top:262.85pt;margin-left:454.26pt;mso-position-horizontal-relative:page;mso-position-vertical-relative:page;position:absolute;z-index:251769856" o:allowincell="f" filled="t" fillcolor="#d4ad43" stroked="f"/>
        </w:pict>
      </w:r>
      <w:r>
        <w:pict>
          <v:rect id="_x0000_s1129" style="width:2.7pt;height:2.7pt;margin-top:215.43pt;margin-left:478.21pt;mso-position-horizontal-relative:page;mso-position-vertical-relative:page;position:absolute;z-index:251771904" o:allowincell="f" filled="t" fillcolor="#d4ad43" stroked="f"/>
        </w:pict>
      </w:r>
      <w:r>
        <w:pict>
          <v:rect id="_x0000_s1130" style="width:2.95pt;height:2.95pt;margin-top:390.44pt;margin-left:454.13pt;mso-position-horizontal-relative:page;mso-position-vertical-relative:page;position:absolute;z-index:251792384" o:allowincell="f" filled="t" fillcolor="#4395c2" stroked="f"/>
        </w:pict>
      </w:r>
      <w:r>
        <mc:AlternateContent>
          <mc:Choice Requires="wps">
            <w:drawing>
              <wp:anchor distT="0" distB="0" distL="0" distR="0" simplePos="0" relativeHeight="251786240" behindDoc="0" locked="0" layoutInCell="0" allowOverlap="1">
                <wp:simplePos x="0" y="0"/>
                <wp:positionH relativeFrom="page">
                  <wp:posOffset>1332438</wp:posOffset>
                </wp:positionH>
                <wp:positionV relativeFrom="page">
                  <wp:posOffset>7345631</wp:posOffset>
                </wp:positionV>
                <wp:extent cx="555625" cy="165100"/>
                <wp:effectExtent l="0" t="0" r="0" b="0"/>
                <wp:wrapNone/>
                <wp:docPr id="86" name="TextBox 86"/>
                <wp:cNvGraphicFramePr/>
                <a:graphic xmlns:a="http://schemas.openxmlformats.org/drawingml/2006/main">
                  <a:graphicData uri="http://schemas.microsoft.com/office/word/2010/wordprocessingShape">
                    <wps:wsp xmlns:wps="http://schemas.microsoft.com/office/word/2010/wordprocessingShape">
                      <wps:cNvSpPr txBox="1"/>
                      <wps:spPr>
                        <a:xfrm rot="16200000">
                          <a:off x="1332438" y="7345631"/>
                          <a:ext cx="555625" cy="1651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3" w:line="175" w:lineRule="auto"/>
                              <w:ind w:left="20"/>
                              <w:rPr>
                                <w:rFonts w:ascii="Microsoft YaHei" w:eastAsia="Microsoft YaHei" w:hAnsi="Microsoft YaHei" w:cs="Microsoft YaHei"/>
                                <w:sz w:val="14"/>
                                <w:szCs w:val="14"/>
                              </w:rPr>
                            </w:pPr>
                            <w:r>
                              <w:rPr>
                                <w:rFonts w:ascii="Microsoft YaHei" w:eastAsia="Microsoft YaHei" w:hAnsi="Microsoft YaHei" w:cs="Microsoft YaHei"/>
                                <w:color w:val="808285"/>
                                <w:spacing w:val="-1"/>
                                <w:sz w:val="14"/>
                                <w:szCs w:val="14"/>
                              </w:rPr>
                              <w:t>签署银行数量</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6" o:spid="_x0000_s1131" type="#_x0000_t202" style="width:43.75pt;height:13pt;margin-top:578.4pt;margin-left:104.92pt;mso-position-horizontal-relative:page;mso-position-vertical-relative:page;mso-wrap-distance-bottom:0;mso-wrap-distance-left:0;mso-wrap-distance-right:0;mso-wrap-distance-top:0;position:absolute;rotation:270;v-text-anchor:top;z-index:251785216" o:allowincell="f" filled="f" fillcolor="this" stroked="f">
                <v:textbox inset="0,0,0,0">
                  <w:txbxContent>
                    <w:p>
                      <w:pPr>
                        <w:spacing w:before="63" w:line="175" w:lineRule="auto"/>
                        <w:ind w:left="20"/>
                        <w:rPr>
                          <w:rFonts w:ascii="Microsoft YaHei" w:eastAsia="Microsoft YaHei" w:hAnsi="Microsoft YaHei" w:cs="Microsoft YaHei"/>
                          <w:sz w:val="14"/>
                          <w:szCs w:val="14"/>
                        </w:rPr>
                      </w:pPr>
                      <w:r>
                        <w:rPr>
                          <w:rFonts w:ascii="Microsoft YaHei" w:eastAsia="Microsoft YaHei" w:hAnsi="Microsoft YaHei" w:cs="Microsoft YaHei"/>
                          <w:color w:val="808285"/>
                          <w:spacing w:val="-1"/>
                          <w:sz w:val="14"/>
                          <w:szCs w:val="14"/>
                        </w:rPr>
                        <w:t>签署银行数量</w:t>
                      </w:r>
                    </w:p>
                  </w:txbxContent>
                </v:textbox>
              </v:shape>
            </w:pict>
          </mc:Fallback>
        </mc:AlternateContent>
      </w:r>
      <w:r>
        <w:pict>
          <v:shape id="_x0000_s1132" style="width:429.7pt;height:0.3pt;margin-top:416.81pt;margin-left:79.03pt;mso-position-horizontal-relative:page;mso-position-vertical-relative:page;position:absolute;z-index:251762688" coordorigin="0,0" coordsize="8594,6" o:allowincell="f" path="m8593,2l,2e" filled="f" strokecolor="#a8a9ad" strokeweight="0.25pt">
            <v:stroke joinstyle="miter"/>
          </v:shape>
        </w:pict>
      </w:r>
      <w:r>
        <w:pict>
          <v:shape id="_x0000_s1133" style="width:153pt;height:0.25pt;margin-top:785.34pt;margin-left:72.54pt;mso-position-horizontal-relative:page;mso-position-vertical-relative:page;position:absolute;z-index:251791360" coordorigin="0,0" coordsize="3060,5" o:allowincell="f" path="m,2l3059,2e" filled="f" strokecolor="#808285" strokeweight="0.25pt">
            <v:stroke joinstyle="miter"/>
          </v:shape>
        </w:pict>
      </w:r>
      <w:r>
        <w:pict>
          <v:shape id="_x0000_s1134" style="width:23.9pt;height:2.05pt;margin-top:388.02pt;margin-left:479.52pt;mso-position-horizontal-relative:page;mso-position-vertical-relative:page;position:absolute;z-index:251787264" coordorigin="0,0" coordsize="477,40" o:allowincell="f" path="m,30l477,10e" filled="f" strokecolor="#4395c2" strokeweight="1.02pt">
            <v:stroke joinstyle="miter"/>
          </v:shape>
        </w:pict>
      </w:r>
      <w:r>
        <w:drawing>
          <wp:anchor distT="0" distB="0" distL="0" distR="0" simplePos="0" relativeHeight="251788288" behindDoc="0" locked="0" layoutInCell="0" allowOverlap="1">
            <wp:simplePos x="0" y="0"/>
            <wp:positionH relativeFrom="page">
              <wp:posOffset>6071735</wp:posOffset>
            </wp:positionH>
            <wp:positionV relativeFrom="page">
              <wp:posOffset>4915873</wp:posOffset>
            </wp:positionV>
            <wp:extent cx="339639" cy="50064"/>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44"/>
                    <a:stretch>
                      <a:fillRect/>
                    </a:stretch>
                  </pic:blipFill>
                  <pic:spPr>
                    <a:xfrm>
                      <a:off x="0" y="0"/>
                      <a:ext cx="339639" cy="50064"/>
                    </a:xfrm>
                    <a:prstGeom prst="rect">
                      <a:avLst/>
                    </a:prstGeom>
                  </pic:spPr>
                </pic:pic>
              </a:graphicData>
            </a:graphic>
          </wp:anchor>
        </w:drawing>
      </w:r>
      <w:r>
        <w:drawing>
          <wp:anchor distT="0" distB="0" distL="0" distR="0" simplePos="0" relativeHeight="251763712" behindDoc="0" locked="0" layoutInCell="0" allowOverlap="1">
            <wp:simplePos x="0" y="0"/>
            <wp:positionH relativeFrom="page">
              <wp:posOffset>1191411</wp:posOffset>
            </wp:positionH>
            <wp:positionV relativeFrom="page">
              <wp:posOffset>5135090</wp:posOffset>
            </wp:positionV>
            <wp:extent cx="3092537" cy="170944"/>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45"/>
                    <a:stretch>
                      <a:fillRect/>
                    </a:stretch>
                  </pic:blipFill>
                  <pic:spPr>
                    <a:xfrm>
                      <a:off x="0" y="0"/>
                      <a:ext cx="3092537" cy="170944"/>
                    </a:xfrm>
                    <a:prstGeom prst="rect">
                      <a:avLst/>
                    </a:prstGeom>
                  </pic:spPr>
                </pic:pic>
              </a:graphicData>
            </a:graphic>
          </wp:anchor>
        </w:drawing>
      </w:r>
      <w:r>
        <w:drawing>
          <wp:anchor distT="0" distB="0" distL="0" distR="0" simplePos="0" relativeHeight="251761664" behindDoc="0" locked="0" layoutInCell="0" allowOverlap="1">
            <wp:simplePos x="0" y="0"/>
            <wp:positionH relativeFrom="page">
              <wp:posOffset>1191411</wp:posOffset>
            </wp:positionH>
            <wp:positionV relativeFrom="page">
              <wp:posOffset>5109441</wp:posOffset>
            </wp:positionV>
            <wp:extent cx="648296" cy="162785"/>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46"/>
                    <a:stretch>
                      <a:fillRect/>
                    </a:stretch>
                  </pic:blipFill>
                  <pic:spPr>
                    <a:xfrm>
                      <a:off x="0" y="0"/>
                      <a:ext cx="648296" cy="162785"/>
                    </a:xfrm>
                    <a:prstGeom prst="rect">
                      <a:avLst/>
                    </a:prstGeom>
                  </pic:spPr>
                </pic:pic>
              </a:graphicData>
            </a:graphic>
          </wp:anchor>
        </w:drawing>
      </w:r>
      <w:r>
        <w:pict>
          <v:group id="_x0000_s1135" style="width:252.3pt;height:11.85pt;margin-top:405.24pt;margin-left:84.35pt;mso-position-horizontal-relative:page;mso-position-vertical-relative:page;position:absolute;z-index:251780096" coordorigin="0,0" coordsize="5046,237" o:allowincell="f" filled="f" stroked="f">
            <v:shape id="_x0000_s1136" style="width:3372;height:116;left:1674;position:absolute" coordorigin="0,0" coordsize="3372,116" path="m,105l480,84l961,62l1454,52l1928,38l2410,31l2892,17l3371,10e" filled="f" strokecolor="#4395c2" strokeweight="1.02pt">
              <v:stroke joinstyle="miter"/>
            </v:shape>
            <v:shape id="_x0000_s1137" style="width:55;height:6;position:absolute;top:231" coordorigin="0,0" coordsize="55,6" path="m,2l55,2e" filled="f" strokecolor="#a8a9ad" strokeweight="0.25pt">
              <v:stroke joinstyle="miter"/>
            </v:shape>
          </v:group>
        </w:pict>
      </w:r>
      <w:r>
        <w:pict>
          <v:shape id="_x0000_s1138" style="width:24.05pt;height:3.05pt;margin-top:403.25pt;margin-left:336.6pt;mso-position-horizontal-relative:page;mso-position-vertical-relative:page;position:absolute;z-index:251789312" coordorigin="0,0" coordsize="480,60" o:allowincell="f" path="m,49l479,10e" filled="f" strokecolor="#4395c2" strokeweight="1.02pt">
            <v:stroke joinstyle="miter"/>
          </v:shape>
        </w:pict>
      </w:r>
      <w:r>
        <w:drawing>
          <wp:anchor distT="0" distB="0" distL="0" distR="0" simplePos="0" relativeHeight="251783168" behindDoc="0" locked="0" layoutInCell="0" allowOverlap="1">
            <wp:simplePos x="0" y="0"/>
            <wp:positionH relativeFrom="page">
              <wp:posOffset>4556430</wp:posOffset>
            </wp:positionH>
            <wp:positionV relativeFrom="page">
              <wp:posOffset>5103582</wp:posOffset>
            </wp:positionV>
            <wp:extent cx="344862" cy="44434"/>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47"/>
                    <a:stretch>
                      <a:fillRect/>
                    </a:stretch>
                  </pic:blipFill>
                  <pic:spPr>
                    <a:xfrm>
                      <a:off x="0" y="0"/>
                      <a:ext cx="344862" cy="44434"/>
                    </a:xfrm>
                    <a:prstGeom prst="rect">
                      <a:avLst/>
                    </a:prstGeom>
                  </pic:spPr>
                </pic:pic>
              </a:graphicData>
            </a:graphic>
          </wp:anchor>
        </w:drawing>
      </w:r>
      <w:r>
        <w:pict>
          <v:shape id="_x0000_s1139" style="width:24.35pt;height:1.65pt;margin-top:402.64pt;margin-left:360.56pt;mso-position-horizontal-relative:page;mso-position-vertical-relative:page;position:absolute;z-index:251790336" coordorigin="0,0" coordsize="487,32" o:allowincell="f" path="m,22l485,10e" filled="f" strokecolor="#4395c2" strokeweight="1.02pt">
            <v:stroke joinstyle="miter"/>
          </v:shape>
        </w:pict>
      </w:r>
      <w:r>
        <w:pict>
          <v:group id="_x0000_s1140" style="width:408.4pt;height:203.5pt;margin-top:213.59pt;margin-left:95.06pt;mso-position-horizontal-relative:page;mso-position-vertical-relative:page;position:absolute;z-index:251779072" coordorigin="0,0" coordsize="8167,4070" o:allowincell="f" filled="f" stroked="f">
            <v:shape id="_x0000_s1141" style="width:8167;height:4027;position:absolute" coordorigin="0,0" coordsize="8167,4027" path="m1,4016l485,3932l972,3800l1458,3676l1938,3517l2419,3405l2899,3279l3384,3179l3865,3124l4347,3029l4825,2939l5303,2778l5787,2599l6272,2275l6743,1628l7210,1011l7689,63l8166,10e" filled="f" strokecolor="#d4ad43" strokeweight="1.02pt">
              <v:stroke joinstyle="miter"/>
            </v:shape>
            <v:shape id="_x0000_s1142" style="width:1461;height:141;position:absolute;top:3928" coordorigin="0,0" coordsize="1461,141" path="m,130l485,84l972,46l1460,10e" filled="f" strokecolor="#4395c2" strokeweight="1.02pt">
              <v:stroke joinstyle="miter"/>
            </v:shape>
          </v:group>
        </w:pict>
      </w:r>
      <w:r>
        <w:pict>
          <v:shape id="_x0000_s1143" style="width:94.85pt;height:14.65pt;margin-top:389.05pt;margin-left:384.79pt;mso-position-horizontal-relative:page;mso-position-vertical-relative:page;position:absolute;z-index:251784192" coordorigin="0,0" coordsize="1896,292" o:allowincell="f" path="m1,281l486,231l939,97l1416,56l1895,10e" filled="f" strokecolor="#4395c2" strokeweight="1.02pt">
            <v:stroke joinstyle="miter"/>
          </v:shape>
        </w:pict>
      </w:r>
      <w:r>
        <w:rPr>
          <w:rFonts w:ascii="Microsoft YaHei" w:eastAsia="Microsoft YaHei" w:hAnsi="Microsoft YaHei" w:cs="Microsoft YaHei"/>
          <w:strike/>
          <w:color w:val="EF6B2D"/>
          <w:sz w:val="16"/>
          <w:szCs w:val="16"/>
        </w:rPr>
        <w:tab/>
      </w:r>
      <w:r>
        <w:rPr>
          <w:rFonts w:ascii="Microsoft YaHei" w:eastAsia="Microsoft YaHei" w:hAnsi="Microsoft YaHei" w:cs="Microsoft YaHei"/>
          <w:color w:val="EF6B2D"/>
          <w:spacing w:val="10"/>
          <w:sz w:val="16"/>
          <w:szCs w:val="16"/>
        </w:rPr>
        <w:t xml:space="preserve">   </w:t>
      </w:r>
      <w:r>
        <w:rPr>
          <w:rFonts w:ascii="Microsoft YaHei" w:eastAsia="Microsoft YaHei" w:hAnsi="Microsoft YaHei" w:cs="Microsoft YaHei"/>
          <w:color w:val="EF6B2D"/>
          <w:spacing w:val="-4"/>
          <w:sz w:val="16"/>
          <w:szCs w:val="16"/>
        </w:rPr>
        <w:t>中国责任投资年度报告2023</w:t>
      </w:r>
      <w:r>
        <w:rPr>
          <w:rFonts w:ascii="Microsoft YaHei" w:eastAsia="Microsoft YaHei" w:hAnsi="Microsoft YaHei" w:cs="Microsoft YaHei"/>
          <w:color w:val="EF6B2D"/>
          <w:spacing w:val="36"/>
          <w:sz w:val="16"/>
          <w:szCs w:val="16"/>
        </w:rPr>
        <w:t xml:space="preserve"> </w:t>
      </w:r>
      <w:r>
        <w:rPr>
          <w:position w:val="-6"/>
          <w:sz w:val="16"/>
          <w:szCs w:val="16"/>
        </w:rPr>
        <w:drawing>
          <wp:inline distT="0" distB="0" distL="0" distR="0">
            <wp:extent cx="54241" cy="162534"/>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23"/>
                    <a:stretch>
                      <a:fillRect/>
                    </a:stretch>
                  </pic:blipFill>
                  <pic:spPr>
                    <a:xfrm>
                      <a:off x="0" y="0"/>
                      <a:ext cx="54241" cy="162534"/>
                    </a:xfrm>
                    <a:prstGeom prst="rect">
                      <a:avLst/>
                    </a:prstGeom>
                  </pic:spPr>
                </pic:pic>
              </a:graphicData>
            </a:graphic>
          </wp:inline>
        </w:drawing>
      </w:r>
      <w:r>
        <w:rPr>
          <w:rFonts w:ascii="Microsoft YaHei" w:eastAsia="Microsoft YaHei" w:hAnsi="Microsoft YaHei" w:cs="Microsoft YaHei"/>
          <w:color w:val="EF6B2D"/>
          <w:sz w:val="16"/>
          <w:szCs w:val="16"/>
        </w:rPr>
        <w:t xml:space="preserve">            </w:t>
      </w:r>
      <w:r>
        <w:rPr>
          <w:rFonts w:ascii="Microsoft YaHei" w:eastAsia="Microsoft YaHei" w:hAnsi="Microsoft YaHei" w:cs="Microsoft YaHei"/>
          <w:color w:val="EF6B2D"/>
          <w:spacing w:val="-4"/>
          <w:position w:val="-2"/>
          <w:sz w:val="20"/>
          <w:szCs w:val="20"/>
        </w:rPr>
        <w:t>07</w:t>
      </w:r>
    </w:p>
    <w:p>
      <w:pPr>
        <w:pStyle w:val="BodyText"/>
        <w:spacing w:line="263" w:lineRule="auto"/>
      </w:pPr>
    </w:p>
    <w:p>
      <w:pPr>
        <w:pStyle w:val="BodyText"/>
        <w:spacing w:line="264" w:lineRule="auto"/>
      </w:pPr>
    </w:p>
    <w:p>
      <w:pPr>
        <w:pStyle w:val="BodyText"/>
        <w:spacing w:line="264" w:lineRule="auto"/>
      </w:pPr>
    </w:p>
    <w:p>
      <w:pPr>
        <w:spacing w:before="77" w:line="231" w:lineRule="auto"/>
        <w:ind w:left="18" w:right="764" w:firstLine="1"/>
        <w:jc w:val="both"/>
        <w:rPr>
          <w:rFonts w:ascii="Microsoft YaHei" w:eastAsia="Microsoft YaHei" w:hAnsi="Microsoft YaHei" w:cs="Microsoft YaHei"/>
          <w:sz w:val="18"/>
          <w:szCs w:val="18"/>
        </w:rPr>
      </w:pPr>
      <w:r>
        <w:rPr>
          <w:rFonts w:ascii="Microsoft YaHei" w:eastAsia="Microsoft YaHei" w:hAnsi="Microsoft YaHei" w:cs="Microsoft YaHei"/>
          <w:color w:val="57585A"/>
          <w:spacing w:val="-6"/>
          <w:sz w:val="18"/>
          <w:szCs w:val="18"/>
        </w:rPr>
        <w:t>从世界范围来看，参与责任投资的机构数量维持了多年的快速增长，随着责任投资理念逐渐</w:t>
      </w:r>
      <w:r>
        <w:rPr>
          <w:rFonts w:ascii="Microsoft YaHei" w:eastAsia="Microsoft YaHei" w:hAnsi="Microsoft YaHei" w:cs="Microsoft YaHei"/>
          <w:color w:val="57585A"/>
          <w:spacing w:val="-7"/>
          <w:sz w:val="18"/>
          <w:szCs w:val="18"/>
        </w:rPr>
        <w:t>成熟，其增速在2023年开始放</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12"/>
          <w:sz w:val="18"/>
          <w:szCs w:val="18"/>
        </w:rPr>
        <w:t>缓。截至2023年9月末，联合国支持的负责任投资原则（PRI）的签署机构5,337家，本年新增18家，较2022年末</w:t>
      </w:r>
      <w:r>
        <w:rPr>
          <w:rFonts w:ascii="Microsoft YaHei" w:eastAsia="Microsoft YaHei" w:hAnsi="Microsoft YaHei" w:cs="Microsoft YaHei"/>
          <w:color w:val="57585A"/>
          <w:spacing w:val="-13"/>
          <w:sz w:val="18"/>
          <w:szCs w:val="18"/>
        </w:rPr>
        <w:t>增长0.3%，代</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3"/>
          <w:sz w:val="18"/>
          <w:szCs w:val="18"/>
        </w:rPr>
        <w:t>表着约121万亿美元的资产管理规模</w:t>
      </w:r>
      <w:r>
        <w:rPr>
          <w:rFonts w:ascii="Microsoft YaHei" w:eastAsia="Microsoft YaHei" w:hAnsi="Microsoft YaHei" w:cs="Microsoft YaHei"/>
          <w:color w:val="57585A"/>
          <w:spacing w:val="-3"/>
          <w:position w:val="5"/>
          <w:sz w:val="10"/>
          <w:szCs w:val="10"/>
        </w:rPr>
        <w:t>6</w:t>
      </w:r>
      <w:r>
        <w:rPr>
          <w:rFonts w:ascii="Microsoft YaHei" w:eastAsia="Microsoft YaHei" w:hAnsi="Microsoft YaHei" w:cs="Microsoft YaHei"/>
          <w:color w:val="57585A"/>
          <w:spacing w:val="-11"/>
          <w:sz w:val="18"/>
          <w:szCs w:val="18"/>
        </w:rPr>
        <w:t>。从中国大陆地区来看，截至2023年9月末，签署PRI的机构共计</w:t>
      </w:r>
      <w:r>
        <w:rPr>
          <w:rFonts w:ascii="Microsoft YaHei" w:eastAsia="Microsoft YaHei" w:hAnsi="Microsoft YaHei" w:cs="Microsoft YaHei"/>
          <w:color w:val="57585A"/>
          <w:spacing w:val="-12"/>
          <w:sz w:val="18"/>
          <w:szCs w:val="18"/>
        </w:rPr>
        <w:t>137家，包括98家资产</w:t>
      </w:r>
      <w:r>
        <w:rPr>
          <w:rFonts w:ascii="Microsoft YaHei" w:eastAsia="Microsoft YaHei" w:hAnsi="Microsoft YaHei" w:cs="Microsoft YaHei"/>
          <w:color w:val="57585A"/>
          <w:spacing w:val="1"/>
          <w:sz w:val="18"/>
          <w:szCs w:val="18"/>
        </w:rPr>
        <w:t xml:space="preserve"> </w:t>
      </w:r>
      <w:r>
        <w:rPr>
          <w:rFonts w:ascii="Microsoft YaHei" w:eastAsia="Microsoft YaHei" w:hAnsi="Microsoft YaHei" w:cs="Microsoft YaHei"/>
          <w:color w:val="57585A"/>
          <w:spacing w:val="-7"/>
          <w:sz w:val="18"/>
          <w:szCs w:val="18"/>
        </w:rPr>
        <w:t>管理机构、4家资产所有者和35家服务提供商。</w:t>
      </w:r>
    </w:p>
    <w:p>
      <w:pPr>
        <w:spacing w:before="178" w:line="176" w:lineRule="auto"/>
        <w:ind w:left="3305"/>
        <w:rPr>
          <w:rFonts w:ascii="Microsoft YaHei" w:eastAsia="Microsoft YaHei" w:hAnsi="Microsoft YaHei" w:cs="Microsoft YaHei"/>
          <w:sz w:val="16"/>
          <w:szCs w:val="16"/>
        </w:rPr>
      </w:pPr>
      <w:r>
        <w:rPr>
          <w:rFonts w:ascii="Microsoft YaHei" w:eastAsia="Microsoft YaHei" w:hAnsi="Microsoft YaHei" w:cs="Microsoft YaHei"/>
          <w:color w:val="3E3E3F"/>
          <w:spacing w:val="-10"/>
          <w:sz w:val="16"/>
          <w:szCs w:val="16"/>
        </w:rPr>
        <w:t>图 2 负责任投资原则（PRI）签署机构</w:t>
      </w:r>
      <w:r>
        <w:rPr>
          <w:rFonts w:ascii="Microsoft YaHei" w:eastAsia="Microsoft YaHei" w:hAnsi="Microsoft YaHei" w:cs="Microsoft YaHei"/>
          <w:color w:val="3E3E3F"/>
          <w:spacing w:val="-11"/>
          <w:sz w:val="16"/>
          <w:szCs w:val="16"/>
        </w:rPr>
        <w:t>数量</w:t>
      </w:r>
    </w:p>
    <w:p>
      <w:pPr>
        <w:spacing w:before="107" w:line="175" w:lineRule="auto"/>
        <w:ind w:left="8574"/>
        <w:rPr>
          <w:rFonts w:ascii="Microsoft YaHei" w:eastAsia="Microsoft YaHei" w:hAnsi="Microsoft YaHei" w:cs="Microsoft YaHei"/>
          <w:sz w:val="14"/>
          <w:szCs w:val="14"/>
        </w:rPr>
      </w:pPr>
      <w:r>
        <w:rPr>
          <w:rFonts w:ascii="Microsoft YaHei" w:eastAsia="Microsoft YaHei" w:hAnsi="Microsoft YaHei" w:cs="Microsoft YaHei"/>
          <w:color w:val="EF6B2D"/>
          <w:spacing w:val="-1"/>
          <w:sz w:val="14"/>
          <w:szCs w:val="14"/>
        </w:rPr>
        <w:t>签署方数</w:t>
      </w:r>
    </w:p>
    <w:p>
      <w:pPr>
        <w:pStyle w:val="BodyText"/>
        <w:spacing w:before="53" w:line="192" w:lineRule="auto"/>
        <w:ind w:left="8742" w:right="936"/>
        <w:rPr>
          <w:rFonts w:ascii="Microsoft YaHei" w:eastAsia="Microsoft YaHei" w:hAnsi="Microsoft YaHei" w:cs="Microsoft YaHei"/>
          <w:sz w:val="13"/>
          <w:szCs w:val="13"/>
        </w:rPr>
      </w:pPr>
      <w:r>
        <mc:AlternateContent>
          <mc:Choice Requires="wps">
            <w:drawing>
              <wp:anchor distT="0" distB="0" distL="0" distR="0" simplePos="0" relativeHeight="251759616" behindDoc="1" locked="0" layoutInCell="1" allowOverlap="1">
                <wp:simplePos x="0" y="0"/>
                <wp:positionH relativeFrom="column">
                  <wp:posOffset>5549904</wp:posOffset>
                </wp:positionH>
                <wp:positionV relativeFrom="paragraph">
                  <wp:posOffset>69317</wp:posOffset>
                </wp:positionV>
                <wp:extent cx="3810" cy="2633345"/>
                <wp:effectExtent l="0" t="0" r="0" b="0"/>
                <wp:wrapNone/>
                <wp:docPr id="98" name="Rect 98"/>
                <wp:cNvGraphicFramePr/>
                <a:graphic xmlns:a="http://schemas.openxmlformats.org/drawingml/2006/main">
                  <a:graphicData uri="http://schemas.microsoft.com/office/word/2010/wordprocessingShape">
                    <wps:wsp xmlns:wps="http://schemas.microsoft.com/office/word/2010/wordprocessingShape">
                      <wps:cNvSpPr/>
                      <wps:spPr>
                        <a:xfrm>
                          <a:off x="5549904" y="69317"/>
                          <a:ext cx="3810" cy="2633345"/>
                        </a:xfrm>
                        <a:prstGeom prst="rect">
                          <a:avLst/>
                        </a:prstGeom>
                        <a:solidFill>
                          <a:srgbClr val="A8A9AD"/>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98" o:spid="_x0000_s1144" style="width:0.3pt;height:207.35pt;margin-top:5.46pt;margin-left:437pt;mso-wrap-distance-bottom:0;mso-wrap-distance-left:0;mso-wrap-distance-right:0;mso-wrap-distance-top:0;position:absolute;v-text-anchor:top;z-index:-251557888" fillcolor="#a8a9ad" stroked="f"/>
            </w:pict>
          </mc:Fallback>
        </mc:AlternateConten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5500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5250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5000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4500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4250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4000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3750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3500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3250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3000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2750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2500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2250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sz w:val="13"/>
          <w:szCs w:val="13"/>
        </w:rPr>
        <w:t>2000</w:t>
      </w:r>
      <w:r>
        <w:rPr>
          <w:rFonts w:ascii="Microsoft YaHei" w:eastAsia="Microsoft YaHei" w:hAnsi="Microsoft YaHei" w:cs="Microsoft YaHei"/>
          <w:color w:val="808285"/>
          <w:sz w:val="13"/>
          <w:szCs w:val="13"/>
        </w:rPr>
        <w:t xml:space="preserve"> </w:t>
      </w:r>
      <w:r>
        <w:rPr>
          <w:color w:val="A8A9AD"/>
          <w:spacing w:val="-4"/>
          <w:position w:val="3"/>
          <w:sz w:val="16"/>
          <w:szCs w:val="16"/>
        </w:rPr>
        <w:t>-</w:t>
      </w:r>
      <w:r>
        <w:rPr>
          <w:color w:val="A8A9AD"/>
          <w:spacing w:val="-15"/>
          <w:position w:val="3"/>
          <w:sz w:val="16"/>
          <w:szCs w:val="16"/>
        </w:rPr>
        <w:t xml:space="preserve"> </w:t>
      </w:r>
      <w:r>
        <w:rPr>
          <w:rFonts w:ascii="Microsoft YaHei" w:eastAsia="Microsoft YaHei" w:hAnsi="Microsoft YaHei" w:cs="Microsoft YaHei"/>
          <w:color w:val="808285"/>
          <w:spacing w:val="-4"/>
          <w:sz w:val="13"/>
          <w:szCs w:val="13"/>
        </w:rPr>
        <w:t>1750</w:t>
      </w:r>
      <w:r>
        <w:rPr>
          <w:rFonts w:ascii="Microsoft YaHei" w:eastAsia="Microsoft YaHei" w:hAnsi="Microsoft YaHei" w:cs="Microsoft YaHei"/>
          <w:color w:val="808285"/>
          <w:sz w:val="13"/>
          <w:szCs w:val="13"/>
        </w:rPr>
        <w:t xml:space="preserve"> </w:t>
      </w:r>
      <w:r>
        <w:rPr>
          <w:color w:val="A8A9AD"/>
          <w:spacing w:val="-4"/>
          <w:position w:val="3"/>
          <w:sz w:val="16"/>
          <w:szCs w:val="16"/>
        </w:rPr>
        <w:t>-</w:t>
      </w:r>
      <w:r>
        <w:rPr>
          <w:color w:val="A8A9AD"/>
          <w:spacing w:val="-15"/>
          <w:position w:val="3"/>
          <w:sz w:val="16"/>
          <w:szCs w:val="16"/>
        </w:rPr>
        <w:t xml:space="preserve"> </w:t>
      </w:r>
      <w:r>
        <w:rPr>
          <w:rFonts w:ascii="Microsoft YaHei" w:eastAsia="Microsoft YaHei" w:hAnsi="Microsoft YaHei" w:cs="Microsoft YaHei"/>
          <w:color w:val="808285"/>
          <w:spacing w:val="-4"/>
          <w:sz w:val="13"/>
          <w:szCs w:val="13"/>
        </w:rPr>
        <w:t>1500</w:t>
      </w:r>
      <w:r>
        <w:rPr>
          <w:rFonts w:ascii="Microsoft YaHei" w:eastAsia="Microsoft YaHei" w:hAnsi="Microsoft YaHei" w:cs="Microsoft YaHei"/>
          <w:color w:val="808285"/>
          <w:sz w:val="13"/>
          <w:szCs w:val="13"/>
        </w:rPr>
        <w:t xml:space="preserve"> </w:t>
      </w:r>
      <w:r>
        <w:rPr>
          <w:color w:val="A8A9AD"/>
          <w:spacing w:val="-4"/>
          <w:position w:val="3"/>
          <w:sz w:val="16"/>
          <w:szCs w:val="16"/>
        </w:rPr>
        <w:t>-</w:t>
      </w:r>
      <w:r>
        <w:rPr>
          <w:color w:val="A8A9AD"/>
          <w:spacing w:val="-15"/>
          <w:position w:val="3"/>
          <w:sz w:val="16"/>
          <w:szCs w:val="16"/>
        </w:rPr>
        <w:t xml:space="preserve"> </w:t>
      </w:r>
      <w:r>
        <w:rPr>
          <w:rFonts w:ascii="Microsoft YaHei" w:eastAsia="Microsoft YaHei" w:hAnsi="Microsoft YaHei" w:cs="Microsoft YaHei"/>
          <w:color w:val="808285"/>
          <w:spacing w:val="-4"/>
          <w:sz w:val="13"/>
          <w:szCs w:val="13"/>
        </w:rPr>
        <w:t>1250</w:t>
      </w:r>
      <w:r>
        <w:rPr>
          <w:rFonts w:ascii="Microsoft YaHei" w:eastAsia="Microsoft YaHei" w:hAnsi="Microsoft YaHei" w:cs="Microsoft YaHei"/>
          <w:color w:val="808285"/>
          <w:sz w:val="13"/>
          <w:szCs w:val="13"/>
        </w:rPr>
        <w:t xml:space="preserve"> </w:t>
      </w:r>
      <w:r>
        <w:rPr>
          <w:color w:val="A8A9AD"/>
          <w:spacing w:val="-4"/>
          <w:position w:val="3"/>
          <w:sz w:val="16"/>
          <w:szCs w:val="16"/>
        </w:rPr>
        <w:t>-</w:t>
      </w:r>
      <w:r>
        <w:rPr>
          <w:color w:val="A8A9AD"/>
          <w:spacing w:val="-15"/>
          <w:position w:val="3"/>
          <w:sz w:val="16"/>
          <w:szCs w:val="16"/>
        </w:rPr>
        <w:t xml:space="preserve"> </w:t>
      </w:r>
      <w:r>
        <w:rPr>
          <w:rFonts w:ascii="Microsoft YaHei" w:eastAsia="Microsoft YaHei" w:hAnsi="Microsoft YaHei" w:cs="Microsoft YaHei"/>
          <w:color w:val="808285"/>
          <w:spacing w:val="-4"/>
          <w:sz w:val="13"/>
          <w:szCs w:val="13"/>
        </w:rPr>
        <w:t>1000</w:t>
      </w:r>
      <w:r>
        <w:rPr>
          <w:rFonts w:ascii="Microsoft YaHei" w:eastAsia="Microsoft YaHei" w:hAnsi="Microsoft YaHei" w:cs="Microsoft YaHei"/>
          <w:color w:val="808285"/>
          <w:sz w:val="13"/>
          <w:szCs w:val="13"/>
        </w:rPr>
        <w:t xml:space="preserve"> </w:t>
      </w:r>
      <w:r>
        <w:rPr>
          <w:color w:val="A8A9AD"/>
          <w:spacing w:val="-3"/>
          <w:position w:val="3"/>
          <w:sz w:val="16"/>
          <w:szCs w:val="16"/>
        </w:rPr>
        <w:t>-</w:t>
      </w:r>
      <w:r>
        <w:rPr>
          <w:color w:val="A8A9AD"/>
          <w:spacing w:val="-21"/>
          <w:position w:val="3"/>
          <w:sz w:val="16"/>
          <w:szCs w:val="16"/>
        </w:rPr>
        <w:t xml:space="preserve"> </w:t>
      </w:r>
      <w:r>
        <w:rPr>
          <w:rFonts w:ascii="Microsoft YaHei" w:eastAsia="Microsoft YaHei" w:hAnsi="Microsoft YaHei" w:cs="Microsoft YaHei"/>
          <w:color w:val="808285"/>
          <w:spacing w:val="-3"/>
          <w:position w:val="-1"/>
          <w:sz w:val="13"/>
          <w:szCs w:val="13"/>
        </w:rPr>
        <w:t>750</w:t>
      </w:r>
      <w:r>
        <w:rPr>
          <w:rFonts w:ascii="Microsoft YaHei" w:eastAsia="Microsoft YaHei" w:hAnsi="Microsoft YaHei" w:cs="Microsoft YaHei"/>
          <w:color w:val="808285"/>
          <w:position w:val="-1"/>
          <w:sz w:val="13"/>
          <w:szCs w:val="13"/>
        </w:rPr>
        <w:t xml:space="preserve">   </w:t>
      </w:r>
      <w:r>
        <w:rPr>
          <w:color w:val="A8A9AD"/>
          <w:spacing w:val="-3"/>
          <w:position w:val="3"/>
          <w:sz w:val="16"/>
          <w:szCs w:val="16"/>
        </w:rPr>
        <w:t>-</w:t>
      </w:r>
      <w:r>
        <w:rPr>
          <w:color w:val="A8A9AD"/>
          <w:spacing w:val="-22"/>
          <w:position w:val="3"/>
          <w:sz w:val="16"/>
          <w:szCs w:val="16"/>
        </w:rPr>
        <w:t xml:space="preserve"> </w:t>
      </w:r>
      <w:r>
        <w:rPr>
          <w:rFonts w:ascii="Microsoft YaHei" w:eastAsia="Microsoft YaHei" w:hAnsi="Microsoft YaHei" w:cs="Microsoft YaHei"/>
          <w:color w:val="808285"/>
          <w:spacing w:val="-3"/>
          <w:position w:val="-1"/>
          <w:sz w:val="13"/>
          <w:szCs w:val="13"/>
        </w:rPr>
        <w:t>500</w:t>
      </w:r>
      <w:r>
        <w:rPr>
          <w:rFonts w:ascii="Microsoft YaHei" w:eastAsia="Microsoft YaHei" w:hAnsi="Microsoft YaHei" w:cs="Microsoft YaHei"/>
          <w:color w:val="808285"/>
          <w:position w:val="-1"/>
          <w:sz w:val="13"/>
          <w:szCs w:val="13"/>
        </w:rPr>
        <w:t xml:space="preserve">   </w:t>
      </w:r>
      <w:r>
        <w:rPr>
          <w:color w:val="A8A9AD"/>
          <w:spacing w:val="-3"/>
          <w:position w:val="3"/>
          <w:sz w:val="16"/>
          <w:szCs w:val="16"/>
        </w:rPr>
        <w:t>-</w:t>
      </w:r>
      <w:r>
        <w:rPr>
          <w:color w:val="A8A9AD"/>
          <w:spacing w:val="-22"/>
          <w:position w:val="3"/>
          <w:sz w:val="16"/>
          <w:szCs w:val="16"/>
        </w:rPr>
        <w:t xml:space="preserve"> </w:t>
      </w:r>
      <w:r>
        <w:rPr>
          <w:rFonts w:ascii="Microsoft YaHei" w:eastAsia="Microsoft YaHei" w:hAnsi="Microsoft YaHei" w:cs="Microsoft YaHei"/>
          <w:color w:val="808285"/>
          <w:spacing w:val="-3"/>
          <w:position w:val="-1"/>
          <w:sz w:val="13"/>
          <w:szCs w:val="13"/>
        </w:rPr>
        <w:t>250</w:t>
      </w:r>
      <w:r>
        <w:rPr>
          <w:rFonts w:ascii="Microsoft YaHei" w:eastAsia="Microsoft YaHei" w:hAnsi="Microsoft YaHei" w:cs="Microsoft YaHei"/>
          <w:color w:val="808285"/>
          <w:position w:val="-1"/>
          <w:sz w:val="13"/>
          <w:szCs w:val="13"/>
        </w:rPr>
        <w:t xml:space="preserve">   </w:t>
      </w:r>
      <w:r>
        <w:rPr>
          <w:color w:val="2F3033"/>
          <w:sz w:val="16"/>
          <w:szCs w:val="16"/>
        </w:rPr>
        <w:t>-</w:t>
      </w:r>
      <w:r>
        <w:rPr>
          <w:color w:val="2F3033"/>
          <w:spacing w:val="-20"/>
          <w:sz w:val="16"/>
          <w:szCs w:val="16"/>
        </w:rPr>
        <w:t xml:space="preserve"> </w:t>
      </w:r>
      <w:r>
        <w:rPr>
          <w:rFonts w:ascii="Microsoft YaHei" w:eastAsia="Microsoft YaHei" w:hAnsi="Microsoft YaHei" w:cs="Microsoft YaHei"/>
          <w:color w:val="808285"/>
          <w:sz w:val="13"/>
          <w:szCs w:val="13"/>
        </w:rPr>
        <w:t>0</w:t>
      </w:r>
    </w:p>
    <w:p>
      <w:pPr>
        <w:spacing w:line="170" w:lineRule="auto"/>
        <w:ind w:left="328"/>
        <w:rPr>
          <w:rFonts w:ascii="Microsoft YaHei" w:eastAsia="Microsoft YaHei" w:hAnsi="Microsoft YaHei" w:cs="Microsoft YaHei"/>
          <w:sz w:val="13"/>
          <w:szCs w:val="13"/>
        </w:rPr>
      </w:pPr>
      <w:r>
        <w:rPr>
          <w:rFonts w:ascii="Microsoft YaHei" w:eastAsia="Microsoft YaHei" w:hAnsi="Microsoft YaHei" w:cs="Microsoft YaHei"/>
          <w:color w:val="808285"/>
          <w:spacing w:val="-2"/>
          <w:sz w:val="13"/>
          <w:szCs w:val="13"/>
        </w:rPr>
        <w:t xml:space="preserve">2006     2007     2008     2009     2010      2011     2012     2013 </w:t>
      </w:r>
      <w:r>
        <w:rPr>
          <w:rFonts w:ascii="Microsoft YaHei" w:eastAsia="Microsoft YaHei" w:hAnsi="Microsoft YaHei" w:cs="Microsoft YaHei"/>
          <w:color w:val="808285"/>
          <w:spacing w:val="-3"/>
          <w:sz w:val="13"/>
          <w:szCs w:val="13"/>
        </w:rPr>
        <w:t xml:space="preserve">    2014     2015      2016     2017     2018     2019     2020      2021     2022     2023</w:t>
      </w:r>
    </w:p>
    <w:p>
      <w:pPr>
        <w:spacing w:before="153" w:line="187" w:lineRule="auto"/>
        <w:ind w:left="3102"/>
        <w:rPr>
          <w:rFonts w:ascii="Microsoft YaHei" w:eastAsia="Microsoft YaHei" w:hAnsi="Microsoft YaHei" w:cs="Microsoft YaHei"/>
          <w:sz w:val="14"/>
          <w:szCs w:val="14"/>
        </w:rPr>
      </w:pPr>
      <w:r>
        <w:rPr>
          <w:rFonts w:ascii="Microsoft YaHei" w:eastAsia="Microsoft YaHei" w:hAnsi="Microsoft YaHei" w:cs="Microsoft YaHei"/>
          <w:color w:val="808285"/>
          <w:position w:val="2"/>
          <w:sz w:val="14"/>
          <w:szCs w:val="14"/>
        </w:rPr>
        <w:drawing>
          <wp:inline distT="0" distB="0" distL="0" distR="0">
            <wp:extent cx="212242" cy="35966"/>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48"/>
                    <a:stretch>
                      <a:fillRect/>
                    </a:stretch>
                  </pic:blipFill>
                  <pic:spPr>
                    <a:xfrm>
                      <a:off x="0" y="0"/>
                      <a:ext cx="212242" cy="35966"/>
                    </a:xfrm>
                    <a:prstGeom prst="rect">
                      <a:avLst/>
                    </a:prstGeom>
                  </pic:spPr>
                </pic:pic>
              </a:graphicData>
            </a:graphic>
          </wp:inline>
        </w:drawing>
      </w:r>
      <w:r>
        <w:rPr>
          <w:rFonts w:ascii="Microsoft YaHei" w:eastAsia="Microsoft YaHei" w:hAnsi="Microsoft YaHei" w:cs="Microsoft YaHei"/>
          <w:color w:val="808285"/>
          <w:spacing w:val="11"/>
          <w:sz w:val="14"/>
          <w:szCs w:val="14"/>
        </w:rPr>
        <w:t xml:space="preserve">  </w:t>
      </w:r>
      <w:r>
        <w:rPr>
          <w:rFonts w:ascii="Microsoft YaHei" w:eastAsia="Microsoft YaHei" w:hAnsi="Microsoft YaHei" w:cs="Microsoft YaHei"/>
          <w:color w:val="808285"/>
          <w:spacing w:val="-1"/>
          <w:sz w:val="14"/>
          <w:szCs w:val="14"/>
        </w:rPr>
        <w:t>签署机构数量</w:t>
      </w:r>
      <w:r>
        <w:rPr>
          <w:rFonts w:ascii="Microsoft YaHei" w:eastAsia="Microsoft YaHei" w:hAnsi="Microsoft YaHei" w:cs="Microsoft YaHei"/>
          <w:color w:val="808285"/>
          <w:spacing w:val="3"/>
          <w:sz w:val="14"/>
          <w:szCs w:val="14"/>
        </w:rPr>
        <w:t xml:space="preserve">           </w:t>
      </w:r>
      <w:r>
        <w:rPr>
          <w:position w:val="2"/>
          <w:sz w:val="14"/>
          <w:szCs w:val="14"/>
        </w:rPr>
        <w:drawing>
          <wp:inline distT="0" distB="0" distL="0" distR="0">
            <wp:extent cx="212242" cy="35966"/>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49"/>
                    <a:stretch>
                      <a:fillRect/>
                    </a:stretch>
                  </pic:blipFill>
                  <pic:spPr>
                    <a:xfrm>
                      <a:off x="0" y="0"/>
                      <a:ext cx="212242" cy="35966"/>
                    </a:xfrm>
                    <a:prstGeom prst="rect">
                      <a:avLst/>
                    </a:prstGeom>
                  </pic:spPr>
                </pic:pic>
              </a:graphicData>
            </a:graphic>
          </wp:inline>
        </w:drawing>
      </w:r>
      <w:r>
        <w:rPr>
          <w:rFonts w:ascii="Microsoft YaHei" w:eastAsia="Microsoft YaHei" w:hAnsi="Microsoft YaHei" w:cs="Microsoft YaHei"/>
          <w:color w:val="808285"/>
          <w:spacing w:val="12"/>
          <w:w w:val="102"/>
          <w:sz w:val="14"/>
          <w:szCs w:val="14"/>
        </w:rPr>
        <w:t xml:space="preserve">  </w:t>
      </w:r>
      <w:r>
        <w:rPr>
          <w:rFonts w:ascii="Microsoft YaHei" w:eastAsia="Microsoft YaHei" w:hAnsi="Microsoft YaHei" w:cs="Microsoft YaHei"/>
          <w:color w:val="808285"/>
          <w:spacing w:val="-1"/>
          <w:sz w:val="14"/>
          <w:szCs w:val="14"/>
        </w:rPr>
        <w:t>资产所有者数量</w:t>
      </w:r>
    </w:p>
    <w:p>
      <w:pPr>
        <w:spacing w:before="100" w:line="173" w:lineRule="auto"/>
        <w:ind w:left="4282"/>
        <w:rPr>
          <w:rFonts w:ascii="Microsoft YaHei" w:eastAsia="Microsoft YaHei" w:hAnsi="Microsoft YaHei" w:cs="Microsoft YaHei"/>
          <w:sz w:val="14"/>
          <w:szCs w:val="14"/>
        </w:rPr>
      </w:pPr>
      <w:r>
        <w:rPr>
          <w:rFonts w:ascii="Microsoft YaHei" w:eastAsia="Microsoft YaHei" w:hAnsi="Microsoft YaHei" w:cs="Microsoft YaHei"/>
          <w:color w:val="6C6D70"/>
          <w:spacing w:val="-11"/>
          <w:sz w:val="14"/>
          <w:szCs w:val="14"/>
        </w:rPr>
        <w:t>数据来源：PRI</w:t>
      </w:r>
    </w:p>
    <w:p>
      <w:pPr>
        <w:spacing w:before="245" w:line="214" w:lineRule="auto"/>
        <w:ind w:left="17" w:right="763" w:firstLine="3"/>
        <w:rPr>
          <w:rFonts w:ascii="Microsoft YaHei" w:eastAsia="Microsoft YaHei" w:hAnsi="Microsoft YaHei" w:cs="Microsoft YaHei"/>
          <w:sz w:val="18"/>
          <w:szCs w:val="18"/>
        </w:rPr>
      </w:pPr>
      <w:r>
        <w:rPr>
          <w:rFonts w:ascii="Microsoft YaHei" w:eastAsia="Microsoft YaHei" w:hAnsi="Microsoft YaHei" w:cs="Microsoft YaHei"/>
          <w:color w:val="57585A"/>
          <w:spacing w:val="-9"/>
          <w:sz w:val="18"/>
          <w:szCs w:val="18"/>
        </w:rPr>
        <w:t>此外，联合国负责任银行原则（PRB）自2019年9月发布以来，签署银行数量已达325家，总资</w:t>
      </w:r>
      <w:r>
        <w:rPr>
          <w:rFonts w:ascii="Microsoft YaHei" w:eastAsia="Microsoft YaHei" w:hAnsi="Microsoft YaHei" w:cs="Microsoft YaHei"/>
          <w:color w:val="57585A"/>
          <w:spacing w:val="-10"/>
          <w:sz w:val="18"/>
          <w:szCs w:val="18"/>
        </w:rPr>
        <w:t>产合计约89.4万亿美元，约占</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8"/>
          <w:sz w:val="18"/>
          <w:szCs w:val="18"/>
        </w:rPr>
        <w:t>全球银行资产规模的50%。截至2023年10月末，中国大陆地区签署银行有25家。</w:t>
      </w:r>
    </w:p>
    <w:p>
      <w:pPr>
        <w:spacing w:line="99" w:lineRule="exact"/>
      </w:pPr>
    </w:p>
    <w:p>
      <w:pPr>
        <w:spacing w:line="99" w:lineRule="exact"/>
        <w:sectPr>
          <w:footerReference w:type="default" r:id="rId50"/>
          <w:pgSz w:w="12246" w:h="17178"/>
          <w:pgMar w:top="991" w:right="767" w:bottom="400" w:left="1431" w:header="0" w:footer="0" w:gutter="0"/>
          <w:pgNumType w:start="20"/>
          <w:cols w:num="1" w:space="708" w:equalWidth="0">
            <w:col w:w="10047" w:space="0"/>
          </w:cols>
        </w:sectPr>
      </w:pPr>
    </w:p>
    <w:p>
      <w:pPr>
        <w:pStyle w:val="BodyText"/>
        <w:spacing w:line="263" w:lineRule="auto"/>
      </w:pPr>
    </w:p>
    <w:p>
      <w:pPr>
        <w:spacing w:before="61" w:line="169" w:lineRule="auto"/>
        <w:ind w:left="1255"/>
        <w:rPr>
          <w:rFonts w:ascii="Microsoft YaHei" w:eastAsia="Microsoft YaHei" w:hAnsi="Microsoft YaHei" w:cs="Microsoft YaHei"/>
          <w:sz w:val="14"/>
          <w:szCs w:val="14"/>
        </w:rPr>
      </w:pPr>
      <w:r>
        <w:rPr>
          <w:rFonts w:ascii="Microsoft YaHei" w:eastAsia="Microsoft YaHei" w:hAnsi="Microsoft YaHei" w:cs="Microsoft YaHei"/>
          <w:color w:val="808285"/>
          <w:spacing w:val="-4"/>
          <w:sz w:val="14"/>
          <w:szCs w:val="14"/>
        </w:rPr>
        <w:t>350</w:t>
      </w:r>
    </w:p>
    <w:p>
      <w:pPr>
        <w:spacing w:before="161" w:line="169" w:lineRule="auto"/>
        <w:ind w:left="1255"/>
        <w:rPr>
          <w:rFonts w:ascii="Microsoft YaHei" w:eastAsia="Microsoft YaHei" w:hAnsi="Microsoft YaHei" w:cs="Microsoft YaHei"/>
          <w:sz w:val="14"/>
          <w:szCs w:val="14"/>
        </w:rPr>
      </w:pPr>
      <w:r>
        <w:rPr>
          <w:rFonts w:ascii="Microsoft YaHei" w:eastAsia="Microsoft YaHei" w:hAnsi="Microsoft YaHei" w:cs="Microsoft YaHei"/>
          <w:color w:val="808285"/>
          <w:spacing w:val="-4"/>
          <w:sz w:val="14"/>
          <w:szCs w:val="14"/>
        </w:rPr>
        <w:t>300</w:t>
      </w:r>
    </w:p>
    <w:p>
      <w:pPr>
        <w:spacing w:before="161" w:line="169" w:lineRule="auto"/>
        <w:ind w:left="1257"/>
        <w:rPr>
          <w:rFonts w:ascii="Microsoft YaHei" w:eastAsia="Microsoft YaHei" w:hAnsi="Microsoft YaHei" w:cs="Microsoft YaHei"/>
          <w:sz w:val="14"/>
          <w:szCs w:val="14"/>
        </w:rPr>
      </w:pPr>
      <w:r>
        <w:rPr>
          <w:rFonts w:ascii="Microsoft YaHei" w:eastAsia="Microsoft YaHei" w:hAnsi="Microsoft YaHei" w:cs="Microsoft YaHei"/>
          <w:color w:val="808285"/>
          <w:spacing w:val="-4"/>
          <w:sz w:val="14"/>
          <w:szCs w:val="14"/>
        </w:rPr>
        <w:t>250</w:t>
      </w:r>
    </w:p>
    <w:p>
      <w:pPr>
        <w:spacing w:before="160" w:line="169" w:lineRule="auto"/>
        <w:ind w:left="1257"/>
        <w:rPr>
          <w:rFonts w:ascii="Microsoft YaHei" w:eastAsia="Microsoft YaHei" w:hAnsi="Microsoft YaHei" w:cs="Microsoft YaHei"/>
          <w:sz w:val="14"/>
          <w:szCs w:val="14"/>
        </w:rPr>
      </w:pPr>
      <w:r>
        <w:rPr>
          <w:rFonts w:ascii="Microsoft YaHei" w:eastAsia="Microsoft YaHei" w:hAnsi="Microsoft YaHei" w:cs="Microsoft YaHei"/>
          <w:color w:val="808285"/>
          <w:spacing w:val="-4"/>
          <w:sz w:val="14"/>
          <w:szCs w:val="14"/>
        </w:rPr>
        <w:t>200</w:t>
      </w:r>
    </w:p>
    <w:p>
      <w:pPr>
        <w:spacing w:before="161" w:line="169" w:lineRule="auto"/>
        <w:ind w:left="1264"/>
        <w:rPr>
          <w:rFonts w:ascii="Microsoft YaHei" w:eastAsia="Microsoft YaHei" w:hAnsi="Microsoft YaHei" w:cs="Microsoft YaHei"/>
          <w:sz w:val="14"/>
          <w:szCs w:val="14"/>
        </w:rPr>
      </w:pPr>
      <w:r>
        <w:rPr>
          <w:rFonts w:ascii="Microsoft YaHei" w:eastAsia="Microsoft YaHei" w:hAnsi="Microsoft YaHei" w:cs="Microsoft YaHei"/>
          <w:color w:val="808285"/>
          <w:spacing w:val="-6"/>
          <w:sz w:val="14"/>
          <w:szCs w:val="14"/>
        </w:rPr>
        <w:t>150</w:t>
      </w:r>
    </w:p>
    <w:p>
      <w:pPr>
        <w:spacing w:before="161" w:line="169" w:lineRule="auto"/>
        <w:ind w:left="1264"/>
        <w:rPr>
          <w:rFonts w:ascii="Microsoft YaHei" w:eastAsia="Microsoft YaHei" w:hAnsi="Microsoft YaHei" w:cs="Microsoft YaHei"/>
          <w:sz w:val="14"/>
          <w:szCs w:val="14"/>
        </w:rPr>
      </w:pPr>
      <w:r>
        <w:rPr>
          <w:rFonts w:ascii="Microsoft YaHei" w:eastAsia="Microsoft YaHei" w:hAnsi="Microsoft YaHei" w:cs="Microsoft YaHei"/>
          <w:color w:val="808285"/>
          <w:spacing w:val="-6"/>
          <w:sz w:val="14"/>
          <w:szCs w:val="14"/>
        </w:rPr>
        <w:t>100</w:t>
      </w:r>
    </w:p>
    <w:p>
      <w:pPr>
        <w:spacing w:before="161" w:line="169" w:lineRule="auto"/>
        <w:ind w:left="1334"/>
        <w:rPr>
          <w:rFonts w:ascii="Microsoft YaHei" w:eastAsia="Microsoft YaHei" w:hAnsi="Microsoft YaHei" w:cs="Microsoft YaHei"/>
          <w:sz w:val="14"/>
          <w:szCs w:val="14"/>
        </w:rPr>
      </w:pPr>
      <w:r>
        <w:rPr>
          <w:rFonts w:ascii="Microsoft YaHei" w:eastAsia="Microsoft YaHei" w:hAnsi="Microsoft YaHei" w:cs="Microsoft YaHei"/>
          <w:color w:val="808285"/>
          <w:spacing w:val="-3"/>
          <w:sz w:val="14"/>
          <w:szCs w:val="14"/>
        </w:rPr>
        <w:t>50</w:t>
      </w:r>
    </w:p>
    <w:p>
      <w:pPr>
        <w:spacing w:before="161" w:line="169" w:lineRule="auto"/>
        <w:ind w:left="1415"/>
        <w:rPr>
          <w:rFonts w:ascii="Microsoft YaHei" w:eastAsia="Microsoft YaHei" w:hAnsi="Microsoft YaHei" w:cs="Microsoft YaHei"/>
          <w:sz w:val="14"/>
          <w:szCs w:val="14"/>
        </w:rPr>
      </w:pPr>
      <w:r>
        <w:rPr>
          <w:rFonts w:ascii="Microsoft YaHei" w:eastAsia="Microsoft YaHei" w:hAnsi="Microsoft YaHei" w:cs="Microsoft YaHei"/>
          <w:color w:val="808285"/>
          <w:sz w:val="14"/>
          <w:szCs w:val="14"/>
        </w:rPr>
        <w:t>0</w:t>
      </w:r>
    </w:p>
    <w:p>
      <w:pPr>
        <w:pStyle w:val="BodyText"/>
        <w:spacing w:line="14" w:lineRule="auto"/>
        <w:rPr>
          <w:sz w:val="2"/>
        </w:rPr>
      </w:pPr>
      <w:r>
        <w:rPr>
          <w:sz w:val="2"/>
          <w:szCs w:val="2"/>
        </w:rPr>
        <w:br w:type="column"/>
      </w:r>
    </w:p>
    <w:p>
      <w:pPr>
        <w:spacing w:before="29" w:line="176" w:lineRule="auto"/>
        <w:ind w:left="1431"/>
        <w:rPr>
          <w:rFonts w:ascii="Microsoft YaHei" w:eastAsia="Microsoft YaHei" w:hAnsi="Microsoft YaHei" w:cs="Microsoft YaHei"/>
          <w:sz w:val="16"/>
          <w:szCs w:val="16"/>
        </w:rPr>
      </w:pPr>
      <w:r>
        <w:rPr>
          <w:rFonts w:ascii="Microsoft YaHei" w:eastAsia="Microsoft YaHei" w:hAnsi="Microsoft YaHei" w:cs="Microsoft YaHei"/>
          <w:color w:val="3E3E3F"/>
          <w:spacing w:val="-9"/>
          <w:sz w:val="16"/>
          <w:szCs w:val="16"/>
        </w:rPr>
        <w:t>图 3 联合国负责任银行原则（PRB）签署机构数量</w:t>
      </w:r>
    </w:p>
    <w:p>
      <w:pPr>
        <w:pStyle w:val="BodyText"/>
        <w:spacing w:line="352" w:lineRule="auto"/>
      </w:pPr>
    </w:p>
    <w:p>
      <w:pPr>
        <w:spacing w:before="1" w:line="2097" w:lineRule="exact"/>
      </w:pPr>
      <w:r>
        <w:rPr>
          <w:position w:val="-41"/>
        </w:rPr>
        <w:drawing>
          <wp:inline distT="0" distB="0" distL="0" distR="0">
            <wp:extent cx="4264977" cy="1331955"/>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51"/>
                    <a:stretch>
                      <a:fillRect/>
                    </a:stretch>
                  </pic:blipFill>
                  <pic:spPr>
                    <a:xfrm>
                      <a:off x="0" y="0"/>
                      <a:ext cx="4264977" cy="1331955"/>
                    </a:xfrm>
                    <a:prstGeom prst="rect">
                      <a:avLst/>
                    </a:prstGeom>
                  </pic:spPr>
                </pic:pic>
              </a:graphicData>
            </a:graphic>
          </wp:inline>
        </w:drawing>
      </w:r>
    </w:p>
    <w:p>
      <w:pPr>
        <w:spacing w:before="84" w:line="158" w:lineRule="auto"/>
        <w:ind w:left="595"/>
        <w:rPr>
          <w:rFonts w:ascii="Microsoft YaHei" w:eastAsia="Microsoft YaHei" w:hAnsi="Microsoft YaHei" w:cs="Microsoft YaHei"/>
          <w:sz w:val="14"/>
          <w:szCs w:val="14"/>
        </w:rPr>
      </w:pPr>
      <w:r>
        <w:pict>
          <v:shape id="_x0000_s1145" type="#_x0000_t202" style="width:38.8pt;height:10.8pt;margin-top:3.17pt;margin-left:90.47pt;position:absolute;z-index:251796480" filled="f" stroked="f">
            <o:lock v:ext="edit" aspectratio="f"/>
            <v:textbox inset="0,0,0,0">
              <w:txbxContent>
                <w:p>
                  <w:pPr>
                    <w:spacing w:before="20" w:line="175" w:lineRule="auto"/>
                    <w:ind w:left="20"/>
                    <w:rPr>
                      <w:rFonts w:ascii="Microsoft YaHei" w:eastAsia="Microsoft YaHei" w:hAnsi="Microsoft YaHei" w:cs="Microsoft YaHei"/>
                      <w:sz w:val="14"/>
                      <w:szCs w:val="14"/>
                    </w:rPr>
                  </w:pPr>
                  <w:r>
                    <w:rPr>
                      <w:rFonts w:ascii="Microsoft YaHei" w:eastAsia="Microsoft YaHei" w:hAnsi="Microsoft YaHei" w:cs="Microsoft YaHei"/>
                      <w:color w:val="808285"/>
                      <w:spacing w:val="-5"/>
                      <w:sz w:val="14"/>
                      <w:szCs w:val="14"/>
                    </w:rPr>
                    <w:t>2020年12月</w:t>
                  </w:r>
                </w:p>
              </w:txbxContent>
            </v:textbox>
          </v:shape>
        </w:pict>
      </w:r>
      <w:r>
        <w:pict>
          <v:shape id="_x0000_s1146" type="#_x0000_t202" style="width:38.8pt;height:10.8pt;margin-top:3.17pt;margin-left:153.67pt;position:absolute;z-index:251793408" filled="f" stroked="f">
            <o:lock v:ext="edit" aspectratio="f"/>
            <v:textbox inset="0,0,0,0">
              <w:txbxContent>
                <w:p>
                  <w:pPr>
                    <w:spacing w:before="20" w:line="175" w:lineRule="auto"/>
                    <w:ind w:left="20"/>
                    <w:rPr>
                      <w:rFonts w:ascii="Microsoft YaHei" w:eastAsia="Microsoft YaHei" w:hAnsi="Microsoft YaHei" w:cs="Microsoft YaHei"/>
                      <w:sz w:val="14"/>
                      <w:szCs w:val="14"/>
                    </w:rPr>
                  </w:pPr>
                  <w:r>
                    <w:rPr>
                      <w:rFonts w:ascii="Microsoft YaHei" w:eastAsia="Microsoft YaHei" w:hAnsi="Microsoft YaHei" w:cs="Microsoft YaHei"/>
                      <w:color w:val="808285"/>
                      <w:spacing w:val="-5"/>
                      <w:sz w:val="14"/>
                      <w:szCs w:val="14"/>
                    </w:rPr>
                    <w:t>2021年12月</w:t>
                  </w:r>
                </w:p>
              </w:txbxContent>
            </v:textbox>
          </v:shape>
        </w:pict>
      </w:r>
      <w:r>
        <w:pict>
          <v:shape id="_x0000_s1147" type="#_x0000_t202" style="width:38.8pt;height:10.8pt;margin-top:3.17pt;margin-left:216.87pt;position:absolute;z-index:251795456" filled="f" stroked="f">
            <o:lock v:ext="edit" aspectratio="f"/>
            <v:textbox inset="0,0,0,0">
              <w:txbxContent>
                <w:p>
                  <w:pPr>
                    <w:spacing w:before="20" w:line="175" w:lineRule="auto"/>
                    <w:ind w:left="20"/>
                    <w:rPr>
                      <w:rFonts w:ascii="Microsoft YaHei" w:eastAsia="Microsoft YaHei" w:hAnsi="Microsoft YaHei" w:cs="Microsoft YaHei"/>
                      <w:sz w:val="14"/>
                      <w:szCs w:val="14"/>
                    </w:rPr>
                  </w:pPr>
                  <w:r>
                    <w:rPr>
                      <w:rFonts w:ascii="Microsoft YaHei" w:eastAsia="Microsoft YaHei" w:hAnsi="Microsoft YaHei" w:cs="Microsoft YaHei"/>
                      <w:color w:val="808285"/>
                      <w:spacing w:val="-5"/>
                      <w:sz w:val="14"/>
                      <w:szCs w:val="14"/>
                    </w:rPr>
                    <w:t>2022年12月</w:t>
                  </w:r>
                </w:p>
              </w:txbxContent>
            </v:textbox>
          </v:shape>
        </w:pict>
      </w:r>
      <w:r>
        <w:pict>
          <v:shape id="_x0000_s1148" type="#_x0000_t202" style="width:38.8pt;height:10.8pt;margin-top:3.17pt;margin-left:279.98pt;position:absolute;z-index:251794432" filled="f" stroked="f">
            <o:lock v:ext="edit" aspectratio="f"/>
            <v:textbox inset="0,0,0,0">
              <w:txbxContent>
                <w:p>
                  <w:pPr>
                    <w:spacing w:before="20" w:line="175" w:lineRule="auto"/>
                    <w:ind w:left="20"/>
                    <w:rPr>
                      <w:rFonts w:ascii="Microsoft YaHei" w:eastAsia="Microsoft YaHei" w:hAnsi="Microsoft YaHei" w:cs="Microsoft YaHei"/>
                      <w:sz w:val="14"/>
                      <w:szCs w:val="14"/>
                    </w:rPr>
                  </w:pPr>
                  <w:r>
                    <w:rPr>
                      <w:rFonts w:ascii="Microsoft YaHei" w:eastAsia="Microsoft YaHei" w:hAnsi="Microsoft YaHei" w:cs="Microsoft YaHei"/>
                      <w:color w:val="808285"/>
                      <w:spacing w:val="-5"/>
                      <w:sz w:val="14"/>
                      <w:szCs w:val="14"/>
                    </w:rPr>
                    <w:t>2023年10月</w:t>
                  </w:r>
                </w:p>
              </w:txbxContent>
            </v:textbox>
          </v:shape>
        </w:pict>
      </w:r>
      <w:r>
        <w:rPr>
          <w:rFonts w:ascii="Microsoft YaHei" w:eastAsia="Microsoft YaHei" w:hAnsi="Microsoft YaHei" w:cs="Microsoft YaHei"/>
          <w:color w:val="808285"/>
          <w:spacing w:val="-4"/>
          <w:sz w:val="14"/>
          <w:szCs w:val="14"/>
        </w:rPr>
        <w:t>2019年9月</w:t>
      </w:r>
    </w:p>
    <w:p>
      <w:pPr>
        <w:spacing w:before="1" w:line="174" w:lineRule="auto"/>
        <w:ind w:left="395"/>
        <w:rPr>
          <w:rFonts w:ascii="Microsoft YaHei" w:eastAsia="Microsoft YaHei" w:hAnsi="Microsoft YaHei" w:cs="Microsoft YaHei"/>
          <w:sz w:val="14"/>
          <w:szCs w:val="14"/>
        </w:rPr>
      </w:pPr>
      <w:r>
        <w:rPr>
          <w:rFonts w:ascii="Microsoft YaHei" w:eastAsia="Microsoft YaHei" w:hAnsi="Microsoft YaHei" w:cs="Microsoft YaHei"/>
          <w:color w:val="808285"/>
          <w:spacing w:val="-5"/>
          <w:sz w:val="14"/>
          <w:szCs w:val="14"/>
        </w:rPr>
        <w:t>（首批签署银行）</w:t>
      </w:r>
    </w:p>
    <w:p>
      <w:pPr>
        <w:spacing w:before="108" w:line="131" w:lineRule="exact"/>
        <w:ind w:left="1886"/>
        <w:rPr>
          <w:rFonts w:ascii="Microsoft YaHei" w:eastAsia="Microsoft YaHei" w:hAnsi="Microsoft YaHei" w:cs="Microsoft YaHei"/>
          <w:sz w:val="14"/>
          <w:szCs w:val="14"/>
        </w:rPr>
      </w:pPr>
      <w:r>
        <w:rPr>
          <w:rFonts w:ascii="Microsoft YaHei" w:eastAsia="Microsoft YaHei" w:hAnsi="Microsoft YaHei" w:cs="Microsoft YaHei"/>
          <w:color w:val="6C6D70"/>
          <w:spacing w:val="-8"/>
          <w:position w:val="-1"/>
          <w:sz w:val="14"/>
          <w:szCs w:val="14"/>
        </w:rPr>
        <w:t>数据来源：PRB，中国责任投资论坛整理</w:t>
      </w:r>
    </w:p>
    <w:p>
      <w:pPr>
        <w:spacing w:line="131" w:lineRule="exact"/>
        <w:rPr>
          <w:rFonts w:ascii="Microsoft YaHei" w:eastAsia="Microsoft YaHei" w:hAnsi="Microsoft YaHei" w:cs="Microsoft YaHei"/>
          <w:sz w:val="14"/>
          <w:szCs w:val="14"/>
        </w:rPr>
        <w:sectPr>
          <w:footerReference w:type="default" r:id="rId52"/>
          <w:type w:val="continuous"/>
          <w:pgSz w:w="12246" w:h="17178"/>
          <w:pgMar w:top="991" w:right="767" w:bottom="400" w:left="1431" w:header="0" w:footer="0" w:gutter="0"/>
          <w:pgNumType w:start="21"/>
          <w:cols w:num="2" w:space="708" w:equalWidth="0">
            <w:col w:w="1531" w:space="100"/>
            <w:col w:w="8417" w:space="0"/>
          </w:cols>
        </w:sectPr>
      </w:pPr>
    </w:p>
    <w:p>
      <w:pPr>
        <w:spacing w:before="284" w:line="231" w:lineRule="auto"/>
        <w:ind w:left="19" w:right="765"/>
        <w:jc w:val="both"/>
        <w:rPr>
          <w:rFonts w:ascii="Microsoft YaHei" w:eastAsia="Microsoft YaHei" w:hAnsi="Microsoft YaHei" w:cs="Microsoft YaHei"/>
          <w:sz w:val="18"/>
          <w:szCs w:val="18"/>
        </w:rPr>
      </w:pPr>
      <w:r>
        <w:rPr>
          <w:rFonts w:ascii="Microsoft YaHei" w:eastAsia="Microsoft YaHei" w:hAnsi="Microsoft YaHei" w:cs="Microsoft YaHei"/>
          <w:color w:val="57585A"/>
          <w:spacing w:val="-10"/>
          <w:sz w:val="18"/>
          <w:szCs w:val="18"/>
        </w:rPr>
        <w:t>截至2023年10月末，联合国可持续证券交易所倡议（UN SSEi）成员交易所已近130家</w:t>
      </w:r>
      <w:r>
        <w:rPr>
          <w:rFonts w:ascii="Microsoft YaHei" w:eastAsia="Microsoft YaHei" w:hAnsi="Microsoft YaHei" w:cs="Microsoft YaHei"/>
          <w:color w:val="57585A"/>
          <w:spacing w:val="-11"/>
          <w:sz w:val="18"/>
          <w:szCs w:val="18"/>
        </w:rPr>
        <w:t>，监管覆盖上市公司6.38万家，总市值</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8"/>
          <w:sz w:val="18"/>
          <w:szCs w:val="18"/>
        </w:rPr>
        <w:t>近125万亿美元。UN  SSEi成员交易所持续推动ESG议题培训、ESG信息披露、发布交易所ESG</w:t>
      </w:r>
      <w:r>
        <w:rPr>
          <w:rFonts w:ascii="Microsoft YaHei" w:eastAsia="Microsoft YaHei" w:hAnsi="Microsoft YaHei" w:cs="Microsoft YaHei"/>
          <w:color w:val="57585A"/>
          <w:spacing w:val="-9"/>
          <w:sz w:val="18"/>
          <w:szCs w:val="18"/>
        </w:rPr>
        <w:t>报告、推出ESG指数以及发展</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6"/>
          <w:sz w:val="18"/>
          <w:szCs w:val="18"/>
        </w:rPr>
        <w:t>ESG债券市场等可持续金融相关活动，最近一年ESG议题培训领域发展最快，截至2023年10月末，有81家证券交</w:t>
      </w:r>
      <w:r>
        <w:rPr>
          <w:rFonts w:ascii="Microsoft YaHei" w:eastAsia="Microsoft YaHei" w:hAnsi="Microsoft YaHei" w:cs="Microsoft YaHei"/>
          <w:color w:val="57585A"/>
          <w:spacing w:val="-7"/>
          <w:sz w:val="18"/>
          <w:szCs w:val="18"/>
        </w:rPr>
        <w:t>易所进行</w:t>
      </w:r>
      <w:r>
        <w:rPr>
          <w:rFonts w:ascii="Microsoft YaHei" w:eastAsia="Microsoft YaHei" w:hAnsi="Microsoft YaHei" w:cs="Microsoft YaHei"/>
          <w:color w:val="57585A"/>
          <w:sz w:val="18"/>
          <w:szCs w:val="18"/>
        </w:rPr>
        <w:t xml:space="preserve"> </w:t>
      </w:r>
      <w:r>
        <w:rPr>
          <w:rFonts w:ascii="Microsoft YaHei" w:eastAsia="Microsoft YaHei" w:hAnsi="Microsoft YaHei" w:cs="Microsoft YaHei"/>
          <w:color w:val="57585A"/>
          <w:spacing w:val="-5"/>
          <w:sz w:val="18"/>
          <w:szCs w:val="18"/>
        </w:rPr>
        <w:t>了ESG议题培训，这个数据较去年年末增长</w:t>
      </w:r>
      <w:r>
        <w:rPr>
          <w:rFonts w:ascii="Microsoft YaHei" w:eastAsia="Microsoft YaHei" w:hAnsi="Microsoft YaHei" w:cs="Microsoft YaHei"/>
          <w:color w:val="57585A"/>
          <w:spacing w:val="-6"/>
          <w:sz w:val="18"/>
          <w:szCs w:val="18"/>
        </w:rPr>
        <w:t>28.6%，超过同期UNSSEi成员数量的增长幅度。</w:t>
      </w:r>
      <w:r>
        <w:rPr>
          <w:rFonts w:ascii="Microsoft YaHei" w:eastAsia="Microsoft YaHei" w:hAnsi="Microsoft YaHei" w:cs="Microsoft YaHei"/>
          <w:sz w:val="18"/>
          <w:szCs w:val="18"/>
        </w:rPr>
        <w:br/>
      </w:r>
      <w:r>
        <w:rPr>
          <w:rFonts w:ascii="Microsoft YaHei" w:eastAsia="Microsoft YaHei" w:hAnsi="Microsoft YaHei" w:cs="Microsoft YaHei"/>
          <w:sz w:val="18"/>
          <w:szCs w:val="1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3" w:history="1">
        <w:r>
          <w:rPr>
            <w:rFonts w:ascii="SimSun" w:eastAsia="SimSun" w:hAnsi="SimSun" w:cs="SimSun"/>
            <w:b/>
            <w:bCs/>
            <w:noProof w:val="0"/>
            <w:snapToGrid/>
            <w:color w:val="0000EE"/>
            <w:kern w:val="0"/>
            <w:sz w:val="30"/>
            <w:szCs w:val="30"/>
            <w:u w:val="single" w:color="0000EE"/>
          </w:rPr>
          <w:t>https://d.book118.com/078135074015006036</w:t>
        </w:r>
      </w:hyperlink>
    </w:p>
    <w:p>
      <w:pPr>
        <w:spacing w:before="284" w:line="231" w:lineRule="auto"/>
        <w:ind w:left="19" w:right="765"/>
        <w:jc w:val="both"/>
        <w:rPr>
          <w:rFonts w:ascii="Microsoft YaHei" w:eastAsia="Microsoft YaHei" w:hAnsi="Microsoft YaHei" w:cs="Microsoft YaHei"/>
          <w:sz w:val="18"/>
          <w:szCs w:val="18"/>
        </w:rPr>
      </w:pPr>
    </w:p>
    <w:sectPr>
      <w:footerReference w:type="default" r:id="rId54"/>
      <w:type w:val="continuous"/>
      <w:pgSz w:w="12246" w:h="17178"/>
      <w:pgMar w:top="991" w:right="767" w:bottom="400" w:left="1431" w:header="0" w:footer="0" w:gutter="0"/>
      <w:pgNumType w:start="22"/>
      <w:cols w:num="1" w:space="708" w:equalWidth="0">
        <w:col w:w="10047"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49" style="width:612.3pt;height:858.9pt;margin-top:0;margin-left:0;mso-position-horizontal-relative:page;mso-position-vertical-relative:page;position:absolute;z-index:251658240" o:allowincell="f" filled="t" fillcolor="#ef6b2d" stroked="f"/>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50" style="width:612.3pt;height:858.9pt;margin-top:0;margin-left:0;mso-position-horizontal-relative:page;mso-position-vertical-relative:page;position:absolute;z-index:251659264" o:allowincell="f" filled="t" fillcolor="#ef6b2d" stroked="f"/>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51" style="width:612.3pt;height:858.9pt;margin-top:0;margin-left:0;mso-position-horizontal-relative:page;mso-position-vertical-relative:page;position:absolute;z-index:251660288" o:allowincell="f" filled="t" fillcolor="#ef6b2d" stroked="f"/>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52" style="width:612.3pt;height:858.9pt;margin-top:0;margin-left:0;mso-position-horizontal-relative:page;mso-position-vertical-relative:page;position:absolute;z-index:251661312" o:allowincell="f" filled="t" fillcolor="#ef6b2d" stroked="f"/>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Microsoft YaHei" w:eastAsia="Microsoft YaHei" w:hAnsi="Microsoft YaHei" w:cs="Microsoft YaHei"/>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footer" Target="footer3.xml"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footer" Target="footer6.xml" /><Relationship Id="rId22" Type="http://schemas.openxmlformats.org/officeDocument/2006/relationships/footer" Target="footer7.xml" /><Relationship Id="rId23" Type="http://schemas.openxmlformats.org/officeDocument/2006/relationships/image" Target="media/image13.png" /><Relationship Id="rId24" Type="http://schemas.openxmlformats.org/officeDocument/2006/relationships/footer" Target="footer8.xml"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footer" Target="footer9.xml" /><Relationship Id="rId28" Type="http://schemas.openxmlformats.org/officeDocument/2006/relationships/footer" Target="footer10.xml"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footer" Target="footer11.xml" /><Relationship Id="rId32" Type="http://schemas.openxmlformats.org/officeDocument/2006/relationships/image" Target="media/image18.png" /><Relationship Id="rId33" Type="http://schemas.openxmlformats.org/officeDocument/2006/relationships/footer" Target="footer12.xml" /><Relationship Id="rId34" Type="http://schemas.openxmlformats.org/officeDocument/2006/relationships/image" Target="media/image19.png" /><Relationship Id="rId35" Type="http://schemas.openxmlformats.org/officeDocument/2006/relationships/footer" Target="footer13.xml" /><Relationship Id="rId36" Type="http://schemas.openxmlformats.org/officeDocument/2006/relationships/image" Target="media/image20.png" /><Relationship Id="rId37" Type="http://schemas.openxmlformats.org/officeDocument/2006/relationships/footer" Target="footer14.xml" /><Relationship Id="rId38" Type="http://schemas.openxmlformats.org/officeDocument/2006/relationships/footer" Target="footer15.xml" /><Relationship Id="rId39" Type="http://schemas.openxmlformats.org/officeDocument/2006/relationships/footer" Target="footer16.xml" /><Relationship Id="rId4" Type="http://schemas.openxmlformats.org/officeDocument/2006/relationships/footer" Target="footer1.xml" /><Relationship Id="rId40" Type="http://schemas.openxmlformats.org/officeDocument/2006/relationships/footer" Target="footer17.xml" /><Relationship Id="rId41" Type="http://schemas.openxmlformats.org/officeDocument/2006/relationships/image" Target="media/image21.png" /><Relationship Id="rId42" Type="http://schemas.openxmlformats.org/officeDocument/2006/relationships/footer" Target="footer18.xml" /><Relationship Id="rId43" Type="http://schemas.openxmlformats.org/officeDocument/2006/relationships/footer" Target="footer19.xml" /><Relationship Id="rId44" Type="http://schemas.openxmlformats.org/officeDocument/2006/relationships/image" Target="media/image22.png" /><Relationship Id="rId45" Type="http://schemas.openxmlformats.org/officeDocument/2006/relationships/image" Target="media/image23.png" /><Relationship Id="rId46" Type="http://schemas.openxmlformats.org/officeDocument/2006/relationships/image" Target="media/image24.png" /><Relationship Id="rId47" Type="http://schemas.openxmlformats.org/officeDocument/2006/relationships/image" Target="media/image25.png" /><Relationship Id="rId48" Type="http://schemas.openxmlformats.org/officeDocument/2006/relationships/image" Target="media/image26.png" /><Relationship Id="rId49" Type="http://schemas.openxmlformats.org/officeDocument/2006/relationships/image" Target="media/image27.png" /><Relationship Id="rId5" Type="http://schemas.openxmlformats.org/officeDocument/2006/relationships/image" Target="media/image1.png" /><Relationship Id="rId50" Type="http://schemas.openxmlformats.org/officeDocument/2006/relationships/footer" Target="footer20.xml" /><Relationship Id="rId51" Type="http://schemas.openxmlformats.org/officeDocument/2006/relationships/image" Target="media/image28.png" /><Relationship Id="rId52" Type="http://schemas.openxmlformats.org/officeDocument/2006/relationships/footer" Target="footer21.xml" /><Relationship Id="rId53" Type="http://schemas.openxmlformats.org/officeDocument/2006/relationships/hyperlink" Target="https://d.book118.com/078135074015006036" TargetMode="External" /><Relationship Id="rId54" Type="http://schemas.openxmlformats.org/officeDocument/2006/relationships/footer" Target="footer22.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image" Target="media/image3.jpeg"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中国责任投资年度报告2023_0201</dc:title>
  <cp:revision>0</cp:revision>
  <dcterms:created xsi:type="dcterms:W3CDTF">2024-02-16T17:58:13Z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2024-02-16T18:08:25Z</vt:filetime>
  </property>
  <property fmtid="{D5CDD505-2E9C-101B-9397-08002B2CF9AE}" pid="3" name="CRO">
    <vt:lpwstr>wqlLaW5nc29mdCBQREYgdG8gV1BTIDkw</vt:lpwstr>
  </property>
</Properties>
</file>