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95D9C" w:rsidRPr="00D81330" w:rsidP="00D81330">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D81330">
        <w:rPr>
          <w:rFonts w:ascii="微软雅黑" w:eastAsia="微软雅黑" w:hAnsi="微软雅黑" w:cs="宋体" w:hint="eastAsia"/>
          <w:bCs/>
          <w:color w:val="FF0000"/>
          <w:kern w:val="0"/>
          <w:sz w:val="30"/>
          <w:szCs w:val="36"/>
        </w:rPr>
        <w:t>《企业财务会计II》期末考试复习题库（含答案）</w:t>
      </w:r>
    </w:p>
    <w:p w:rsidR="00295D9C" w:rsidRPr="00D81330" w:rsidP="00D81330">
      <w:pPr>
        <w:widowControl/>
        <w:shd w:val="clear" w:color="auto" w:fill="FFFFFF"/>
        <w:wordWrap w:val="0"/>
        <w:spacing w:line="480" w:lineRule="auto"/>
        <w:jc w:val="left"/>
        <w:rPr>
          <w:rFonts w:ascii="黑体" w:eastAsia="黑体" w:hAnsi="黑体" w:cs="宋体"/>
          <w:bCs/>
          <w:color w:val="000000"/>
          <w:kern w:val="0"/>
          <w:sz w:val="24"/>
          <w:szCs w:val="30"/>
        </w:rPr>
      </w:pPr>
      <w:r w:rsidRPr="00D81330">
        <w:rPr>
          <w:rFonts w:ascii="黑体" w:eastAsia="黑体" w:hAnsi="黑体" w:cs="宋体" w:hint="eastAsia"/>
          <w:bCs/>
          <w:color w:val="000000"/>
          <w:kern w:val="0"/>
          <w:sz w:val="24"/>
          <w:szCs w:val="30"/>
        </w:rPr>
        <w:t>一、单选题</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1.某股份有限公司按法定程序报批后以回购股票方式减资，回购股票支付价款低于股票面值总额的，所注销库存股账面余额与冲减股本的差额应计入（）。</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A、盈余公积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B、营业外收入</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C、资本公积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D、未分配利润</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答案：C</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2.企业发生赊购商品业务，下列各项中不影响应付账款入账金额的是（）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A、商品价款</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B、增值税进项税额</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C、现金折扣</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D、销货方代垫运杂费</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答案：C</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3.甲公司委托乙证券公司代理发行普通股1000万股，每股面值1元，每股发行价3元，按协议约定，乙证券公司从发行收入总额中提取2%的手续费，甲公司发行普通股应计入资本公积的金额为（）万元。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A、3000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B、2000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81330">
        <w:rPr>
          <w:rFonts w:ascii="黑体" w:eastAsia="黑体" w:hAnsi="黑体" w:cs="宋体" w:hint="eastAsia"/>
          <w:color w:val="000000"/>
          <w:kern w:val="0"/>
          <w:sz w:val="24"/>
          <w:szCs w:val="27"/>
        </w:rPr>
        <w:t>C、1940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D、1000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答案：C</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4.甲公司年初所有者权益总额为200万元，本年度实现净利润400万元，资本公积转增资本50万元，提取盈余公积30万元，向投资者分配现金股利30万元。假设不考虑其他情况，甲公司年末所有者权益总额为（）万元。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A、600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B、570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C、680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D、650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答案：B</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5.2018年12月，某企业结转销售商品成本130000元，结转销售材料成本4000元，对外捐赠支出6000元，不考虑其他因素，该企业2018年12月利润表“营业成本”项目的本期金额为()元。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A、136000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B、130000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C、140000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D、134000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答案：D</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6.上市公司以回购本公司股票方式减资，其支付的价款低于股票面值总额的差额应计入（）。</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A、利润分配—未分配利润</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D81330">
        <w:rPr>
          <w:rFonts w:ascii="黑体" w:eastAsia="黑体" w:hAnsi="黑体" w:cs="宋体" w:hint="eastAsia"/>
          <w:color w:val="000000"/>
          <w:kern w:val="0"/>
          <w:sz w:val="24"/>
          <w:szCs w:val="27"/>
        </w:rPr>
        <w:t>B、盈余公积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C、资本公积—股本溢价</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D、其他综合收益</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答案：C</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7.某企业以现金支付行政管理人员生活困难补助3000元，下列各项中，会计处理正确的是（）。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A、借：应付职工薪酬—职工福利费3000；贷：库存现金3000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B、借：其他应付款3000；贷：库存现金3000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C、借：营业外支出3000；贷：库存现金3000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D、借：管理费用3000；贷：库存现金3000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答案：A</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8.下列各项中，属于让渡资产使用权收入的是（）。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A、出租包装物收取的租金</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B、出售原材料取得的收入</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C、出售无形资产收取的价款</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D、出借包装物收取的押金</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答案：A</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9.甲股份有限公司回购股票1000万股，股票每股面值1元，共支付回购款4000万元。回购时，公司的股本为11000万元，资本公积——股本溢价为2000万元（均为该股票产生），盈余公积为1000万元，未分配利润为550万元。回购并注销股票后甲股份有限公司的所有者权益总额为（）万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A、10000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D81330">
        <w:rPr>
          <w:rFonts w:ascii="黑体" w:eastAsia="黑体" w:hAnsi="黑体" w:cs="宋体" w:hint="eastAsia"/>
          <w:color w:val="000000"/>
          <w:kern w:val="0"/>
          <w:sz w:val="24"/>
          <w:szCs w:val="27"/>
        </w:rPr>
        <w:t>B、10550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C、11950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D、10950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答案：B</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10.甲企业于2020年11月1日接受一项设备安装任务，安装期为3个月，合同总收入500000元，至年底实际发生安装费用为300000元（假定均为安装人员薪酬），估计还将发生安装费用100000元，预收安装费400000元。假定甲企业按实际发生的成本占总成本的比例确定履约进度。则甲企业2020年应确认的收入为（）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A、400000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B、250000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C、500000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D、375000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答案：D</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11.企业摊销自用的无形资产时，借记“管理费用”科目，贷记（）科目。</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A、“投资收益”</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B、“累计摊销”</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C、“营业外收入”</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D、“无形资产”</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答案：B</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81330">
        <w:rPr>
          <w:rFonts w:ascii="黑体" w:eastAsia="黑体" w:hAnsi="黑体" w:cs="宋体" w:hint="eastAsia"/>
          <w:color w:val="000000"/>
          <w:kern w:val="0"/>
          <w:sz w:val="24"/>
          <w:szCs w:val="27"/>
        </w:rPr>
        <w:t>12.2020年1月1日，甲公司对外转让一项无形资产，协议约定转让期3年，总价款为120万元，于每年年末收取当年使用费40万元。假定不考虑其他因素，则甲公司2020年12月31日应确认的其他业务收入为（）万元。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A、120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B、20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C、40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D、100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答案：C</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13.下列项目中，应根据相关总账科目的余额直接在资产负债表中填列的是()。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A、短期借款</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B、应付票据及应付账款</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C、长期借款</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D、固定资产</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答案：A</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14.下列各项中，关于制造业企业出租无形资产的相关会计处理表述正确的是（）。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A、出租无形资产取得的收入计入营业外收入</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B、已出租的无形资产应停止计提摊销</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C、已出租的无形资产计提的摊销额计入管理费用</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D、出租无形资产取得的收入计入其他业务收入</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答案：D</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15.某企业为增值税一般纳税人，增值税税率为13%。本月销售一批材料，价款为5876元（含增值税）。该批材料计划成本为4200元，材料成本差异率为2%。不考虑其他因素，该企业销售此批材料应确认的损益为（）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81330">
        <w:rPr>
          <w:rFonts w:ascii="黑体" w:eastAsia="黑体" w:hAnsi="黑体" w:cs="宋体" w:hint="eastAsia"/>
          <w:color w:val="000000"/>
          <w:kern w:val="0"/>
          <w:sz w:val="24"/>
          <w:szCs w:val="27"/>
        </w:rPr>
        <w:t>A、916</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B、1000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C、1592</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D、1676</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答案：A</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16.甲公司为增值税一般纳税人，2020年1月5日以1600万元购入一项专利权，另支付相关费用200万元。为推广由该专利权生产的产品，甲公司发生广告宣传费100万元。该专利权预计使用5年，预计净残值为零，采用直线法摊销。假设不考虑其他因素，2020年12月31日该专利权的账面价值为（）万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A、1680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B、1520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C、1440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D、1800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答案：C</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17.下列各项中，通过“长期待摊费用”核算的是（）。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A、行政管理部门发生的固定资产日常修理费用支出</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B、生产车间发生的固定资产日常修理费用支出</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C、短期租赁租入固定资产发生的改良支出</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D、房屋建筑物的折旧费</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答案：C</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18.2020年1月1日，某企业开始自行研究开发一套软件，研究阶段发生支出40万元，开发阶段发生支出150万元，开发阶段的支出均满足资本化条件。4月15日，该软件开发成功并依法申请了专利，支付相关手续费5万元。不考虑其他因素，该项无形资产的入账价值为（）万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A、150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B、155</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C、190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D、195</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答案：B</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19.下列关于短期借款的说法中不正确的是（）。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A、短期借款一般是企业为了满足正常生产经营所需的资金或者是为了抵偿某项债务而借入的</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B、企业短期借款利息的计提应当通过“短期借款”科目的贷方核算</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C、如果短期借款的利息是按期支付的，例如按季度支付利息，并且其数额较大的，企业应采用月末预提方式进行短期借款利息的核算</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D、如果企业短期借款利息是在借款到期时连同本金一起归还，但是数额不大的，可以不采用预提的方法，而在实际支付或收到银行的计息通知时，直接计入当期损益</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答案：B</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20.下列资产负债表项目中，根据有关科目余额减去其备抵科目余额后的净额填列的是（）。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A、长期借款</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B、应付账款</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81330">
        <w:rPr>
          <w:rFonts w:ascii="黑体" w:eastAsia="黑体" w:hAnsi="黑体" w:cs="宋体" w:hint="eastAsia"/>
          <w:color w:val="000000"/>
          <w:kern w:val="0"/>
          <w:sz w:val="24"/>
          <w:szCs w:val="27"/>
        </w:rPr>
        <w:t>C、无形资产</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D、预收款项</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答案：C</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21.某企业采用实际成本法核算存货。年末结账后，该企业“原材料”科目借方余额为100万元，“在途物资”科目借方余额为20万元，“工程物资”科目借方余额为26万元。不考虑其他因素，该企业资产负债表“存货“项目的期末余额为（）万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A、126</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B、164</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C、146</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D、120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答案：D</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22.下列属于企业资产负债表负债项目的是（）。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A、预付账款</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B、递延收益</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C、其他收益</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D、其他综合收益</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答案：B</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23.下列各项中，属于“其他应付款”科目核算范围的是（）。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A、应付经营租赁固定资产的租金</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B、应付供应商的货款</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C、应付给职工的薪酬</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81330">
        <w:rPr>
          <w:rFonts w:ascii="黑体" w:eastAsia="黑体" w:hAnsi="黑体" w:cs="宋体" w:hint="eastAsia"/>
          <w:color w:val="000000"/>
          <w:kern w:val="0"/>
          <w:sz w:val="24"/>
          <w:szCs w:val="27"/>
        </w:rPr>
        <w:t>D、应付供应商代垫的运杂费</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答案：A</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24.2019年年初某公司“盈余公积”余额为100万元，当年实现利润总额800万元，所得税费用250万元，按净利润的10%提取法定盈余公积，经股东大会批准将盈余公积40万元转增资本，2019年12月31日，该公司资产负债表中“盈余公积”项目年末余额为（）万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A、180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B、220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C、115</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D、130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答案：C</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25.下列选项中，属于主营业务收入的是（）。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A、烟草公司销售香烟收入</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B、工业企业销售原材料收入</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C、水泥厂出租办公楼的租金收入</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D、工业企业出租包装物的租金收入</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答案：A</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26.甲公司采用托收承付结算方式销售一批商品，开出的增值税专用发票注明货款价格100万元，增值税税额为13万元，该商品已发出并已向银行办妥托收承付手续，该批商品的成本为60万元，则甲公司应确认收入（）万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A、113</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B、100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81330">
        <w:rPr>
          <w:rFonts w:ascii="黑体" w:eastAsia="黑体" w:hAnsi="黑体" w:cs="宋体" w:hint="eastAsia"/>
          <w:color w:val="000000"/>
          <w:kern w:val="0"/>
          <w:sz w:val="24"/>
          <w:szCs w:val="27"/>
        </w:rPr>
        <w:t>C、60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D、40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答案：B</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27.引起现金流量净额变动的项目是()。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A、将现金存入银行</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B、用现金购买1个月到期的债券</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C、用现金支付购买材料</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D、用一台设备清偿50万元的债务</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答案：C</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28.会计期末，如果企业所持有的非专利技术的账面价值高于其可回收金额的，应按其差额计入（）。</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A、其他业务成本</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B、资产减值损失</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C、无形资产</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D、营业外支出</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答案：B</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29.2019年年初某企业“利润分配——未分配利润”科目借方余额为40万元，2019年该企业实现净利润为200万元，根据净利润的10%提取盈余公积。该企业2019年年末可供分配利润的金额为（）万元。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A、160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B、200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C、220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81330">
        <w:rPr>
          <w:rFonts w:ascii="黑体" w:eastAsia="黑体" w:hAnsi="黑体" w:cs="宋体" w:hint="eastAsia"/>
          <w:color w:val="000000"/>
          <w:kern w:val="0"/>
          <w:sz w:val="24"/>
          <w:szCs w:val="27"/>
        </w:rPr>
        <w:t>D、240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答案：A</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30.下列各项中，不属于留存收益的是（）。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A、资本溢价</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B、任意盈余公积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C、未分配利润</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D、法定盈余公积</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答案：A</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31.2018年9月1日，某企业向银行借入一笔期限2个月、到期一次还本付息的生产经营周转借款20000元，年利率6%。借款利息不采用预提方式，于实际支付时确认。11月1日，企业以银行存款偿还借款本息的会计处理正确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A、借：短期借款20000；借：应付利息200；贷：银行存款20200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B、借：短期借款20000；借：应付利息100；借：财务费用100；贷：银行存款20200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C、借：短期借款20000；借：财务费用200；贷：银行存款20200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D、借：短期借款20200；贷：银行存款20200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答案：C</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32.甲公司与乙公司签订合同，向乙公司销售A、B两种产品，构成两项单项履约义务，不含增值税的合同总价款为3万元。A、B产品不含增值税的单独售价分别为2.2万元和1.1万元。不考虑其他因素，按照交易价格分摊原则，A产品应分摊的交易价格为（）万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A、2</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81330">
        <w:rPr>
          <w:rFonts w:ascii="黑体" w:eastAsia="黑体" w:hAnsi="黑体" w:cs="宋体" w:hint="eastAsia"/>
          <w:color w:val="000000"/>
          <w:kern w:val="0"/>
          <w:sz w:val="24"/>
          <w:szCs w:val="27"/>
        </w:rPr>
        <w:t>B、2.2</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C、1.1</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D、1</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答案：A</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33.下列各项中，属于制造业企业主营业务收入的是（）。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A、销售原材料收入</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B、出租包装物租金收入</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C、出售生产设备净收益</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D、销售产品收入</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答案：D</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34.某公司自行研发非专利技术共发生支出460万元，其中：研究阶段发生支出160万元；开发阶段发生支出300万元，符合资本化条件的支出为180万元。不考虑其他因素，该研发活动应计入当期损益的金额为（）万元。</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A、180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B、280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C、340</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D、160</w:t>
      </w:r>
    </w:p>
    <w:p w:rsidR="00D81330"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答案：B</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35.下列各项中，不属于利润表“利润总额”项目的内容的是()。</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A、无法查明原因的现金溢余</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B、确认的所得税费用</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C、确认的资产减值损失</w:t>
      </w:r>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r w:rsidRPr="00D81330">
        <w:rPr>
          <w:rFonts w:ascii="黑体" w:eastAsia="黑体" w:hAnsi="黑体" w:cs="宋体" w:hint="eastAsia"/>
          <w:color w:val="000000"/>
          <w:kern w:val="0"/>
          <w:sz w:val="24"/>
          <w:szCs w:val="27"/>
        </w:rPr>
        <w:t>D、收到政府补助确认的其他收益</w:t>
      </w:r>
      <w:r w:rsidRPr="00D81330">
        <w:rPr>
          <w:rFonts w:ascii="黑体" w:eastAsia="黑体" w:hAnsi="黑体" w:cs="宋体"/>
          <w:color w:val="000000"/>
          <w:kern w:val="0"/>
          <w:sz w:val="24"/>
          <w:szCs w:val="27"/>
        </w:rPr>
        <w:br/>
      </w:r>
      <w:r w:rsidRPr="00D81330">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https://d.book118.com/078140142023006023</w:t>
        </w:r>
      </w:hyperlink>
    </w:p>
    <w:p w:rsidR="00295D9C" w:rsidRPr="00D81330" w:rsidP="00D81330">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1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81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133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8133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133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8133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133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D8133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133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8133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133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8133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133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8133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133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8133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133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8133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133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8133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133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8133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133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8133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3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89D"/>
    <w:rsid w:val="00295D9C"/>
    <w:rsid w:val="005F589D"/>
    <w:rsid w:val="00816D1A"/>
    <w:rsid w:val="00D81330"/>
    <w:rsid w:val="00F75A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295D9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295D9C"/>
    <w:rPr>
      <w:rFonts w:ascii="宋体" w:eastAsia="宋体" w:hAnsi="宋体" w:cs="宋体"/>
      <w:b/>
      <w:bCs/>
      <w:kern w:val="0"/>
      <w:sz w:val="36"/>
      <w:szCs w:val="36"/>
    </w:rPr>
  </w:style>
  <w:style w:type="paragraph" w:customStyle="1" w:styleId="1">
    <w:name w:val="标题1"/>
    <w:basedOn w:val="Normal"/>
    <w:rsid w:val="00295D9C"/>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295D9C"/>
  </w:style>
  <w:style w:type="paragraph" w:customStyle="1" w:styleId="question-title">
    <w:name w:val="question-title"/>
    <w:basedOn w:val="Normal"/>
    <w:rsid w:val="00295D9C"/>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295D9C"/>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295D9C"/>
  </w:style>
  <w:style w:type="paragraph" w:styleId="NormalWeb">
    <w:name w:val="Normal (Web)"/>
    <w:basedOn w:val="Normal"/>
    <w:uiPriority w:val="99"/>
    <w:semiHidden/>
    <w:unhideWhenUsed/>
    <w:rsid w:val="00295D9C"/>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D813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81330"/>
    <w:rPr>
      <w:sz w:val="18"/>
      <w:szCs w:val="18"/>
    </w:rPr>
  </w:style>
  <w:style w:type="paragraph" w:styleId="Footer">
    <w:name w:val="footer"/>
    <w:basedOn w:val="Normal"/>
    <w:link w:val="Char0"/>
    <w:uiPriority w:val="99"/>
    <w:unhideWhenUsed/>
    <w:rsid w:val="00D8133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81330"/>
    <w:rPr>
      <w:sz w:val="18"/>
      <w:szCs w:val="18"/>
    </w:rPr>
  </w:style>
  <w:style w:type="character" w:styleId="PageNumber">
    <w:name w:val="page number"/>
    <w:basedOn w:val="DefaultParagraphFont"/>
    <w:uiPriority w:val="99"/>
    <w:semiHidden/>
    <w:unhideWhenUsed/>
    <w:rsid w:val="00D813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078140142023006023"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4992</Words>
  <Characters>28456</Characters>
  <Application>Microsoft Office Word</Application>
  <DocSecurity>0</DocSecurity>
  <Lines>237</Lines>
  <Paragraphs>66</Paragraphs>
  <ScaleCrop>false</ScaleCrop>
  <Company>Microsoft</Company>
  <LinksUpToDate>false</LinksUpToDate>
  <CharactersWithSpaces>33382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2024-01-03T02:52:00Z</dcterms:created>
  <dcterms:modified xsi:type="dcterms:W3CDTF">2024-01-03T05:15:00Z</dcterms:modified>
</cp:coreProperties>
</file>