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1、[题干]水痘病儿应隔离至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A.出疹后5天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B.出疹后10天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C.部分皮疹结痂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D.全部皮疹结痂。E,皮疹结痂消退后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题干]女婴，2个月。系第1胎第1产，35周早产。出生体重2kg，生后用人工喂养，面色渐苍白，食欲差，两便正常。目前体重仍为2kg，皮下脂肪0.2cm，口唇苍白，心、肺无特殊，肝肋下2cm，脾肋下刚及。血红蛋白80g/L，红细胞数2.9×1012/L，白细胞数7×109/L，中性粒细胞0.35，淋巴细胞0.65，血小板150×109/L，网织红细胞0.002。为明确诊断应进一步化验检查，可出现哪些结果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A.血清铁蛋白&lt;10μg/L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B.红细胞游离原卟啉&gt;0.9μmol/L(50mg/dl)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C.铁粒幼红细胞&lt;0.15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D.总铁结合力&lt;62.65/μmol/L(350μg/dl)。E,血清铁&lt;8.95μmol/L(50mg/dl)。F,铁粒幼红细胞&gt;0.15。G,红细胞游离原卟啉&lt;0.9μmol/L(50mg/dl)。H,总铁结合力&gt;62.7/μmol/L(350μg/dl)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【答案】ABCEH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3、[题干]迁延性肾小球肾炎的特点，哪项正确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A.有明确急性肾炎病史，血尿和(或)蛋白尿迁延半年以上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B.有明确急性肾炎病史，血尿和(或)蛋白尿迁延3个月以上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C.有明确急性肾炎病史，血尿和(或)蛋白尿迁延1年以上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D.没有明确急性肾炎病史，但血尿和蛋白尿超过3个月。E,没有明确急性肾炎病史，但血尿和蛋白尿超过1年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【解析】迁延性肾小球肾炎的特点是，有明确急性肾炎病史，血尿和(或)蛋白尿迁延1年以上，没有明确急性肾炎病史，但血尿和蛋白尿超过半年，不伴肾功能不全或高血压。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4、[题干]抗休克初次扩容的液体首选()()。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A.0.9%氯化钠溶液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B.2:1等张液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C.中分子右旋糖酐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D.干冻血浆。E,2:3:1溶液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https://d.book118.com/085021323032011111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08502132303201111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