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88" w:lineRule="auto"/>
      </w:pPr>
    </w:p>
    <w:p>
      <w:pPr>
        <w:spacing w:line="289" w:lineRule="auto"/>
      </w:pPr>
    </w:p>
    <w:p>
      <w:pPr>
        <w:pStyle w:val="BodyText"/>
        <w:spacing w:before="139" w:line="219" w:lineRule="auto"/>
        <w:ind w:left="1156"/>
        <w:outlineLvl w:val="0"/>
        <w:rPr>
          <w:sz w:val="43"/>
          <w:szCs w:val="43"/>
        </w:rPr>
      </w:pPr>
      <w:r>
        <w:rPr>
          <w:b/>
          <w:bCs/>
          <w:spacing w:val="2"/>
          <w:sz w:val="43"/>
          <w:szCs w:val="43"/>
        </w:rPr>
        <w:t>危险化学品储存柜安全技术管理规范</w:t>
      </w:r>
    </w:p>
    <w:p>
      <w:pPr>
        <w:spacing w:line="327" w:lineRule="auto"/>
      </w:pPr>
    </w:p>
    <w:p>
      <w:pPr>
        <w:spacing w:line="328" w:lineRule="auto"/>
      </w:pPr>
    </w:p>
    <w:p>
      <w:pPr>
        <w:pStyle w:val="BodyText"/>
        <w:spacing w:before="91" w:line="220" w:lineRule="auto"/>
      </w:pPr>
      <w:r>
        <w:rPr>
          <w:spacing w:val="-14"/>
        </w:rPr>
        <w:t>1</w:t>
      </w:r>
      <w:r>
        <w:rPr>
          <w:spacing w:val="92"/>
        </w:rPr>
        <w:t xml:space="preserve"> </w:t>
      </w:r>
      <w:r>
        <w:rPr>
          <w:spacing w:val="-14"/>
        </w:rPr>
        <w:t>范围</w:t>
      </w:r>
    </w:p>
    <w:p>
      <w:pPr>
        <w:spacing w:line="351" w:lineRule="auto"/>
      </w:pPr>
    </w:p>
    <w:p>
      <w:pPr>
        <w:pStyle w:val="BodyText"/>
        <w:spacing w:before="91" w:line="409" w:lineRule="auto"/>
        <w:ind w:firstLine="580"/>
        <w:jc w:val="both"/>
      </w:pPr>
      <w:r>
        <w:rPr>
          <w:spacing w:val="2"/>
        </w:rPr>
        <w:t>本指导性技术文件规定了易燃液体、可燃液体(均按危险化学</w:t>
      </w:r>
      <w:r>
        <w:rPr>
          <w:spacing w:val="1"/>
        </w:rPr>
        <w:t>品管理)、</w:t>
      </w:r>
      <w:r>
        <w:t xml:space="preserve"> </w:t>
      </w:r>
      <w:r>
        <w:rPr>
          <w:spacing w:val="-3"/>
        </w:rPr>
        <w:t>腐蚀性液体、毒害品、压缩气体气瓶共5类危险化学品储存柜的术语、定义、</w:t>
      </w:r>
    </w:p>
    <w:p>
      <w:pPr>
        <w:pStyle w:val="BodyText"/>
        <w:spacing w:line="219" w:lineRule="auto"/>
      </w:pPr>
      <w:r>
        <w:rPr>
          <w:spacing w:val="-2"/>
        </w:rPr>
        <w:t>产品分类、技术要求和使用管理，其他类别危险化学品储存柜可参照执行。</w:t>
      </w:r>
    </w:p>
    <w:p>
      <w:pPr>
        <w:pStyle w:val="BodyText"/>
        <w:spacing w:before="296" w:line="621" w:lineRule="exact"/>
        <w:ind w:left="469"/>
      </w:pPr>
      <w:r>
        <w:rPr>
          <w:spacing w:val="-5"/>
          <w:position w:val="26"/>
        </w:rPr>
        <w:t>本指导性技术文件适用于</w:t>
      </w:r>
      <w:r>
        <w:rPr>
          <w:rFonts w:ascii="Times New Roman" w:eastAsia="Times New Roman" w:hAnsi="Times New Roman" w:cs="Times New Roman"/>
          <w:spacing w:val="-5"/>
          <w:position w:val="26"/>
        </w:rPr>
        <w:t>X</w:t>
      </w:r>
      <w:r>
        <w:rPr>
          <w:spacing w:val="-5"/>
          <w:position w:val="26"/>
        </w:rPr>
        <w:t>市行政区域范围内生产经营单位，科研机构、</w:t>
      </w:r>
    </w:p>
    <w:p>
      <w:pPr>
        <w:pStyle w:val="BodyText"/>
        <w:spacing w:before="1" w:line="219" w:lineRule="auto"/>
      </w:pPr>
      <w:r>
        <w:rPr>
          <w:spacing w:val="-5"/>
        </w:rPr>
        <w:t>医院及学校等单位可参照执行。</w:t>
      </w:r>
    </w:p>
    <w:p>
      <w:pPr>
        <w:spacing w:line="364" w:lineRule="auto"/>
      </w:pPr>
    </w:p>
    <w:p>
      <w:pPr>
        <w:pStyle w:val="BodyText"/>
        <w:spacing w:before="91" w:line="219" w:lineRule="auto"/>
      </w:pPr>
      <w:r>
        <w:rPr>
          <w:spacing w:val="-4"/>
        </w:rPr>
        <w:t>2</w:t>
      </w:r>
      <w:r>
        <w:rPr>
          <w:spacing w:val="100"/>
        </w:rPr>
        <w:t xml:space="preserve"> </w:t>
      </w:r>
      <w:r>
        <w:rPr>
          <w:spacing w:val="-4"/>
        </w:rPr>
        <w:t>规范性引用文件</w:t>
      </w:r>
    </w:p>
    <w:p>
      <w:pPr>
        <w:spacing w:line="354" w:lineRule="auto"/>
      </w:pPr>
    </w:p>
    <w:p>
      <w:pPr>
        <w:pStyle w:val="BodyText"/>
        <w:spacing w:before="92" w:line="415" w:lineRule="auto"/>
        <w:ind w:right="122" w:firstLine="580"/>
        <w:jc w:val="both"/>
      </w:pPr>
      <w:r>
        <w:rPr>
          <w:spacing w:val="-2"/>
        </w:rPr>
        <w:t>下列文件对于本指导性技术文件的应用是必不可少的。凡是注日期</w:t>
      </w:r>
      <w:r>
        <w:rPr>
          <w:spacing w:val="-3"/>
        </w:rPr>
        <w:t>的引</w:t>
      </w:r>
      <w:r>
        <w:t xml:space="preserve"> </w:t>
      </w:r>
      <w:r>
        <w:rPr>
          <w:spacing w:val="-2"/>
        </w:rPr>
        <w:t>用文件，仅注日期的版本适用于本标准。凡是不注日期的引用文件，其最新</w:t>
      </w:r>
    </w:p>
    <w:p>
      <w:pPr>
        <w:pStyle w:val="BodyText"/>
        <w:spacing w:before="1" w:line="218" w:lineRule="auto"/>
      </w:pPr>
      <w:r>
        <w:rPr>
          <w:spacing w:val="11"/>
        </w:rPr>
        <w:t>版本(包括所有的修改单)适用于本文件。</w:t>
      </w:r>
    </w:p>
    <w:p>
      <w:pPr>
        <w:pStyle w:val="BodyText"/>
        <w:spacing w:before="279" w:line="619" w:lineRule="exact"/>
        <w:ind w:left="580"/>
      </w:pPr>
      <w:r>
        <w:rPr>
          <w:spacing w:val="-1"/>
          <w:position w:val="25"/>
        </w:rPr>
        <w:t>GB 15603  常用化学危险品贮存通则</w:t>
      </w:r>
    </w:p>
    <w:p>
      <w:pPr>
        <w:pStyle w:val="BodyText"/>
        <w:spacing w:before="1" w:line="218" w:lineRule="auto"/>
        <w:ind w:left="580"/>
      </w:pPr>
      <w:r>
        <w:rPr>
          <w:spacing w:val="-2"/>
        </w:rPr>
        <w:t>GB 6944  危险货物分类和品名编号</w:t>
      </w:r>
    </w:p>
    <w:p>
      <w:pPr>
        <w:pStyle w:val="BodyText"/>
        <w:spacing w:before="288" w:line="219" w:lineRule="auto"/>
        <w:ind w:left="580"/>
      </w:pPr>
      <w:r>
        <w:rPr>
          <w:spacing w:val="-2"/>
        </w:rPr>
        <w:t>GB</w:t>
      </w:r>
      <w:r>
        <w:rPr>
          <w:spacing w:val="35"/>
        </w:rPr>
        <w:t xml:space="preserve"> </w:t>
      </w:r>
      <w:r>
        <w:rPr>
          <w:spacing w:val="-2"/>
        </w:rPr>
        <w:t>190</w:t>
      </w:r>
      <w:r>
        <w:rPr>
          <w:spacing w:val="138"/>
        </w:rPr>
        <w:t xml:space="preserve"> </w:t>
      </w:r>
      <w:r>
        <w:rPr>
          <w:spacing w:val="-2"/>
        </w:rPr>
        <w:t>危险货物包装标志</w:t>
      </w:r>
    </w:p>
    <w:p>
      <w:pPr>
        <w:pStyle w:val="BodyText"/>
        <w:spacing w:before="289" w:line="219" w:lineRule="auto"/>
        <w:ind w:left="580"/>
      </w:pPr>
      <w:r>
        <w:t>GB</w:t>
      </w:r>
      <w:r>
        <w:rPr>
          <w:spacing w:val="1"/>
        </w:rPr>
        <w:t xml:space="preserve"> 50016  建筑设计防火规范</w:t>
      </w:r>
    </w:p>
    <w:p>
      <w:pPr>
        <w:pStyle w:val="BodyText"/>
        <w:spacing w:before="286" w:line="219" w:lineRule="auto"/>
        <w:ind w:left="580"/>
      </w:pPr>
      <w:r>
        <w:t>GB 12158</w:t>
      </w:r>
      <w:r>
        <w:rPr>
          <w:spacing w:val="7"/>
        </w:rPr>
        <w:t xml:space="preserve">  </w:t>
      </w:r>
      <w:r>
        <w:t>防止静电事故通用通则</w:t>
      </w:r>
    </w:p>
    <w:p>
      <w:pPr>
        <w:pStyle w:val="BodyText"/>
        <w:spacing w:before="308" w:line="622" w:lineRule="exact"/>
        <w:ind w:left="580"/>
      </w:pPr>
      <w:r>
        <w:rPr>
          <w:position w:val="26"/>
        </w:rPr>
        <w:t>GB 50058  爆炸危险环境电力装</w:t>
      </w:r>
      <w:r>
        <w:rPr>
          <w:spacing w:val="-1"/>
          <w:position w:val="26"/>
        </w:rPr>
        <w:t>置设计规范</w:t>
      </w:r>
    </w:p>
    <w:p>
      <w:pPr>
        <w:pStyle w:val="BodyText"/>
        <w:spacing w:line="219" w:lineRule="auto"/>
        <w:ind w:left="580"/>
      </w:pPr>
      <w:r>
        <w:t>GB 50140  建筑灭火器配置设计规范</w:t>
      </w:r>
    </w:p>
    <w:p>
      <w:pPr>
        <w:pStyle w:val="BodyText"/>
        <w:spacing w:before="297" w:line="639" w:lineRule="exact"/>
        <w:ind w:left="580"/>
      </w:pPr>
      <w:r>
        <w:rPr>
          <w:spacing w:val="-1"/>
          <w:position w:val="27"/>
        </w:rPr>
        <w:t>GB 18265  危险化学品经营企业安全技术基本要求</w:t>
      </w:r>
    </w:p>
    <w:p>
      <w:pPr>
        <w:pStyle w:val="BodyText"/>
        <w:spacing w:before="1" w:line="217" w:lineRule="auto"/>
        <w:ind w:left="580"/>
      </w:pPr>
      <w:r>
        <w:t>GB</w:t>
      </w:r>
      <w:r>
        <w:rPr>
          <w:spacing w:val="19"/>
        </w:rPr>
        <w:t>3836.1</w:t>
      </w:r>
      <w:r>
        <w:rPr>
          <w:spacing w:val="143"/>
        </w:rPr>
        <w:t xml:space="preserve"> </w:t>
      </w:r>
      <w:r>
        <w:rPr>
          <w:spacing w:val="19"/>
        </w:rPr>
        <w:t>爆炸性环境第1部分设备通用要求</w:t>
      </w:r>
    </w:p>
    <w:p>
      <w:pPr>
        <w:spacing w:line="217" w:lineRule="auto"/>
        <w:sectPr>
          <w:footerReference w:type="default" r:id="rId4"/>
          <w:pgSz w:w="11910" w:h="16840"/>
          <w:pgMar w:top="1431" w:right="1199" w:bottom="981" w:left="1390" w:header="0" w:footer="852" w:gutter="0"/>
          <w:cols w:space="708"/>
        </w:sectPr>
      </w:pPr>
    </w:p>
    <w:p>
      <w:pPr>
        <w:pStyle w:val="BodyText"/>
        <w:spacing w:before="157" w:line="612" w:lineRule="exact"/>
        <w:ind w:left="550"/>
      </w:pPr>
      <w:r>
        <w:rPr>
          <w:position w:val="25"/>
        </w:rPr>
        <w:t>GB</w:t>
      </w:r>
      <w:r>
        <w:rPr>
          <w:spacing w:val="10"/>
          <w:position w:val="25"/>
        </w:rPr>
        <w:t>3836.4</w:t>
      </w:r>
      <w:r>
        <w:rPr>
          <w:spacing w:val="141"/>
          <w:position w:val="25"/>
        </w:rPr>
        <w:t xml:space="preserve"> </w:t>
      </w:r>
      <w:r>
        <w:rPr>
          <w:spacing w:val="10"/>
          <w:position w:val="25"/>
        </w:rPr>
        <w:t>爆炸性环境第4部分由本质安全型</w:t>
      </w:r>
      <w:r>
        <w:rPr>
          <w:spacing w:val="-49"/>
          <w:position w:val="25"/>
        </w:rPr>
        <w:t xml:space="preserve"> </w:t>
      </w:r>
      <w:r>
        <w:rPr>
          <w:rFonts w:ascii="Times New Roman" w:eastAsia="Times New Roman" w:hAnsi="Times New Roman" w:cs="Times New Roman"/>
          <w:spacing w:val="10"/>
          <w:position w:val="25"/>
        </w:rPr>
        <w:t xml:space="preserve">“i”   </w:t>
      </w:r>
      <w:r>
        <w:rPr>
          <w:spacing w:val="10"/>
          <w:position w:val="25"/>
        </w:rPr>
        <w:t>保护的设备</w:t>
      </w:r>
    </w:p>
    <w:p>
      <w:pPr>
        <w:pStyle w:val="BodyText"/>
        <w:spacing w:line="219" w:lineRule="auto"/>
        <w:ind w:left="449"/>
      </w:pPr>
      <w:r>
        <w:rPr>
          <w:spacing w:val="-1"/>
        </w:rPr>
        <w:t>GB/T 34062  防伪溯源编码技术条件</w:t>
      </w:r>
    </w:p>
    <w:p>
      <w:pPr>
        <w:pStyle w:val="BodyText"/>
        <w:spacing w:before="298" w:line="219" w:lineRule="auto"/>
        <w:ind w:left="550"/>
      </w:pPr>
      <w:r>
        <w:rPr>
          <w:spacing w:val="-1"/>
        </w:rPr>
        <w:t>GB/T 29639  生产经营单位生产安全事故应急预案编制</w:t>
      </w:r>
      <w:r>
        <w:rPr>
          <w:spacing w:val="-2"/>
        </w:rPr>
        <w:t>导则</w:t>
      </w:r>
    </w:p>
    <w:p>
      <w:pPr>
        <w:pStyle w:val="BodyText"/>
        <w:spacing w:before="296" w:line="631" w:lineRule="exact"/>
        <w:ind w:left="550"/>
      </w:pPr>
      <w:r>
        <w:rPr>
          <w:spacing w:val="-1"/>
          <w:position w:val="26"/>
        </w:rPr>
        <w:t>GB/T 29510  个体防护装备配备基本要求</w:t>
      </w:r>
    </w:p>
    <w:p>
      <w:pPr>
        <w:pStyle w:val="BodyText"/>
        <w:spacing w:line="219" w:lineRule="auto"/>
        <w:ind w:left="550"/>
      </w:pPr>
      <w:r>
        <w:rPr>
          <w:spacing w:val="-1"/>
        </w:rPr>
        <w:t>TSG R0006-2014  气瓶安全技术监察规程</w:t>
      </w:r>
    </w:p>
    <w:p>
      <w:pPr>
        <w:pStyle w:val="BodyText"/>
        <w:spacing w:before="277" w:line="219" w:lineRule="auto"/>
        <w:ind w:left="550"/>
      </w:pPr>
      <w:r>
        <w:rPr>
          <w:rFonts w:ascii="Times New Roman" w:eastAsia="Times New Roman" w:hAnsi="Times New Roman" w:cs="Times New Roman"/>
          <w:spacing w:val="-3"/>
        </w:rPr>
        <w:t xml:space="preserve">GA 93    </w:t>
      </w:r>
      <w:r>
        <w:rPr>
          <w:spacing w:val="-3"/>
        </w:rPr>
        <w:t>防火门闭门器</w:t>
      </w:r>
    </w:p>
    <w:p>
      <w:pPr>
        <w:pStyle w:val="BodyText"/>
        <w:spacing w:before="308" w:line="219" w:lineRule="auto"/>
        <w:ind w:left="550"/>
      </w:pPr>
      <w:r>
        <w:rPr>
          <w:rFonts w:ascii="Times New Roman" w:eastAsia="Times New Roman" w:hAnsi="Times New Roman" w:cs="Times New Roman"/>
          <w:spacing w:val="-1"/>
        </w:rPr>
        <w:t>GA/T 543</w:t>
      </w:r>
      <w:r>
        <w:rPr>
          <w:rFonts w:ascii="Times New Roman" w:eastAsia="Times New Roman" w:hAnsi="Times New Roman" w:cs="Times New Roman"/>
          <w:spacing w:val="16"/>
        </w:rPr>
        <w:t xml:space="preserve">   </w:t>
      </w:r>
      <w:r>
        <w:rPr>
          <w:spacing w:val="-1"/>
        </w:rPr>
        <w:t>公安数据元</w:t>
      </w:r>
    </w:p>
    <w:p>
      <w:pPr>
        <w:pStyle w:val="BodyText"/>
        <w:spacing w:before="276" w:line="219" w:lineRule="auto"/>
        <w:ind w:left="550"/>
      </w:pPr>
      <w:r>
        <w:rPr>
          <w:spacing w:val="6"/>
        </w:rPr>
        <w:t>危险化学品安全管理条例(国务院令第591号)</w:t>
      </w:r>
    </w:p>
    <w:p>
      <w:pPr>
        <w:pStyle w:val="BodyText"/>
        <w:spacing w:before="308" w:line="219" w:lineRule="auto"/>
        <w:ind w:left="550"/>
      </w:pPr>
      <w:r>
        <w:rPr>
          <w:spacing w:val="5"/>
        </w:rPr>
        <w:t>剧毒化学品购买和公路运输许可证件管理办法(公安部令第77号)</w:t>
      </w:r>
    </w:p>
    <w:p>
      <w:pPr>
        <w:pStyle w:val="BodyText"/>
        <w:spacing w:before="237" w:line="396" w:lineRule="auto"/>
        <w:ind w:right="2" w:firstLine="550"/>
        <w:rPr>
          <w:rFonts w:ascii="Times New Roman" w:eastAsia="Times New Roman" w:hAnsi="Times New Roman" w:cs="Times New Roman"/>
          <w:sz w:val="35"/>
          <w:szCs w:val="35"/>
        </w:rPr>
      </w:pPr>
      <w:r>
        <w:rPr>
          <w:spacing w:val="5"/>
        </w:rPr>
        <w:t>可燃存储柜(易燃)液体认可标准等级(2016.1</w:t>
      </w:r>
      <w:r>
        <w:rPr>
          <w:spacing w:val="4"/>
        </w:rPr>
        <w:t>2编号6050)</w:t>
      </w:r>
      <w:r>
        <w:rPr>
          <w:rFonts w:ascii="Times New Roman" w:eastAsia="Times New Roman" w:hAnsi="Times New Roman" w:cs="Times New Roman"/>
          <w:spacing w:val="4"/>
        </w:rPr>
        <w:t>(</w:t>
      </w:r>
      <w:r>
        <w:rPr>
          <w:rFonts w:ascii="Times New Roman" w:eastAsia="Times New Roman" w:hAnsi="Times New Roman" w:cs="Times New Roman"/>
        </w:rPr>
        <w:t xml:space="preserve">FMApproval  </w:t>
      </w:r>
      <w:r>
        <w:rPr>
          <w:rFonts w:ascii="Times New Roman" w:eastAsia="Times New Roman" w:hAnsi="Times New Roman" w:cs="Times New Roman"/>
          <w:spacing w:val="-8"/>
          <w:sz w:val="35"/>
          <w:szCs w:val="35"/>
        </w:rPr>
        <w:t>Standard for Storage Cabinets for Ignitable(</w:t>
      </w:r>
      <w:r>
        <w:rPr>
          <w:rFonts w:ascii="Times New Roman" w:eastAsia="Times New Roman" w:hAnsi="Times New Roman" w:cs="Times New Roman"/>
          <w:spacing w:val="-9"/>
          <w:sz w:val="35"/>
          <w:szCs w:val="35"/>
        </w:rPr>
        <w:t>Flammable)Liquids Class</w:t>
      </w:r>
    </w:p>
    <w:p>
      <w:pPr>
        <w:spacing w:before="1" w:line="191" w:lineRule="auto"/>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Number</w:t>
      </w:r>
      <w:r>
        <w:rPr>
          <w:rFonts w:ascii="Times New Roman" w:eastAsia="Times New Roman" w:hAnsi="Times New Roman" w:cs="Times New Roman"/>
          <w:spacing w:val="48"/>
          <w:sz w:val="28"/>
          <w:szCs w:val="28"/>
        </w:rPr>
        <w:t xml:space="preserve"> </w:t>
      </w:r>
      <w:r>
        <w:rPr>
          <w:rFonts w:ascii="Times New Roman" w:eastAsia="Times New Roman" w:hAnsi="Times New Roman" w:cs="Times New Roman"/>
          <w:spacing w:val="-1"/>
          <w:sz w:val="28"/>
          <w:szCs w:val="28"/>
        </w:rPr>
        <w:t>6050</w:t>
      </w:r>
      <w:r>
        <w:rPr>
          <w:rFonts w:ascii="Times New Roman" w:eastAsia="Times New Roman" w:hAnsi="Times New Roman" w:cs="Times New Roman"/>
          <w:spacing w:val="38"/>
          <w:sz w:val="28"/>
          <w:szCs w:val="28"/>
        </w:rPr>
        <w:t xml:space="preserve"> </w:t>
      </w:r>
      <w:r>
        <w:rPr>
          <w:rFonts w:ascii="Times New Roman" w:eastAsia="Times New Roman" w:hAnsi="Times New Roman" w:cs="Times New Roman"/>
          <w:spacing w:val="-1"/>
          <w:sz w:val="28"/>
          <w:szCs w:val="28"/>
        </w:rPr>
        <w:t>December</w:t>
      </w:r>
      <w:r>
        <w:rPr>
          <w:rFonts w:ascii="Times New Roman" w:eastAsia="Times New Roman" w:hAnsi="Times New Roman" w:cs="Times New Roman"/>
          <w:spacing w:val="37"/>
          <w:sz w:val="28"/>
          <w:szCs w:val="28"/>
        </w:rPr>
        <w:t xml:space="preserve"> </w:t>
      </w:r>
      <w:r>
        <w:rPr>
          <w:rFonts w:ascii="Times New Roman" w:eastAsia="Times New Roman" w:hAnsi="Times New Roman" w:cs="Times New Roman"/>
          <w:spacing w:val="-1"/>
          <w:sz w:val="28"/>
          <w:szCs w:val="28"/>
        </w:rPr>
        <w:t>2016)</w:t>
      </w:r>
    </w:p>
    <w:p>
      <w:pPr>
        <w:spacing w:line="467" w:lineRule="auto"/>
      </w:pPr>
    </w:p>
    <w:p>
      <w:pPr>
        <w:pStyle w:val="BodyText"/>
        <w:spacing w:before="91" w:line="219" w:lineRule="auto"/>
        <w:ind w:left="4"/>
      </w:pPr>
      <w:r>
        <w:rPr>
          <w:b/>
          <w:bCs/>
          <w:spacing w:val="-5"/>
        </w:rPr>
        <w:t>3</w:t>
      </w:r>
      <w:r>
        <w:rPr>
          <w:spacing w:val="32"/>
        </w:rPr>
        <w:t xml:space="preserve"> </w:t>
      </w:r>
      <w:r>
        <w:rPr>
          <w:spacing w:val="-5"/>
        </w:rPr>
        <w:t>术语和定义</w:t>
      </w:r>
    </w:p>
    <w:p>
      <w:pPr>
        <w:spacing w:line="342" w:lineRule="auto"/>
      </w:pPr>
    </w:p>
    <w:p>
      <w:pPr>
        <w:pStyle w:val="BodyText"/>
        <w:spacing w:before="92" w:line="219" w:lineRule="auto"/>
        <w:ind w:left="550"/>
      </w:pPr>
      <w:r>
        <w:rPr>
          <w:spacing w:val="-5"/>
        </w:rPr>
        <w:t>下列术语和定义适用本文件。</w:t>
      </w:r>
    </w:p>
    <w:p>
      <w:pPr>
        <w:pStyle w:val="BodyText"/>
        <w:spacing w:before="300" w:line="219" w:lineRule="auto"/>
      </w:pPr>
      <w:r>
        <w:rPr>
          <w:rFonts w:ascii="Arial" w:eastAsia="Arial" w:hAnsi="Arial" w:cs="Arial"/>
          <w:b/>
          <w:bCs/>
          <w:spacing w:val="-8"/>
        </w:rPr>
        <w:t>3.1</w:t>
      </w:r>
      <w:r>
        <w:rPr>
          <w:rFonts w:ascii="Arial" w:eastAsia="Arial" w:hAnsi="Arial" w:cs="Arial"/>
          <w:b/>
          <w:bCs/>
          <w:spacing w:val="24"/>
          <w:w w:val="101"/>
        </w:rPr>
        <w:t xml:space="preserve">  </w:t>
      </w:r>
      <w:r>
        <w:rPr>
          <w:spacing w:val="-8"/>
        </w:rPr>
        <w:t>危险化学品储存柜</w:t>
      </w:r>
    </w:p>
    <w:p>
      <w:pPr>
        <w:pStyle w:val="BodyText"/>
        <w:spacing w:before="287" w:line="404" w:lineRule="auto"/>
        <w:ind w:firstLine="550"/>
        <w:jc w:val="both"/>
      </w:pPr>
      <w:r>
        <w:rPr>
          <w:spacing w:val="-2"/>
        </w:rPr>
        <w:t>用于储存易燃液体、可燃液体、腐蚀性液体、毒害品、压缩气体气瓶等</w:t>
      </w:r>
      <w:r>
        <w:rPr>
          <w:spacing w:val="4"/>
        </w:rPr>
        <w:t xml:space="preserve"> 危险化学品的柜体，包括易燃液体储存柜(简称</w:t>
      </w:r>
      <w:r>
        <w:rPr>
          <w:rFonts w:ascii="Times New Roman" w:eastAsia="Times New Roman" w:hAnsi="Times New Roman" w:cs="Times New Roman"/>
          <w:spacing w:val="4"/>
        </w:rPr>
        <w:t>Y)</w:t>
      </w:r>
      <w:r>
        <w:rPr>
          <w:rFonts w:ascii="Times New Roman" w:eastAsia="Times New Roman" w:hAnsi="Times New Roman" w:cs="Times New Roman"/>
          <w:spacing w:val="-39"/>
        </w:rPr>
        <w:t xml:space="preserve"> </w:t>
      </w:r>
      <w:r>
        <w:rPr>
          <w:spacing w:val="4"/>
        </w:rPr>
        <w:t>、</w:t>
      </w:r>
      <w:r>
        <w:rPr>
          <w:spacing w:val="-73"/>
        </w:rPr>
        <w:t xml:space="preserve"> </w:t>
      </w:r>
      <w:r>
        <w:rPr>
          <w:spacing w:val="4"/>
        </w:rPr>
        <w:t>可燃液</w:t>
      </w:r>
      <w:r>
        <w:rPr>
          <w:spacing w:val="3"/>
        </w:rPr>
        <w:t>体储存柜(简称</w:t>
      </w:r>
      <w:r>
        <w:t xml:space="preserve"> </w:t>
      </w:r>
      <w:r>
        <w:rPr>
          <w:rFonts w:ascii="Times New Roman" w:eastAsia="Times New Roman" w:hAnsi="Times New Roman" w:cs="Times New Roman"/>
          <w:spacing w:val="4"/>
        </w:rPr>
        <w:t>K)</w:t>
      </w:r>
      <w:r>
        <w:rPr>
          <w:rFonts w:ascii="Times New Roman" w:eastAsia="Times New Roman" w:hAnsi="Times New Roman" w:cs="Times New Roman"/>
          <w:spacing w:val="-36"/>
        </w:rPr>
        <w:t xml:space="preserve"> </w:t>
      </w:r>
      <w:r>
        <w:rPr>
          <w:spacing w:val="4"/>
        </w:rPr>
        <w:t>、</w:t>
      </w:r>
      <w:r>
        <w:rPr>
          <w:spacing w:val="-80"/>
        </w:rPr>
        <w:t xml:space="preserve"> </w:t>
      </w:r>
      <w:r>
        <w:rPr>
          <w:spacing w:val="4"/>
        </w:rPr>
        <w:t>腐蚀性液体储存柜(简称</w:t>
      </w:r>
      <w:r>
        <w:rPr>
          <w:rFonts w:ascii="Times New Roman" w:eastAsia="Times New Roman" w:hAnsi="Times New Roman" w:cs="Times New Roman"/>
          <w:spacing w:val="4"/>
        </w:rPr>
        <w:t>F)</w:t>
      </w:r>
      <w:r>
        <w:rPr>
          <w:rFonts w:ascii="Times New Roman" w:eastAsia="Times New Roman" w:hAnsi="Times New Roman" w:cs="Times New Roman"/>
          <w:spacing w:val="-39"/>
        </w:rPr>
        <w:t xml:space="preserve"> </w:t>
      </w:r>
      <w:r>
        <w:rPr>
          <w:spacing w:val="4"/>
        </w:rPr>
        <w:t>、 毒害品储存柜(简称</w:t>
      </w:r>
      <w:r>
        <w:rPr>
          <w:rFonts w:ascii="Times New Roman" w:eastAsia="Times New Roman" w:hAnsi="Times New Roman" w:cs="Times New Roman"/>
          <w:spacing w:val="4"/>
        </w:rPr>
        <w:t>D)</w:t>
      </w:r>
      <w:r>
        <w:rPr>
          <w:rFonts w:ascii="Times New Roman" w:eastAsia="Times New Roman" w:hAnsi="Times New Roman" w:cs="Times New Roman"/>
          <w:spacing w:val="-40"/>
        </w:rPr>
        <w:t xml:space="preserve"> </w:t>
      </w:r>
      <w:r>
        <w:rPr>
          <w:spacing w:val="4"/>
        </w:rPr>
        <w:t>、</w:t>
      </w:r>
      <w:r>
        <w:rPr>
          <w:spacing w:val="-60"/>
        </w:rPr>
        <w:t xml:space="preserve"> </w:t>
      </w:r>
      <w:r>
        <w:rPr>
          <w:spacing w:val="4"/>
        </w:rPr>
        <w:t>压缩气体气瓶</w:t>
      </w:r>
    </w:p>
    <w:p>
      <w:pPr>
        <w:pStyle w:val="BodyText"/>
        <w:spacing w:line="212" w:lineRule="auto"/>
      </w:pPr>
      <w:r>
        <w:rPr>
          <w:spacing w:val="10"/>
        </w:rPr>
        <w:t>储存柜(简称</w:t>
      </w:r>
      <w:r>
        <w:rPr>
          <w:rFonts w:ascii="Times New Roman" w:eastAsia="Times New Roman" w:hAnsi="Times New Roman" w:cs="Times New Roman"/>
          <w:spacing w:val="10"/>
        </w:rPr>
        <w:t>Q)</w:t>
      </w:r>
      <w:r>
        <w:rPr>
          <w:rFonts w:ascii="Times New Roman" w:eastAsia="Times New Roman" w:hAnsi="Times New Roman" w:cs="Times New Roman"/>
          <w:spacing w:val="54"/>
        </w:rPr>
        <w:t xml:space="preserve"> </w:t>
      </w:r>
      <w:r>
        <w:rPr>
          <w:spacing w:val="10"/>
        </w:rPr>
        <w:t>等。</w:t>
      </w:r>
    </w:p>
    <w:p>
      <w:pPr>
        <w:pStyle w:val="BodyText"/>
        <w:spacing w:before="331" w:line="219" w:lineRule="auto"/>
        <w:ind w:left="3"/>
      </w:pPr>
      <w:r>
        <w:rPr>
          <w:b/>
          <w:bCs/>
          <w:spacing w:val="-13"/>
        </w:rPr>
        <w:t>3.2</w:t>
      </w:r>
      <w:r>
        <w:rPr>
          <w:spacing w:val="81"/>
        </w:rPr>
        <w:t xml:space="preserve"> </w:t>
      </w:r>
      <w:r>
        <w:rPr>
          <w:spacing w:val="-13"/>
        </w:rPr>
        <w:t>易燃液体储存柜</w:t>
      </w:r>
    </w:p>
    <w:p>
      <w:pPr>
        <w:pStyle w:val="BodyText"/>
        <w:spacing w:before="297" w:line="219" w:lineRule="auto"/>
        <w:ind w:left="550"/>
      </w:pPr>
      <w:r>
        <w:rPr>
          <w:spacing w:val="-3"/>
        </w:rPr>
        <w:t>用于储存易燃液体、可燃液体的柜体。</w:t>
      </w:r>
    </w:p>
    <w:p>
      <w:pPr>
        <w:pStyle w:val="BodyText"/>
        <w:spacing w:before="298" w:line="219" w:lineRule="auto"/>
        <w:ind w:left="3"/>
      </w:pPr>
      <w:r>
        <w:rPr>
          <w:b/>
          <w:bCs/>
          <w:spacing w:val="-14"/>
        </w:rPr>
        <w:t>3.3</w:t>
      </w:r>
      <w:r>
        <w:rPr>
          <w:spacing w:val="95"/>
        </w:rPr>
        <w:t xml:space="preserve"> </w:t>
      </w:r>
      <w:r>
        <w:rPr>
          <w:spacing w:val="-14"/>
        </w:rPr>
        <w:t>可燃液体储存柜</w:t>
      </w:r>
    </w:p>
    <w:p>
      <w:pPr>
        <w:spacing w:line="219" w:lineRule="auto"/>
        <w:sectPr>
          <w:footerReference w:type="default" r:id="rId5"/>
          <w:pgSz w:w="11910" w:h="16840"/>
          <w:pgMar w:top="1431" w:right="1305" w:bottom="978" w:left="1400" w:header="0" w:footer="839" w:gutter="0"/>
          <w:pgNumType w:start="2"/>
          <w:cols w:space="708"/>
        </w:sectPr>
      </w:pPr>
    </w:p>
    <w:p>
      <w:pPr>
        <w:pStyle w:val="BodyText"/>
        <w:spacing w:before="149" w:line="620" w:lineRule="exact"/>
        <w:ind w:left="610"/>
      </w:pPr>
      <w:r>
        <w:rPr>
          <w:spacing w:val="-5"/>
          <w:position w:val="25"/>
        </w:rPr>
        <w:t>用于储存可燃液体的柜体。</w:t>
      </w:r>
    </w:p>
    <w:p>
      <w:pPr>
        <w:pStyle w:val="BodyText"/>
        <w:spacing w:line="219" w:lineRule="auto"/>
      </w:pPr>
      <w:r>
        <w:rPr>
          <w:rFonts w:ascii="Arial" w:eastAsia="Arial" w:hAnsi="Arial" w:cs="Arial"/>
          <w:b/>
          <w:bCs/>
          <w:spacing w:val="-8"/>
        </w:rPr>
        <w:t>3.4</w:t>
      </w:r>
      <w:r>
        <w:rPr>
          <w:rFonts w:ascii="Arial" w:eastAsia="Arial" w:hAnsi="Arial" w:cs="Arial"/>
          <w:b/>
          <w:bCs/>
          <w:spacing w:val="26"/>
        </w:rPr>
        <w:t xml:space="preserve">  </w:t>
      </w:r>
      <w:r>
        <w:rPr>
          <w:spacing w:val="-8"/>
        </w:rPr>
        <w:t>腐蚀性液体储存柜</w:t>
      </w:r>
    </w:p>
    <w:p>
      <w:pPr>
        <w:pStyle w:val="BodyText"/>
        <w:spacing w:before="307" w:line="610" w:lineRule="exact"/>
        <w:ind w:left="610"/>
      </w:pPr>
      <w:r>
        <w:rPr>
          <w:spacing w:val="-8"/>
          <w:position w:val="25"/>
        </w:rPr>
        <w:t>用于储存腐蚀性液体的柜体。</w:t>
      </w:r>
    </w:p>
    <w:p>
      <w:pPr>
        <w:pStyle w:val="BodyText"/>
        <w:spacing w:line="219" w:lineRule="auto"/>
      </w:pPr>
      <w:r>
        <w:rPr>
          <w:rFonts w:ascii="Arial" w:eastAsia="Arial" w:hAnsi="Arial" w:cs="Arial"/>
          <w:b/>
          <w:bCs/>
          <w:spacing w:val="-7"/>
        </w:rPr>
        <w:t xml:space="preserve">3.5   </w:t>
      </w:r>
      <w:r>
        <w:rPr>
          <w:spacing w:val="-7"/>
        </w:rPr>
        <w:t>毒害品储存柜</w:t>
      </w:r>
    </w:p>
    <w:p>
      <w:pPr>
        <w:pStyle w:val="BodyText"/>
        <w:spacing w:before="308" w:line="219" w:lineRule="auto"/>
        <w:ind w:left="610"/>
      </w:pPr>
      <w:r>
        <w:rPr>
          <w:spacing w:val="-5"/>
        </w:rPr>
        <w:t>用于储存毒害品的柜体。</w:t>
      </w:r>
    </w:p>
    <w:p>
      <w:pPr>
        <w:pStyle w:val="BodyText"/>
        <w:spacing w:before="285" w:line="219" w:lineRule="auto"/>
      </w:pPr>
      <w:r>
        <w:rPr>
          <w:rFonts w:ascii="Arial" w:eastAsia="Arial" w:hAnsi="Arial" w:cs="Arial"/>
          <w:b/>
          <w:bCs/>
          <w:spacing w:val="-6"/>
        </w:rPr>
        <w:t xml:space="preserve">3.6   </w:t>
      </w:r>
      <w:r>
        <w:rPr>
          <w:spacing w:val="-6"/>
        </w:rPr>
        <w:t>压缩气体气瓶储存柜</w:t>
      </w:r>
    </w:p>
    <w:p>
      <w:pPr>
        <w:pStyle w:val="BodyText"/>
        <w:spacing w:before="278" w:line="219" w:lineRule="auto"/>
        <w:ind w:left="610"/>
      </w:pPr>
      <w:r>
        <w:rPr>
          <w:spacing w:val="-4"/>
        </w:rPr>
        <w:t>用于储存压缩气体气瓶的柜体。</w:t>
      </w:r>
    </w:p>
    <w:p>
      <w:pPr>
        <w:pStyle w:val="BodyText"/>
        <w:spacing w:before="301" w:line="220" w:lineRule="auto"/>
        <w:ind w:left="3"/>
      </w:pPr>
      <w:r>
        <w:rPr>
          <w:b/>
          <w:bCs/>
          <w:spacing w:val="-17"/>
        </w:rPr>
        <w:t>3.7</w:t>
      </w:r>
      <w:r>
        <w:rPr>
          <w:spacing w:val="90"/>
        </w:rPr>
        <w:t xml:space="preserve"> </w:t>
      </w:r>
      <w:r>
        <w:rPr>
          <w:spacing w:val="-17"/>
        </w:rPr>
        <w:t>易燃液体</w:t>
      </w:r>
    </w:p>
    <w:p>
      <w:pPr>
        <w:pStyle w:val="BodyText"/>
        <w:spacing w:before="296" w:line="615" w:lineRule="exact"/>
        <w:ind w:left="610"/>
      </w:pPr>
      <w:r>
        <w:rPr>
          <w:spacing w:val="-2"/>
          <w:position w:val="25"/>
        </w:rPr>
        <w:t>易燃的液体或液体混合物，或是在溶液或悬浮液中有固体的液体</w:t>
      </w:r>
      <w:r>
        <w:rPr>
          <w:spacing w:val="-3"/>
          <w:position w:val="25"/>
        </w:rPr>
        <w:t>，其闭</w:t>
      </w:r>
    </w:p>
    <w:p>
      <w:pPr>
        <w:pStyle w:val="BodyText"/>
        <w:spacing w:line="216" w:lineRule="auto"/>
      </w:pPr>
      <w:r>
        <w:rPr>
          <w:spacing w:val="10"/>
        </w:rPr>
        <w:t>杯试验闪点不高于60</w:t>
      </w:r>
      <w:r>
        <w:rPr>
          <w:spacing w:val="65"/>
        </w:rPr>
        <w:t xml:space="preserve"> </w:t>
      </w:r>
      <w:r>
        <w:rPr>
          <w:spacing w:val="10"/>
        </w:rPr>
        <w:t>℃,或开杯试验闪点不高于65</w:t>
      </w:r>
      <w:r>
        <w:rPr>
          <w:spacing w:val="62"/>
        </w:rPr>
        <w:t xml:space="preserve"> </w:t>
      </w:r>
      <w:r>
        <w:rPr>
          <w:spacing w:val="10"/>
        </w:rPr>
        <w:t>℃。</w:t>
      </w:r>
    </w:p>
    <w:p>
      <w:pPr>
        <w:pStyle w:val="BodyText"/>
        <w:spacing w:before="308" w:line="220" w:lineRule="auto"/>
        <w:ind w:left="3"/>
      </w:pPr>
      <w:r>
        <w:rPr>
          <w:b/>
          <w:bCs/>
          <w:spacing w:val="-18"/>
        </w:rPr>
        <w:t>3.8</w:t>
      </w:r>
      <w:r>
        <w:rPr>
          <w:spacing w:val="93"/>
        </w:rPr>
        <w:t xml:space="preserve"> </w:t>
      </w:r>
      <w:r>
        <w:rPr>
          <w:spacing w:val="-18"/>
        </w:rPr>
        <w:t>可燃液体</w:t>
      </w:r>
    </w:p>
    <w:p>
      <w:pPr>
        <w:pStyle w:val="BodyText"/>
        <w:spacing w:before="286" w:line="634" w:lineRule="exact"/>
        <w:ind w:left="610"/>
      </w:pPr>
      <w:r>
        <w:rPr>
          <w:spacing w:val="-2"/>
          <w:position w:val="27"/>
        </w:rPr>
        <w:t>可燃的液体或液体混合物，或是在溶液或悬浮液中有固体的液体</w:t>
      </w:r>
      <w:r>
        <w:rPr>
          <w:spacing w:val="-3"/>
          <w:position w:val="27"/>
        </w:rPr>
        <w:t>，其闭</w:t>
      </w:r>
    </w:p>
    <w:p>
      <w:pPr>
        <w:pStyle w:val="BodyText"/>
        <w:spacing w:before="1" w:line="216" w:lineRule="auto"/>
      </w:pPr>
      <w:r>
        <w:rPr>
          <w:spacing w:val="1"/>
        </w:rPr>
        <w:t>杯试验闪点高于60</w:t>
      </w:r>
      <w:r>
        <w:rPr>
          <w:spacing w:val="41"/>
        </w:rPr>
        <w:t xml:space="preserve"> </w:t>
      </w:r>
      <w:r>
        <w:rPr>
          <w:spacing w:val="1"/>
        </w:rPr>
        <w:t>℃,或开杯试验闪点高于</w:t>
      </w:r>
      <w:r>
        <w:t>65</w:t>
      </w:r>
      <w:r>
        <w:rPr>
          <w:spacing w:val="41"/>
        </w:rPr>
        <w:t xml:space="preserve"> </w:t>
      </w:r>
      <w:r>
        <w:t>℃。</w:t>
      </w:r>
    </w:p>
    <w:p>
      <w:pPr>
        <w:pStyle w:val="BodyText"/>
        <w:spacing w:before="286" w:line="219" w:lineRule="auto"/>
      </w:pPr>
      <w:r>
        <w:rPr>
          <w:rFonts w:ascii="Arial" w:eastAsia="Arial" w:hAnsi="Arial" w:cs="Arial"/>
          <w:b/>
          <w:bCs/>
          <w:spacing w:val="-8"/>
        </w:rPr>
        <w:t xml:space="preserve">3.9   </w:t>
      </w:r>
      <w:r>
        <w:rPr>
          <w:spacing w:val="-8"/>
        </w:rPr>
        <w:t>腐蚀性液体</w:t>
      </w:r>
    </w:p>
    <w:p>
      <w:pPr>
        <w:pStyle w:val="BodyText"/>
        <w:spacing w:before="287" w:line="640" w:lineRule="exact"/>
        <w:ind w:left="610"/>
      </w:pPr>
      <w:r>
        <w:rPr>
          <w:spacing w:val="-1"/>
          <w:position w:val="27"/>
        </w:rPr>
        <w:t>通过化学作用、使生物组织接触时会造成严重损伤，或在</w:t>
      </w:r>
      <w:r>
        <w:rPr>
          <w:spacing w:val="-2"/>
          <w:position w:val="27"/>
        </w:rPr>
        <w:t>渗漏时会严重</w:t>
      </w:r>
    </w:p>
    <w:p>
      <w:pPr>
        <w:pStyle w:val="BodyText"/>
        <w:spacing w:before="1" w:line="218" w:lineRule="auto"/>
      </w:pPr>
      <w:r>
        <w:rPr>
          <w:spacing w:val="-5"/>
        </w:rPr>
        <w:t>损害甚至毁坏其他货物或运载工具的液体。</w:t>
      </w:r>
    </w:p>
    <w:p>
      <w:pPr>
        <w:pStyle w:val="BodyText"/>
        <w:spacing w:before="280" w:line="219" w:lineRule="auto"/>
        <w:ind w:left="3"/>
      </w:pPr>
      <w:r>
        <w:rPr>
          <w:b/>
          <w:bCs/>
          <w:spacing w:val="-19"/>
        </w:rPr>
        <w:t>3.10</w:t>
      </w:r>
      <w:r>
        <w:rPr>
          <w:spacing w:val="95"/>
        </w:rPr>
        <w:t xml:space="preserve"> </w:t>
      </w:r>
      <w:r>
        <w:rPr>
          <w:spacing w:val="-19"/>
        </w:rPr>
        <w:t>毒害品</w:t>
      </w:r>
    </w:p>
    <w:p>
      <w:pPr>
        <w:pStyle w:val="BodyText"/>
        <w:spacing w:before="287" w:line="641" w:lineRule="exact"/>
        <w:ind w:left="610"/>
      </w:pPr>
      <w:r>
        <w:rPr>
          <w:spacing w:val="-1"/>
          <w:position w:val="27"/>
        </w:rPr>
        <w:t>经吞食、吸入或与皮肤接触后可能造成死亡或严重受伤或</w:t>
      </w:r>
      <w:r>
        <w:rPr>
          <w:spacing w:val="-2"/>
          <w:position w:val="27"/>
        </w:rPr>
        <w:t>损害人类健康</w:t>
      </w:r>
    </w:p>
    <w:p>
      <w:pPr>
        <w:pStyle w:val="BodyText"/>
        <w:spacing w:line="220" w:lineRule="auto"/>
      </w:pPr>
      <w:r>
        <w:rPr>
          <w:spacing w:val="-14"/>
        </w:rPr>
        <w:t>的物质。</w:t>
      </w:r>
    </w:p>
    <w:p>
      <w:pPr>
        <w:pStyle w:val="BodyText"/>
        <w:spacing w:before="294" w:line="219" w:lineRule="auto"/>
        <w:ind w:left="3"/>
      </w:pPr>
      <w:r>
        <w:rPr>
          <w:b/>
          <w:bCs/>
          <w:spacing w:val="-14"/>
        </w:rPr>
        <w:t>3.11</w:t>
      </w:r>
      <w:r>
        <w:rPr>
          <w:spacing w:val="53"/>
        </w:rPr>
        <w:t xml:space="preserve"> </w:t>
      </w:r>
      <w:r>
        <w:rPr>
          <w:spacing w:val="-14"/>
        </w:rPr>
        <w:t>压缩气体气瓶</w:t>
      </w:r>
    </w:p>
    <w:p>
      <w:pPr>
        <w:pStyle w:val="BodyText"/>
        <w:spacing w:before="148" w:line="721" w:lineRule="exact"/>
        <w:jc w:val="right"/>
      </w:pPr>
      <w:r>
        <w:rPr>
          <w:spacing w:val="2"/>
          <w:position w:val="34"/>
        </w:rPr>
        <w:t>压缩气体气瓶按照公称压力分为高压气瓶、低压气瓶，高压气瓶是指公</w:t>
      </w:r>
    </w:p>
    <w:p>
      <w:pPr>
        <w:pStyle w:val="BodyText"/>
        <w:spacing w:before="1" w:line="219" w:lineRule="auto"/>
      </w:pPr>
      <w:r>
        <w:rPr>
          <w:spacing w:val="3"/>
        </w:rPr>
        <w:t>称工作压力大于或者等于10</w:t>
      </w:r>
      <w:r>
        <w:rPr>
          <w:rFonts w:ascii="Times New Roman" w:eastAsia="Times New Roman" w:hAnsi="Times New Roman" w:cs="Times New Roman"/>
        </w:rPr>
        <w:t>MPa</w:t>
      </w:r>
      <w:r>
        <w:rPr>
          <w:spacing w:val="3"/>
        </w:rPr>
        <w:t>的气瓶，低压气瓶是指公称工作压力小于10</w:t>
      </w:r>
    </w:p>
    <w:p>
      <w:pPr>
        <w:spacing w:line="219" w:lineRule="auto"/>
        <w:sectPr>
          <w:footerReference w:type="default" r:id="rId6"/>
          <w:pgSz w:w="11910" w:h="16840"/>
          <w:pgMar w:top="1431" w:right="1163" w:bottom="978" w:left="1380" w:header="0" w:footer="839" w:gutter="0"/>
          <w:pgNumType w:start="3"/>
          <w:cols w:space="708"/>
        </w:sectPr>
      </w:pPr>
    </w:p>
    <w:p>
      <w:pPr>
        <w:pStyle w:val="BodyText"/>
        <w:spacing w:before="55" w:line="221" w:lineRule="auto"/>
        <w:ind w:left="26"/>
      </w:pPr>
      <w:r>
        <w:rPr>
          <w:rFonts w:ascii="Times New Roman" w:eastAsia="Times New Roman" w:hAnsi="Times New Roman" w:cs="Times New Roman"/>
          <w:spacing w:val="-18"/>
        </w:rPr>
        <w:t xml:space="preserve">MPa </w:t>
      </w:r>
      <w:r>
        <w:rPr>
          <w:spacing w:val="-18"/>
        </w:rPr>
        <w:t>的气瓶。</w:t>
      </w:r>
    </w:p>
    <w:p>
      <w:pPr>
        <w:spacing w:line="294" w:lineRule="auto"/>
      </w:pPr>
    </w:p>
    <w:p>
      <w:pPr>
        <w:spacing w:line="294" w:lineRule="auto"/>
      </w:pPr>
    </w:p>
    <w:p>
      <w:pPr>
        <w:pStyle w:val="BodyText"/>
        <w:spacing w:before="91" w:line="219" w:lineRule="auto"/>
        <w:ind w:left="26"/>
      </w:pPr>
      <w:r>
        <w:rPr>
          <w:spacing w:val="-3"/>
        </w:rPr>
        <w:t>4</w:t>
      </w:r>
      <w:r>
        <w:rPr>
          <w:spacing w:val="75"/>
        </w:rPr>
        <w:t xml:space="preserve"> </w:t>
      </w:r>
      <w:r>
        <w:rPr>
          <w:spacing w:val="-3"/>
        </w:rPr>
        <w:t>危险化学品储存柜分类、标记、标签和规格</w:t>
      </w:r>
    </w:p>
    <w:p>
      <w:pPr>
        <w:spacing w:line="354" w:lineRule="auto"/>
      </w:pPr>
    </w:p>
    <w:p>
      <w:pPr>
        <w:pStyle w:val="BodyText"/>
        <w:spacing w:before="91" w:line="219" w:lineRule="auto"/>
      </w:pPr>
      <w:r>
        <w:rPr>
          <w:b/>
          <w:bCs/>
          <w:spacing w:val="-17"/>
        </w:rPr>
        <w:t>4.1</w:t>
      </w:r>
      <w:r>
        <w:rPr>
          <w:spacing w:val="74"/>
        </w:rPr>
        <w:t xml:space="preserve"> </w:t>
      </w:r>
      <w:r>
        <w:rPr>
          <w:spacing w:val="-17"/>
        </w:rPr>
        <w:t>分类</w:t>
      </w:r>
    </w:p>
    <w:p>
      <w:pPr>
        <w:pStyle w:val="BodyText"/>
        <w:spacing w:before="296" w:line="409" w:lineRule="auto"/>
        <w:ind w:left="26" w:firstLine="580"/>
        <w:jc w:val="both"/>
      </w:pPr>
      <w:r>
        <w:rPr>
          <w:spacing w:val="-2"/>
        </w:rPr>
        <w:t>按用途分为易燃液体储存柜、可燃液体储存柜、腐蚀性液体储存柜、毒</w:t>
      </w:r>
      <w:r>
        <w:rPr>
          <w:spacing w:val="6"/>
        </w:rPr>
        <w:t xml:space="preserve"> </w:t>
      </w:r>
      <w:r>
        <w:rPr>
          <w:spacing w:val="-1"/>
        </w:rPr>
        <w:t>害品储存柜、压缩气体气瓶储存柜，并相应规定了五种储存柜柜体的基本识</w:t>
      </w:r>
    </w:p>
    <w:p>
      <w:pPr>
        <w:pStyle w:val="BodyText"/>
        <w:spacing w:before="1" w:line="219" w:lineRule="auto"/>
        <w:ind w:left="26"/>
      </w:pPr>
      <w:r>
        <w:rPr>
          <w:spacing w:val="-5"/>
        </w:rPr>
        <w:t>别色及色样，见下表1。</w:t>
      </w:r>
    </w:p>
    <w:p>
      <w:pPr>
        <w:spacing w:line="273" w:lineRule="auto"/>
      </w:pPr>
    </w:p>
    <w:p>
      <w:pPr>
        <w:spacing w:line="273" w:lineRule="auto"/>
      </w:pPr>
    </w:p>
    <w:p>
      <w:pPr>
        <w:spacing w:line="273" w:lineRule="auto"/>
      </w:pPr>
    </w:p>
    <w:p>
      <w:pPr>
        <w:pStyle w:val="BodyText"/>
        <w:spacing w:before="92" w:line="219" w:lineRule="auto"/>
        <w:ind w:left="1636"/>
      </w:pPr>
      <w:r>
        <w:rPr>
          <w:spacing w:val="2"/>
        </w:rPr>
        <w:t>表1</w:t>
      </w:r>
      <w:r>
        <w:rPr>
          <w:spacing w:val="131"/>
        </w:rPr>
        <w:t xml:space="preserve"> </w:t>
      </w:r>
      <w:r>
        <w:rPr>
          <w:spacing w:val="2"/>
        </w:rPr>
        <w:t>危险化学品储存柜柜体的基本识别色和色样</w:t>
      </w:r>
    </w:p>
    <w:p>
      <w:pPr>
        <w:spacing w:line="133" w:lineRule="exact"/>
      </w:pPr>
    </w:p>
    <w:tbl>
      <w:tblPr>
        <w:tblStyle w:val="TableNormal00"/>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14"/>
        <w:gridCol w:w="3326"/>
        <w:gridCol w:w="2307"/>
        <w:gridCol w:w="2112"/>
      </w:tblGrid>
      <w:tr>
        <w:tblPrEx>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253"/>
        </w:trPr>
        <w:tc>
          <w:tcPr>
            <w:tcW w:w="614" w:type="dxa"/>
            <w:textDirection w:val="tbRlV"/>
          </w:tcPr>
          <w:p>
            <w:pPr>
              <w:pStyle w:val="TableText"/>
              <w:spacing w:before="169" w:line="217" w:lineRule="auto"/>
              <w:ind w:left="131"/>
            </w:pPr>
            <w:r>
              <w:t>序</w:t>
            </w:r>
            <w:r>
              <w:rPr>
                <w:spacing w:val="12"/>
              </w:rPr>
              <w:t xml:space="preserve">   </w:t>
            </w:r>
            <w:r>
              <w:t>号</w:t>
            </w:r>
          </w:p>
        </w:tc>
        <w:tc>
          <w:tcPr>
            <w:tcW w:w="3326" w:type="dxa"/>
          </w:tcPr>
          <w:p>
            <w:pPr>
              <w:spacing w:line="406" w:lineRule="auto"/>
            </w:pPr>
          </w:p>
          <w:p>
            <w:pPr>
              <w:pStyle w:val="TableText"/>
              <w:spacing w:before="87" w:line="219" w:lineRule="auto"/>
              <w:ind w:left="980"/>
            </w:pPr>
            <w:r>
              <w:rPr>
                <w:spacing w:val="2"/>
              </w:rPr>
              <w:t>储存柜名称</w:t>
            </w:r>
          </w:p>
        </w:tc>
        <w:tc>
          <w:tcPr>
            <w:tcW w:w="2307" w:type="dxa"/>
          </w:tcPr>
          <w:p>
            <w:pPr>
              <w:spacing w:line="404" w:lineRule="auto"/>
            </w:pPr>
          </w:p>
          <w:p>
            <w:pPr>
              <w:pStyle w:val="TableText"/>
              <w:spacing w:before="87" w:line="219" w:lineRule="auto"/>
              <w:ind w:left="475"/>
            </w:pPr>
            <w:r>
              <w:rPr>
                <w:spacing w:val="2"/>
              </w:rPr>
              <w:t>基本识别色</w:t>
            </w:r>
          </w:p>
        </w:tc>
        <w:tc>
          <w:tcPr>
            <w:tcW w:w="2112" w:type="dxa"/>
          </w:tcPr>
          <w:p>
            <w:pPr>
              <w:spacing w:line="406" w:lineRule="auto"/>
            </w:pPr>
          </w:p>
          <w:p>
            <w:pPr>
              <w:pStyle w:val="TableText"/>
              <w:spacing w:before="87" w:line="219" w:lineRule="auto"/>
              <w:ind w:left="647"/>
            </w:pPr>
            <w:r>
              <w:rPr>
                <w:spacing w:val="-7"/>
              </w:rPr>
              <w:t>色</w:t>
            </w:r>
            <w:r>
              <w:rPr>
                <w:spacing w:val="18"/>
              </w:rPr>
              <w:t xml:space="preserve">  </w:t>
            </w:r>
            <w:r>
              <w:rPr>
                <w:spacing w:val="-7"/>
              </w:rPr>
              <w:t>样</w:t>
            </w:r>
          </w:p>
        </w:tc>
      </w:tr>
      <w:tr>
        <w:tblPrEx>
          <w:tblInd w:w="516" w:type="dxa"/>
          <w:tblLayout w:type="fixed"/>
          <w:tblCellMar>
            <w:top w:w="0" w:type="dxa"/>
            <w:left w:w="0" w:type="dxa"/>
            <w:bottom w:w="0" w:type="dxa"/>
            <w:right w:w="0" w:type="dxa"/>
          </w:tblCellMar>
          <w:tblLook w:val="0000"/>
        </w:tblPrEx>
        <w:trPr>
          <w:trHeight w:val="609"/>
        </w:trPr>
        <w:tc>
          <w:tcPr>
            <w:tcW w:w="614" w:type="dxa"/>
          </w:tcPr>
          <w:p>
            <w:pPr>
              <w:pStyle w:val="TableText"/>
              <w:spacing w:before="241" w:line="184" w:lineRule="auto"/>
              <w:ind w:left="224"/>
            </w:pPr>
            <w:r>
              <w:t>1</w:t>
            </w:r>
          </w:p>
        </w:tc>
        <w:tc>
          <w:tcPr>
            <w:tcW w:w="3326" w:type="dxa"/>
          </w:tcPr>
          <w:p>
            <w:pPr>
              <w:pStyle w:val="TableText"/>
              <w:spacing w:before="173" w:line="219" w:lineRule="auto"/>
              <w:ind w:left="710"/>
            </w:pPr>
            <w:r>
              <w:rPr>
                <w:spacing w:val="1"/>
              </w:rPr>
              <w:t>易燃液体储存柜</w:t>
            </w:r>
          </w:p>
        </w:tc>
        <w:tc>
          <w:tcPr>
            <w:tcW w:w="2307" w:type="dxa"/>
          </w:tcPr>
          <w:p>
            <w:pPr>
              <w:pStyle w:val="TableText"/>
              <w:spacing w:before="173" w:line="219" w:lineRule="auto"/>
              <w:ind w:left="874"/>
            </w:pPr>
            <w:r>
              <w:rPr>
                <w:spacing w:val="5"/>
              </w:rPr>
              <w:t>黄色</w:t>
            </w:r>
          </w:p>
        </w:tc>
        <w:tc>
          <w:tcPr>
            <w:tcW w:w="2112" w:type="dxa"/>
          </w:tcPr>
          <w:p/>
        </w:tc>
      </w:tr>
      <w:tr>
        <w:tblPrEx>
          <w:tblInd w:w="516" w:type="dxa"/>
          <w:tblLayout w:type="fixed"/>
          <w:tblCellMar>
            <w:top w:w="0" w:type="dxa"/>
            <w:left w:w="0" w:type="dxa"/>
            <w:bottom w:w="0" w:type="dxa"/>
            <w:right w:w="0" w:type="dxa"/>
          </w:tblCellMar>
          <w:tblLook w:val="0000"/>
        </w:tblPrEx>
        <w:trPr>
          <w:trHeight w:val="639"/>
        </w:trPr>
        <w:tc>
          <w:tcPr>
            <w:tcW w:w="614" w:type="dxa"/>
          </w:tcPr>
          <w:p>
            <w:pPr>
              <w:pStyle w:val="TableText"/>
              <w:spacing w:before="263" w:line="183" w:lineRule="auto"/>
              <w:ind w:left="224"/>
            </w:pPr>
            <w:r>
              <w:t>2</w:t>
            </w:r>
          </w:p>
        </w:tc>
        <w:tc>
          <w:tcPr>
            <w:tcW w:w="3326" w:type="dxa"/>
          </w:tcPr>
          <w:p>
            <w:pPr>
              <w:pStyle w:val="TableText"/>
              <w:spacing w:before="194" w:line="219" w:lineRule="auto"/>
              <w:ind w:left="710"/>
            </w:pPr>
            <w:r>
              <w:rPr>
                <w:spacing w:val="1"/>
              </w:rPr>
              <w:t>可燃液体储存柜</w:t>
            </w:r>
          </w:p>
        </w:tc>
        <w:tc>
          <w:tcPr>
            <w:tcW w:w="2307" w:type="dxa"/>
          </w:tcPr>
          <w:p>
            <w:pPr>
              <w:pStyle w:val="TableText"/>
              <w:spacing w:before="209" w:line="229" w:lineRule="auto"/>
              <w:ind w:left="874"/>
            </w:pPr>
            <w:r>
              <w:rPr>
                <w:spacing w:val="5"/>
              </w:rPr>
              <w:t>红色</w:t>
            </w:r>
          </w:p>
        </w:tc>
        <w:tc>
          <w:tcPr>
            <w:tcW w:w="2112" w:type="dxa"/>
          </w:tcPr>
          <w:p/>
        </w:tc>
      </w:tr>
      <w:tr>
        <w:tblPrEx>
          <w:tblInd w:w="516" w:type="dxa"/>
          <w:tblLayout w:type="fixed"/>
          <w:tblCellMar>
            <w:top w:w="0" w:type="dxa"/>
            <w:left w:w="0" w:type="dxa"/>
            <w:bottom w:w="0" w:type="dxa"/>
            <w:right w:w="0" w:type="dxa"/>
          </w:tblCellMar>
          <w:tblLook w:val="0000"/>
        </w:tblPrEx>
        <w:trPr>
          <w:trHeight w:val="1856"/>
        </w:trPr>
        <w:tc>
          <w:tcPr>
            <w:tcW w:w="614" w:type="dxa"/>
          </w:tcPr>
          <w:p>
            <w:pPr>
              <w:spacing w:line="260" w:lineRule="auto"/>
            </w:pPr>
          </w:p>
          <w:p>
            <w:pPr>
              <w:spacing w:line="261" w:lineRule="auto"/>
            </w:pPr>
          </w:p>
          <w:p>
            <w:pPr>
              <w:spacing w:line="261" w:lineRule="auto"/>
            </w:pPr>
          </w:p>
          <w:p>
            <w:pPr>
              <w:pStyle w:val="TableText"/>
              <w:spacing w:before="88" w:line="183" w:lineRule="auto"/>
              <w:ind w:left="224"/>
            </w:pPr>
            <w:r>
              <w:t>3</w:t>
            </w:r>
          </w:p>
        </w:tc>
        <w:tc>
          <w:tcPr>
            <w:tcW w:w="3326" w:type="dxa"/>
          </w:tcPr>
          <w:p>
            <w:pPr>
              <w:spacing w:line="356" w:lineRule="auto"/>
            </w:pPr>
          </w:p>
          <w:p>
            <w:pPr>
              <w:spacing w:line="357" w:lineRule="auto"/>
            </w:pPr>
          </w:p>
          <w:p>
            <w:pPr>
              <w:pStyle w:val="TableText"/>
              <w:spacing w:before="87" w:line="219" w:lineRule="auto"/>
              <w:ind w:left="571"/>
            </w:pPr>
            <w:r>
              <w:rPr>
                <w:spacing w:val="1"/>
              </w:rPr>
              <w:t>腐蚀性液体储存柜</w:t>
            </w:r>
          </w:p>
        </w:tc>
        <w:tc>
          <w:tcPr>
            <w:tcW w:w="2307" w:type="dxa"/>
          </w:tcPr>
          <w:p>
            <w:pPr>
              <w:pStyle w:val="TableText"/>
              <w:spacing w:before="209" w:line="222" w:lineRule="auto"/>
              <w:ind w:left="475"/>
            </w:pPr>
            <w:r>
              <w:rPr>
                <w:spacing w:val="2"/>
              </w:rPr>
              <w:t>蓝色或白色</w:t>
            </w:r>
          </w:p>
          <w:p>
            <w:pPr>
              <w:pStyle w:val="TableText"/>
              <w:spacing w:before="269" w:line="219" w:lineRule="auto"/>
              <w:ind w:left="264"/>
            </w:pPr>
            <w:r>
              <w:rPr>
                <w:spacing w:val="2"/>
              </w:rPr>
              <w:t>(根据柜体材料</w:t>
            </w:r>
          </w:p>
          <w:p>
            <w:pPr>
              <w:pStyle w:val="TableText"/>
              <w:spacing w:before="302" w:line="221" w:lineRule="auto"/>
              <w:ind w:left="804"/>
            </w:pPr>
            <w:r>
              <w:rPr>
                <w:spacing w:val="21"/>
              </w:rPr>
              <w:t>选择)</w:t>
            </w:r>
          </w:p>
        </w:tc>
        <w:tc>
          <w:tcPr>
            <w:tcW w:w="2112" w:type="dxa"/>
          </w:tcPr>
          <w:p/>
        </w:tc>
      </w:tr>
      <w:tr>
        <w:tblPrEx>
          <w:tblInd w:w="516" w:type="dxa"/>
          <w:tblLayout w:type="fixed"/>
          <w:tblCellMar>
            <w:top w:w="0" w:type="dxa"/>
            <w:left w:w="0" w:type="dxa"/>
            <w:bottom w:w="0" w:type="dxa"/>
            <w:right w:w="0" w:type="dxa"/>
          </w:tblCellMar>
          <w:tblLook w:val="0000"/>
        </w:tblPrEx>
        <w:trPr>
          <w:trHeight w:val="639"/>
        </w:trPr>
        <w:tc>
          <w:tcPr>
            <w:tcW w:w="614" w:type="dxa"/>
          </w:tcPr>
          <w:p>
            <w:pPr>
              <w:pStyle w:val="TableText"/>
              <w:spacing w:before="268" w:line="183" w:lineRule="auto"/>
              <w:ind w:left="224"/>
            </w:pPr>
            <w:r>
              <w:t>4</w:t>
            </w:r>
          </w:p>
        </w:tc>
        <w:tc>
          <w:tcPr>
            <w:tcW w:w="3326" w:type="dxa"/>
          </w:tcPr>
          <w:p>
            <w:pPr>
              <w:pStyle w:val="TableText"/>
              <w:spacing w:before="199" w:line="219" w:lineRule="auto"/>
              <w:ind w:left="841"/>
            </w:pPr>
            <w:r>
              <w:rPr>
                <w:spacing w:val="2"/>
              </w:rPr>
              <w:t>毒害品储存柜</w:t>
            </w:r>
          </w:p>
        </w:tc>
        <w:tc>
          <w:tcPr>
            <w:tcW w:w="2307" w:type="dxa"/>
          </w:tcPr>
          <w:p>
            <w:pPr>
              <w:pStyle w:val="TableText"/>
              <w:spacing w:before="199" w:line="219" w:lineRule="auto"/>
              <w:ind w:left="745"/>
            </w:pPr>
            <w:r>
              <w:rPr>
                <w:spacing w:val="3"/>
              </w:rPr>
              <w:t>灰白色</w:t>
            </w:r>
          </w:p>
        </w:tc>
        <w:tc>
          <w:tcPr>
            <w:tcW w:w="2112" w:type="dxa"/>
          </w:tcPr>
          <w:p/>
        </w:tc>
      </w:tr>
      <w:tr>
        <w:tblPrEx>
          <w:tblInd w:w="516" w:type="dxa"/>
          <w:tblLayout w:type="fixed"/>
          <w:tblCellMar>
            <w:top w:w="0" w:type="dxa"/>
            <w:left w:w="0" w:type="dxa"/>
            <w:bottom w:w="0" w:type="dxa"/>
            <w:right w:w="0" w:type="dxa"/>
          </w:tblCellMar>
          <w:tblLook w:val="0000"/>
        </w:tblPrEx>
        <w:trPr>
          <w:trHeight w:val="614"/>
        </w:trPr>
        <w:tc>
          <w:tcPr>
            <w:tcW w:w="614" w:type="dxa"/>
          </w:tcPr>
          <w:p>
            <w:pPr>
              <w:pStyle w:val="TableText"/>
              <w:spacing w:before="251" w:line="182" w:lineRule="auto"/>
              <w:ind w:left="224"/>
            </w:pPr>
            <w:r>
              <w:t>5</w:t>
            </w:r>
          </w:p>
        </w:tc>
        <w:tc>
          <w:tcPr>
            <w:tcW w:w="3326" w:type="dxa"/>
          </w:tcPr>
          <w:p>
            <w:pPr>
              <w:pStyle w:val="TableText"/>
              <w:spacing w:before="178" w:line="219" w:lineRule="auto"/>
              <w:ind w:left="440"/>
            </w:pPr>
            <w:r>
              <w:rPr>
                <w:spacing w:val="1"/>
              </w:rPr>
              <w:t>压缩气体气瓶储存柜</w:t>
            </w:r>
          </w:p>
        </w:tc>
        <w:tc>
          <w:tcPr>
            <w:tcW w:w="2307" w:type="dxa"/>
          </w:tcPr>
          <w:p>
            <w:pPr>
              <w:pStyle w:val="TableText"/>
              <w:spacing w:before="180" w:line="219" w:lineRule="auto"/>
              <w:ind w:left="874"/>
            </w:pPr>
            <w:r>
              <w:rPr>
                <w:spacing w:val="5"/>
              </w:rPr>
              <w:t>灰色</w:t>
            </w:r>
          </w:p>
        </w:tc>
        <w:tc>
          <w:tcPr>
            <w:tcW w:w="2112" w:type="dxa"/>
          </w:tcPr>
          <w:p/>
        </w:tc>
      </w:tr>
    </w:tbl>
    <w:p>
      <w:pPr>
        <w:spacing w:line="355" w:lineRule="auto"/>
      </w:pPr>
    </w:p>
    <w:p>
      <w:pPr>
        <w:spacing w:line="356" w:lineRule="auto"/>
      </w:pPr>
    </w:p>
    <w:p>
      <w:pPr>
        <w:pStyle w:val="BodyText"/>
        <w:spacing w:before="92" w:line="220" w:lineRule="auto"/>
      </w:pPr>
      <w:r>
        <w:rPr>
          <w:b/>
          <w:bCs/>
          <w:spacing w:val="-20"/>
        </w:rPr>
        <w:t>4.2</w:t>
      </w:r>
      <w:r>
        <w:rPr>
          <w:spacing w:val="50"/>
        </w:rPr>
        <w:t xml:space="preserve"> </w:t>
      </w:r>
      <w:r>
        <w:rPr>
          <w:spacing w:val="-20"/>
        </w:rPr>
        <w:t>标记</w:t>
      </w:r>
    </w:p>
    <w:p>
      <w:pPr>
        <w:pStyle w:val="BodyText"/>
        <w:spacing w:before="285" w:line="219" w:lineRule="auto"/>
        <w:ind w:right="40"/>
        <w:jc w:val="right"/>
      </w:pPr>
      <w:r>
        <w:rPr>
          <w:spacing w:val="-3"/>
        </w:rPr>
        <w:t>危险化学品储存柜按下述方式进行标记，属于非标产品的在</w:t>
      </w:r>
      <w:r>
        <w:rPr>
          <w:spacing w:val="-4"/>
        </w:rPr>
        <w:t>后面注明：</w:t>
      </w:r>
    </w:p>
    <w:p>
      <w:pPr>
        <w:spacing w:line="219" w:lineRule="auto"/>
        <w:sectPr>
          <w:footerReference w:type="default" r:id="rId7"/>
          <w:pgSz w:w="11910" w:h="16840"/>
          <w:pgMar w:top="1387" w:right="1276" w:bottom="981" w:left="1383" w:header="0" w:footer="852" w:gutter="0"/>
          <w:pgNumType w:start="4"/>
          <w:cols w:space="708"/>
        </w:sectPr>
      </w:pPr>
    </w:p>
    <w:p>
      <w:pPr>
        <w:spacing w:before="69"/>
      </w:pPr>
    </w:p>
    <w:p>
      <w:pPr>
        <w:sectPr>
          <w:footerReference w:type="default" r:id="rId8"/>
          <w:pgSz w:w="11910" w:h="16840"/>
          <w:pgMar w:top="1431" w:right="1685" w:bottom="977" w:left="1400" w:header="0" w:footer="839" w:gutter="0"/>
          <w:pgNumType w:start="5"/>
          <w:cols w:space="708"/>
        </w:sectPr>
      </w:pPr>
    </w:p>
    <w:p>
      <w:pPr>
        <w:spacing w:before="92" w:line="157" w:lineRule="auto"/>
        <w:ind w:left="240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253pt;height:135.5pt;margin-top:-7.6pt;margin-left:116.95pt;mso-wrap-distance-left:0;mso-wrap-distance-right:0;position:absolute;z-index:-251658240" o:preferrelative="t" filled="f" stroked="f">
            <v:fill o:detectmouseclick="t"/>
            <v:imagedata r:id="rId9" o:title=""/>
            <v:path o:extrusionok="f"/>
            <o:lock v:ext="edit" aspectratio="f"/>
          </v:shape>
        </w:pict>
      </w:r>
      <w:r>
        <w:rPr>
          <w:rFonts w:ascii="Arial" w:eastAsia="Arial" w:hAnsi="Arial" w:cs="Arial"/>
          <w:spacing w:val="-1"/>
          <w:sz w:val="18"/>
          <w:szCs w:val="18"/>
        </w:rPr>
        <w:t>WHPG</w:t>
      </w:r>
    </w:p>
    <w:p>
      <w:pPr>
        <w:spacing w:line="14" w:lineRule="auto"/>
        <w:rPr>
          <w:sz w:val="2"/>
        </w:rPr>
      </w:pPr>
      <w:r>
        <w:rPr>
          <w:rFonts w:ascii="Arial" w:eastAsia="Arial" w:hAnsi="Arial" w:cs="Arial"/>
          <w:sz w:val="2"/>
          <w:szCs w:val="2"/>
        </w:rPr>
        <w:br w:type="column"/>
      </w:r>
    </w:p>
    <w:p>
      <w:pPr>
        <w:pStyle w:val="BodyText"/>
        <w:spacing w:before="34" w:line="197" w:lineRule="auto"/>
        <w:rPr>
          <w:sz w:val="18"/>
          <w:szCs w:val="18"/>
        </w:rPr>
      </w:pPr>
      <w:r>
        <w:rPr>
          <w:spacing w:val="-16"/>
          <w:w w:val="99"/>
          <w:sz w:val="18"/>
          <w:szCs w:val="18"/>
        </w:rPr>
        <w:t>(</w:t>
      </w:r>
      <w:r>
        <w:rPr>
          <w:spacing w:val="-15"/>
          <w:sz w:val="18"/>
          <w:szCs w:val="18"/>
        </w:rPr>
        <w:t xml:space="preserve"> </w:t>
      </w:r>
      <w:r>
        <w:rPr>
          <w:spacing w:val="-16"/>
          <w:w w:val="99"/>
          <w:sz w:val="18"/>
          <w:szCs w:val="18"/>
        </w:rPr>
        <w:t>非</w:t>
      </w:r>
      <w:r>
        <w:rPr>
          <w:spacing w:val="-18"/>
          <w:sz w:val="18"/>
          <w:szCs w:val="18"/>
        </w:rPr>
        <w:t xml:space="preserve"> </w:t>
      </w:r>
      <w:r>
        <w:rPr>
          <w:spacing w:val="-16"/>
          <w:w w:val="99"/>
          <w:sz w:val="18"/>
          <w:szCs w:val="18"/>
        </w:rPr>
        <w:t>)</w:t>
      </w:r>
    </w:p>
    <w:p>
      <w:pPr>
        <w:spacing w:line="197" w:lineRule="auto"/>
        <w:rPr>
          <w:sz w:val="18"/>
          <w:szCs w:val="18"/>
        </w:rPr>
        <w:sectPr>
          <w:footerReference w:type="default" r:id="rId10"/>
          <w:type w:val="continuous"/>
          <w:pgSz w:w="11910" w:h="16840"/>
          <w:pgMar w:top="1431" w:right="1685" w:bottom="977" w:left="1400" w:header="0" w:footer="839" w:gutter="0"/>
          <w:pgNumType w:start="6"/>
          <w:cols w:num="2" w:space="100" w:equalWidth="0">
            <w:col w:w="5440" w:space="100"/>
            <w:col w:w="3286" w:space="0"/>
          </w:cols>
        </w:sectPr>
      </w:pPr>
    </w:p>
    <w:p>
      <w:pPr>
        <w:spacing w:line="286" w:lineRule="auto"/>
      </w:pPr>
    </w:p>
    <w:p>
      <w:pPr>
        <w:spacing w:line="287" w:lineRule="auto"/>
      </w:pPr>
    </w:p>
    <w:p>
      <w:pPr>
        <w:spacing w:line="287" w:lineRule="auto"/>
      </w:pPr>
    </w:p>
    <w:p>
      <w:pPr>
        <w:spacing w:before="46" w:line="229" w:lineRule="auto"/>
        <w:ind w:left="5750"/>
        <w:rPr>
          <w:rFonts w:ascii="YouYuan" w:eastAsia="YouYuan" w:hAnsi="YouYuan" w:cs="YouYuan"/>
          <w:sz w:val="14"/>
          <w:szCs w:val="14"/>
        </w:rPr>
      </w:pPr>
      <w:r>
        <w:rPr>
          <w:rFonts w:ascii="YouYuan" w:eastAsia="YouYuan" w:hAnsi="YouYuan" w:cs="YouYuan"/>
          <w:spacing w:val="-1"/>
          <w:sz w:val="14"/>
          <w:szCs w:val="14"/>
        </w:rPr>
        <w:t>容积</w:t>
      </w:r>
    </w:p>
    <w:p>
      <w:pPr>
        <w:spacing w:line="351" w:lineRule="auto"/>
      </w:pPr>
    </w:p>
    <w:p>
      <w:pPr>
        <w:pStyle w:val="BodyText"/>
        <w:spacing w:before="46" w:line="221" w:lineRule="auto"/>
        <w:ind w:left="5720"/>
        <w:rPr>
          <w:sz w:val="14"/>
          <w:szCs w:val="14"/>
        </w:rPr>
      </w:pPr>
      <w:r>
        <w:rPr>
          <w:rFonts w:ascii="黑体" w:eastAsia="黑体" w:hAnsi="黑体" w:cs="黑体"/>
          <w:spacing w:val="-1"/>
          <w:sz w:val="14"/>
          <w:szCs w:val="14"/>
        </w:rPr>
        <w:t>产品分类</w:t>
      </w:r>
      <w:r>
        <w:rPr>
          <w:spacing w:val="-1"/>
          <w:sz w:val="14"/>
          <w:szCs w:val="14"/>
        </w:rPr>
        <w:t>(Y、K、F、D、Q)</w:t>
      </w:r>
    </w:p>
    <w:p>
      <w:pPr>
        <w:spacing w:line="433" w:lineRule="auto"/>
      </w:pPr>
    </w:p>
    <w:p>
      <w:pPr>
        <w:pStyle w:val="BodyText"/>
        <w:spacing w:before="46" w:line="219" w:lineRule="auto"/>
        <w:ind w:left="5761"/>
        <w:rPr>
          <w:sz w:val="14"/>
          <w:szCs w:val="14"/>
        </w:rPr>
      </w:pPr>
      <w:r>
        <w:rPr>
          <w:b/>
          <w:bCs/>
          <w:spacing w:val="-9"/>
          <w:sz w:val="14"/>
          <w:szCs w:val="14"/>
        </w:rPr>
        <w:t>危险化学品储存柜</w:t>
      </w:r>
    </w:p>
    <w:p>
      <w:pPr>
        <w:spacing w:line="352" w:lineRule="auto"/>
      </w:pPr>
    </w:p>
    <w:p>
      <w:pPr>
        <w:pStyle w:val="BodyText"/>
        <w:spacing w:before="88" w:line="221" w:lineRule="auto"/>
        <w:ind w:left="560"/>
        <w:rPr>
          <w:sz w:val="27"/>
          <w:szCs w:val="27"/>
        </w:rPr>
      </w:pPr>
      <w:r>
        <w:rPr>
          <w:spacing w:val="-11"/>
          <w:sz w:val="27"/>
          <w:szCs w:val="27"/>
        </w:rPr>
        <w:t>示例：</w:t>
      </w:r>
    </w:p>
    <w:p>
      <w:pPr>
        <w:spacing w:line="364" w:lineRule="auto"/>
      </w:pPr>
    </w:p>
    <w:p>
      <w:pPr>
        <w:spacing w:before="51" w:line="188" w:lineRule="auto"/>
        <w:ind w:left="560"/>
        <w:rPr>
          <w:rFonts w:ascii="Times New Roman" w:eastAsia="Times New Roman" w:hAnsi="Times New Roman" w:cs="Times New Roman"/>
          <w:sz w:val="18"/>
          <w:szCs w:val="18"/>
        </w:rPr>
      </w:pPr>
      <w:r>
        <w:rPr>
          <w:rFonts w:ascii="Times New Roman" w:eastAsia="Times New Roman" w:hAnsi="Times New Roman" w:cs="Times New Roman"/>
          <w:spacing w:val="-1"/>
          <w:sz w:val="18"/>
          <w:szCs w:val="18"/>
        </w:rPr>
        <w:t>WHPG-Y-45</w:t>
      </w:r>
    </w:p>
    <w:p>
      <w:pPr>
        <w:spacing w:line="255" w:lineRule="auto"/>
      </w:pPr>
    </w:p>
    <w:p>
      <w:pPr>
        <w:pStyle w:val="BodyText"/>
        <w:spacing w:before="88" w:line="621" w:lineRule="exact"/>
        <w:ind w:left="560"/>
        <w:rPr>
          <w:sz w:val="27"/>
          <w:szCs w:val="27"/>
        </w:rPr>
      </w:pPr>
      <w:r>
        <w:rPr>
          <w:spacing w:val="4"/>
          <w:position w:val="26"/>
          <w:sz w:val="27"/>
          <w:szCs w:val="27"/>
        </w:rPr>
        <w:t>体积为45</w:t>
      </w:r>
      <w:r>
        <w:rPr>
          <w:rFonts w:ascii="Times New Roman" w:eastAsia="Times New Roman" w:hAnsi="Times New Roman" w:cs="Times New Roman"/>
          <w:spacing w:val="4"/>
          <w:position w:val="26"/>
          <w:sz w:val="27"/>
          <w:szCs w:val="27"/>
        </w:rPr>
        <w:t>L</w:t>
      </w:r>
      <w:r>
        <w:rPr>
          <w:spacing w:val="4"/>
          <w:position w:val="26"/>
          <w:sz w:val="27"/>
          <w:szCs w:val="27"/>
        </w:rPr>
        <w:t>的易燃液体储存柜</w:t>
      </w:r>
    </w:p>
    <w:p>
      <w:pPr>
        <w:pStyle w:val="BodyText"/>
        <w:spacing w:line="220" w:lineRule="auto"/>
        <w:ind w:left="560"/>
        <w:rPr>
          <w:sz w:val="27"/>
          <w:szCs w:val="27"/>
        </w:rPr>
      </w:pPr>
      <w:r>
        <w:rPr>
          <w:rFonts w:ascii="Times New Roman" w:eastAsia="Times New Roman" w:hAnsi="Times New Roman" w:cs="Times New Roman"/>
          <w:spacing w:val="-20"/>
          <w:sz w:val="27"/>
          <w:szCs w:val="27"/>
        </w:rPr>
        <w:t xml:space="preserve">WHPG-K-40  </w:t>
      </w:r>
      <w:r>
        <w:rPr>
          <w:spacing w:val="-20"/>
          <w:sz w:val="27"/>
          <w:szCs w:val="27"/>
        </w:rPr>
        <w:t>(</w:t>
      </w:r>
      <w:r>
        <w:rPr>
          <w:spacing w:val="-41"/>
          <w:sz w:val="27"/>
          <w:szCs w:val="27"/>
        </w:rPr>
        <w:t xml:space="preserve"> </w:t>
      </w:r>
      <w:r>
        <w:rPr>
          <w:spacing w:val="-20"/>
          <w:sz w:val="27"/>
          <w:szCs w:val="27"/>
        </w:rPr>
        <w:t>非</w:t>
      </w:r>
      <w:r>
        <w:rPr>
          <w:spacing w:val="-55"/>
          <w:sz w:val="27"/>
          <w:szCs w:val="27"/>
        </w:rPr>
        <w:t xml:space="preserve"> </w:t>
      </w:r>
      <w:r>
        <w:rPr>
          <w:spacing w:val="-20"/>
          <w:sz w:val="27"/>
          <w:szCs w:val="27"/>
        </w:rPr>
        <w:t>)</w:t>
      </w:r>
    </w:p>
    <w:p>
      <w:pPr>
        <w:pStyle w:val="BodyText"/>
        <w:spacing w:before="296" w:line="219" w:lineRule="auto"/>
        <w:ind w:left="610"/>
        <w:rPr>
          <w:sz w:val="27"/>
          <w:szCs w:val="27"/>
        </w:rPr>
      </w:pPr>
      <w:r>
        <w:rPr>
          <w:spacing w:val="5"/>
          <w:sz w:val="27"/>
          <w:szCs w:val="27"/>
        </w:rPr>
        <w:t>体积为40</w:t>
      </w:r>
      <w:r>
        <w:rPr>
          <w:rFonts w:ascii="Times New Roman" w:eastAsia="Times New Roman" w:hAnsi="Times New Roman" w:cs="Times New Roman"/>
          <w:spacing w:val="5"/>
          <w:sz w:val="27"/>
          <w:szCs w:val="27"/>
        </w:rPr>
        <w:t>L</w:t>
      </w:r>
      <w:r>
        <w:rPr>
          <w:spacing w:val="5"/>
          <w:sz w:val="27"/>
          <w:szCs w:val="27"/>
        </w:rPr>
        <w:t>的非标准墙角用可燃液体储存柜</w:t>
      </w:r>
    </w:p>
    <w:p>
      <w:pPr>
        <w:spacing w:line="282" w:lineRule="auto"/>
      </w:pPr>
    </w:p>
    <w:p>
      <w:pPr>
        <w:spacing w:line="282" w:lineRule="auto"/>
      </w:pPr>
    </w:p>
    <w:p>
      <w:pPr>
        <w:spacing w:line="282" w:lineRule="auto"/>
      </w:pPr>
    </w:p>
    <w:p>
      <w:pPr>
        <w:pStyle w:val="BodyText"/>
        <w:spacing w:before="88" w:line="219" w:lineRule="auto"/>
        <w:ind w:left="1329"/>
        <w:rPr>
          <w:sz w:val="27"/>
          <w:szCs w:val="27"/>
        </w:rPr>
      </w:pPr>
      <w:r>
        <w:rPr>
          <w:spacing w:val="7"/>
          <w:sz w:val="27"/>
          <w:szCs w:val="27"/>
        </w:rPr>
        <w:t>表</w:t>
      </w:r>
      <w:r>
        <w:rPr>
          <w:spacing w:val="-22"/>
          <w:sz w:val="27"/>
          <w:szCs w:val="27"/>
        </w:rPr>
        <w:t xml:space="preserve"> </w:t>
      </w:r>
      <w:r>
        <w:rPr>
          <w:spacing w:val="7"/>
          <w:sz w:val="27"/>
          <w:szCs w:val="27"/>
        </w:rPr>
        <w:t>2</w:t>
      </w:r>
      <w:r>
        <w:rPr>
          <w:spacing w:val="118"/>
          <w:sz w:val="27"/>
          <w:szCs w:val="27"/>
        </w:rPr>
        <w:t xml:space="preserve"> </w:t>
      </w:r>
      <w:r>
        <w:rPr>
          <w:spacing w:val="7"/>
          <w:sz w:val="27"/>
          <w:szCs w:val="27"/>
        </w:rPr>
        <w:t>危险化学品储存柜标记底色的基本识别色、色样</w:t>
      </w:r>
    </w:p>
    <w:p>
      <w:pPr>
        <w:spacing w:line="126" w:lineRule="exact"/>
      </w:pPr>
    </w:p>
    <w:tbl>
      <w:tblPr>
        <w:tblStyle w:val="TableNormal1"/>
        <w:tblInd w:w="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84"/>
        <w:gridCol w:w="2786"/>
        <w:gridCol w:w="2867"/>
        <w:gridCol w:w="2022"/>
      </w:tblGrid>
      <w:tr>
        <w:tblPrEx>
          <w:tblInd w:w="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252"/>
        </w:trPr>
        <w:tc>
          <w:tcPr>
            <w:tcW w:w="584" w:type="dxa"/>
            <w:textDirection w:val="tbRlV"/>
          </w:tcPr>
          <w:p>
            <w:pPr>
              <w:pStyle w:val="TableText"/>
              <w:spacing w:before="159" w:line="217" w:lineRule="auto"/>
              <w:ind w:left="140"/>
            </w:pPr>
            <w:r>
              <w:t>序</w:t>
            </w:r>
            <w:r>
              <w:rPr>
                <w:spacing w:val="5"/>
              </w:rPr>
              <w:t xml:space="preserve">   </w:t>
            </w:r>
            <w:r>
              <w:t>号</w:t>
            </w:r>
          </w:p>
        </w:tc>
        <w:tc>
          <w:tcPr>
            <w:tcW w:w="2786" w:type="dxa"/>
          </w:tcPr>
          <w:p>
            <w:pPr>
              <w:spacing w:line="409" w:lineRule="auto"/>
            </w:pPr>
          </w:p>
          <w:p>
            <w:pPr>
              <w:pStyle w:val="TableText"/>
              <w:spacing w:before="88" w:line="221" w:lineRule="auto"/>
              <w:ind w:left="1110"/>
            </w:pPr>
            <w:r>
              <w:rPr>
                <w:spacing w:val="6"/>
              </w:rPr>
              <w:t>名称</w:t>
            </w:r>
          </w:p>
        </w:tc>
        <w:tc>
          <w:tcPr>
            <w:tcW w:w="2867" w:type="dxa"/>
          </w:tcPr>
          <w:p>
            <w:pPr>
              <w:spacing w:line="404" w:lineRule="auto"/>
            </w:pPr>
          </w:p>
          <w:p>
            <w:pPr>
              <w:pStyle w:val="TableText"/>
              <w:spacing w:before="87" w:line="219" w:lineRule="auto"/>
              <w:ind w:left="755"/>
            </w:pPr>
            <w:r>
              <w:rPr>
                <w:spacing w:val="2"/>
              </w:rPr>
              <w:t>基本识别色</w:t>
            </w:r>
          </w:p>
        </w:tc>
        <w:tc>
          <w:tcPr>
            <w:tcW w:w="2022" w:type="dxa"/>
          </w:tcPr>
          <w:p>
            <w:pPr>
              <w:spacing w:line="406" w:lineRule="auto"/>
            </w:pPr>
          </w:p>
          <w:p>
            <w:pPr>
              <w:pStyle w:val="TableText"/>
              <w:spacing w:before="87" w:line="219" w:lineRule="auto"/>
              <w:ind w:left="617"/>
            </w:pPr>
            <w:r>
              <w:rPr>
                <w:spacing w:val="-7"/>
              </w:rPr>
              <w:t>色</w:t>
            </w:r>
            <w:r>
              <w:rPr>
                <w:spacing w:val="23"/>
              </w:rPr>
              <w:t xml:space="preserve">  </w:t>
            </w:r>
            <w:r>
              <w:rPr>
                <w:spacing w:val="-7"/>
              </w:rPr>
              <w:t>样</w:t>
            </w:r>
          </w:p>
        </w:tc>
      </w:tr>
      <w:tr>
        <w:tblPrEx>
          <w:tblInd w:w="560" w:type="dxa"/>
          <w:tblLayout w:type="fixed"/>
          <w:tblCellMar>
            <w:top w:w="0" w:type="dxa"/>
            <w:left w:w="0" w:type="dxa"/>
            <w:bottom w:w="0" w:type="dxa"/>
            <w:right w:w="0" w:type="dxa"/>
          </w:tblCellMar>
          <w:tblLook w:val="0000"/>
        </w:tblPrEx>
        <w:trPr>
          <w:trHeight w:val="619"/>
        </w:trPr>
        <w:tc>
          <w:tcPr>
            <w:tcW w:w="584" w:type="dxa"/>
          </w:tcPr>
          <w:p>
            <w:pPr>
              <w:pStyle w:val="TableText"/>
              <w:spacing w:before="252" w:line="184" w:lineRule="auto"/>
              <w:ind w:left="214"/>
            </w:pPr>
            <w:r>
              <w:t>1</w:t>
            </w:r>
          </w:p>
        </w:tc>
        <w:tc>
          <w:tcPr>
            <w:tcW w:w="2786" w:type="dxa"/>
          </w:tcPr>
          <w:p>
            <w:pPr>
              <w:pStyle w:val="TableText"/>
              <w:spacing w:before="184" w:line="219" w:lineRule="auto"/>
              <w:ind w:left="170"/>
            </w:pPr>
            <w:r>
              <w:rPr>
                <w:spacing w:val="1"/>
              </w:rPr>
              <w:t>易燃液体储存柜标记</w:t>
            </w:r>
          </w:p>
        </w:tc>
        <w:tc>
          <w:tcPr>
            <w:tcW w:w="2867" w:type="dxa"/>
          </w:tcPr>
          <w:p>
            <w:pPr>
              <w:pStyle w:val="TableText"/>
              <w:spacing w:before="199" w:line="229" w:lineRule="auto"/>
              <w:ind w:left="1154"/>
            </w:pPr>
            <w:r>
              <w:rPr>
                <w:spacing w:val="5"/>
              </w:rPr>
              <w:t>红色</w:t>
            </w:r>
          </w:p>
        </w:tc>
        <w:tc>
          <w:tcPr>
            <w:tcW w:w="2022" w:type="dxa"/>
          </w:tcPr>
          <w:p/>
        </w:tc>
      </w:tr>
      <w:tr>
        <w:tblPrEx>
          <w:tblInd w:w="560" w:type="dxa"/>
          <w:tblLayout w:type="fixed"/>
          <w:tblCellMar>
            <w:top w:w="0" w:type="dxa"/>
            <w:left w:w="0" w:type="dxa"/>
            <w:bottom w:w="0" w:type="dxa"/>
            <w:right w:w="0" w:type="dxa"/>
          </w:tblCellMar>
          <w:tblLook w:val="0000"/>
        </w:tblPrEx>
        <w:trPr>
          <w:trHeight w:val="629"/>
        </w:trPr>
        <w:tc>
          <w:tcPr>
            <w:tcW w:w="584" w:type="dxa"/>
          </w:tcPr>
          <w:p>
            <w:pPr>
              <w:pStyle w:val="TableText"/>
              <w:spacing w:before="254" w:line="183" w:lineRule="auto"/>
              <w:ind w:left="214"/>
            </w:pPr>
            <w:r>
              <w:t>2</w:t>
            </w:r>
          </w:p>
        </w:tc>
        <w:tc>
          <w:tcPr>
            <w:tcW w:w="2786" w:type="dxa"/>
          </w:tcPr>
          <w:p>
            <w:pPr>
              <w:pStyle w:val="TableText"/>
              <w:spacing w:before="185" w:line="219" w:lineRule="auto"/>
              <w:ind w:left="170"/>
            </w:pPr>
            <w:r>
              <w:rPr>
                <w:spacing w:val="1"/>
              </w:rPr>
              <w:t>可燃液体储存柜标记</w:t>
            </w:r>
          </w:p>
        </w:tc>
        <w:tc>
          <w:tcPr>
            <w:tcW w:w="2867" w:type="dxa"/>
          </w:tcPr>
          <w:p>
            <w:pPr>
              <w:pStyle w:val="TableText"/>
              <w:spacing w:before="185" w:line="219" w:lineRule="auto"/>
              <w:ind w:left="1154"/>
            </w:pPr>
            <w:r>
              <w:rPr>
                <w:spacing w:val="5"/>
              </w:rPr>
              <w:t>黄色</w:t>
            </w:r>
          </w:p>
        </w:tc>
        <w:tc>
          <w:tcPr>
            <w:tcW w:w="2022" w:type="dxa"/>
          </w:tcPr>
          <w:p/>
        </w:tc>
      </w:tr>
      <w:tr>
        <w:tblPrEx>
          <w:tblInd w:w="560" w:type="dxa"/>
          <w:tblLayout w:type="fixed"/>
          <w:tblCellMar>
            <w:top w:w="0" w:type="dxa"/>
            <w:left w:w="0" w:type="dxa"/>
            <w:bottom w:w="0" w:type="dxa"/>
            <w:right w:w="0" w:type="dxa"/>
          </w:tblCellMar>
          <w:tblLook w:val="0000"/>
        </w:tblPrEx>
        <w:trPr>
          <w:trHeight w:val="1248"/>
        </w:trPr>
        <w:tc>
          <w:tcPr>
            <w:tcW w:w="584" w:type="dxa"/>
          </w:tcPr>
          <w:p>
            <w:pPr>
              <w:spacing w:line="475" w:lineRule="auto"/>
            </w:pPr>
          </w:p>
          <w:p>
            <w:pPr>
              <w:pStyle w:val="TableText"/>
              <w:spacing w:before="87" w:line="183" w:lineRule="auto"/>
              <w:ind w:left="214"/>
            </w:pPr>
            <w:r>
              <w:t>3</w:t>
            </w:r>
          </w:p>
        </w:tc>
        <w:tc>
          <w:tcPr>
            <w:tcW w:w="2786" w:type="dxa"/>
          </w:tcPr>
          <w:p>
            <w:pPr>
              <w:pStyle w:val="TableText"/>
              <w:spacing w:before="215" w:line="614" w:lineRule="exact"/>
              <w:ind w:left="170"/>
            </w:pPr>
            <w:r>
              <w:rPr>
                <w:spacing w:val="1"/>
                <w:position w:val="26"/>
              </w:rPr>
              <w:t>腐蚀性液体储存柜标</w:t>
            </w:r>
          </w:p>
          <w:p>
            <w:pPr>
              <w:pStyle w:val="TableText"/>
              <w:spacing w:before="1" w:line="228" w:lineRule="auto"/>
              <w:ind w:left="1250"/>
            </w:pPr>
            <w:r>
              <w:t>记</w:t>
            </w:r>
          </w:p>
        </w:tc>
        <w:tc>
          <w:tcPr>
            <w:tcW w:w="2867" w:type="dxa"/>
          </w:tcPr>
          <w:p>
            <w:pPr>
              <w:spacing w:line="406" w:lineRule="auto"/>
            </w:pPr>
          </w:p>
          <w:p>
            <w:pPr>
              <w:pStyle w:val="TableText"/>
              <w:spacing w:before="87" w:line="219" w:lineRule="auto"/>
              <w:ind w:left="1154"/>
            </w:pPr>
            <w:r>
              <w:rPr>
                <w:spacing w:val="5"/>
              </w:rPr>
              <w:t>紫色</w:t>
            </w:r>
          </w:p>
        </w:tc>
        <w:tc>
          <w:tcPr>
            <w:tcW w:w="2022" w:type="dxa"/>
          </w:tcPr>
          <w:p/>
        </w:tc>
      </w:tr>
      <w:tr>
        <w:tblPrEx>
          <w:tblInd w:w="560" w:type="dxa"/>
          <w:tblLayout w:type="fixed"/>
          <w:tblCellMar>
            <w:top w:w="0" w:type="dxa"/>
            <w:left w:w="0" w:type="dxa"/>
            <w:bottom w:w="0" w:type="dxa"/>
            <w:right w:w="0" w:type="dxa"/>
          </w:tblCellMar>
          <w:tblLook w:val="0000"/>
        </w:tblPrEx>
        <w:trPr>
          <w:trHeight w:val="619"/>
        </w:trPr>
        <w:tc>
          <w:tcPr>
            <w:tcW w:w="584" w:type="dxa"/>
          </w:tcPr>
          <w:p>
            <w:pPr>
              <w:pStyle w:val="TableText"/>
              <w:spacing w:before="257" w:line="183" w:lineRule="auto"/>
              <w:ind w:left="214"/>
            </w:pPr>
            <w:r>
              <w:t>4</w:t>
            </w:r>
          </w:p>
        </w:tc>
        <w:tc>
          <w:tcPr>
            <w:tcW w:w="2786" w:type="dxa"/>
          </w:tcPr>
          <w:p>
            <w:pPr>
              <w:pStyle w:val="TableText"/>
              <w:spacing w:before="188" w:line="219" w:lineRule="auto"/>
              <w:ind w:left="300"/>
            </w:pPr>
            <w:r>
              <w:rPr>
                <w:spacing w:val="1"/>
              </w:rPr>
              <w:t>毒害品储存柜标记</w:t>
            </w:r>
          </w:p>
        </w:tc>
        <w:tc>
          <w:tcPr>
            <w:tcW w:w="2867" w:type="dxa"/>
          </w:tcPr>
          <w:p>
            <w:pPr>
              <w:pStyle w:val="TableText"/>
              <w:spacing w:before="195" w:line="224" w:lineRule="auto"/>
              <w:ind w:left="1154"/>
            </w:pPr>
            <w:r>
              <w:rPr>
                <w:spacing w:val="5"/>
              </w:rPr>
              <w:t>黑色</w:t>
            </w:r>
          </w:p>
        </w:tc>
        <w:tc>
          <w:tcPr>
            <w:tcW w:w="2022" w:type="dxa"/>
          </w:tcPr>
          <w:p/>
        </w:tc>
      </w:tr>
      <w:tr>
        <w:tblPrEx>
          <w:tblInd w:w="560" w:type="dxa"/>
          <w:tblLayout w:type="fixed"/>
          <w:tblCellMar>
            <w:top w:w="0" w:type="dxa"/>
            <w:left w:w="0" w:type="dxa"/>
            <w:bottom w:w="0" w:type="dxa"/>
            <w:right w:w="0" w:type="dxa"/>
          </w:tblCellMar>
          <w:tblLook w:val="0000"/>
        </w:tblPrEx>
        <w:trPr>
          <w:trHeight w:val="629"/>
        </w:trPr>
        <w:tc>
          <w:tcPr>
            <w:tcW w:w="584" w:type="dxa"/>
            <w:vMerge w:val="restart"/>
            <w:tcBorders>
              <w:bottom w:val="nil"/>
            </w:tcBorders>
          </w:tcPr>
          <w:p>
            <w:pPr>
              <w:spacing w:line="265" w:lineRule="auto"/>
            </w:pPr>
          </w:p>
          <w:p>
            <w:pPr>
              <w:spacing w:line="266" w:lineRule="auto"/>
            </w:pPr>
          </w:p>
          <w:p>
            <w:pPr>
              <w:spacing w:line="266" w:lineRule="auto"/>
            </w:pPr>
          </w:p>
          <w:p>
            <w:pPr>
              <w:pStyle w:val="TableText"/>
              <w:spacing w:before="88" w:line="182" w:lineRule="auto"/>
              <w:ind w:left="214"/>
            </w:pPr>
            <w:r>
              <w:t>5</w:t>
            </w:r>
          </w:p>
        </w:tc>
        <w:tc>
          <w:tcPr>
            <w:tcW w:w="2786" w:type="dxa"/>
            <w:vMerge w:val="restart"/>
            <w:tcBorders>
              <w:bottom w:val="nil"/>
            </w:tcBorders>
          </w:tcPr>
          <w:p>
            <w:pPr>
              <w:spacing w:line="417" w:lineRule="auto"/>
            </w:pPr>
          </w:p>
          <w:p>
            <w:pPr>
              <w:pStyle w:val="TableText"/>
              <w:spacing w:before="88" w:line="642" w:lineRule="exact"/>
              <w:ind w:left="170"/>
            </w:pPr>
            <w:r>
              <w:rPr>
                <w:spacing w:val="1"/>
                <w:position w:val="28"/>
              </w:rPr>
              <w:t>压缩气体气瓶储存柜</w:t>
            </w:r>
          </w:p>
          <w:p>
            <w:pPr>
              <w:pStyle w:val="TableText"/>
              <w:spacing w:line="220" w:lineRule="auto"/>
              <w:ind w:left="1110"/>
            </w:pPr>
            <w:r>
              <w:rPr>
                <w:spacing w:val="6"/>
              </w:rPr>
              <w:t>标记</w:t>
            </w:r>
          </w:p>
        </w:tc>
        <w:tc>
          <w:tcPr>
            <w:tcW w:w="2867" w:type="dxa"/>
          </w:tcPr>
          <w:p>
            <w:pPr>
              <w:pStyle w:val="TableText"/>
              <w:spacing w:before="190" w:line="221" w:lineRule="auto"/>
              <w:ind w:left="484"/>
            </w:pPr>
            <w:r>
              <w:rPr>
                <w:spacing w:val="7"/>
              </w:rPr>
              <w:t>红色(易燃气体)</w:t>
            </w:r>
          </w:p>
        </w:tc>
        <w:tc>
          <w:tcPr>
            <w:tcW w:w="2022" w:type="dxa"/>
          </w:tcPr>
          <w:p/>
        </w:tc>
      </w:tr>
      <w:tr>
        <w:tblPrEx>
          <w:tblInd w:w="560" w:type="dxa"/>
          <w:tblLayout w:type="fixed"/>
          <w:tblCellMar>
            <w:top w:w="0" w:type="dxa"/>
            <w:left w:w="0" w:type="dxa"/>
            <w:bottom w:w="0" w:type="dxa"/>
            <w:right w:w="0" w:type="dxa"/>
          </w:tblCellMar>
          <w:tblLook w:val="0000"/>
        </w:tblPrEx>
        <w:trPr>
          <w:trHeight w:val="1252"/>
        </w:trPr>
        <w:tc>
          <w:tcPr>
            <w:tcW w:w="584" w:type="dxa"/>
            <w:vMerge/>
            <w:tcBorders>
              <w:top w:val="nil"/>
            </w:tcBorders>
          </w:tcPr>
          <w:p/>
        </w:tc>
        <w:tc>
          <w:tcPr>
            <w:tcW w:w="2786" w:type="dxa"/>
            <w:vMerge/>
            <w:tcBorders>
              <w:top w:val="nil"/>
            </w:tcBorders>
          </w:tcPr>
          <w:p/>
        </w:tc>
        <w:tc>
          <w:tcPr>
            <w:tcW w:w="2867" w:type="dxa"/>
          </w:tcPr>
          <w:p>
            <w:pPr>
              <w:pStyle w:val="TableText"/>
              <w:spacing w:before="220" w:line="219" w:lineRule="auto"/>
              <w:ind w:right="17"/>
              <w:jc w:val="right"/>
            </w:pPr>
            <w:r>
              <w:rPr>
                <w:spacing w:val="12"/>
              </w:rPr>
              <w:t>蓝色(无毒不燃气体、</w:t>
            </w:r>
          </w:p>
          <w:p>
            <w:pPr>
              <w:pStyle w:val="TableText"/>
              <w:spacing w:before="279" w:line="219" w:lineRule="auto"/>
              <w:ind w:left="814"/>
            </w:pPr>
            <w:r>
              <w:rPr>
                <w:spacing w:val="12"/>
              </w:rPr>
              <w:t>毒性气体)</w:t>
            </w:r>
          </w:p>
        </w:tc>
        <w:tc>
          <w:tcPr>
            <w:tcW w:w="2022" w:type="dxa"/>
          </w:tcPr>
          <w:p/>
        </w:tc>
      </w:tr>
    </w:tbl>
    <w:p>
      <w:pPr>
        <w:spacing w:line="14" w:lineRule="auto"/>
        <w:rPr>
          <w:sz w:val="2"/>
        </w:rPr>
      </w:pPr>
    </w:p>
    <w:p>
      <w:pPr>
        <w:spacing w:line="14" w:lineRule="auto"/>
        <w:rPr>
          <w:sz w:val="2"/>
          <w:szCs w:val="2"/>
        </w:rPr>
        <w:sectPr>
          <w:footerReference w:type="default" r:id="rId11"/>
          <w:type w:val="continuous"/>
          <w:pgSz w:w="11910" w:h="16840"/>
          <w:pgMar w:top="1431" w:right="1685" w:bottom="977" w:left="1400" w:header="0" w:footer="839" w:gutter="0"/>
          <w:pgNumType w:start="7"/>
          <w:cols w:space="708"/>
        </w:sectPr>
      </w:pPr>
    </w:p>
    <w:p>
      <w:pPr>
        <w:spacing w:line="342" w:lineRule="auto"/>
      </w:pPr>
    </w:p>
    <w:p>
      <w:pPr>
        <w:spacing w:line="343" w:lineRule="auto"/>
      </w:pPr>
    </w:p>
    <w:p>
      <w:pPr>
        <w:pStyle w:val="BodyText"/>
        <w:spacing w:before="91" w:line="220" w:lineRule="auto"/>
        <w:ind w:left="3"/>
      </w:pPr>
      <w:r>
        <w:rPr>
          <w:b/>
          <w:bCs/>
          <w:spacing w:val="-20"/>
        </w:rPr>
        <w:t>4.3</w:t>
      </w:r>
      <w:r>
        <w:rPr>
          <w:spacing w:val="60"/>
        </w:rPr>
        <w:t xml:space="preserve"> </w:t>
      </w:r>
      <w:r>
        <w:rPr>
          <w:spacing w:val="-20"/>
        </w:rPr>
        <w:t>标签</w:t>
      </w:r>
    </w:p>
    <w:p>
      <w:pPr>
        <w:pStyle w:val="BodyText"/>
        <w:spacing w:before="280" w:line="634" w:lineRule="exact"/>
        <w:ind w:right="58"/>
        <w:jc w:val="right"/>
      </w:pPr>
      <w:r>
        <w:rPr>
          <w:spacing w:val="8"/>
          <w:position w:val="27"/>
        </w:rPr>
        <w:t>危险化学品储存柜的标签按照</w:t>
      </w:r>
      <w:r>
        <w:rPr>
          <w:position w:val="27"/>
        </w:rPr>
        <w:t>GB</w:t>
      </w:r>
      <w:r>
        <w:rPr>
          <w:spacing w:val="8"/>
          <w:position w:val="27"/>
        </w:rPr>
        <w:t>190</w:t>
      </w:r>
      <w:r>
        <w:rPr>
          <w:spacing w:val="-26"/>
          <w:position w:val="27"/>
        </w:rPr>
        <w:t xml:space="preserve"> </w:t>
      </w:r>
      <w:r>
        <w:rPr>
          <w:spacing w:val="8"/>
          <w:position w:val="27"/>
        </w:rPr>
        <w:t>的规定设置(见表2),具体详细标</w:t>
      </w:r>
    </w:p>
    <w:p>
      <w:pPr>
        <w:pStyle w:val="BodyText"/>
        <w:spacing w:line="218" w:lineRule="auto"/>
      </w:pPr>
      <w:r>
        <w:rPr>
          <w:spacing w:val="-7"/>
        </w:rPr>
        <w:t>签内容和规格见附录</w:t>
      </w:r>
      <w:r>
        <w:rPr>
          <w:rFonts w:ascii="Times New Roman" w:eastAsia="Times New Roman" w:hAnsi="Times New Roman" w:cs="Times New Roman"/>
          <w:spacing w:val="-7"/>
        </w:rPr>
        <w:t>A</w:t>
      </w:r>
      <w:r>
        <w:rPr>
          <w:spacing w:val="-7"/>
        </w:rPr>
        <w:t>。</w:t>
      </w:r>
    </w:p>
    <w:p>
      <w:pPr>
        <w:pStyle w:val="BodyText"/>
        <w:spacing w:before="279" w:line="219" w:lineRule="auto"/>
        <w:ind w:left="3"/>
      </w:pPr>
      <w:r>
        <w:rPr>
          <w:b/>
          <w:bCs/>
          <w:spacing w:val="-21"/>
        </w:rPr>
        <w:t>4.4</w:t>
      </w:r>
      <w:r>
        <w:rPr>
          <w:spacing w:val="65"/>
        </w:rPr>
        <w:t xml:space="preserve"> </w:t>
      </w:r>
      <w:r>
        <w:rPr>
          <w:spacing w:val="-21"/>
        </w:rPr>
        <w:t>规格</w:t>
      </w:r>
    </w:p>
    <w:p>
      <w:pPr>
        <w:pStyle w:val="BodyText"/>
        <w:spacing w:before="298" w:line="409" w:lineRule="auto"/>
        <w:ind w:firstLine="610"/>
        <w:jc w:val="both"/>
      </w:pPr>
      <w:r>
        <w:rPr>
          <w:spacing w:val="-1"/>
        </w:rPr>
        <w:t>易燃液体储存柜、可燃液体储存柜、腐蚀性液体储存柜及毒害品储存柜</w:t>
      </w:r>
      <w:r>
        <w:t xml:space="preserve"> </w:t>
      </w:r>
      <w:r>
        <w:rPr>
          <w:spacing w:val="4"/>
        </w:rPr>
        <w:t>的最大容积不宜超过455</w:t>
      </w:r>
      <w:r>
        <w:rPr>
          <w:rFonts w:ascii="Times New Roman" w:eastAsia="Times New Roman" w:hAnsi="Times New Roman" w:cs="Times New Roman"/>
          <w:spacing w:val="4"/>
        </w:rPr>
        <w:t>L,</w:t>
      </w:r>
      <w:r>
        <w:rPr>
          <w:rFonts w:ascii="Times New Roman" w:eastAsia="Times New Roman" w:hAnsi="Times New Roman" w:cs="Times New Roman"/>
          <w:spacing w:val="30"/>
          <w:w w:val="101"/>
        </w:rPr>
        <w:t xml:space="preserve">  </w:t>
      </w:r>
      <w:r>
        <w:rPr>
          <w:spacing w:val="4"/>
        </w:rPr>
        <w:t>常见规格有：15L、45L、83L、114L、170  L、</w:t>
      </w:r>
      <w:r>
        <w:t xml:space="preserve"> 204 L、207 L、227 L、340 L、415 L、435</w:t>
      </w:r>
      <w:r>
        <w:rPr>
          <w:spacing w:val="-1"/>
        </w:rPr>
        <w:t xml:space="preserve"> L等；压缩气体气瓶储存柜最大</w:t>
      </w:r>
    </w:p>
    <w:p>
      <w:pPr>
        <w:pStyle w:val="BodyText"/>
        <w:spacing w:line="220" w:lineRule="auto"/>
      </w:pPr>
      <w:r>
        <w:rPr>
          <w:spacing w:val="9"/>
        </w:rPr>
        <w:t xml:space="preserve">容积不宜超过220 </w:t>
      </w:r>
      <w:r>
        <w:rPr>
          <w:rFonts w:ascii="Times New Roman" w:eastAsia="Times New Roman" w:hAnsi="Times New Roman" w:cs="Times New Roman"/>
          <w:spacing w:val="9"/>
        </w:rPr>
        <w:t>L</w:t>
      </w:r>
      <w:r>
        <w:rPr>
          <w:spacing w:val="9"/>
        </w:rPr>
        <w:t>。</w:t>
      </w:r>
    </w:p>
    <w:p>
      <w:pPr>
        <w:spacing w:line="380" w:lineRule="auto"/>
      </w:pPr>
    </w:p>
    <w:p>
      <w:pPr>
        <w:pStyle w:val="BodyText"/>
        <w:spacing w:before="91" w:line="219" w:lineRule="auto"/>
        <w:ind w:left="4"/>
      </w:pPr>
      <w:r>
        <w:rPr>
          <w:b/>
          <w:bCs/>
          <w:spacing w:val="-2"/>
        </w:rPr>
        <w:t>5</w:t>
      </w:r>
      <w:r>
        <w:rPr>
          <w:spacing w:val="72"/>
        </w:rPr>
        <w:t xml:space="preserve"> </w:t>
      </w:r>
      <w:r>
        <w:rPr>
          <w:spacing w:val="-2"/>
        </w:rPr>
        <w:t>危险化学品储存柜安全技术基本要求</w:t>
      </w:r>
    </w:p>
    <w:p>
      <w:pPr>
        <w:spacing w:line="337" w:lineRule="auto"/>
      </w:pPr>
    </w:p>
    <w:p>
      <w:pPr>
        <w:pStyle w:val="BodyText"/>
        <w:spacing w:before="92" w:line="220" w:lineRule="auto"/>
        <w:ind w:left="2"/>
      </w:pPr>
      <w:r>
        <w:rPr>
          <w:b/>
          <w:bCs/>
          <w:spacing w:val="-22"/>
        </w:rPr>
        <w:t>5.1</w:t>
      </w:r>
      <w:r>
        <w:rPr>
          <w:spacing w:val="102"/>
        </w:rPr>
        <w:t xml:space="preserve"> </w:t>
      </w:r>
      <w:r>
        <w:rPr>
          <w:spacing w:val="-22"/>
        </w:rPr>
        <w:t>外观</w:t>
      </w:r>
    </w:p>
    <w:p>
      <w:pPr>
        <w:pStyle w:val="BodyText"/>
        <w:spacing w:before="295" w:line="640" w:lineRule="exact"/>
        <w:ind w:right="31"/>
        <w:jc w:val="right"/>
      </w:pPr>
      <w:r>
        <w:rPr>
          <w:spacing w:val="-1"/>
          <w:position w:val="27"/>
        </w:rPr>
        <w:t>柜体及各部件涂层色泽统一、厚薄均匀，表面应平整、光滑；金属件无</w:t>
      </w:r>
    </w:p>
    <w:p>
      <w:pPr>
        <w:pStyle w:val="BodyText"/>
        <w:spacing w:line="219" w:lineRule="auto"/>
      </w:pPr>
      <w:r>
        <w:rPr>
          <w:spacing w:val="-6"/>
        </w:rPr>
        <w:t>锈蚀，柜体焊缝均匀无毛刺。</w:t>
      </w:r>
    </w:p>
    <w:p>
      <w:pPr>
        <w:pStyle w:val="BodyText"/>
        <w:spacing w:before="279" w:line="220" w:lineRule="auto"/>
        <w:ind w:left="3"/>
      </w:pPr>
      <w:r>
        <w:rPr>
          <w:b/>
          <w:bCs/>
          <w:spacing w:val="-19"/>
        </w:rPr>
        <w:t>5.2</w:t>
      </w:r>
      <w:r>
        <w:rPr>
          <w:spacing w:val="89"/>
        </w:rPr>
        <w:t xml:space="preserve"> </w:t>
      </w:r>
      <w:r>
        <w:rPr>
          <w:spacing w:val="-19"/>
        </w:rPr>
        <w:t>工艺装配</w:t>
      </w:r>
    </w:p>
    <w:p>
      <w:pPr>
        <w:pStyle w:val="BodyText"/>
        <w:spacing w:before="295" w:line="219" w:lineRule="auto"/>
      </w:pPr>
      <w:r>
        <w:rPr>
          <w:rFonts w:ascii="Arial" w:eastAsia="Arial" w:hAnsi="Arial" w:cs="Arial"/>
          <w:b/>
          <w:bCs/>
          <w:spacing w:val="-7"/>
        </w:rPr>
        <w:t>5.2.1</w:t>
      </w:r>
      <w:r>
        <w:rPr>
          <w:rFonts w:ascii="Arial" w:eastAsia="Arial" w:hAnsi="Arial" w:cs="Arial"/>
          <w:b/>
          <w:bCs/>
          <w:spacing w:val="34"/>
        </w:rPr>
        <w:t xml:space="preserve">  </w:t>
      </w:r>
      <w:r>
        <w:rPr>
          <w:spacing w:val="-7"/>
        </w:rPr>
        <w:t>零部件的结合处应平整牢固。</w:t>
      </w:r>
    </w:p>
    <w:p>
      <w:pPr>
        <w:pStyle w:val="BodyText"/>
        <w:spacing w:before="288" w:line="219" w:lineRule="auto"/>
      </w:pPr>
      <w:r>
        <w:rPr>
          <w:rFonts w:ascii="Times New Roman" w:eastAsia="Times New Roman" w:hAnsi="Times New Roman" w:cs="Times New Roman"/>
          <w:b/>
          <w:bCs/>
          <w:spacing w:val="6"/>
        </w:rPr>
        <w:t>5.2.2</w:t>
      </w:r>
      <w:r>
        <w:rPr>
          <w:rFonts w:ascii="Times New Roman" w:eastAsia="Times New Roman" w:hAnsi="Times New Roman" w:cs="Times New Roman"/>
          <w:b/>
          <w:bCs/>
          <w:spacing w:val="36"/>
          <w:w w:val="101"/>
        </w:rPr>
        <w:t xml:space="preserve">  </w:t>
      </w:r>
      <w:r>
        <w:rPr>
          <w:spacing w:val="6"/>
        </w:rPr>
        <w:t>各种配件、连接件安装不应有少件、漏钉、透钉(预留孔、选择孔除</w:t>
      </w:r>
    </w:p>
    <w:p>
      <w:pPr>
        <w:pStyle w:val="BodyText"/>
        <w:spacing w:before="299" w:line="220" w:lineRule="auto"/>
      </w:pPr>
      <w:r>
        <w:rPr>
          <w:spacing w:val="23"/>
        </w:rPr>
        <w:t>外)。</w:t>
      </w:r>
    </w:p>
    <w:p>
      <w:pPr>
        <w:pStyle w:val="BodyText"/>
        <w:spacing w:before="295" w:line="219" w:lineRule="auto"/>
      </w:pPr>
      <w:r>
        <w:rPr>
          <w:rFonts w:ascii="Arial" w:eastAsia="Arial" w:hAnsi="Arial" w:cs="Arial"/>
          <w:b/>
          <w:bCs/>
          <w:spacing w:val="-9"/>
        </w:rPr>
        <w:t>5.2.3</w:t>
      </w:r>
      <w:r>
        <w:rPr>
          <w:rFonts w:ascii="Arial" w:eastAsia="Arial" w:hAnsi="Arial" w:cs="Arial"/>
          <w:b/>
          <w:bCs/>
          <w:spacing w:val="39"/>
          <w:w w:val="101"/>
        </w:rPr>
        <w:t xml:space="preserve">  </w:t>
      </w:r>
      <w:r>
        <w:rPr>
          <w:spacing w:val="-9"/>
        </w:rPr>
        <w:t>启闭部件安装后应使用灵活。</w:t>
      </w:r>
    </w:p>
    <w:p>
      <w:pPr>
        <w:pStyle w:val="BodyText"/>
        <w:spacing w:before="286" w:line="219" w:lineRule="auto"/>
        <w:ind w:left="3"/>
      </w:pPr>
      <w:r>
        <w:rPr>
          <w:b/>
          <w:bCs/>
          <w:spacing w:val="-21"/>
        </w:rPr>
        <w:t>5.3</w:t>
      </w:r>
      <w:r>
        <w:rPr>
          <w:spacing w:val="91"/>
        </w:rPr>
        <w:t xml:space="preserve"> </w:t>
      </w:r>
      <w:r>
        <w:rPr>
          <w:spacing w:val="-21"/>
        </w:rPr>
        <w:t>材料</w:t>
      </w:r>
    </w:p>
    <w:p>
      <w:pPr>
        <w:pStyle w:val="BodyText"/>
        <w:spacing w:before="272" w:line="638" w:lineRule="exact"/>
        <w:ind w:right="57"/>
        <w:jc w:val="right"/>
      </w:pPr>
      <w:r>
        <w:rPr>
          <w:spacing w:val="3"/>
          <w:position w:val="27"/>
        </w:rPr>
        <w:t>柜体材料可采用钢制金属材料制造，其厚度不应低于1.2</w:t>
      </w:r>
      <w:r>
        <w:rPr>
          <w:spacing w:val="122"/>
          <w:position w:val="27"/>
        </w:rPr>
        <w:t xml:space="preserve"> </w:t>
      </w:r>
      <w:r>
        <w:rPr>
          <w:rFonts w:ascii="Times New Roman" w:eastAsia="Times New Roman" w:hAnsi="Times New Roman" w:cs="Times New Roman"/>
          <w:position w:val="27"/>
        </w:rPr>
        <w:t>mm</w:t>
      </w:r>
      <w:r>
        <w:rPr>
          <w:rFonts w:ascii="Times New Roman" w:eastAsia="Times New Roman" w:hAnsi="Times New Roman" w:cs="Times New Roman"/>
          <w:spacing w:val="3"/>
          <w:position w:val="27"/>
        </w:rPr>
        <w:t xml:space="preserve">, </w:t>
      </w:r>
      <w:r>
        <w:rPr>
          <w:spacing w:val="3"/>
          <w:position w:val="27"/>
        </w:rPr>
        <w:t>其抗拉</w:t>
      </w:r>
    </w:p>
    <w:p>
      <w:pPr>
        <w:pStyle w:val="BodyText"/>
        <w:spacing w:line="219" w:lineRule="auto"/>
      </w:pPr>
      <w:r>
        <w:rPr>
          <w:spacing w:val="2"/>
        </w:rPr>
        <w:t>强度不应小于345</w:t>
      </w:r>
      <w:r>
        <w:rPr>
          <w:rFonts w:ascii="Times New Roman" w:eastAsia="Times New Roman" w:hAnsi="Times New Roman" w:cs="Times New Roman"/>
        </w:rPr>
        <w:t>MPa</w:t>
      </w:r>
      <w:r>
        <w:rPr>
          <w:spacing w:val="2"/>
        </w:rPr>
        <w:t>。抗拉强度试验宜按</w:t>
      </w:r>
      <w:r>
        <w:t>GB</w:t>
      </w:r>
      <w:r>
        <w:rPr>
          <w:spacing w:val="2"/>
        </w:rPr>
        <w:t>10409-2001</w:t>
      </w:r>
      <w:r>
        <w:rPr>
          <w:spacing w:val="-52"/>
        </w:rPr>
        <w:t xml:space="preserve"> </w:t>
      </w:r>
      <w:r>
        <w:rPr>
          <w:spacing w:val="2"/>
        </w:rPr>
        <w:t>的</w:t>
      </w:r>
      <w:r>
        <w:rPr>
          <w:spacing w:val="1"/>
        </w:rPr>
        <w:t>规定进行。腐蚀</w:t>
      </w:r>
    </w:p>
    <w:p>
      <w:pPr>
        <w:spacing w:line="219" w:lineRule="auto"/>
        <w:sectPr>
          <w:footerReference w:type="default" r:id="rId12"/>
          <w:pgSz w:w="11910" w:h="16840"/>
          <w:pgMar w:top="1431" w:right="1220" w:bottom="964" w:left="1390" w:header="0" w:footer="845" w:gutter="0"/>
          <w:pgNumType w:start="8"/>
          <w:cols w:space="708"/>
        </w:sectPr>
      </w:pPr>
    </w:p>
    <w:p>
      <w:pPr>
        <w:pStyle w:val="BodyText"/>
        <w:spacing w:before="149" w:line="589" w:lineRule="exact"/>
      </w:pPr>
      <w:r>
        <w:rPr>
          <w:spacing w:val="-1"/>
          <w:position w:val="23"/>
        </w:rPr>
        <w:t>性液体储存柜柜体材料应选择相应的耐腐蚀材料，防止柜体被泄露的危化品</w:t>
      </w:r>
    </w:p>
    <w:p>
      <w:pPr>
        <w:pStyle w:val="BodyText"/>
        <w:spacing w:line="212" w:lineRule="auto"/>
      </w:pPr>
      <w:r>
        <w:rPr>
          <w:spacing w:val="3"/>
        </w:rPr>
        <w:t>腐蚀而变形，如采用聚丙烯</w:t>
      </w:r>
      <w:r>
        <w:rPr>
          <w:rFonts w:ascii="Times New Roman" w:eastAsia="Times New Roman" w:hAnsi="Times New Roman" w:cs="Times New Roman"/>
          <w:spacing w:val="3"/>
        </w:rPr>
        <w:t>(</w:t>
      </w:r>
      <w:r>
        <w:rPr>
          <w:rFonts w:ascii="Times New Roman" w:eastAsia="Times New Roman" w:hAnsi="Times New Roman" w:cs="Times New Roman"/>
        </w:rPr>
        <w:t>PP</w:t>
      </w:r>
      <w:r>
        <w:rPr>
          <w:rFonts w:ascii="Times New Roman" w:eastAsia="Times New Roman" w:hAnsi="Times New Roman" w:cs="Times New Roman"/>
          <w:spacing w:val="3"/>
        </w:rPr>
        <w:t>)</w:t>
      </w:r>
      <w:r>
        <w:rPr>
          <w:spacing w:val="3"/>
        </w:rPr>
        <w:t>材质，厚度不应低于8</w:t>
      </w:r>
      <w:r>
        <w:rPr>
          <w:spacing w:val="-25"/>
        </w:rPr>
        <w:t xml:space="preserve"> </w:t>
      </w:r>
      <w:r>
        <w:rPr>
          <w:rFonts w:ascii="Times New Roman" w:eastAsia="Times New Roman" w:hAnsi="Times New Roman" w:cs="Times New Roman"/>
        </w:rPr>
        <w:t>mm</w:t>
      </w:r>
      <w:r>
        <w:rPr>
          <w:spacing w:val="3"/>
        </w:rPr>
        <w:t>。</w:t>
      </w:r>
    </w:p>
    <w:p>
      <w:pPr>
        <w:spacing w:line="258" w:lineRule="auto"/>
      </w:pPr>
    </w:p>
    <w:p>
      <w:pPr>
        <w:pStyle w:val="BodyText"/>
        <w:spacing w:before="91" w:line="220" w:lineRule="auto"/>
        <w:ind w:left="3"/>
      </w:pPr>
      <w:r>
        <w:rPr>
          <w:b/>
          <w:bCs/>
          <w:spacing w:val="-20"/>
        </w:rPr>
        <w:t>5.4</w:t>
      </w:r>
      <w:r>
        <w:rPr>
          <w:spacing w:val="47"/>
        </w:rPr>
        <w:t xml:space="preserve"> </w:t>
      </w:r>
      <w:r>
        <w:rPr>
          <w:spacing w:val="-20"/>
        </w:rPr>
        <w:t>结构</w:t>
      </w:r>
    </w:p>
    <w:p>
      <w:pPr>
        <w:pStyle w:val="BodyText"/>
        <w:spacing w:before="273" w:line="219" w:lineRule="auto"/>
      </w:pPr>
      <w:r>
        <w:rPr>
          <w:rFonts w:ascii="Arial" w:eastAsia="Arial" w:hAnsi="Arial" w:cs="Arial"/>
          <w:b/>
          <w:bCs/>
          <w:spacing w:val="-6"/>
        </w:rPr>
        <w:t xml:space="preserve">5.4.1   </w:t>
      </w:r>
      <w:r>
        <w:rPr>
          <w:spacing w:val="-6"/>
        </w:rPr>
        <w:t xml:space="preserve">柜体宜采用双层结构，内外层间至少应确保38 </w:t>
      </w:r>
      <w:r>
        <w:rPr>
          <w:rFonts w:ascii="Times New Roman" w:eastAsia="Times New Roman" w:hAnsi="Times New Roman" w:cs="Times New Roman"/>
          <w:spacing w:val="-6"/>
        </w:rPr>
        <w:t>mm</w:t>
      </w:r>
      <w:r>
        <w:rPr>
          <w:rFonts w:ascii="Times New Roman" w:eastAsia="Times New Roman" w:hAnsi="Times New Roman" w:cs="Times New Roman"/>
          <w:spacing w:val="-13"/>
        </w:rPr>
        <w:t xml:space="preserve"> </w:t>
      </w:r>
      <w:r>
        <w:rPr>
          <w:spacing w:val="-6"/>
        </w:rPr>
        <w:t>空间。</w:t>
      </w:r>
    </w:p>
    <w:p>
      <w:pPr>
        <w:pStyle w:val="BodyText"/>
        <w:spacing w:before="307" w:line="219" w:lineRule="auto"/>
      </w:pPr>
      <w:r>
        <w:rPr>
          <w:rFonts w:ascii="Arial" w:eastAsia="Arial" w:hAnsi="Arial" w:cs="Arial"/>
          <w:b/>
          <w:bCs/>
          <w:spacing w:val="-5"/>
        </w:rPr>
        <w:t>5.4.2</w:t>
      </w:r>
      <w:r>
        <w:rPr>
          <w:rFonts w:ascii="Arial" w:eastAsia="Arial" w:hAnsi="Arial" w:cs="Arial"/>
          <w:b/>
          <w:bCs/>
          <w:spacing w:val="38"/>
        </w:rPr>
        <w:t xml:space="preserve">  </w:t>
      </w:r>
      <w:r>
        <w:rPr>
          <w:spacing w:val="-5"/>
        </w:rPr>
        <w:t>双层柜体间可用不燃材料填充，不燃材料应符合标准要求。</w:t>
      </w:r>
    </w:p>
    <w:p>
      <w:pPr>
        <w:pStyle w:val="BodyText"/>
        <w:spacing w:before="278" w:line="219" w:lineRule="auto"/>
      </w:pPr>
      <w:r>
        <w:rPr>
          <w:rFonts w:ascii="Arial" w:eastAsia="Arial" w:hAnsi="Arial" w:cs="Arial"/>
          <w:b/>
          <w:bCs/>
          <w:spacing w:val="-5"/>
        </w:rPr>
        <w:t>5.4.3</w:t>
      </w:r>
      <w:r>
        <w:rPr>
          <w:rFonts w:ascii="Arial" w:eastAsia="Arial" w:hAnsi="Arial" w:cs="Arial"/>
          <w:b/>
          <w:bCs/>
          <w:spacing w:val="32"/>
        </w:rPr>
        <w:t xml:space="preserve">  </w:t>
      </w:r>
      <w:r>
        <w:rPr>
          <w:spacing w:val="-5"/>
        </w:rPr>
        <w:t>易燃液体和可燃液体储存柜柜体</w:t>
      </w:r>
      <w:r>
        <w:rPr>
          <w:spacing w:val="-6"/>
        </w:rPr>
        <w:t>应设有防静电接地装置。</w:t>
      </w:r>
    </w:p>
    <w:p>
      <w:pPr>
        <w:pStyle w:val="BodyText"/>
        <w:spacing w:before="300" w:line="220" w:lineRule="auto"/>
      </w:pPr>
      <w:r>
        <w:rPr>
          <w:rFonts w:ascii="Times New Roman" w:eastAsia="Times New Roman" w:hAnsi="Times New Roman" w:cs="Times New Roman"/>
          <w:b/>
          <w:bCs/>
          <w:spacing w:val="-4"/>
        </w:rPr>
        <w:t>5.4.4</w:t>
      </w:r>
      <w:r>
        <w:rPr>
          <w:rFonts w:ascii="Times New Roman" w:eastAsia="Times New Roman" w:hAnsi="Times New Roman" w:cs="Times New Roman"/>
          <w:b/>
          <w:bCs/>
          <w:spacing w:val="25"/>
        </w:rPr>
        <w:t xml:space="preserve">  </w:t>
      </w:r>
      <w:r>
        <w:rPr>
          <w:spacing w:val="-4"/>
        </w:rPr>
        <w:t>柜体上设置通风孔。</w:t>
      </w:r>
    </w:p>
    <w:p>
      <w:pPr>
        <w:pStyle w:val="BodyText"/>
        <w:spacing w:before="284" w:line="219" w:lineRule="auto"/>
      </w:pPr>
      <w:r>
        <w:rPr>
          <w:rFonts w:ascii="Arial" w:eastAsia="Arial" w:hAnsi="Arial" w:cs="Arial"/>
          <w:b/>
          <w:bCs/>
          <w:spacing w:val="-5"/>
        </w:rPr>
        <w:t>5.4.5</w:t>
      </w:r>
      <w:r>
        <w:rPr>
          <w:rFonts w:ascii="Arial" w:eastAsia="Arial" w:hAnsi="Arial" w:cs="Arial"/>
          <w:b/>
          <w:bCs/>
          <w:spacing w:val="39"/>
          <w:w w:val="101"/>
        </w:rPr>
        <w:t xml:space="preserve">  </w:t>
      </w:r>
      <w:r>
        <w:rPr>
          <w:spacing w:val="-5"/>
        </w:rPr>
        <w:t>除压缩气体气瓶储存柜外，其他储存柜柜底应预留防泄漏的盛漏槽。</w:t>
      </w:r>
    </w:p>
    <w:p>
      <w:pPr>
        <w:pStyle w:val="BodyText"/>
        <w:spacing w:before="310" w:line="219" w:lineRule="auto"/>
        <w:ind w:left="3"/>
      </w:pPr>
      <w:r>
        <w:rPr>
          <w:b/>
          <w:bCs/>
          <w:spacing w:val="-16"/>
        </w:rPr>
        <w:t>5.5</w:t>
      </w:r>
      <w:r>
        <w:rPr>
          <w:spacing w:val="89"/>
        </w:rPr>
        <w:t xml:space="preserve"> </w:t>
      </w:r>
      <w:r>
        <w:rPr>
          <w:spacing w:val="-16"/>
        </w:rPr>
        <w:t>容量承重</w:t>
      </w:r>
    </w:p>
    <w:p>
      <w:pPr>
        <w:pStyle w:val="BodyText"/>
        <w:spacing w:before="276" w:line="219" w:lineRule="auto"/>
        <w:ind w:left="469"/>
      </w:pPr>
      <w:r>
        <w:rPr>
          <w:spacing w:val="-2"/>
        </w:rPr>
        <w:t>柜体及搁板应能承受其最大盛装重量，宜符合FM6050</w:t>
      </w:r>
      <w:r>
        <w:rPr>
          <w:spacing w:val="149"/>
        </w:rPr>
        <w:t xml:space="preserve"> </w:t>
      </w:r>
      <w:r>
        <w:rPr>
          <w:spacing w:val="-2"/>
        </w:rPr>
        <w:t>测试要求。</w:t>
      </w:r>
    </w:p>
    <w:p>
      <w:pPr>
        <w:pStyle w:val="BodyText"/>
        <w:spacing w:before="307" w:line="219" w:lineRule="auto"/>
        <w:ind w:left="3"/>
      </w:pPr>
      <w:r>
        <w:rPr>
          <w:b/>
          <w:bCs/>
          <w:spacing w:val="-11"/>
        </w:rPr>
        <w:t>5.6</w:t>
      </w:r>
      <w:r>
        <w:rPr>
          <w:spacing w:val="62"/>
        </w:rPr>
        <w:t xml:space="preserve"> </w:t>
      </w:r>
      <w:r>
        <w:rPr>
          <w:spacing w:val="-11"/>
        </w:rPr>
        <w:t>防火、防静电</w:t>
      </w:r>
    </w:p>
    <w:p>
      <w:pPr>
        <w:pStyle w:val="BodyText"/>
        <w:spacing w:before="290" w:line="219" w:lineRule="auto"/>
      </w:pPr>
      <w:r>
        <w:rPr>
          <w:rFonts w:ascii="Arial" w:eastAsia="Arial" w:hAnsi="Arial" w:cs="Arial"/>
          <w:b/>
          <w:bCs/>
          <w:spacing w:val="-4"/>
        </w:rPr>
        <w:t xml:space="preserve">5.6.1  </w:t>
      </w:r>
      <w:r>
        <w:rPr>
          <w:spacing w:val="-4"/>
        </w:rPr>
        <w:t>防火性能宜符合</w:t>
      </w:r>
      <w:r>
        <w:rPr>
          <w:spacing w:val="-62"/>
        </w:rPr>
        <w:t xml:space="preserve"> </w:t>
      </w:r>
      <w:r>
        <w:rPr>
          <w:spacing w:val="-4"/>
        </w:rPr>
        <w:t>FM</w:t>
      </w:r>
      <w:r>
        <w:rPr>
          <w:spacing w:val="14"/>
        </w:rPr>
        <w:t xml:space="preserve"> </w:t>
      </w:r>
      <w:r>
        <w:rPr>
          <w:spacing w:val="-4"/>
        </w:rPr>
        <w:t>6050</w:t>
      </w:r>
      <w:r>
        <w:rPr>
          <w:spacing w:val="-54"/>
        </w:rPr>
        <w:t xml:space="preserve"> </w:t>
      </w:r>
      <w:r>
        <w:rPr>
          <w:spacing w:val="-4"/>
        </w:rPr>
        <w:t>测试要求。</w:t>
      </w:r>
    </w:p>
    <w:p>
      <w:pPr>
        <w:pStyle w:val="BodyText"/>
        <w:spacing w:before="288" w:line="312" w:lineRule="auto"/>
      </w:pPr>
      <w:r>
        <w:rPr>
          <w:rFonts w:ascii="Arial" w:eastAsia="Arial" w:hAnsi="Arial" w:cs="Arial"/>
          <w:b/>
          <w:bCs/>
          <w:spacing w:val="4"/>
        </w:rPr>
        <w:t>5.6.2</w:t>
      </w:r>
      <w:r>
        <w:rPr>
          <w:rFonts w:ascii="Arial" w:eastAsia="Arial" w:hAnsi="Arial" w:cs="Arial"/>
          <w:b/>
          <w:bCs/>
          <w:spacing w:val="33"/>
        </w:rPr>
        <w:t xml:space="preserve">  </w:t>
      </w:r>
      <w:r>
        <w:rPr>
          <w:spacing w:val="4"/>
        </w:rPr>
        <w:t xml:space="preserve">柜体应装有静电接地装置并张贴静电接地标识，静电接地应符合 </w:t>
      </w:r>
      <w:r>
        <w:t>GB</w:t>
      </w:r>
      <w:r>
        <w:rPr>
          <w:spacing w:val="1"/>
        </w:rPr>
        <w:t xml:space="preserve"> </w:t>
      </w:r>
      <w:r>
        <w:rPr>
          <w:spacing w:val="-10"/>
        </w:rPr>
        <w:t>12158</w:t>
      </w:r>
      <w:r>
        <w:rPr>
          <w:spacing w:val="-47"/>
        </w:rPr>
        <w:t xml:space="preserve"> </w:t>
      </w:r>
      <w:r>
        <w:rPr>
          <w:spacing w:val="-10"/>
        </w:rPr>
        <w:t>的要求。</w:t>
      </w:r>
    </w:p>
    <w:p>
      <w:pPr>
        <w:pStyle w:val="BodyText"/>
        <w:spacing w:before="294" w:line="220" w:lineRule="auto"/>
        <w:ind w:left="3"/>
      </w:pPr>
      <w:r>
        <w:rPr>
          <w:b/>
          <w:bCs/>
          <w:spacing w:val="-18"/>
        </w:rPr>
        <w:t>5.7</w:t>
      </w:r>
      <w:r>
        <w:rPr>
          <w:spacing w:val="51"/>
        </w:rPr>
        <w:t xml:space="preserve"> </w:t>
      </w:r>
      <w:r>
        <w:rPr>
          <w:spacing w:val="-18"/>
        </w:rPr>
        <w:t>通风</w:t>
      </w:r>
    </w:p>
    <w:p>
      <w:pPr>
        <w:pStyle w:val="BodyText"/>
        <w:spacing w:before="306" w:line="219" w:lineRule="auto"/>
      </w:pPr>
      <w:r>
        <w:rPr>
          <w:rFonts w:ascii="Arial" w:eastAsia="Arial" w:hAnsi="Arial" w:cs="Arial"/>
          <w:b/>
          <w:bCs/>
          <w:spacing w:val="-7"/>
        </w:rPr>
        <w:t xml:space="preserve">5.7.1   </w:t>
      </w:r>
      <w:r>
        <w:rPr>
          <w:spacing w:val="-7"/>
        </w:rPr>
        <w:t>储存柜应设通风孔并张贴通风标识。</w:t>
      </w:r>
    </w:p>
    <w:p>
      <w:pPr>
        <w:pStyle w:val="BodyText"/>
        <w:spacing w:before="278" w:line="219" w:lineRule="auto"/>
      </w:pPr>
      <w:r>
        <w:rPr>
          <w:rFonts w:ascii="Times New Roman" w:eastAsia="Times New Roman" w:hAnsi="Times New Roman" w:cs="Times New Roman"/>
          <w:b/>
          <w:bCs/>
          <w:spacing w:val="2"/>
        </w:rPr>
        <w:t>5.7.2</w:t>
      </w:r>
      <w:r>
        <w:rPr>
          <w:rFonts w:ascii="Times New Roman" w:eastAsia="Times New Roman" w:hAnsi="Times New Roman" w:cs="Times New Roman"/>
          <w:b/>
          <w:bCs/>
          <w:spacing w:val="31"/>
        </w:rPr>
        <w:t xml:space="preserve">  </w:t>
      </w:r>
      <w:r>
        <w:rPr>
          <w:spacing w:val="2"/>
        </w:rPr>
        <w:t>易燃液体和可燃液体储存柜应在柜体两侧分别设置固定式带阻火功能</w:t>
      </w:r>
    </w:p>
    <w:p>
      <w:pPr>
        <w:pStyle w:val="BodyText"/>
        <w:spacing w:before="308" w:line="219" w:lineRule="auto"/>
        <w:ind w:left="70"/>
      </w:pPr>
      <w:r>
        <w:rPr>
          <w:spacing w:val="-3"/>
        </w:rPr>
        <w:t>的上下通风孔，其中阻火功能检测宜符合</w:t>
      </w:r>
      <w:r>
        <w:rPr>
          <w:spacing w:val="-70"/>
        </w:rPr>
        <w:t xml:space="preserve"> </w:t>
      </w:r>
      <w:r>
        <w:rPr>
          <w:spacing w:val="-3"/>
        </w:rPr>
        <w:t>FM 6050</w:t>
      </w:r>
      <w:r>
        <w:rPr>
          <w:spacing w:val="-54"/>
        </w:rPr>
        <w:t xml:space="preserve"> </w:t>
      </w:r>
      <w:r>
        <w:rPr>
          <w:spacing w:val="-3"/>
        </w:rPr>
        <w:t>测试要求。</w:t>
      </w:r>
    </w:p>
    <w:p>
      <w:pPr>
        <w:pStyle w:val="BodyText"/>
        <w:spacing w:before="268" w:line="220" w:lineRule="auto"/>
        <w:ind w:left="3"/>
      </w:pPr>
      <w:r>
        <w:rPr>
          <w:b/>
          <w:bCs/>
          <w:spacing w:val="-18"/>
        </w:rPr>
        <w:t>5.8</w:t>
      </w:r>
      <w:r>
        <w:rPr>
          <w:spacing w:val="93"/>
        </w:rPr>
        <w:t xml:space="preserve"> </w:t>
      </w:r>
      <w:r>
        <w:rPr>
          <w:spacing w:val="-18"/>
        </w:rPr>
        <w:t>防泄漏</w:t>
      </w:r>
    </w:p>
    <w:p>
      <w:pPr>
        <w:pStyle w:val="BodyText"/>
        <w:spacing w:before="296" w:line="219" w:lineRule="auto"/>
      </w:pPr>
      <w:r>
        <w:rPr>
          <w:rFonts w:ascii="Arial" w:eastAsia="Arial" w:hAnsi="Arial" w:cs="Arial"/>
          <w:b/>
          <w:bCs/>
          <w:spacing w:val="-5"/>
        </w:rPr>
        <w:t xml:space="preserve">5.8.1   </w:t>
      </w:r>
      <w:r>
        <w:rPr>
          <w:spacing w:val="-5"/>
        </w:rPr>
        <w:t xml:space="preserve">盛漏槽深度至少51 </w:t>
      </w:r>
      <w:r>
        <w:rPr>
          <w:rFonts w:ascii="Times New Roman" w:eastAsia="Times New Roman" w:hAnsi="Times New Roman" w:cs="Times New Roman"/>
          <w:spacing w:val="-5"/>
        </w:rPr>
        <w:t xml:space="preserve">mm </w:t>
      </w:r>
      <w:r>
        <w:rPr>
          <w:spacing w:val="-5"/>
        </w:rPr>
        <w:t>。</w:t>
      </w:r>
    </w:p>
    <w:p>
      <w:pPr>
        <w:pStyle w:val="BodyText"/>
        <w:spacing w:before="298" w:line="219" w:lineRule="auto"/>
      </w:pPr>
      <w:r>
        <w:rPr>
          <w:rFonts w:ascii="Arial" w:eastAsia="Arial" w:hAnsi="Arial" w:cs="Arial"/>
          <w:b/>
          <w:bCs/>
          <w:spacing w:val="-9"/>
        </w:rPr>
        <w:t>5.8.2</w:t>
      </w:r>
      <w:r>
        <w:rPr>
          <w:rFonts w:ascii="Arial" w:eastAsia="Arial" w:hAnsi="Arial" w:cs="Arial"/>
          <w:b/>
          <w:bCs/>
          <w:spacing w:val="35"/>
        </w:rPr>
        <w:t xml:space="preserve">  </w:t>
      </w:r>
      <w:r>
        <w:rPr>
          <w:spacing w:val="-9"/>
        </w:rPr>
        <w:t>盛漏槽宜符合</w:t>
      </w:r>
      <w:r>
        <w:rPr>
          <w:spacing w:val="-46"/>
        </w:rPr>
        <w:t xml:space="preserve"> </w:t>
      </w:r>
      <w:r>
        <w:rPr>
          <w:spacing w:val="-9"/>
        </w:rPr>
        <w:t>FM 6050 测试要求。</w:t>
      </w:r>
    </w:p>
    <w:p>
      <w:pPr>
        <w:pStyle w:val="BodyText"/>
        <w:spacing w:before="299" w:line="221" w:lineRule="auto"/>
        <w:ind w:left="3"/>
      </w:pPr>
      <w:r>
        <w:rPr>
          <w:b/>
          <w:bCs/>
          <w:spacing w:val="-26"/>
        </w:rPr>
        <w:t>5.9</w:t>
      </w:r>
      <w:r>
        <w:rPr>
          <w:spacing w:val="90"/>
        </w:rPr>
        <w:t xml:space="preserve"> </w:t>
      </w:r>
      <w:r>
        <w:rPr>
          <w:spacing w:val="-26"/>
        </w:rPr>
        <w:t>锁</w:t>
      </w:r>
    </w:p>
    <w:p>
      <w:pPr>
        <w:spacing w:line="221" w:lineRule="auto"/>
        <w:sectPr>
          <w:footerReference w:type="default" r:id="rId13"/>
          <w:pgSz w:w="11910" w:h="16840"/>
          <w:pgMar w:top="1431" w:right="1287" w:bottom="977" w:left="1380" w:header="0" w:footer="839" w:gutter="0"/>
          <w:pgNumType w:start="9"/>
          <w:cols w:space="708"/>
        </w:sectPr>
      </w:pPr>
    </w:p>
    <w:p>
      <w:pPr>
        <w:pStyle w:val="BodyText"/>
        <w:spacing w:before="149" w:line="621" w:lineRule="exact"/>
        <w:ind w:right="8"/>
        <w:jc w:val="right"/>
      </w:pPr>
      <w:r>
        <w:rPr>
          <w:spacing w:val="-1"/>
          <w:position w:val="26"/>
        </w:rPr>
        <w:t>储存柜上安装的机械防盗锁或电子密码锁应符合GB3836.1、GB38</w:t>
      </w:r>
      <w:r>
        <w:rPr>
          <w:spacing w:val="-2"/>
          <w:position w:val="26"/>
        </w:rPr>
        <w:t>36.4和</w:t>
      </w:r>
    </w:p>
    <w:p>
      <w:pPr>
        <w:pStyle w:val="BodyText"/>
        <w:spacing w:line="220" w:lineRule="auto"/>
        <w:ind w:left="6"/>
      </w:pPr>
      <w:r>
        <w:rPr>
          <w:rFonts w:ascii="Times New Roman" w:eastAsia="Times New Roman" w:hAnsi="Times New Roman" w:cs="Times New Roman"/>
          <w:spacing w:val="-5"/>
        </w:rPr>
        <w:t>GA/T 543</w:t>
      </w:r>
      <w:r>
        <w:rPr>
          <w:spacing w:val="-5"/>
        </w:rPr>
        <w:t>的相关要求。</w:t>
      </w:r>
    </w:p>
    <w:p>
      <w:pPr>
        <w:pStyle w:val="BodyText"/>
        <w:spacing w:before="296" w:line="220" w:lineRule="auto"/>
        <w:ind w:left="6"/>
      </w:pPr>
      <w:r>
        <w:rPr>
          <w:rFonts w:ascii="Arial" w:eastAsia="Arial" w:hAnsi="Arial" w:cs="Arial"/>
          <w:b/>
          <w:bCs/>
          <w:spacing w:val="3"/>
        </w:rPr>
        <w:t>5.10</w:t>
      </w:r>
      <w:r>
        <w:rPr>
          <w:rFonts w:ascii="Arial" w:eastAsia="Arial" w:hAnsi="Arial" w:cs="Arial"/>
          <w:b/>
          <w:bCs/>
          <w:spacing w:val="41"/>
          <w:w w:val="101"/>
        </w:rPr>
        <w:t xml:space="preserve">  </w:t>
      </w:r>
      <w:r>
        <w:rPr>
          <w:spacing w:val="3"/>
        </w:rPr>
        <w:t>门(单/双开门)</w:t>
      </w:r>
    </w:p>
    <w:p>
      <w:pPr>
        <w:pStyle w:val="BodyText"/>
        <w:spacing w:before="285" w:line="625" w:lineRule="exact"/>
        <w:ind w:right="10"/>
        <w:jc w:val="right"/>
      </w:pPr>
      <w:r>
        <w:rPr>
          <w:spacing w:val="8"/>
          <w:position w:val="26"/>
        </w:rPr>
        <w:t>柜门应配备自锁装置，柜门宜安装闭门器及高温熔断装置</w:t>
      </w:r>
      <w:r>
        <w:rPr>
          <w:spacing w:val="7"/>
          <w:position w:val="26"/>
        </w:rPr>
        <w:t>，温度高于</w:t>
      </w:r>
    </w:p>
    <w:p>
      <w:pPr>
        <w:pStyle w:val="BodyText"/>
        <w:spacing w:line="216" w:lineRule="auto"/>
        <w:ind w:left="6"/>
      </w:pPr>
      <w:r>
        <w:rPr>
          <w:spacing w:val="-1"/>
        </w:rPr>
        <w:t>100</w:t>
      </w:r>
      <w:r>
        <w:rPr>
          <w:spacing w:val="46"/>
        </w:rPr>
        <w:t xml:space="preserve"> </w:t>
      </w:r>
      <w:r>
        <w:rPr>
          <w:spacing w:val="-1"/>
        </w:rPr>
        <w:t>℃,门自动关闭，闭门器性能应符合</w:t>
      </w:r>
      <w:r>
        <w:rPr>
          <w:rFonts w:ascii="Times New Roman" w:eastAsia="Times New Roman" w:hAnsi="Times New Roman" w:cs="Times New Roman"/>
          <w:spacing w:val="-2"/>
        </w:rPr>
        <w:t>GA 93</w:t>
      </w:r>
      <w:r>
        <w:rPr>
          <w:spacing w:val="-2"/>
        </w:rPr>
        <w:t>的规定。</w:t>
      </w:r>
    </w:p>
    <w:p>
      <w:pPr>
        <w:pStyle w:val="BodyText"/>
        <w:spacing w:before="295" w:line="219" w:lineRule="auto"/>
        <w:ind w:left="6"/>
      </w:pPr>
      <w:r>
        <w:rPr>
          <w:rFonts w:ascii="Arial" w:eastAsia="Arial" w:hAnsi="Arial" w:cs="Arial"/>
          <w:b/>
          <w:bCs/>
          <w:spacing w:val="-6"/>
        </w:rPr>
        <w:t xml:space="preserve">5.11  </w:t>
      </w:r>
      <w:r>
        <w:rPr>
          <w:spacing w:val="-6"/>
        </w:rPr>
        <w:t>压缩气体气瓶柜设置要求</w:t>
      </w:r>
    </w:p>
    <w:p>
      <w:pPr>
        <w:pStyle w:val="BodyText"/>
        <w:spacing w:before="299" w:line="620" w:lineRule="exact"/>
        <w:ind w:left="6"/>
      </w:pPr>
      <w:r>
        <w:rPr>
          <w:rFonts w:ascii="Arial" w:eastAsia="Arial" w:hAnsi="Arial" w:cs="Arial"/>
          <w:b/>
          <w:bCs/>
          <w:spacing w:val="-1"/>
          <w:position w:val="26"/>
        </w:rPr>
        <w:t xml:space="preserve">5.11.1   </w:t>
      </w:r>
      <w:r>
        <w:rPr>
          <w:spacing w:val="-1"/>
          <w:position w:val="26"/>
        </w:rPr>
        <w:t>毒性气体和易燃气体应设置有毒/可燃气</w:t>
      </w:r>
      <w:r>
        <w:rPr>
          <w:spacing w:val="-2"/>
          <w:position w:val="26"/>
        </w:rPr>
        <w:t>体浓度报警检测装置，气体</w:t>
      </w:r>
    </w:p>
    <w:p>
      <w:pPr>
        <w:pStyle w:val="BodyText"/>
        <w:spacing w:before="1" w:line="219" w:lineRule="auto"/>
        <w:ind w:left="6"/>
      </w:pPr>
      <w:r>
        <w:rPr>
          <w:spacing w:val="-4"/>
        </w:rPr>
        <w:t>浓度检测探头应在检定有效期内。</w:t>
      </w:r>
    </w:p>
    <w:p>
      <w:pPr>
        <w:pStyle w:val="BodyText"/>
        <w:spacing w:before="288" w:line="219" w:lineRule="auto"/>
        <w:ind w:left="6"/>
      </w:pPr>
      <w:r>
        <w:rPr>
          <w:rFonts w:ascii="Arial" w:eastAsia="Arial" w:hAnsi="Arial" w:cs="Arial"/>
          <w:b/>
          <w:bCs/>
          <w:spacing w:val="-8"/>
        </w:rPr>
        <w:t>5.11.2</w:t>
      </w:r>
      <w:r>
        <w:rPr>
          <w:rFonts w:ascii="Arial" w:eastAsia="Arial" w:hAnsi="Arial" w:cs="Arial"/>
          <w:b/>
          <w:bCs/>
          <w:spacing w:val="26"/>
        </w:rPr>
        <w:t xml:space="preserve">  </w:t>
      </w:r>
      <w:r>
        <w:rPr>
          <w:spacing w:val="-8"/>
        </w:rPr>
        <w:t>气体浓度检测探头安装高度应符合如下</w:t>
      </w:r>
      <w:r>
        <w:rPr>
          <w:spacing w:val="-9"/>
        </w:rPr>
        <w:t>要求：</w:t>
      </w:r>
    </w:p>
    <w:p>
      <w:pPr>
        <w:pStyle w:val="BodyText"/>
        <w:spacing w:before="266" w:line="619" w:lineRule="exact"/>
        <w:ind w:left="596"/>
      </w:pPr>
      <w:r>
        <w:rPr>
          <w:rFonts w:ascii="Times New Roman" w:eastAsia="Times New Roman" w:hAnsi="Times New Roman" w:cs="Times New Roman"/>
          <w:spacing w:val="-4"/>
          <w:position w:val="26"/>
        </w:rPr>
        <w:t>a)</w:t>
      </w:r>
      <w:r>
        <w:rPr>
          <w:rFonts w:ascii="Times New Roman" w:eastAsia="Times New Roman" w:hAnsi="Times New Roman" w:cs="Times New Roman"/>
          <w:spacing w:val="30"/>
          <w:w w:val="101"/>
          <w:position w:val="26"/>
        </w:rPr>
        <w:t xml:space="preserve">  </w:t>
      </w:r>
      <w:r>
        <w:rPr>
          <w:spacing w:val="-4"/>
          <w:position w:val="26"/>
        </w:rPr>
        <w:t>探测到比空气重的气体，探头安装在柜体下部；</w:t>
      </w:r>
    </w:p>
    <w:p>
      <w:pPr>
        <w:pStyle w:val="BodyText"/>
        <w:spacing w:before="1" w:line="212" w:lineRule="auto"/>
        <w:ind w:left="596"/>
      </w:pPr>
      <w:r>
        <w:rPr>
          <w:rFonts w:ascii="Times New Roman" w:eastAsia="Times New Roman" w:hAnsi="Times New Roman" w:cs="Times New Roman"/>
          <w:spacing w:val="-1"/>
        </w:rPr>
        <w:t xml:space="preserve">b)  </w:t>
      </w:r>
      <w:r>
        <w:rPr>
          <w:spacing w:val="-1"/>
        </w:rPr>
        <w:t>探测到比空气轻的气体，探头安装在柜体上部。</w:t>
      </w:r>
    </w:p>
    <w:p>
      <w:pPr>
        <w:spacing w:line="247" w:lineRule="auto"/>
      </w:pPr>
    </w:p>
    <w:p>
      <w:pPr>
        <w:pStyle w:val="BodyText"/>
        <w:spacing w:before="91" w:line="632" w:lineRule="exact"/>
        <w:ind w:left="6"/>
      </w:pPr>
      <w:r>
        <w:rPr>
          <w:rFonts w:ascii="Arial" w:eastAsia="Arial" w:hAnsi="Arial" w:cs="Arial"/>
          <w:b/>
          <w:bCs/>
          <w:spacing w:val="-4"/>
          <w:position w:val="26"/>
        </w:rPr>
        <w:t>5.11.3</w:t>
      </w:r>
      <w:r>
        <w:rPr>
          <w:rFonts w:ascii="Arial" w:eastAsia="Arial" w:hAnsi="Arial" w:cs="Arial"/>
          <w:b/>
          <w:bCs/>
          <w:spacing w:val="22"/>
          <w:position w:val="26"/>
        </w:rPr>
        <w:t xml:space="preserve">  </w:t>
      </w:r>
      <w:r>
        <w:rPr>
          <w:spacing w:val="-4"/>
          <w:position w:val="26"/>
        </w:rPr>
        <w:t>报警装置应具有声、光显示功能，应安装在工作人员易看到</w:t>
      </w:r>
      <w:r>
        <w:rPr>
          <w:spacing w:val="-5"/>
          <w:position w:val="26"/>
        </w:rPr>
        <w:t>和听到的</w:t>
      </w:r>
    </w:p>
    <w:p>
      <w:pPr>
        <w:pStyle w:val="BodyText"/>
        <w:spacing w:before="1" w:line="220" w:lineRule="auto"/>
        <w:ind w:left="6"/>
      </w:pPr>
      <w:r>
        <w:rPr>
          <w:spacing w:val="-12"/>
        </w:rPr>
        <w:t>地方。</w:t>
      </w:r>
    </w:p>
    <w:p>
      <w:pPr>
        <w:pStyle w:val="BodyText"/>
        <w:spacing w:before="283" w:line="620" w:lineRule="exact"/>
        <w:jc w:val="right"/>
      </w:pPr>
      <w:r>
        <w:rPr>
          <w:rFonts w:ascii="Arial" w:eastAsia="Arial" w:hAnsi="Arial" w:cs="Arial"/>
          <w:b/>
          <w:bCs/>
          <w:spacing w:val="-4"/>
          <w:position w:val="26"/>
        </w:rPr>
        <w:t>5.11.4</w:t>
      </w:r>
      <w:r>
        <w:rPr>
          <w:rFonts w:ascii="Arial" w:eastAsia="Arial" w:hAnsi="Arial" w:cs="Arial"/>
          <w:b/>
          <w:bCs/>
          <w:spacing w:val="29"/>
          <w:w w:val="101"/>
          <w:position w:val="26"/>
        </w:rPr>
        <w:t xml:space="preserve">  </w:t>
      </w:r>
      <w:r>
        <w:rPr>
          <w:spacing w:val="-4"/>
          <w:position w:val="26"/>
        </w:rPr>
        <w:t>毒性气体不应直接排到室外。如设置</w:t>
      </w:r>
      <w:r>
        <w:rPr>
          <w:spacing w:val="-5"/>
          <w:position w:val="26"/>
        </w:rPr>
        <w:t>自动联锁强排风扇，排风管应与</w:t>
      </w:r>
    </w:p>
    <w:p>
      <w:pPr>
        <w:pStyle w:val="BodyText"/>
        <w:spacing w:before="1" w:line="219" w:lineRule="auto"/>
        <w:ind w:left="6"/>
      </w:pPr>
      <w:r>
        <w:rPr>
          <w:spacing w:val="-7"/>
        </w:rPr>
        <w:t>吸收处理装置连接。</w:t>
      </w:r>
    </w:p>
    <w:p>
      <w:pPr>
        <w:pStyle w:val="BodyText"/>
        <w:spacing w:before="297" w:line="619" w:lineRule="exact"/>
        <w:ind w:left="6"/>
      </w:pPr>
      <w:r>
        <w:rPr>
          <w:rFonts w:ascii="Arial" w:eastAsia="Arial" w:hAnsi="Arial" w:cs="Arial"/>
          <w:b/>
          <w:bCs/>
          <w:spacing w:val="-6"/>
          <w:position w:val="25"/>
        </w:rPr>
        <w:t>5.11.5</w:t>
      </w:r>
      <w:r>
        <w:rPr>
          <w:rFonts w:ascii="Arial" w:eastAsia="Arial" w:hAnsi="Arial" w:cs="Arial"/>
          <w:b/>
          <w:bCs/>
          <w:spacing w:val="29"/>
          <w:position w:val="25"/>
        </w:rPr>
        <w:t xml:space="preserve">  </w:t>
      </w:r>
      <w:r>
        <w:rPr>
          <w:spacing w:val="-6"/>
          <w:position w:val="25"/>
        </w:rPr>
        <w:t>易燃气体气瓶储存柜应设置自动</w:t>
      </w:r>
      <w:r>
        <w:rPr>
          <w:spacing w:val="-7"/>
          <w:position w:val="25"/>
        </w:rPr>
        <w:t>联锁强排风扇，排风管应接到室外，</w:t>
      </w:r>
    </w:p>
    <w:p>
      <w:pPr>
        <w:pStyle w:val="BodyText"/>
        <w:spacing w:before="1" w:line="218" w:lineRule="auto"/>
        <w:ind w:left="6"/>
      </w:pPr>
      <w:r>
        <w:rPr>
          <w:spacing w:val="-4"/>
        </w:rPr>
        <w:t>排风管应采用金属管道并接地。</w:t>
      </w:r>
    </w:p>
    <w:p>
      <w:pPr>
        <w:pStyle w:val="BodyText"/>
        <w:spacing w:before="297" w:line="630" w:lineRule="exact"/>
        <w:ind w:left="6"/>
      </w:pPr>
      <w:r>
        <w:rPr>
          <w:rFonts w:ascii="Arial" w:eastAsia="Arial" w:hAnsi="Arial" w:cs="Arial"/>
          <w:b/>
          <w:bCs/>
          <w:spacing w:val="7"/>
          <w:position w:val="26"/>
        </w:rPr>
        <w:t>5.11.6</w:t>
      </w:r>
      <w:r>
        <w:rPr>
          <w:rFonts w:ascii="Arial" w:eastAsia="Arial" w:hAnsi="Arial" w:cs="Arial"/>
          <w:b/>
          <w:bCs/>
          <w:spacing w:val="28"/>
          <w:position w:val="26"/>
        </w:rPr>
        <w:t xml:space="preserve">  </w:t>
      </w:r>
      <w:r>
        <w:rPr>
          <w:spacing w:val="7"/>
          <w:position w:val="26"/>
        </w:rPr>
        <w:t>易燃/毒性气体气瓶储存柜采用的防爆型有毒气体检(探)测器应取</w:t>
      </w:r>
    </w:p>
    <w:p>
      <w:pPr>
        <w:pStyle w:val="BodyText"/>
        <w:spacing w:before="2" w:line="217" w:lineRule="auto"/>
        <w:ind w:left="6"/>
      </w:pPr>
      <w:r>
        <w:rPr>
          <w:spacing w:val="-7"/>
        </w:rPr>
        <w:t>得防爆合格证。</w:t>
      </w:r>
    </w:p>
    <w:p>
      <w:pPr>
        <w:pStyle w:val="BodyText"/>
        <w:spacing w:before="292" w:line="219" w:lineRule="auto"/>
        <w:ind w:left="6"/>
      </w:pPr>
      <w:r>
        <w:rPr>
          <w:rFonts w:ascii="Arial" w:eastAsia="Arial" w:hAnsi="Arial" w:cs="Arial"/>
          <w:b/>
          <w:bCs/>
          <w:spacing w:val="-5"/>
        </w:rPr>
        <w:t>5.11.7</w:t>
      </w:r>
      <w:r>
        <w:rPr>
          <w:rFonts w:ascii="Arial" w:eastAsia="Arial" w:hAnsi="Arial" w:cs="Arial"/>
          <w:b/>
          <w:bCs/>
          <w:spacing w:val="22"/>
        </w:rPr>
        <w:t xml:space="preserve">  </w:t>
      </w:r>
      <w:r>
        <w:rPr>
          <w:spacing w:val="-5"/>
        </w:rPr>
        <w:t>柜内应安装防止气瓶倾倒的固定装置</w:t>
      </w:r>
      <w:r>
        <w:rPr>
          <w:spacing w:val="-6"/>
        </w:rPr>
        <w:t>，如固定导轨、固定链条等。</w:t>
      </w:r>
    </w:p>
    <w:p>
      <w:pPr>
        <w:pStyle w:val="BodyText"/>
        <w:spacing w:before="298" w:line="219" w:lineRule="auto"/>
        <w:ind w:left="6"/>
      </w:pPr>
      <w:r>
        <w:rPr>
          <w:rFonts w:ascii="Arial" w:eastAsia="Arial" w:hAnsi="Arial" w:cs="Arial"/>
          <w:b/>
          <w:bCs/>
          <w:spacing w:val="-1"/>
        </w:rPr>
        <w:t>5.11.8</w:t>
      </w:r>
      <w:r>
        <w:rPr>
          <w:rFonts w:ascii="Arial" w:eastAsia="Arial" w:hAnsi="Arial" w:cs="Arial"/>
          <w:b/>
          <w:bCs/>
          <w:spacing w:val="27"/>
        </w:rPr>
        <w:t xml:space="preserve">  </w:t>
      </w:r>
      <w:r>
        <w:rPr>
          <w:spacing w:val="-1"/>
        </w:rPr>
        <w:t>柜体颜色应符合4.1的要求，并宜在柜体摆放位置标示黄色警示</w:t>
      </w:r>
      <w:r>
        <w:rPr>
          <w:spacing w:val="-2"/>
        </w:rPr>
        <w:t>线。</w:t>
      </w:r>
    </w:p>
    <w:p>
      <w:pPr>
        <w:pStyle w:val="BodyText"/>
        <w:spacing w:before="277" w:line="219" w:lineRule="auto"/>
      </w:pPr>
      <w:r>
        <w:rPr>
          <w:b/>
          <w:bCs/>
          <w:spacing w:val="-16"/>
        </w:rPr>
        <w:t>5.12</w:t>
      </w:r>
      <w:r>
        <w:rPr>
          <w:spacing w:val="64"/>
        </w:rPr>
        <w:t xml:space="preserve"> </w:t>
      </w:r>
      <w:r>
        <w:rPr>
          <w:spacing w:val="-16"/>
        </w:rPr>
        <w:t>产品铭牌</w:t>
      </w:r>
    </w:p>
    <w:p>
      <w:pPr>
        <w:pStyle w:val="BodyText"/>
        <w:spacing w:before="296" w:line="219" w:lineRule="auto"/>
        <w:ind w:right="3"/>
        <w:jc w:val="right"/>
      </w:pPr>
      <w:r>
        <w:rPr>
          <w:spacing w:val="-1"/>
        </w:rPr>
        <w:t>制造单位应在储存柜左侧面的左上角张贴金属材质的产</w:t>
      </w:r>
      <w:r>
        <w:rPr>
          <w:spacing w:val="-2"/>
        </w:rPr>
        <w:t>品铭牌，铭牌的</w:t>
      </w:r>
    </w:p>
    <w:p>
      <w:pPr>
        <w:spacing w:line="219" w:lineRule="auto"/>
        <w:sectPr>
          <w:footerReference w:type="default" r:id="rId14"/>
          <w:pgSz w:w="11910" w:h="16840"/>
          <w:pgMar w:top="1431" w:right="1273" w:bottom="981" w:left="1393" w:header="0" w:footer="852" w:gutter="0"/>
          <w:pgNumType w:start="10"/>
          <w:cols w:space="708"/>
        </w:sectPr>
      </w:pPr>
    </w:p>
    <w:p>
      <w:pPr>
        <w:pStyle w:val="BodyText"/>
        <w:spacing w:before="158" w:line="771" w:lineRule="exact"/>
      </w:pPr>
      <w:r>
        <w:rPr>
          <w:spacing w:val="-5"/>
          <w:position w:val="38"/>
        </w:rPr>
        <w:t>颜色应清晰醒目、色泽均匀，不应有泛色，其主要内容见附录</w:t>
      </w:r>
      <w:r>
        <w:rPr>
          <w:rFonts w:ascii="Times New Roman" w:eastAsia="Times New Roman" w:hAnsi="Times New Roman" w:cs="Times New Roman"/>
          <w:spacing w:val="-5"/>
          <w:position w:val="38"/>
        </w:rPr>
        <w:t>B</w:t>
      </w:r>
      <w:r>
        <w:rPr>
          <w:spacing w:val="-5"/>
          <w:position w:val="38"/>
        </w:rPr>
        <w:t>。</w:t>
      </w:r>
    </w:p>
    <w:p>
      <w:pPr>
        <w:pStyle w:val="BodyText"/>
        <w:spacing w:line="219" w:lineRule="auto"/>
        <w:ind w:left="4"/>
      </w:pPr>
      <w:r>
        <w:rPr>
          <w:b/>
          <w:bCs/>
          <w:spacing w:val="-2"/>
        </w:rPr>
        <w:t>6</w:t>
      </w:r>
      <w:r>
        <w:rPr>
          <w:spacing w:val="42"/>
        </w:rPr>
        <w:t xml:space="preserve"> </w:t>
      </w:r>
      <w:r>
        <w:rPr>
          <w:spacing w:val="-2"/>
        </w:rPr>
        <w:t>危险化学品储存柜使用安全管理要求</w:t>
      </w:r>
    </w:p>
    <w:p>
      <w:pPr>
        <w:spacing w:line="364" w:lineRule="auto"/>
      </w:pPr>
    </w:p>
    <w:p>
      <w:pPr>
        <w:pStyle w:val="BodyText"/>
        <w:spacing w:before="91" w:line="219" w:lineRule="auto"/>
        <w:ind w:left="3"/>
      </w:pPr>
      <w:r>
        <w:rPr>
          <w:b/>
          <w:bCs/>
          <w:spacing w:val="-6"/>
        </w:rPr>
        <w:t>6.1</w:t>
      </w:r>
      <w:r>
        <w:rPr>
          <w:spacing w:val="91"/>
        </w:rPr>
        <w:t xml:space="preserve"> </w:t>
      </w:r>
      <w:r>
        <w:rPr>
          <w:spacing w:val="-6"/>
        </w:rPr>
        <w:t>危险化学品储存柜存放及使用场所应满足以下安全管理要求：</w:t>
      </w:r>
    </w:p>
    <w:p>
      <w:pPr>
        <w:pStyle w:val="BodyText"/>
        <w:spacing w:before="245" w:line="661" w:lineRule="exact"/>
        <w:jc w:val="right"/>
      </w:pPr>
      <w:r>
        <w:rPr>
          <w:rFonts w:ascii="Times New Roman" w:eastAsia="Times New Roman" w:hAnsi="Times New Roman" w:cs="Times New Roman"/>
          <w:spacing w:val="-7"/>
          <w:position w:val="29"/>
        </w:rPr>
        <w:t xml:space="preserve">a) </w:t>
      </w:r>
      <w:r>
        <w:rPr>
          <w:spacing w:val="-7"/>
          <w:position w:val="29"/>
        </w:rPr>
        <w:t>使用单位应根据储存危险化学品的性质、数量选择符合要求的储存柜，</w:t>
      </w:r>
    </w:p>
    <w:p>
      <w:pPr>
        <w:pStyle w:val="BodyText"/>
        <w:spacing w:before="1" w:line="218" w:lineRule="auto"/>
      </w:pPr>
      <w:r>
        <w:t>危险化学品储存柜可储存的常见危险化学品参见附录</w:t>
      </w:r>
      <w:r>
        <w:rPr>
          <w:rFonts w:ascii="Times New Roman" w:eastAsia="Times New Roman" w:hAnsi="Times New Roman" w:cs="Times New Roman"/>
        </w:rPr>
        <w:t>C</w:t>
      </w:r>
      <w:r>
        <w:t>。</w:t>
      </w:r>
    </w:p>
    <w:p>
      <w:pPr>
        <w:pStyle w:val="BodyText"/>
        <w:spacing w:before="257" w:line="426" w:lineRule="auto"/>
        <w:ind w:right="86" w:firstLine="600"/>
      </w:pPr>
      <w:r>
        <w:rPr>
          <w:rFonts w:ascii="Times New Roman" w:eastAsia="Times New Roman" w:hAnsi="Times New Roman" w:cs="Times New Roman"/>
          <w:spacing w:val="-4"/>
        </w:rPr>
        <w:t>b)</w:t>
      </w:r>
      <w:r>
        <w:rPr>
          <w:rFonts w:ascii="Times New Roman" w:eastAsia="Times New Roman" w:hAnsi="Times New Roman" w:cs="Times New Roman"/>
          <w:spacing w:val="66"/>
          <w:w w:val="101"/>
        </w:rPr>
        <w:t xml:space="preserve"> </w:t>
      </w:r>
      <w:r>
        <w:rPr>
          <w:spacing w:val="-4"/>
        </w:rPr>
        <w:t>危险化学品储存柜或柜组应独立设置，远离火源、热源、电源及产生</w:t>
      </w:r>
      <w:r>
        <w:t xml:space="preserve"> 火花的环境，周边1000</w:t>
      </w:r>
      <w:r>
        <w:rPr>
          <w:rFonts w:ascii="Times New Roman" w:eastAsia="Times New Roman" w:hAnsi="Times New Roman" w:cs="Times New Roman"/>
        </w:rPr>
        <w:t>mm</w:t>
      </w:r>
      <w:r>
        <w:rPr>
          <w:rFonts w:ascii="Times New Roman" w:eastAsia="Times New Roman" w:hAnsi="Times New Roman" w:cs="Times New Roman"/>
          <w:spacing w:val="-4"/>
        </w:rPr>
        <w:t xml:space="preserve"> </w:t>
      </w:r>
      <w:r>
        <w:t>范围内不应放置杂物；当多个存放性质相近危险</w:t>
      </w:r>
    </w:p>
    <w:p>
      <w:pPr>
        <w:pStyle w:val="BodyText"/>
        <w:spacing w:line="219" w:lineRule="auto"/>
      </w:pPr>
      <w:r>
        <w:rPr>
          <w:spacing w:val="-1"/>
        </w:rPr>
        <w:t xml:space="preserve">化学品的储存柜组成柜组时，相邻储存柜的间距不应小于150 </w:t>
      </w:r>
      <w:r>
        <w:rPr>
          <w:rFonts w:ascii="Times New Roman" w:eastAsia="Times New Roman" w:hAnsi="Times New Roman" w:cs="Times New Roman"/>
          <w:spacing w:val="-1"/>
        </w:rPr>
        <w:t>mm</w:t>
      </w:r>
      <w:r>
        <w:rPr>
          <w:spacing w:val="-1"/>
        </w:rPr>
        <w:t>。</w:t>
      </w:r>
    </w:p>
    <w:p>
      <w:pPr>
        <w:pStyle w:val="BodyText"/>
        <w:spacing w:before="256" w:line="652" w:lineRule="exact"/>
        <w:ind w:right="82"/>
        <w:jc w:val="right"/>
      </w:pPr>
      <w:r>
        <w:rPr>
          <w:rFonts w:ascii="Times New Roman" w:eastAsia="Times New Roman" w:hAnsi="Times New Roman" w:cs="Times New Roman"/>
          <w:spacing w:val="-3"/>
          <w:position w:val="29"/>
        </w:rPr>
        <w:t xml:space="preserve">c)  </w:t>
      </w:r>
      <w:r>
        <w:rPr>
          <w:spacing w:val="-3"/>
          <w:position w:val="29"/>
        </w:rPr>
        <w:t>危险化学品包装容器泄漏、渗漏时，应迅速处理</w:t>
      </w:r>
      <w:r>
        <w:rPr>
          <w:spacing w:val="-4"/>
          <w:position w:val="29"/>
        </w:rPr>
        <w:t>，不应继续存放在危</w:t>
      </w:r>
    </w:p>
    <w:p>
      <w:pPr>
        <w:pStyle w:val="BodyText"/>
        <w:spacing w:line="219" w:lineRule="auto"/>
      </w:pPr>
      <w:r>
        <w:rPr>
          <w:spacing w:val="-7"/>
        </w:rPr>
        <w:t>险化学品储存柜内。</w:t>
      </w:r>
    </w:p>
    <w:p>
      <w:pPr>
        <w:pStyle w:val="BodyText"/>
        <w:spacing w:before="266" w:line="420" w:lineRule="auto"/>
        <w:ind w:right="89" w:firstLine="600"/>
      </w:pPr>
      <w:r>
        <w:rPr>
          <w:rFonts w:ascii="Times New Roman" w:eastAsia="Times New Roman" w:hAnsi="Times New Roman" w:cs="Times New Roman"/>
          <w:spacing w:val="-4"/>
        </w:rPr>
        <w:t>d)</w:t>
      </w:r>
      <w:r>
        <w:rPr>
          <w:rFonts w:ascii="Times New Roman" w:eastAsia="Times New Roman" w:hAnsi="Times New Roman" w:cs="Times New Roman"/>
          <w:spacing w:val="64"/>
        </w:rPr>
        <w:t xml:space="preserve"> </w:t>
      </w:r>
      <w:r>
        <w:rPr>
          <w:spacing w:val="-4"/>
        </w:rPr>
        <w:t>易燃液体和可燃液体储存柜柜体防静电接地装置应有效运行，静电接</w:t>
      </w:r>
      <w:r>
        <w:t xml:space="preserve"> </w:t>
      </w:r>
      <w:r>
        <w:rPr>
          <w:spacing w:val="5"/>
        </w:rPr>
        <w:t xml:space="preserve">地体的接地电阻值应小于100 </w:t>
      </w:r>
      <w:r>
        <w:rPr>
          <w:rFonts w:ascii="Times New Roman" w:eastAsia="Times New Roman" w:hAnsi="Times New Roman" w:cs="Times New Roman"/>
          <w:spacing w:val="5"/>
        </w:rPr>
        <w:t xml:space="preserve">Q,   </w:t>
      </w:r>
      <w:r>
        <w:rPr>
          <w:spacing w:val="5"/>
        </w:rPr>
        <w:t>静电防护的其他要求应符合</w:t>
      </w:r>
      <w:r>
        <w:t>GB</w:t>
      </w:r>
      <w:r>
        <w:rPr>
          <w:spacing w:val="5"/>
        </w:rPr>
        <w:t>121585 的</w:t>
      </w:r>
    </w:p>
    <w:p>
      <w:pPr>
        <w:pStyle w:val="BodyText"/>
        <w:spacing w:before="1" w:line="220" w:lineRule="auto"/>
      </w:pPr>
      <w:r>
        <w:rPr>
          <w:spacing w:val="-12"/>
        </w:rPr>
        <w:t>要求。</w:t>
      </w:r>
    </w:p>
    <w:p>
      <w:pPr>
        <w:pStyle w:val="BodyText"/>
        <w:spacing w:before="262" w:line="650" w:lineRule="exact"/>
        <w:ind w:right="85"/>
        <w:jc w:val="right"/>
      </w:pPr>
      <w:r>
        <w:rPr>
          <w:rFonts w:ascii="Times New Roman" w:eastAsia="Times New Roman" w:hAnsi="Times New Roman" w:cs="Times New Roman"/>
          <w:spacing w:val="-3"/>
          <w:position w:val="29"/>
        </w:rPr>
        <w:t>e)</w:t>
      </w:r>
      <w:r>
        <w:rPr>
          <w:rFonts w:ascii="Times New Roman" w:eastAsia="Times New Roman" w:hAnsi="Times New Roman" w:cs="Times New Roman"/>
          <w:spacing w:val="52"/>
          <w:w w:val="101"/>
          <w:position w:val="29"/>
        </w:rPr>
        <w:t xml:space="preserve"> </w:t>
      </w:r>
      <w:r>
        <w:rPr>
          <w:spacing w:val="-3"/>
          <w:position w:val="29"/>
        </w:rPr>
        <w:t>危险化学品不应与相应的相禁忌化学品混合储存，危险化学品储存禁</w:t>
      </w:r>
    </w:p>
    <w:p>
      <w:pPr>
        <w:pStyle w:val="BodyText"/>
        <w:spacing w:before="1" w:line="218" w:lineRule="auto"/>
      </w:pPr>
      <w:r>
        <w:rPr>
          <w:spacing w:val="-6"/>
        </w:rPr>
        <w:t>忌见附录</w:t>
      </w:r>
      <w:r>
        <w:rPr>
          <w:spacing w:val="-81"/>
        </w:rPr>
        <w:t xml:space="preserve"> </w:t>
      </w:r>
      <w:r>
        <w:rPr>
          <w:spacing w:val="-6"/>
        </w:rPr>
        <w:t>D。</w:t>
      </w:r>
    </w:p>
    <w:p>
      <w:pPr>
        <w:pStyle w:val="BodyText"/>
        <w:spacing w:before="269" w:line="414" w:lineRule="auto"/>
        <w:ind w:right="88" w:firstLine="600"/>
      </w:pPr>
      <w:r>
        <w:rPr>
          <w:rFonts w:ascii="Times New Roman" w:eastAsia="Times New Roman" w:hAnsi="Times New Roman" w:cs="Times New Roman"/>
          <w:spacing w:val="-3"/>
        </w:rPr>
        <w:t xml:space="preserve">f)  </w:t>
      </w:r>
      <w:r>
        <w:rPr>
          <w:spacing w:val="-3"/>
        </w:rPr>
        <w:t>危险化学品生产企业应当根据《危险化学品安全管理条例》的要求提</w:t>
      </w:r>
      <w:r>
        <w:rPr>
          <w:spacing w:val="16"/>
        </w:rPr>
        <w:t xml:space="preserve"> </w:t>
      </w:r>
      <w:r>
        <w:rPr>
          <w:spacing w:val="-1"/>
        </w:rPr>
        <w:t>供与其生产的危险化学品相符的化学品安全技术说明书，并在危</w:t>
      </w:r>
      <w:r>
        <w:rPr>
          <w:spacing w:val="-2"/>
        </w:rPr>
        <w:t>险化学品包</w:t>
      </w:r>
      <w:r>
        <w:t xml:space="preserve"> </w:t>
      </w:r>
      <w:r>
        <w:rPr>
          <w:spacing w:val="7"/>
        </w:rPr>
        <w:t>装(包括外包装件)上粘贴或者拴挂与包装内危险化学品相符的化学品安全</w:t>
      </w:r>
      <w:r>
        <w:rPr>
          <w:spacing w:val="11"/>
        </w:rPr>
        <w:t xml:space="preserve"> </w:t>
      </w:r>
      <w:r>
        <w:rPr>
          <w:spacing w:val="-1"/>
        </w:rPr>
        <w:t>标签。化学品安全技术说明书和化学品安全标签所载明的内容应当符合国家</w:t>
      </w:r>
    </w:p>
    <w:p>
      <w:pPr>
        <w:pStyle w:val="BodyText"/>
        <w:spacing w:line="220" w:lineRule="auto"/>
      </w:pPr>
      <w:r>
        <w:rPr>
          <w:spacing w:val="-8"/>
        </w:rPr>
        <w:t>标准的要求。</w:t>
      </w:r>
    </w:p>
    <w:p>
      <w:pPr>
        <w:pStyle w:val="BodyText"/>
        <w:spacing w:before="326" w:line="214" w:lineRule="auto"/>
        <w:ind w:left="600"/>
      </w:pPr>
      <w:r>
        <w:rPr>
          <w:spacing w:val="-4"/>
        </w:rPr>
        <w:t>g) 领用危险化学品时，应做好相关记录。</w:t>
      </w:r>
    </w:p>
    <w:p>
      <w:pPr>
        <w:pStyle w:val="BodyText"/>
        <w:spacing w:before="263" w:line="212" w:lineRule="auto"/>
        <w:ind w:left="600"/>
      </w:pPr>
      <w:r>
        <w:rPr>
          <w:rFonts w:ascii="Times New Roman" w:eastAsia="Times New Roman" w:hAnsi="Times New Roman" w:cs="Times New Roman"/>
        </w:rPr>
        <w:t xml:space="preserve">h)  </w:t>
      </w:r>
      <w:r>
        <w:t>危险化学品储存柜存放场所应按GB</w:t>
      </w:r>
      <w:r>
        <w:rPr>
          <w:spacing w:val="52"/>
        </w:rPr>
        <w:t xml:space="preserve"> </w:t>
      </w:r>
      <w:r>
        <w:t>50140</w:t>
      </w:r>
      <w:r>
        <w:rPr>
          <w:spacing w:val="-55"/>
        </w:rPr>
        <w:t xml:space="preserve"> </w:t>
      </w:r>
      <w:r>
        <w:t>规定配备相应灭火器材。</w:t>
      </w:r>
    </w:p>
    <w:p>
      <w:pPr>
        <w:spacing w:line="212" w:lineRule="auto"/>
        <w:sectPr>
          <w:footerReference w:type="default" r:id="rId15"/>
          <w:pgSz w:w="11910" w:h="16840"/>
          <w:pgMar w:top="1431" w:right="1189" w:bottom="981" w:left="1390" w:header="0" w:footer="852" w:gutter="0"/>
          <w:pgNumType w:start="11"/>
          <w:cols w:space="708"/>
        </w:sectPr>
      </w:pPr>
    </w:p>
    <w:p>
      <w:pPr>
        <w:pStyle w:val="BodyText"/>
        <w:spacing w:before="159" w:line="412" w:lineRule="auto"/>
        <w:ind w:right="25" w:firstLine="590"/>
        <w:jc w:val="both"/>
      </w:pPr>
      <w:r>
        <w:rPr>
          <w:spacing w:val="-1"/>
        </w:rPr>
        <w:t>i)</w:t>
      </w:r>
      <w:r>
        <w:rPr>
          <w:spacing w:val="-40"/>
        </w:rPr>
        <w:t xml:space="preserve"> </w:t>
      </w:r>
      <w:r>
        <w:rPr>
          <w:spacing w:val="-1"/>
        </w:rPr>
        <w:t>储存剧毒危险化学品时，应符合《危险化学品安</w:t>
      </w:r>
      <w:r>
        <w:rPr>
          <w:spacing w:val="-2"/>
        </w:rPr>
        <w:t>全管理条例》(国务</w:t>
      </w:r>
      <w:r>
        <w:t xml:space="preserve"> </w:t>
      </w:r>
      <w:r>
        <w:rPr>
          <w:spacing w:val="3"/>
        </w:rPr>
        <w:t>院令第591号)和《剧毒化学品购买和公路运输许可证件管理办法》(公安部</w:t>
      </w:r>
    </w:p>
    <w:p>
      <w:pPr>
        <w:pStyle w:val="BodyText"/>
        <w:spacing w:line="218" w:lineRule="auto"/>
      </w:pPr>
      <w:r>
        <w:rPr>
          <w:spacing w:val="11"/>
        </w:rPr>
        <w:t>令第77号)等法律法规的相关规定。</w:t>
      </w:r>
    </w:p>
    <w:p>
      <w:pPr>
        <w:pStyle w:val="BodyText"/>
        <w:spacing w:before="289" w:line="219" w:lineRule="auto"/>
      </w:pPr>
      <w:r>
        <w:rPr>
          <w:rFonts w:ascii="Times New Roman" w:eastAsia="Times New Roman" w:hAnsi="Times New Roman" w:cs="Times New Roman"/>
          <w:b/>
          <w:bCs/>
          <w:spacing w:val="-3"/>
        </w:rPr>
        <w:t>6.2</w:t>
      </w:r>
      <w:r>
        <w:rPr>
          <w:rFonts w:ascii="Times New Roman" w:eastAsia="Times New Roman" w:hAnsi="Times New Roman" w:cs="Times New Roman"/>
          <w:b/>
          <w:bCs/>
          <w:spacing w:val="27"/>
          <w:w w:val="101"/>
        </w:rPr>
        <w:t xml:space="preserve">  </w:t>
      </w:r>
      <w:r>
        <w:rPr>
          <w:spacing w:val="-3"/>
        </w:rPr>
        <w:t>危险化学品储存柜管理制度要求</w:t>
      </w:r>
    </w:p>
    <w:p>
      <w:pPr>
        <w:pStyle w:val="BodyText"/>
        <w:spacing w:before="297" w:line="219" w:lineRule="auto"/>
      </w:pPr>
      <w:r>
        <w:rPr>
          <w:rFonts w:ascii="Arial" w:eastAsia="Arial" w:hAnsi="Arial" w:cs="Arial"/>
          <w:b/>
          <w:bCs/>
          <w:spacing w:val="-6"/>
        </w:rPr>
        <w:t>6.2.1</w:t>
      </w:r>
      <w:r>
        <w:rPr>
          <w:rFonts w:ascii="Arial" w:eastAsia="Arial" w:hAnsi="Arial" w:cs="Arial"/>
          <w:b/>
          <w:bCs/>
          <w:spacing w:val="36"/>
        </w:rPr>
        <w:t xml:space="preserve">  </w:t>
      </w:r>
      <w:r>
        <w:rPr>
          <w:spacing w:val="-6"/>
        </w:rPr>
        <w:t>使用单位应制定危险化学品储存柜安全管理制度。</w:t>
      </w:r>
    </w:p>
    <w:p>
      <w:pPr>
        <w:pStyle w:val="BodyText"/>
        <w:spacing w:before="278" w:line="219" w:lineRule="auto"/>
      </w:pPr>
      <w:r>
        <w:rPr>
          <w:rFonts w:ascii="Times New Roman" w:eastAsia="Times New Roman" w:hAnsi="Times New Roman" w:cs="Times New Roman"/>
          <w:b/>
          <w:bCs/>
          <w:spacing w:val="-3"/>
        </w:rPr>
        <w:t xml:space="preserve">6.2.2   </w:t>
      </w:r>
      <w:r>
        <w:rPr>
          <w:spacing w:val="-3"/>
        </w:rPr>
        <w:t>使用单位应编制危险化学品储存柜安全操作规程。</w:t>
      </w:r>
    </w:p>
    <w:p>
      <w:pPr>
        <w:pStyle w:val="BodyText"/>
        <w:spacing w:before="292" w:line="221" w:lineRule="auto"/>
        <w:ind w:left="3"/>
      </w:pPr>
      <w:r>
        <w:rPr>
          <w:b/>
          <w:bCs/>
          <w:spacing w:val="-18"/>
        </w:rPr>
        <w:t>6.3</w:t>
      </w:r>
      <w:r>
        <w:rPr>
          <w:spacing w:val="74"/>
        </w:rPr>
        <w:t xml:space="preserve"> </w:t>
      </w:r>
      <w:r>
        <w:rPr>
          <w:spacing w:val="-18"/>
        </w:rPr>
        <w:t>应急处置</w:t>
      </w:r>
    </w:p>
    <w:p>
      <w:pPr>
        <w:pStyle w:val="BodyText"/>
        <w:spacing w:before="291" w:line="219" w:lineRule="auto"/>
      </w:pPr>
      <w:r>
        <w:rPr>
          <w:rFonts w:ascii="Arial" w:eastAsia="Arial" w:hAnsi="Arial" w:cs="Arial"/>
          <w:b/>
          <w:bCs/>
          <w:spacing w:val="-1"/>
        </w:rPr>
        <w:t>6.3.1</w:t>
      </w:r>
      <w:r>
        <w:rPr>
          <w:rFonts w:ascii="Arial" w:eastAsia="Arial" w:hAnsi="Arial" w:cs="Arial"/>
          <w:b/>
          <w:bCs/>
          <w:spacing w:val="39"/>
        </w:rPr>
        <w:t xml:space="preserve">  </w:t>
      </w:r>
      <w:r>
        <w:rPr>
          <w:spacing w:val="-1"/>
        </w:rPr>
        <w:t>使用单位应编制符合GB/T 29639要求的危险化学品储存柜现场处置方</w:t>
      </w:r>
    </w:p>
    <w:p>
      <w:pPr>
        <w:pStyle w:val="BodyText"/>
        <w:spacing w:before="288" w:line="220" w:lineRule="auto"/>
      </w:pPr>
      <w:r>
        <w:rPr>
          <w:spacing w:val="-9"/>
        </w:rPr>
        <w:t>案及应急处置卡。</w:t>
      </w:r>
    </w:p>
    <w:p>
      <w:pPr>
        <w:pStyle w:val="BodyText"/>
        <w:spacing w:before="296" w:line="633" w:lineRule="exact"/>
      </w:pPr>
      <w:r>
        <w:rPr>
          <w:rFonts w:ascii="Times New Roman" w:eastAsia="Times New Roman" w:hAnsi="Times New Roman" w:cs="Times New Roman"/>
          <w:b/>
          <w:bCs/>
          <w:spacing w:val="1"/>
          <w:position w:val="27"/>
        </w:rPr>
        <w:t xml:space="preserve">6.3.2   </w:t>
      </w:r>
      <w:r>
        <w:rPr>
          <w:spacing w:val="1"/>
          <w:position w:val="27"/>
        </w:rPr>
        <w:t>使用单位应每半年至少组织相关人员进行一次应急演练，并做好演练</w:t>
      </w:r>
    </w:p>
    <w:p>
      <w:pPr>
        <w:pStyle w:val="BodyText"/>
        <w:spacing w:before="1" w:line="221" w:lineRule="auto"/>
      </w:pPr>
      <w:r>
        <w:rPr>
          <w:spacing w:val="-12"/>
        </w:rPr>
        <w:t>记录。</w:t>
      </w:r>
    </w:p>
    <w:p>
      <w:pPr>
        <w:pStyle w:val="BodyText"/>
        <w:spacing w:before="281" w:line="219" w:lineRule="auto"/>
        <w:ind w:left="3"/>
      </w:pPr>
      <w:r>
        <w:rPr>
          <w:b/>
          <w:bCs/>
          <w:spacing w:val="-12"/>
        </w:rPr>
        <w:t>6.4</w:t>
      </w:r>
      <w:r>
        <w:rPr>
          <w:spacing w:val="68"/>
        </w:rPr>
        <w:t xml:space="preserve"> </w:t>
      </w:r>
      <w:r>
        <w:rPr>
          <w:spacing w:val="-12"/>
        </w:rPr>
        <w:t>管理人员要求</w:t>
      </w:r>
    </w:p>
    <w:p>
      <w:pPr>
        <w:pStyle w:val="BodyText"/>
        <w:spacing w:before="307" w:line="620" w:lineRule="exact"/>
      </w:pPr>
      <w:r>
        <w:rPr>
          <w:rFonts w:ascii="Arial" w:eastAsia="Arial" w:hAnsi="Arial" w:cs="Arial"/>
          <w:b/>
          <w:bCs/>
          <w:spacing w:val="-1"/>
          <w:position w:val="26"/>
        </w:rPr>
        <w:t>6.4.1</w:t>
      </w:r>
      <w:r>
        <w:rPr>
          <w:rFonts w:ascii="Arial" w:eastAsia="Arial" w:hAnsi="Arial" w:cs="Arial"/>
          <w:b/>
          <w:bCs/>
          <w:spacing w:val="38"/>
          <w:w w:val="101"/>
          <w:position w:val="26"/>
        </w:rPr>
        <w:t xml:space="preserve">  </w:t>
      </w:r>
      <w:r>
        <w:rPr>
          <w:spacing w:val="-1"/>
          <w:position w:val="26"/>
        </w:rPr>
        <w:t>危险化学品储存柜管理人员应具备危险化学品安全使用知识和危险化</w:t>
      </w:r>
    </w:p>
    <w:p>
      <w:pPr>
        <w:pStyle w:val="BodyText"/>
        <w:spacing w:before="1" w:line="219" w:lineRule="auto"/>
      </w:pPr>
      <w:r>
        <w:rPr>
          <w:spacing w:val="-5"/>
        </w:rPr>
        <w:t>学品事故应急处置能力。</w:t>
      </w:r>
    </w:p>
    <w:p>
      <w:pPr>
        <w:pStyle w:val="BodyText"/>
        <w:spacing w:before="277" w:line="639" w:lineRule="exact"/>
        <w:jc w:val="right"/>
      </w:pPr>
      <w:r>
        <w:rPr>
          <w:rFonts w:ascii="Times New Roman" w:eastAsia="Times New Roman" w:hAnsi="Times New Roman" w:cs="Times New Roman"/>
          <w:b/>
          <w:bCs/>
          <w:spacing w:val="2"/>
          <w:position w:val="27"/>
        </w:rPr>
        <w:t xml:space="preserve">6.4.2   </w:t>
      </w:r>
      <w:r>
        <w:rPr>
          <w:spacing w:val="2"/>
          <w:position w:val="27"/>
        </w:rPr>
        <w:t>危险化学品储存柜管理人员应</w:t>
      </w:r>
      <w:r>
        <w:rPr>
          <w:spacing w:val="1"/>
          <w:position w:val="27"/>
        </w:rPr>
        <w:t>进行安全培训，经使用单位考核合格后</w:t>
      </w:r>
    </w:p>
    <w:p>
      <w:pPr>
        <w:pStyle w:val="BodyText"/>
        <w:spacing w:before="1" w:line="218" w:lineRule="auto"/>
      </w:pPr>
      <w:r>
        <w:rPr>
          <w:spacing w:val="-5"/>
        </w:rPr>
        <w:t>才能上岗。</w:t>
      </w:r>
    </w:p>
    <w:p>
      <w:pPr>
        <w:pStyle w:val="BodyText"/>
        <w:spacing w:before="279" w:line="632" w:lineRule="exact"/>
      </w:pPr>
      <w:r>
        <w:rPr>
          <w:rFonts w:ascii="Arial" w:eastAsia="Arial" w:hAnsi="Arial" w:cs="Arial"/>
          <w:b/>
          <w:bCs/>
          <w:spacing w:val="8"/>
          <w:position w:val="26"/>
        </w:rPr>
        <w:t>6.4.3</w:t>
      </w:r>
      <w:r>
        <w:rPr>
          <w:rFonts w:ascii="Arial" w:eastAsia="Arial" w:hAnsi="Arial" w:cs="Arial"/>
          <w:b/>
          <w:bCs/>
          <w:spacing w:val="32"/>
          <w:position w:val="26"/>
        </w:rPr>
        <w:t xml:space="preserve">  </w:t>
      </w:r>
      <w:r>
        <w:rPr>
          <w:spacing w:val="8"/>
          <w:position w:val="26"/>
        </w:rPr>
        <w:t>危险化学品储存柜管理人员应配戴</w:t>
      </w:r>
      <w:r>
        <w:rPr>
          <w:spacing w:val="7"/>
          <w:position w:val="26"/>
        </w:rPr>
        <w:t>相应个体劳动防护用品，应符合</w:t>
      </w:r>
    </w:p>
    <w:p>
      <w:pPr>
        <w:pStyle w:val="BodyText"/>
        <w:spacing w:line="220" w:lineRule="auto"/>
      </w:pPr>
      <w:r>
        <w:rPr>
          <w:spacing w:val="-5"/>
        </w:rPr>
        <w:t>GB/T 29510</w:t>
      </w:r>
      <w:r>
        <w:rPr>
          <w:spacing w:val="-47"/>
        </w:rPr>
        <w:t xml:space="preserve"> </w:t>
      </w:r>
      <w:r>
        <w:rPr>
          <w:spacing w:val="-5"/>
        </w:rPr>
        <w:t>的规定。</w:t>
      </w:r>
    </w:p>
    <w:p>
      <w:pPr>
        <w:pStyle w:val="BodyText"/>
        <w:spacing w:before="285" w:line="219" w:lineRule="auto"/>
        <w:ind w:left="3"/>
      </w:pPr>
      <w:r>
        <w:rPr>
          <w:b/>
          <w:bCs/>
          <w:spacing w:val="-7"/>
        </w:rPr>
        <w:t>6.5</w:t>
      </w:r>
      <w:r>
        <w:rPr>
          <w:spacing w:val="69"/>
        </w:rPr>
        <w:t xml:space="preserve"> </w:t>
      </w:r>
      <w:r>
        <w:rPr>
          <w:spacing w:val="-7"/>
        </w:rPr>
        <w:t>危险化学品储存柜安全检查及维修</w:t>
      </w:r>
    </w:p>
    <w:p>
      <w:pPr>
        <w:pStyle w:val="BodyText"/>
        <w:spacing w:before="298" w:line="621" w:lineRule="exact"/>
      </w:pPr>
      <w:r>
        <w:rPr>
          <w:rFonts w:ascii="Arial" w:eastAsia="Arial" w:hAnsi="Arial" w:cs="Arial"/>
          <w:b/>
          <w:bCs/>
          <w:spacing w:val="-1"/>
          <w:position w:val="26"/>
        </w:rPr>
        <w:t>6.5.1</w:t>
      </w:r>
      <w:r>
        <w:rPr>
          <w:rFonts w:ascii="Arial" w:eastAsia="Arial" w:hAnsi="Arial" w:cs="Arial"/>
          <w:b/>
          <w:bCs/>
          <w:spacing w:val="39"/>
          <w:position w:val="26"/>
        </w:rPr>
        <w:t xml:space="preserve">  </w:t>
      </w:r>
      <w:r>
        <w:rPr>
          <w:spacing w:val="-1"/>
          <w:position w:val="26"/>
        </w:rPr>
        <w:t>使用单位应定期对危险化学品储存柜进行安全检查、维护，检查项目</w:t>
      </w:r>
    </w:p>
    <w:p>
      <w:pPr>
        <w:pStyle w:val="BodyText"/>
        <w:spacing w:line="220" w:lineRule="auto"/>
      </w:pPr>
      <w:r>
        <w:rPr>
          <w:spacing w:val="-9"/>
        </w:rPr>
        <w:t>应包括但不限于：</w:t>
      </w:r>
    </w:p>
    <w:p>
      <w:pPr>
        <w:pStyle w:val="BodyText"/>
        <w:spacing w:before="254" w:line="212" w:lineRule="auto"/>
        <w:ind w:left="590"/>
      </w:pPr>
      <w:r>
        <w:rPr>
          <w:rFonts w:ascii="Times New Roman" w:eastAsia="Times New Roman" w:hAnsi="Times New Roman" w:cs="Times New Roman"/>
          <w:spacing w:val="-4"/>
        </w:rPr>
        <w:t>a)</w:t>
      </w:r>
      <w:r>
        <w:rPr>
          <w:rFonts w:ascii="Times New Roman" w:eastAsia="Times New Roman" w:hAnsi="Times New Roman" w:cs="Times New Roman"/>
          <w:spacing w:val="27"/>
        </w:rPr>
        <w:t xml:space="preserve">  </w:t>
      </w:r>
      <w:r>
        <w:rPr>
          <w:spacing w:val="-4"/>
        </w:rPr>
        <w:t>柜体外观完好整洁，无锈蚀。</w:t>
      </w:r>
    </w:p>
    <w:p>
      <w:pPr>
        <w:pStyle w:val="BodyText"/>
        <w:spacing w:before="318" w:line="212" w:lineRule="auto"/>
        <w:ind w:left="590"/>
      </w:pPr>
      <w:r>
        <w:rPr>
          <w:rFonts w:ascii="Times New Roman" w:eastAsia="Times New Roman" w:hAnsi="Times New Roman" w:cs="Times New Roman"/>
          <w:spacing w:val="-1"/>
        </w:rPr>
        <w:t xml:space="preserve">b)  </w:t>
      </w:r>
      <w:r>
        <w:rPr>
          <w:spacing w:val="-1"/>
        </w:rPr>
        <w:t>防静电接地装置牢固、无锈蚀，标识清晰完整。</w:t>
      </w:r>
    </w:p>
    <w:p>
      <w:pPr>
        <w:spacing w:line="212"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6" w:history="1">
        <w:r>
          <w:rPr>
            <w:rFonts w:ascii="SimSun" w:eastAsia="SimSun" w:hAnsi="SimSun" w:cs="SimSun"/>
            <w:b/>
            <w:bCs/>
            <w:snapToGrid/>
            <w:color w:val="0000EE"/>
            <w:kern w:val="0"/>
            <w:sz w:val="30"/>
            <w:szCs w:val="30"/>
            <w:u w:val="single" w:color="0000EE"/>
          </w:rPr>
          <w:t>https://d.book118.com/085031121122011121</w:t>
        </w:r>
      </w:hyperlink>
    </w:p>
    <w:p>
      <w:pPr>
        <w:spacing w:line="212" w:lineRule="auto"/>
      </w:pPr>
    </w:p>
    <w:sectPr>
      <w:footerReference w:type="default" r:id="rId17"/>
      <w:pgSz w:w="11910" w:h="16840"/>
      <w:pgMar w:top="1431" w:right="1279" w:bottom="981" w:left="1400" w:header="0" w:footer="852" w:gutter="0"/>
      <w:pgNumType w:start="12"/>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YouYuan">
    <w:altName w:val="Segoe Print"/>
    <w:panose1 w:val="00000000000000000000"/>
    <w:charset w:val="00"/>
    <w:family w:val="auto"/>
    <w:pitch w:val="default"/>
    <w:sig w:usb0="00000000"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9" w:lineRule="auto"/>
      <w:rPr>
        <w:sz w:val="13"/>
        <w:szCs w:val="13"/>
      </w:rPr>
    </w:pPr>
    <w:r>
      <w:rPr>
        <w:sz w:val="13"/>
        <w:szCs w:val="13"/>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9" w:lineRule="auto"/>
      <w:rPr>
        <w:sz w:val="14"/>
        <w:szCs w:val="14"/>
      </w:rPr>
    </w:pPr>
    <w:r>
      <w:rPr>
        <w:sz w:val="14"/>
        <w:szCs w:val="14"/>
      </w:rP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9" w:lineRule="auto"/>
      <w:rPr>
        <w:sz w:val="14"/>
        <w:szCs w:val="14"/>
      </w:rPr>
    </w:pPr>
    <w:r>
      <w:rPr>
        <w:sz w:val="14"/>
        <w:szCs w:val="14"/>
      </w:rPr>
      <w:t>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ind w:left="26"/>
      <w:rPr>
        <w:sz w:val="13"/>
        <w:szCs w:val="13"/>
      </w:rPr>
    </w:pPr>
    <w:r>
      <w:rPr>
        <w:sz w:val="13"/>
        <w:szCs w:val="13"/>
      </w:rPr>
      <w:t>4</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rPr>
        <w:sz w:val="14"/>
        <w:szCs w:val="14"/>
      </w:rPr>
    </w:pPr>
    <w:r>
      <w:rPr>
        <w:sz w:val="14"/>
        <w:szCs w:val="14"/>
      </w:rPr>
      <w:t>5</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rPr>
        <w:sz w:val="14"/>
        <w:szCs w:val="14"/>
      </w:rPr>
    </w:pPr>
    <w:r>
      <w:rPr>
        <w:sz w:val="14"/>
        <w:szCs w:val="14"/>
      </w:rPr>
      <w:t>5</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rPr>
        <w:sz w:val="14"/>
        <w:szCs w:val="14"/>
      </w:rPr>
    </w:pPr>
    <w:r>
      <w:rPr>
        <w:sz w:val="14"/>
        <w:szCs w:val="14"/>
      </w:rPr>
      <w:t>5</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7" w:lineRule="auto"/>
      <w:rPr>
        <w:sz w:val="12"/>
        <w:szCs w:val="12"/>
      </w:rPr>
    </w:pPr>
    <w:r>
      <w:rPr>
        <w:sz w:val="12"/>
        <w:szCs w:val="12"/>
      </w:rPr>
      <w:t>6</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rPr>
        <w:sz w:val="14"/>
        <w:szCs w:val="14"/>
      </w:rPr>
    </w:pPr>
    <w:r>
      <w:rPr>
        <w:sz w:val="14"/>
        <w:szCs w:val="14"/>
      </w:rPr>
      <w:t>7</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ind w:left="6"/>
      <w:rPr>
        <w:sz w:val="13"/>
        <w:szCs w:val="13"/>
      </w:rPr>
    </w:pPr>
    <w:r>
      <w:rPr>
        <w:sz w:val="13"/>
        <w:szCs w:val="13"/>
      </w:rPr>
      <w:t>8</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8" w:lineRule="auto"/>
      <w:rPr>
        <w:sz w:val="13"/>
        <w:szCs w:val="13"/>
      </w:rPr>
    </w:pPr>
    <w:r>
      <w:rPr>
        <w:sz w:val="13"/>
        <w:szCs w:val="13"/>
      </w:rPr>
      <w:t>9</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69" w:lineRule="auto"/>
      <w:rPr>
        <w:sz w:val="13"/>
        <w:szCs w:val="13"/>
      </w:rPr>
    </w:pPr>
    <w:r>
      <w:rPr>
        <w:spacing w:val="-4"/>
        <w:sz w:val="13"/>
        <w:szCs w:val="13"/>
      </w:rPr>
      <w:t>10</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4011555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7"/>
      <w:szCs w:val="27"/>
      <w:lang w:val="en-US" w:eastAsia="en-US" w:bidi="ar-SA"/>
    </w:rPr>
  </w:style>
  <w:style w:type="paragraph" w:styleId="BodyText">
    <w:name w:val="Body Text"/>
    <w:basedOn w:val="Normal"/>
    <w:semiHidden/>
    <w:qFormat/>
    <w:rPr>
      <w:rFonts w:ascii="宋体" w:eastAsia="宋体" w:hAnsi="宋体" w:cs="宋体"/>
      <w:sz w:val="28"/>
      <w:szCs w:val="28"/>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hyperlink" Target="https://d.book118.com/085031121122011121" TargetMode="External" /><Relationship Id="rId17" Type="http://schemas.openxmlformats.org/officeDocument/2006/relationships/footer" Target="footer12.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2024-03-10T21:21:00Z</dcterms:created>
  <dcterms:modified xsi:type="dcterms:W3CDTF">2024-03-10T13:21:12Z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2024-03-10T13:21:10Z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65edb3c0061220001f3a6f06wl</vt:lpwstr>
  </property>
</Properties>
</file>