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高速传真机行业企业战略风险管理报告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9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一、员工压力管理及应对措施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8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1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_Toc20261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二、建设用地征地拆迁及移民安置分析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(一)、高速传真机项目选址及用地方案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1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_Toc9181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8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_Toc25588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_Toc20257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四、高速传真机项目建设目标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" w:history="1">
        <w:r>
          <w:rPr>
            <w:rFonts w:ascii="仿宋" w:eastAsia="仿宋" w:hAnsi="仿宋" w:cs="仿宋" w:hint="eastAsia"/>
            <w:lang w:eastAsia="zh-CN"/>
          </w:rPr>
          <w:t>(一)、高速传真机项目建设目标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" w:history="1">
        <w:r>
          <w:rPr>
            <w:rFonts w:ascii="仿宋" w:eastAsia="仿宋" w:hAnsi="仿宋" w:cs="仿宋" w:hint="eastAsia"/>
            <w:lang w:eastAsia="zh-CN"/>
          </w:rPr>
          <w:t>五、后期运营与管理</w:t>
        </w:r>
        <w:r>
          <w:tab/>
        </w:r>
        <w:r>
          <w:fldChar w:fldCharType="begin"/>
        </w:r>
        <w:r>
          <w:instrText xml:space="preserve"> PAGEREF _Toc1584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eastAsia="zh-CN"/>
          </w:rPr>
          <w:t>(一)、高速传真机项目运营管理机制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8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6" w:history="1">
        <w:r>
          <w:rPr>
            <w:rFonts w:ascii="仿宋" w:eastAsia="仿宋" w:hAnsi="仿宋" w:cs="仿宋" w:hint="eastAsia"/>
            <w:lang w:eastAsia="zh-CN"/>
          </w:rPr>
          <w:t>六、风险应对评估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_Toc23710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_Toc26513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七、必要性分析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_Toc18198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_Toc8047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_Toc2018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eastAsia="zh-CN"/>
          </w:rPr>
          <w:t>(七)、高速传真机项目建设风险及控制手段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6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0" w:history="1">
        <w:r>
          <w:rPr>
            <w:rFonts w:ascii="仿宋" w:eastAsia="仿宋" w:hAnsi="仿宋" w:cs="仿宋" w:hint="eastAsia"/>
            <w:lang w:eastAsia="zh-CN"/>
          </w:rPr>
          <w:t>九、风险管理与应急预案</w:t>
        </w:r>
        <w:r>
          <w:tab/>
        </w:r>
        <w:r>
          <w:fldChar w:fldCharType="begin"/>
        </w:r>
        <w:r>
          <w:instrText xml:space="preserve"> PAGEREF _Toc28670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3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_Toc18023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4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_Toc4254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8" w:history="1">
        <w:r>
          <w:rPr>
            <w:rFonts w:ascii="仿宋" w:eastAsia="仿宋" w:hAnsi="仿宋" w:cs="仿宋" w:hint="eastAsia"/>
            <w:lang w:eastAsia="zh-CN"/>
          </w:rPr>
          <w:t>十、危机管理与应急预案</w:t>
        </w:r>
        <w:r>
          <w:tab/>
        </w:r>
        <w:r>
          <w:fldChar w:fldCharType="begin"/>
        </w:r>
        <w:r>
          <w:instrText xml:space="preserve"> PAGEREF _Toc29158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8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_Toc27878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5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_Toc11865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6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十一、高速传真机项目招投标方案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6" w:history="1">
        <w:r>
          <w:rPr>
            <w:rFonts w:ascii="仿宋" w:eastAsia="仿宋" w:hAnsi="仿宋" w:cs="仿宋" w:hint="eastAsia"/>
            <w:lang w:eastAsia="zh-CN"/>
          </w:rPr>
          <w:t>(四)、高速传真机项目招投标要求</w:t>
        </w:r>
        <w:r>
          <w:tab/>
        </w:r>
        <w:r>
          <w:fldChar w:fldCharType="begin"/>
        </w:r>
        <w:r>
          <w:instrText xml:space="preserve"> PAGEREF _Toc11666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eastAsia="zh-CN"/>
          </w:rPr>
          <w:t>(五)、高速传真机项目招标方式和招标程序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十二、高速传真机项目进展与里程碑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(一)、高速传真机项目进展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十三、实施进度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(六)、高速传真机项目实施保障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eastAsia="zh-CN"/>
          </w:rPr>
          <w:t>十四、高速传真机行业品牌策略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3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_Toc7173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8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_Toc15098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4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_Toc10704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_Toc15085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_Toc3261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十六、环境保护管理措施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7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_Toc23717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4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_Toc25854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9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_Toc7349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十七、高速传真机项目节能分析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121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_Toc17121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8" w:history="1">
        <w:r>
          <w:rPr>
            <w:rFonts w:ascii="仿宋" w:eastAsia="仿宋" w:hAnsi="仿宋" w:cs="仿宋" w:hint="eastAsia"/>
            <w:lang w:eastAsia="zh-CN"/>
          </w:rPr>
          <w:t>(二)、高速传真机项目预期节能综合评价</w:t>
        </w:r>
        <w:r>
          <w:tab/>
        </w:r>
        <w:r>
          <w:fldChar w:fldCharType="begin"/>
        </w:r>
        <w:r>
          <w:instrText xml:space="preserve"> PAGEREF _Toc25788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(三)、高速传真机项目节能设计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0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_Toc8210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1" w:history="1">
        <w:r>
          <w:rPr>
            <w:rFonts w:ascii="仿宋" w:eastAsia="仿宋" w:hAnsi="仿宋" w:cs="仿宋" w:hint="eastAsia"/>
            <w:lang w:eastAsia="zh-CN"/>
          </w:rPr>
          <w:t>十八、品质与服务体验优化</w:t>
        </w:r>
        <w:r>
          <w:tab/>
        </w:r>
        <w:r>
          <w:fldChar w:fldCharType="begin"/>
        </w:r>
        <w:r>
          <w:instrText xml:space="preserve"> PAGEREF _Toc7091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8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_Toc20448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_Toc663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十九、人力资源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3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_Toc8603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6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_Toc22606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0" w:history="1">
        <w:r>
          <w:rPr>
            <w:rFonts w:ascii="仿宋" w:eastAsia="仿宋" w:hAnsi="仿宋" w:cs="仿宋" w:hint="eastAsia"/>
            <w:lang w:eastAsia="zh-CN"/>
          </w:rPr>
          <w:t>二十、创新投资策略</w:t>
        </w:r>
        <w:r>
          <w:tab/>
        </w:r>
        <w:r>
          <w:fldChar w:fldCharType="begin"/>
        </w:r>
        <w:r>
          <w:instrText xml:space="preserve"> PAGEREF _Toc24460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_Toc6513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6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_Toc23896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7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9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13"/>
      <w:r>
        <w:rPr>
          <w:rFonts w:ascii="仿宋" w:eastAsia="仿宋" w:hAnsi="仿宋" w:cs="仿宋" w:hint="eastAsia"/>
          <w:sz w:val="28"/>
          <w:lang w:eastAsia="zh-CN"/>
        </w:rPr>
        <w:t>一、员工压力管理及应对措施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96"/>
      <w:r>
        <w:rPr>
          <w:rFonts w:ascii="仿宋" w:eastAsia="仿宋" w:hAnsi="仿宋" w:cs="仿宋" w:hint="eastAsia"/>
          <w:lang w:eastAsia="zh-CN"/>
        </w:rPr>
        <w:t>(一)、压力对员工的影响及管理原则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在现代职场中，可以说员工面临的压力是不可避免的。对于这个问题，公司意识到了良好的压力管理的重要性，并且制定了以下管理原则：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个性化管理：公司重视员工个体差异。这包括了解员工的性格、工作习惯和应对压力的方式。由于不同的员工对同一压力源可能有不同的反应，公司将采取个性化的管理方式，以更好地满足员工的个体需求。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提前介入：为了及时发现员工可能面临的压力源，公司将建立早期介入机制，并定期进行员工心理健康检查。通过提前介入，公司将采取预防措施，以防范潜在问题，确保员工的身心健康。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https://d.book118.com/085044043331011112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高速传真机行业企业战略风险管理报告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高速传真机行业企业战略风险管理报告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高速传真机行业企业战略风险管理报告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高速传真机行业企业战略风险管理报告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高速传真机行业企业战略风险管理报告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B775A0"/>
    <w:rsid w:val="4593521B"/>
    <w:rsid w:val="7AE7341D"/>
    <w:rsid w:val="7EB775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5044043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2024-02-26T23:27:00Z</dcterms:created>
  <dcterms:modified xsi:type="dcterms:W3CDTF">2024-02-26T23:27:28Z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BB0D577203FB47BA94EC024CA5BF6F23_11</vt:lpwstr>
  </property>
  <property fmtid="{D5CDD505-2E9C-101B-9397-08002B2CF9AE}" pid="3" name="KSOProductBuildVer">
    <vt:lpwstr>2052-12.1.0.16250</vt:lpwstr>
  </property>
</Properties>
</file>