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after="0" w:line="240" w:lineRule="auto"/>
        <w:outlineLvl w:val="9"/>
        <w:rPr>
          <w:rFonts w:ascii="宋体" w:eastAsia="宋体" w:cs="仿宋_GB2312"/>
          <w:szCs w:val="32"/>
          <w:highlight w:val="none"/>
        </w:rPr>
      </w:pPr>
    </w:p>
    <w:p>
      <w:pPr>
        <w:ind w:firstLine="640" w:firstLineChars="200"/>
        <w:rPr>
          <w:rFonts w:eastAsia="宋体" w:hAnsi="Times New Roman"/>
          <w:szCs w:val="24"/>
          <w:highlight w:val="none"/>
        </w:rPr>
      </w:pPr>
    </w:p>
    <w:p>
      <w:pPr>
        <w:jc w:val="center"/>
        <w:rPr>
          <w:rFonts w:ascii="宋体" w:eastAsia="宋体" w:cs="方正小标宋_GBK"/>
          <w:b/>
          <w:bCs/>
          <w:snapToGrid w:val="0"/>
          <w:kern w:val="0"/>
          <w:sz w:val="44"/>
          <w:szCs w:val="44"/>
          <w:highlight w:val="none"/>
        </w:rPr>
      </w:pPr>
      <w:r>
        <w:rPr>
          <w:rFonts w:ascii="宋体" w:eastAsia="宋体" w:cs="方正小标宋_GBK" w:hint="eastAsia"/>
          <w:b/>
          <w:bCs/>
          <w:snapToGrid w:val="0"/>
          <w:kern w:val="0"/>
          <w:sz w:val="44"/>
          <w:szCs w:val="44"/>
          <w:highlight w:val="none"/>
        </w:rPr>
        <w:t>沈阳市第</w:t>
      </w:r>
      <w:r>
        <w:rPr>
          <w:rFonts w:ascii="宋体" w:eastAsia="宋体" w:cs="方正小标宋_GBK"/>
          <w:b/>
          <w:bCs/>
          <w:snapToGrid w:val="0"/>
          <w:kern w:val="0"/>
          <w:sz w:val="44"/>
          <w:szCs w:val="44"/>
          <w:highlight w:val="none"/>
        </w:rPr>
        <w:t>二</w:t>
      </w:r>
      <w:r>
        <w:rPr>
          <w:rFonts w:ascii="宋体" w:eastAsia="宋体" w:cs="方正小标宋_GBK" w:hint="eastAsia"/>
          <w:b/>
          <w:bCs/>
          <w:snapToGrid w:val="0"/>
          <w:kern w:val="0"/>
          <w:sz w:val="44"/>
          <w:szCs w:val="44"/>
          <w:highlight w:val="none"/>
        </w:rPr>
        <w:t>届“舒心传技 莘绅向阳”</w:t>
      </w:r>
    </w:p>
    <w:p>
      <w:pPr>
        <w:jc w:val="center"/>
        <w:rPr>
          <w:rFonts w:ascii="宋体" w:eastAsia="宋体" w:cs="方正小标宋_GBK"/>
          <w:b/>
          <w:bCs/>
          <w:snapToGrid w:val="0"/>
          <w:kern w:val="0"/>
          <w:sz w:val="44"/>
          <w:szCs w:val="44"/>
          <w:highlight w:val="none"/>
        </w:rPr>
      </w:pPr>
      <w:r>
        <w:rPr>
          <w:rFonts w:ascii="宋体" w:eastAsia="宋体" w:cs="方正小标宋_GBK" w:hint="eastAsia"/>
          <w:b/>
          <w:bCs/>
          <w:snapToGrid w:val="0"/>
          <w:kern w:val="0"/>
          <w:sz w:val="44"/>
          <w:szCs w:val="44"/>
          <w:highlight w:val="none"/>
        </w:rPr>
        <w:t>职业技能大赛</w:t>
      </w:r>
    </w:p>
    <w:p>
      <w:pPr>
        <w:jc w:val="center"/>
        <w:rPr>
          <w:rFonts w:eastAsia="方正小标宋_GBK" w:hAnsi="Times New Roman" w:cs="方正小标宋_GBK"/>
          <w:snapToGrid w:val="0"/>
          <w:kern w:val="0"/>
          <w:sz w:val="52"/>
          <w:szCs w:val="52"/>
          <w:highlight w:val="none"/>
        </w:rPr>
      </w:pPr>
    </w:p>
    <w:p>
      <w:pPr>
        <w:jc w:val="center"/>
        <w:rPr>
          <w:rFonts w:eastAsia="方正小标宋_GBK" w:hAnsi="Times New Roman" w:cs="方正小标宋_GBK"/>
          <w:sz w:val="52"/>
          <w:szCs w:val="52"/>
          <w:highlight w:val="none"/>
          <w:lang w:val="en-AU"/>
        </w:rPr>
      </w:pPr>
    </w:p>
    <w:p>
      <w:pPr>
        <w:jc w:val="center"/>
        <w:rPr>
          <w:rFonts w:ascii="宋体" w:eastAsia="宋体" w:cs="方正小标宋_GBK"/>
          <w:b/>
          <w:bCs/>
          <w:sz w:val="52"/>
          <w:szCs w:val="52"/>
          <w:highlight w:val="none"/>
          <w:lang w:val="en-AU"/>
        </w:rPr>
      </w:pPr>
      <w:r>
        <w:rPr>
          <w:rFonts w:ascii="宋体" w:eastAsia="宋体" w:cs="方正小标宋_GBK" w:hint="eastAsia"/>
          <w:b/>
          <w:bCs/>
          <w:sz w:val="52"/>
          <w:szCs w:val="52"/>
          <w:highlight w:val="none"/>
        </w:rPr>
        <w:t>叉车工</w:t>
      </w:r>
      <w:r>
        <w:rPr>
          <w:rFonts w:ascii="宋体" w:eastAsia="宋体" w:cs="方正小标宋_GBK" w:hint="eastAsia"/>
          <w:b/>
          <w:bCs/>
          <w:sz w:val="52"/>
          <w:szCs w:val="52"/>
          <w:highlight w:val="none"/>
          <w:lang w:val="en-AU"/>
        </w:rPr>
        <w:t>技术工作文件</w:t>
      </w:r>
    </w:p>
    <w:p>
      <w:pPr>
        <w:rPr>
          <w:rFonts w:hAnsi="Times New Roman" w:hint="eastAsia"/>
          <w:szCs w:val="20"/>
          <w:highlight w:val="none"/>
          <w:lang w:val="en-AU"/>
        </w:rPr>
      </w:pPr>
    </w:p>
    <w:p>
      <w:pPr>
        <w:rPr>
          <w:rFonts w:hAnsi="Times New Roman"/>
          <w:color w:val="FF0000"/>
          <w:szCs w:val="24"/>
          <w:highlight w:val="none"/>
          <w:lang w:val="en-AU"/>
        </w:rPr>
      </w:pPr>
    </w:p>
    <w:p>
      <w:pPr>
        <w:rPr>
          <w:rFonts w:hAnsi="Times New Roman"/>
          <w:color w:val="FF0000"/>
          <w:szCs w:val="24"/>
          <w:highlight w:val="none"/>
          <w:lang w:val="en-AU"/>
        </w:rPr>
      </w:pPr>
      <w:bookmarkStart w:id="0" w:name="_GoBack"/>
      <w:bookmarkEnd w:id="0"/>
    </w:p>
    <w:p>
      <w:pPr>
        <w:rPr>
          <w:rFonts w:hAnsi="Times New Roman"/>
          <w:color w:val="FF0000"/>
          <w:szCs w:val="24"/>
          <w:highlight w:val="none"/>
          <w:lang w:val="en-AU"/>
        </w:rPr>
      </w:pPr>
    </w:p>
    <w:p>
      <w:pPr>
        <w:rPr>
          <w:rFonts w:hAnsi="Times New Roman"/>
          <w:color w:val="FF0000"/>
          <w:szCs w:val="24"/>
          <w:highlight w:val="none"/>
          <w:lang w:val="en-AU"/>
        </w:rPr>
      </w:pPr>
    </w:p>
    <w:p>
      <w:pPr>
        <w:rPr>
          <w:rFonts w:hAnsi="Times New Roman" w:hint="eastAsia"/>
          <w:color w:val="FF0000"/>
          <w:szCs w:val="24"/>
          <w:highlight w:val="none"/>
          <w:lang w:val="en-AU"/>
        </w:rPr>
      </w:pPr>
    </w:p>
    <w:p>
      <w:pPr>
        <w:rPr>
          <w:rFonts w:hAnsi="Times New Roman" w:hint="eastAsia"/>
          <w:color w:val="FF0000"/>
          <w:szCs w:val="24"/>
          <w:highlight w:val="none"/>
          <w:lang w:val="en-AU"/>
        </w:rPr>
      </w:pPr>
    </w:p>
    <w:p>
      <w:pPr>
        <w:jc w:val="center"/>
        <w:rPr>
          <w:rFonts w:ascii="宋体" w:eastAsia="宋体" w:cs="方正仿宋_GBK"/>
          <w:b/>
          <w:bCs/>
          <w:snapToGrid w:val="0"/>
          <w:kern w:val="0"/>
          <w:szCs w:val="32"/>
          <w:highlight w:val="none"/>
        </w:rPr>
      </w:pPr>
      <w:r>
        <w:rPr>
          <w:rFonts w:ascii="宋体" w:eastAsia="宋体" w:cs="方正仿宋_GBK" w:hint="eastAsia"/>
          <w:b/>
          <w:bCs/>
          <w:snapToGrid w:val="0"/>
          <w:kern w:val="0"/>
          <w:szCs w:val="32"/>
          <w:highlight w:val="none"/>
        </w:rPr>
        <w:t>沈阳市</w:t>
      </w:r>
      <w:r>
        <w:rPr>
          <w:rFonts w:ascii="宋体" w:eastAsia="宋体" w:cs="仿宋_GB2312" w:hint="eastAsia"/>
          <w:b/>
          <w:bCs/>
          <w:szCs w:val="32"/>
          <w:highlight w:val="none"/>
        </w:rPr>
        <w:t>第</w:t>
      </w:r>
      <w:r>
        <w:rPr>
          <w:rFonts w:ascii="宋体" w:eastAsia="宋体" w:cs="仿宋_GB2312"/>
          <w:b/>
          <w:bCs/>
          <w:szCs w:val="32"/>
          <w:highlight w:val="none"/>
        </w:rPr>
        <w:t>二</w:t>
      </w:r>
      <w:r>
        <w:rPr>
          <w:rFonts w:ascii="宋体" w:eastAsia="宋体" w:cs="仿宋_GB2312" w:hint="eastAsia"/>
          <w:b/>
          <w:bCs/>
          <w:szCs w:val="32"/>
          <w:highlight w:val="none"/>
        </w:rPr>
        <w:t>届</w:t>
      </w:r>
      <w:r>
        <w:rPr>
          <w:rFonts w:ascii="宋体" w:eastAsia="宋体" w:cs="方正仿宋_GBK" w:hint="eastAsia"/>
          <w:b/>
          <w:bCs/>
          <w:snapToGrid w:val="0"/>
          <w:kern w:val="0"/>
          <w:szCs w:val="32"/>
          <w:highlight w:val="none"/>
        </w:rPr>
        <w:t>“舒心传技 莘绅向阳”职业技能大赛</w:t>
      </w:r>
    </w:p>
    <w:p>
      <w:pPr>
        <w:jc w:val="center"/>
        <w:rPr>
          <w:rFonts w:ascii="宋体" w:eastAsia="宋体" w:cs="方正仿宋_GBK"/>
          <w:b/>
          <w:bCs/>
          <w:szCs w:val="32"/>
          <w:highlight w:val="none"/>
          <w:lang w:val="en-AU"/>
        </w:rPr>
      </w:pPr>
      <w:r>
        <w:rPr>
          <w:rFonts w:ascii="宋体" w:eastAsia="宋体" w:cs="方正仿宋_GBK" w:hint="eastAsia"/>
          <w:b/>
          <w:bCs/>
          <w:szCs w:val="32"/>
          <w:highlight w:val="none"/>
        </w:rPr>
        <w:t>叉车工项目</w:t>
      </w:r>
      <w:r>
        <w:rPr>
          <w:rFonts w:ascii="宋体" w:eastAsia="宋体" w:cs="方正仿宋_GBK" w:hint="eastAsia"/>
          <w:b/>
          <w:bCs/>
          <w:snapToGrid w:val="0"/>
          <w:kern w:val="0"/>
          <w:szCs w:val="32"/>
          <w:highlight w:val="none"/>
        </w:rPr>
        <w:t>执</w:t>
      </w:r>
      <w:r>
        <w:rPr>
          <w:rFonts w:ascii="宋体" w:eastAsia="宋体" w:cs="方正仿宋_GBK" w:hint="eastAsia"/>
          <w:b/>
          <w:bCs/>
          <w:szCs w:val="32"/>
          <w:highlight w:val="none"/>
          <w:lang w:val="en-AU"/>
        </w:rPr>
        <w:t>委会技术工作组</w:t>
      </w:r>
    </w:p>
    <w:p>
      <w:pPr>
        <w:jc w:val="center"/>
        <w:rPr>
          <w:rFonts w:ascii="宋体" w:eastAsia="宋体"/>
          <w:b/>
          <w:bCs/>
          <w:szCs w:val="32"/>
          <w:highlight w:val="none"/>
          <w:lang w:val="en-AU"/>
        </w:rPr>
      </w:pPr>
      <w:r>
        <w:rPr>
          <w:rFonts w:ascii="宋体" w:eastAsia="宋体"/>
          <w:b/>
          <w:bCs/>
          <w:szCs w:val="32"/>
          <w:highlight w:val="none"/>
          <w:lang w:val="en-AU"/>
        </w:rPr>
        <w:t>202</w:t>
      </w:r>
      <w:r>
        <w:rPr>
          <w:rFonts w:ascii="宋体" w:eastAsia="宋体" w:hint="eastAsia"/>
          <w:b/>
          <w:bCs/>
          <w:szCs w:val="32"/>
          <w:highlight w:val="none"/>
        </w:rPr>
        <w:t>3</w:t>
      </w:r>
      <w:r>
        <w:rPr>
          <w:rFonts w:ascii="宋体" w:eastAsia="宋体" w:hint="eastAsia"/>
          <w:b/>
          <w:bCs/>
          <w:szCs w:val="32"/>
          <w:highlight w:val="none"/>
          <w:lang w:val="en-AU"/>
        </w:rPr>
        <w:t>年</w:t>
      </w:r>
      <w:r>
        <w:rPr>
          <w:rFonts w:ascii="宋体" w:eastAsia="宋体" w:hint="eastAsia"/>
          <w:b/>
          <w:bCs/>
          <w:szCs w:val="32"/>
          <w:highlight w:val="none"/>
        </w:rPr>
        <w:t>10</w:t>
      </w:r>
      <w:r>
        <w:rPr>
          <w:rFonts w:ascii="宋体" w:eastAsia="宋体" w:hint="eastAsia"/>
          <w:b/>
          <w:bCs/>
          <w:szCs w:val="32"/>
          <w:highlight w:val="none"/>
          <w:lang w:val="en-AU"/>
        </w:rPr>
        <w:t>月</w:t>
      </w:r>
    </w:p>
    <w:p>
      <w:pPr>
        <w:jc w:val="center"/>
        <w:rPr>
          <w:rFonts w:ascii="宋体" w:eastAsia="宋体" w:hint="eastAsia"/>
          <w:b/>
          <w:bCs/>
          <w:sz w:val="44"/>
          <w:szCs w:val="44"/>
          <w:highlight w:val="none"/>
        </w:rPr>
        <w:sectPr>
          <w:headerReference w:type="default" r:id="rId5"/>
          <w:footerReference w:type="even" r:id="rId6"/>
          <w:footerReference w:type="default" r:id="rId7"/>
          <w:pgSz w:w="11906" w:h="16838"/>
          <w:pgMar w:top="1928" w:right="1474" w:bottom="1814" w:left="1588" w:header="851" w:footer="1531" w:gutter="0"/>
          <w:cols w:num="1" w:space="425"/>
          <w:docGrid w:type="linesAndChars" w:linePitch="595" w:charSpace="-849"/>
        </w:sectPr>
      </w:pPr>
    </w:p>
    <w:sdt>
      <w:sdtPr>
        <w:rPr>
          <w:rFonts w:ascii="宋体" w:eastAsia="宋体" w:hint="eastAsia"/>
          <w:b/>
          <w:bCs/>
          <w:sz w:val="44"/>
          <w:szCs w:val="44"/>
          <w:highlight w:val="none"/>
          <w:lang w:val="en-US" w:eastAsia="zh-CN"/>
        </w:rPr>
        <w:id w:val="147467685"/>
        <w:docPartObj>
          <w:docPartGallery w:val="Table of Contents"/>
          <w:docPartUnique/>
        </w:docPartObj>
        <w15:color w:val="DBDBDB"/>
      </w:sdtPr>
      <w:sdtEndPr>
        <w:rPr>
          <w:rFonts w:ascii="Times New Roman" w:eastAsia="仿宋_GB2312" w:hAnsi="Times New Roman" w:cs="方正仿宋_GBK" w:hint="eastAsia"/>
          <w:b/>
          <w:bCs/>
          <w:kern w:val="2"/>
          <w:sz w:val="32"/>
          <w:szCs w:val="32"/>
          <w:highlight w:val="none"/>
          <w:lang w:val="en-US" w:eastAsia="zh-CN" w:bidi="ar-SA"/>
        </w:rPr>
      </w:sdtEndPr>
      <w:sdtContent>
        <w:p>
          <w:pPr>
            <w:jc w:val="center"/>
            <w:rPr>
              <w:rFonts w:ascii="宋体" w:eastAsia="宋体" w:hint="eastAsia"/>
              <w:b/>
              <w:bCs/>
              <w:sz w:val="44"/>
              <w:szCs w:val="44"/>
              <w:highlight w:val="none"/>
            </w:rPr>
          </w:pPr>
          <w:r>
            <w:rPr>
              <w:rFonts w:ascii="宋体" w:eastAsia="宋体" w:hint="eastAsia"/>
              <w:b/>
              <w:bCs/>
              <w:sz w:val="44"/>
              <w:szCs w:val="44"/>
              <w:highlight w:val="none"/>
            </w:rPr>
            <w:t>目</w:t>
          </w:r>
          <w:r>
            <w:rPr>
              <w:rFonts w:ascii="宋体" w:eastAsia="宋体" w:hint="eastAsia"/>
              <w:b/>
              <w:bCs/>
              <w:sz w:val="44"/>
              <w:szCs w:val="44"/>
              <w:highlight w:val="none"/>
              <w:lang w:val="en-US" w:eastAsia="zh-CN"/>
            </w:rPr>
            <w:t xml:space="preserve"> </w:t>
          </w:r>
          <w:r>
            <w:rPr>
              <w:rFonts w:ascii="宋体" w:eastAsia="宋体" w:hint="eastAsia"/>
              <w:b/>
              <w:bCs/>
              <w:sz w:val="44"/>
              <w:szCs w:val="44"/>
              <w:highlight w:val="none"/>
            </w:rPr>
            <w:t>录</w:t>
          </w:r>
        </w:p>
        <w:p>
          <w:pPr>
            <w:pStyle w:val="TOC1"/>
            <w:tabs>
              <w:tab w:val="right" w:leader="dot" w:pos="8844"/>
            </w:tabs>
            <w:rPr>
              <w:highlight w:val="none"/>
            </w:rPr>
          </w:pPr>
          <w:r>
            <w:rPr>
              <w:rFonts w:hAnsi="Times New Roman" w:cs="方正仿宋_GBK"/>
              <w:szCs w:val="32"/>
              <w:highlight w:val="none"/>
            </w:rPr>
            <w:fldChar w:fldCharType="begin"/>
          </w:r>
          <w:r>
            <w:rPr>
              <w:rFonts w:hAnsi="Times New Roman" w:cs="方正仿宋_GBK"/>
              <w:szCs w:val="32"/>
              <w:highlight w:val="none"/>
            </w:rPr>
            <w:instrText xml:space="preserve">TOC \o "1-3" \h \u </w:instrText>
          </w:r>
          <w:r>
            <w:rPr>
              <w:rFonts w:hAnsi="Times New Roman" w:cs="方正仿宋_GBK"/>
              <w:szCs w:val="32"/>
              <w:highlight w:val="none"/>
            </w:rPr>
            <w:fldChar w:fldCharType="separate"/>
          </w:r>
          <w:hyperlink w:anchor="_Toc15579" w:history="1">
            <w:r>
              <w:rPr>
                <w:rFonts w:ascii="Times New Roman" w:eastAsia="黑体" w:hAnsi="Times New Roman" w:cs="方正黑体_GBK" w:hint="eastAsia"/>
                <w:szCs w:val="15"/>
                <w:highlight w:val="none"/>
              </w:rPr>
              <w:t>一、技术描述</w:t>
            </w:r>
            <w:r>
              <w:rPr>
                <w:highlight w:val="none"/>
              </w:rPr>
              <w:tab/>
            </w:r>
            <w:r>
              <w:rPr>
                <w:highlight w:val="none"/>
              </w:rPr>
              <w:fldChar w:fldCharType="begin"/>
            </w:r>
            <w:r>
              <w:rPr>
                <w:highlight w:val="none"/>
              </w:rPr>
              <w:instrText xml:space="preserve"> PAGEREF _Toc15579 \h </w:instrText>
            </w:r>
            <w:r>
              <w:rPr>
                <w:highlight w:val="none"/>
              </w:rPr>
              <w:fldChar w:fldCharType="separate"/>
            </w:r>
            <w:r>
              <w:rPr>
                <w:highlight w:val="none"/>
              </w:rPr>
              <w:t>1</w:t>
            </w:r>
            <w:r>
              <w:rPr>
                <w:highlight w:val="none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844"/>
            </w:tabs>
            <w:rPr>
              <w:highlight w:val="none"/>
            </w:rPr>
          </w:pPr>
          <w:hyperlink w:anchor="_Toc26612" w:history="1">
            <w:r>
              <w:rPr>
                <w:rFonts w:ascii="楷体" w:eastAsia="楷体" w:hAnsi="楷体" w:cs="方正楷体_GBK" w:hint="eastAsia"/>
                <w:szCs w:val="20"/>
                <w:highlight w:val="none"/>
              </w:rPr>
              <w:t>（一）项目概要</w:t>
            </w:r>
            <w:r>
              <w:rPr>
                <w:highlight w:val="none"/>
              </w:rPr>
              <w:tab/>
            </w:r>
            <w:r>
              <w:rPr>
                <w:highlight w:val="none"/>
              </w:rPr>
              <w:fldChar w:fldCharType="begin"/>
            </w:r>
            <w:r>
              <w:rPr>
                <w:highlight w:val="none"/>
              </w:rPr>
              <w:instrText xml:space="preserve"> PAGEREF _Toc26612 \h </w:instrText>
            </w:r>
            <w:r>
              <w:rPr>
                <w:highlight w:val="none"/>
              </w:rPr>
              <w:fldChar w:fldCharType="separate"/>
            </w:r>
            <w:r>
              <w:rPr>
                <w:highlight w:val="none"/>
              </w:rPr>
              <w:t>1</w:t>
            </w:r>
            <w:r>
              <w:rPr>
                <w:highlight w:val="none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844"/>
            </w:tabs>
            <w:rPr>
              <w:highlight w:val="none"/>
            </w:rPr>
          </w:pPr>
          <w:hyperlink w:anchor="_Toc22379" w:history="1">
            <w:r>
              <w:rPr>
                <w:rFonts w:ascii="楷体" w:eastAsia="楷体" w:hAnsi="楷体" w:cs="方正楷体_GBK" w:hint="eastAsia"/>
                <w:szCs w:val="20"/>
                <w:highlight w:val="none"/>
              </w:rPr>
              <w:t>（二）基本知识及能力要求</w:t>
            </w:r>
            <w:r>
              <w:rPr>
                <w:highlight w:val="none"/>
              </w:rPr>
              <w:tab/>
            </w:r>
            <w:r>
              <w:rPr>
                <w:highlight w:val="none"/>
              </w:rPr>
              <w:fldChar w:fldCharType="begin"/>
            </w:r>
            <w:r>
              <w:rPr>
                <w:highlight w:val="none"/>
              </w:rPr>
              <w:instrText xml:space="preserve"> PAGEREF _Toc22379 \h </w:instrText>
            </w:r>
            <w:r>
              <w:rPr>
                <w:highlight w:val="none"/>
              </w:rPr>
              <w:fldChar w:fldCharType="separate"/>
            </w:r>
            <w:r>
              <w:rPr>
                <w:highlight w:val="none"/>
              </w:rPr>
              <w:t>1</w:t>
            </w:r>
            <w:r>
              <w:rPr>
                <w:highlight w:val="none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844"/>
            </w:tabs>
            <w:rPr>
              <w:highlight w:val="none"/>
            </w:rPr>
          </w:pPr>
          <w:hyperlink w:anchor="_Toc12720" w:history="1">
            <w:r>
              <w:rPr>
                <w:rFonts w:ascii="Times New Roman" w:eastAsia="黑体" w:hAnsi="Times New Roman" w:cs="方正黑体_GBK" w:hint="eastAsia"/>
                <w:szCs w:val="15"/>
                <w:highlight w:val="none"/>
              </w:rPr>
              <w:t>二、试题及评判标准</w:t>
            </w:r>
            <w:r>
              <w:rPr>
                <w:highlight w:val="none"/>
              </w:rPr>
              <w:tab/>
            </w:r>
            <w:r>
              <w:rPr>
                <w:highlight w:val="none"/>
              </w:rPr>
              <w:fldChar w:fldCharType="begin"/>
            </w:r>
            <w:r>
              <w:rPr>
                <w:highlight w:val="none"/>
              </w:rPr>
              <w:instrText xml:space="preserve"> PAGEREF _Toc12720 \h </w:instrText>
            </w:r>
            <w:r>
              <w:rPr>
                <w:highlight w:val="none"/>
              </w:rPr>
              <w:fldChar w:fldCharType="separate"/>
            </w:r>
            <w:r>
              <w:rPr>
                <w:highlight w:val="none"/>
              </w:rPr>
              <w:t>3</w:t>
            </w:r>
            <w:r>
              <w:rPr>
                <w:highlight w:val="none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844"/>
            </w:tabs>
            <w:rPr>
              <w:highlight w:val="none"/>
            </w:rPr>
          </w:pPr>
          <w:hyperlink w:anchor="_Toc30740" w:history="1">
            <w:r>
              <w:rPr>
                <w:rFonts w:ascii="楷体" w:eastAsia="楷体" w:hAnsi="楷体" w:cs="方正楷体_GBK" w:hint="eastAsia"/>
                <w:szCs w:val="20"/>
                <w:highlight w:val="none"/>
              </w:rPr>
              <w:t>（一）试题（样题）</w:t>
            </w:r>
            <w:r>
              <w:rPr>
                <w:highlight w:val="none"/>
              </w:rPr>
              <w:tab/>
            </w:r>
            <w:r>
              <w:rPr>
                <w:highlight w:val="none"/>
              </w:rPr>
              <w:fldChar w:fldCharType="begin"/>
            </w:r>
            <w:r>
              <w:rPr>
                <w:highlight w:val="none"/>
              </w:rPr>
              <w:instrText xml:space="preserve"> PAGEREF _Toc30740 \h </w:instrText>
            </w:r>
            <w:r>
              <w:rPr>
                <w:highlight w:val="none"/>
              </w:rPr>
              <w:fldChar w:fldCharType="separate"/>
            </w:r>
            <w:r>
              <w:rPr>
                <w:highlight w:val="none"/>
              </w:rPr>
              <w:t>3</w:t>
            </w:r>
            <w:r>
              <w:rPr>
                <w:highlight w:val="none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844"/>
            </w:tabs>
            <w:rPr>
              <w:highlight w:val="none"/>
            </w:rPr>
          </w:pPr>
          <w:hyperlink w:anchor="_Toc30658" w:history="1">
            <w:r>
              <w:rPr>
                <w:rFonts w:ascii="楷体" w:eastAsia="楷体" w:hAnsi="楷体" w:cs="方正楷体_GBK" w:hint="eastAsia"/>
                <w:szCs w:val="20"/>
                <w:highlight w:val="none"/>
              </w:rPr>
              <w:t>（二）比赛时间及试题具体内容</w:t>
            </w:r>
            <w:r>
              <w:rPr>
                <w:highlight w:val="none"/>
              </w:rPr>
              <w:tab/>
            </w:r>
            <w:r>
              <w:rPr>
                <w:highlight w:val="none"/>
              </w:rPr>
              <w:fldChar w:fldCharType="begin"/>
            </w:r>
            <w:r>
              <w:rPr>
                <w:highlight w:val="none"/>
              </w:rPr>
              <w:instrText xml:space="preserve"> PAGEREF _Toc30658 \h </w:instrText>
            </w:r>
            <w:r>
              <w:rPr>
                <w:highlight w:val="none"/>
              </w:rPr>
              <w:fldChar w:fldCharType="separate"/>
            </w:r>
            <w:r>
              <w:rPr>
                <w:highlight w:val="none"/>
              </w:rPr>
              <w:t>4</w:t>
            </w:r>
            <w:r>
              <w:rPr>
                <w:highlight w:val="none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844"/>
            </w:tabs>
            <w:rPr>
              <w:highlight w:val="none"/>
            </w:rPr>
          </w:pPr>
          <w:hyperlink w:anchor="_Toc18649" w:history="1">
            <w:r>
              <w:rPr>
                <w:rFonts w:ascii="楷体" w:eastAsia="楷体" w:hAnsi="楷体" w:cs="方正楷体_GBK" w:hint="eastAsia"/>
                <w:szCs w:val="20"/>
                <w:highlight w:val="none"/>
              </w:rPr>
              <w:t>（三）评判标准</w:t>
            </w:r>
            <w:r>
              <w:rPr>
                <w:highlight w:val="none"/>
              </w:rPr>
              <w:tab/>
            </w:r>
            <w:r>
              <w:rPr>
                <w:highlight w:val="none"/>
              </w:rPr>
              <w:fldChar w:fldCharType="begin"/>
            </w:r>
            <w:r>
              <w:rPr>
                <w:highlight w:val="none"/>
              </w:rPr>
              <w:instrText xml:space="preserve"> PAGEREF _Toc18649 \h </w:instrText>
            </w:r>
            <w:r>
              <w:rPr>
                <w:highlight w:val="none"/>
              </w:rPr>
              <w:fldChar w:fldCharType="separate"/>
            </w:r>
            <w:r>
              <w:rPr>
                <w:highlight w:val="none"/>
              </w:rPr>
              <w:t>6</w:t>
            </w:r>
            <w:r>
              <w:rPr>
                <w:highlight w:val="none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844"/>
            </w:tabs>
            <w:rPr>
              <w:highlight w:val="none"/>
            </w:rPr>
          </w:pPr>
          <w:hyperlink w:anchor="_Toc19232" w:history="1">
            <w:r>
              <w:rPr>
                <w:rFonts w:ascii="Times New Roman" w:eastAsia="黑体" w:hAnsi="Times New Roman" w:cs="方正黑体_GBK" w:hint="eastAsia"/>
                <w:szCs w:val="15"/>
                <w:highlight w:val="none"/>
              </w:rPr>
              <w:t>三、竞赛细则</w:t>
            </w:r>
            <w:r>
              <w:rPr>
                <w:highlight w:val="none"/>
              </w:rPr>
              <w:tab/>
            </w:r>
            <w:r>
              <w:rPr>
                <w:highlight w:val="none"/>
              </w:rPr>
              <w:fldChar w:fldCharType="begin"/>
            </w:r>
            <w:r>
              <w:rPr>
                <w:highlight w:val="none"/>
              </w:rPr>
              <w:instrText xml:space="preserve"> PAGEREF _Toc19232 \h </w:instrText>
            </w:r>
            <w:r>
              <w:rPr>
                <w:highlight w:val="none"/>
              </w:rPr>
              <w:fldChar w:fldCharType="separate"/>
            </w:r>
            <w:r>
              <w:rPr>
                <w:highlight w:val="none"/>
              </w:rPr>
              <w:t>14</w:t>
            </w:r>
            <w:r>
              <w:rPr>
                <w:highlight w:val="none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844"/>
            </w:tabs>
            <w:rPr>
              <w:highlight w:val="none"/>
            </w:rPr>
          </w:pPr>
          <w:hyperlink w:anchor="_Toc29138" w:history="1">
            <w:r>
              <w:rPr>
                <w:rFonts w:ascii="Times New Roman" w:eastAsia="黑体" w:hAnsi="Times New Roman" w:cs="方正黑体_GBK" w:hint="eastAsia"/>
                <w:szCs w:val="15"/>
                <w:highlight w:val="none"/>
              </w:rPr>
              <w:t>四、竞赛场地、设施设备等安排</w:t>
            </w:r>
            <w:r>
              <w:rPr>
                <w:highlight w:val="none"/>
              </w:rPr>
              <w:tab/>
            </w:r>
            <w:r>
              <w:rPr>
                <w:highlight w:val="none"/>
              </w:rPr>
              <w:fldChar w:fldCharType="begin"/>
            </w:r>
            <w:r>
              <w:rPr>
                <w:highlight w:val="none"/>
              </w:rPr>
              <w:instrText xml:space="preserve"> PAGEREF _Toc29138 \h </w:instrText>
            </w:r>
            <w:r>
              <w:rPr>
                <w:highlight w:val="none"/>
              </w:rPr>
              <w:fldChar w:fldCharType="separate"/>
            </w:r>
            <w:r>
              <w:rPr>
                <w:highlight w:val="none"/>
              </w:rPr>
              <w:t>15</w:t>
            </w:r>
            <w:r>
              <w:rPr>
                <w:highlight w:val="none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844"/>
            </w:tabs>
            <w:rPr>
              <w:highlight w:val="none"/>
            </w:rPr>
          </w:pPr>
          <w:hyperlink w:anchor="_Toc2714" w:history="1">
            <w:r>
              <w:rPr>
                <w:rFonts w:eastAsia="楷体_GB2312" w:hAnsi="Times New Roman" w:cs="方正楷体_GBK" w:hint="eastAsia"/>
                <w:szCs w:val="20"/>
                <w:highlight w:val="none"/>
              </w:rPr>
              <w:t>（一）赛场规格要求</w:t>
            </w:r>
            <w:r>
              <w:rPr>
                <w:highlight w:val="none"/>
              </w:rPr>
              <w:tab/>
            </w:r>
            <w:r>
              <w:rPr>
                <w:highlight w:val="none"/>
              </w:rPr>
              <w:fldChar w:fldCharType="begin"/>
            </w:r>
            <w:r>
              <w:rPr>
                <w:highlight w:val="none"/>
              </w:rPr>
              <w:instrText xml:space="preserve"> PAGEREF _Toc2714 \h </w:instrText>
            </w:r>
            <w:r>
              <w:rPr>
                <w:highlight w:val="none"/>
              </w:rPr>
              <w:fldChar w:fldCharType="separate"/>
            </w:r>
            <w:r>
              <w:rPr>
                <w:highlight w:val="none"/>
              </w:rPr>
              <w:t>15</w:t>
            </w:r>
            <w:r>
              <w:rPr>
                <w:highlight w:val="none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844"/>
            </w:tabs>
            <w:rPr>
              <w:highlight w:val="none"/>
            </w:rPr>
          </w:pPr>
          <w:hyperlink w:anchor="_Toc6493" w:history="1">
            <w:r>
              <w:rPr>
                <w:rFonts w:eastAsia="楷体_GB2312" w:hAnsi="Times New Roman" w:cs="方正楷体_GBK" w:hint="eastAsia"/>
                <w:szCs w:val="20"/>
                <w:highlight w:val="none"/>
              </w:rPr>
              <w:t>（二）场地布局图</w:t>
            </w:r>
            <w:r>
              <w:rPr>
                <w:highlight w:val="none"/>
              </w:rPr>
              <w:tab/>
            </w:r>
            <w:r>
              <w:rPr>
                <w:highlight w:val="none"/>
              </w:rPr>
              <w:fldChar w:fldCharType="begin"/>
            </w:r>
            <w:r>
              <w:rPr>
                <w:highlight w:val="none"/>
              </w:rPr>
              <w:instrText xml:space="preserve"> PAGEREF _Toc6493 \h </w:instrText>
            </w:r>
            <w:r>
              <w:rPr>
                <w:highlight w:val="none"/>
              </w:rPr>
              <w:fldChar w:fldCharType="separate"/>
            </w:r>
            <w:r>
              <w:rPr>
                <w:highlight w:val="none"/>
              </w:rPr>
              <w:t>16</w:t>
            </w:r>
            <w:r>
              <w:rPr>
                <w:highlight w:val="none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844"/>
            </w:tabs>
            <w:rPr>
              <w:highlight w:val="none"/>
            </w:rPr>
          </w:pPr>
          <w:hyperlink w:anchor="_Toc8882" w:history="1">
            <w:r>
              <w:rPr>
                <w:rFonts w:eastAsia="楷体_GB2312" w:hAnsi="Times New Roman" w:cs="方正楷体_GBK" w:hint="eastAsia"/>
                <w:szCs w:val="20"/>
                <w:highlight w:val="none"/>
              </w:rPr>
              <w:t>（三）基础设施清单</w:t>
            </w:r>
            <w:r>
              <w:rPr>
                <w:highlight w:val="none"/>
              </w:rPr>
              <w:tab/>
            </w:r>
            <w:r>
              <w:rPr>
                <w:highlight w:val="none"/>
              </w:rPr>
              <w:fldChar w:fldCharType="begin"/>
            </w:r>
            <w:r>
              <w:rPr>
                <w:highlight w:val="none"/>
              </w:rPr>
              <w:instrText xml:space="preserve"> PAGEREF _Toc8882 \h </w:instrText>
            </w:r>
            <w:r>
              <w:rPr>
                <w:highlight w:val="none"/>
              </w:rPr>
              <w:fldChar w:fldCharType="separate"/>
            </w:r>
            <w:r>
              <w:rPr>
                <w:highlight w:val="none"/>
              </w:rPr>
              <w:t>17</w:t>
            </w:r>
            <w:r>
              <w:rPr>
                <w:highlight w:val="none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844"/>
            </w:tabs>
            <w:rPr>
              <w:highlight w:val="none"/>
            </w:rPr>
          </w:pPr>
          <w:hyperlink w:anchor="_Toc25354" w:history="1">
            <w:r>
              <w:rPr>
                <w:rFonts w:ascii="Times New Roman" w:eastAsia="黑体" w:hAnsi="Times New Roman" w:cs="方正黑体_GBK" w:hint="eastAsia"/>
                <w:szCs w:val="15"/>
                <w:highlight w:val="none"/>
              </w:rPr>
              <w:t>五、安全、健康要求</w:t>
            </w:r>
            <w:r>
              <w:rPr>
                <w:highlight w:val="none"/>
              </w:rPr>
              <w:tab/>
            </w:r>
            <w:r>
              <w:rPr>
                <w:highlight w:val="none"/>
              </w:rPr>
              <w:fldChar w:fldCharType="begin"/>
            </w:r>
            <w:r>
              <w:rPr>
                <w:highlight w:val="none"/>
              </w:rPr>
              <w:instrText xml:space="preserve"> PAGEREF _Toc25354 \h </w:instrText>
            </w:r>
            <w:r>
              <w:rPr>
                <w:highlight w:val="none"/>
              </w:rPr>
              <w:fldChar w:fldCharType="separate"/>
            </w:r>
            <w:r>
              <w:rPr>
                <w:highlight w:val="none"/>
              </w:rPr>
              <w:t>18</w:t>
            </w:r>
            <w:r>
              <w:rPr>
                <w:highlight w:val="none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844"/>
            </w:tabs>
            <w:rPr>
              <w:highlight w:val="none"/>
            </w:rPr>
          </w:pPr>
          <w:hyperlink w:anchor="_Toc21868" w:history="1">
            <w:r>
              <w:rPr>
                <w:rFonts w:ascii="宋体" w:eastAsia="宋体" w:cs="方正小标宋简体" w:hint="eastAsia"/>
                <w:bCs/>
                <w:szCs w:val="44"/>
                <w:highlight w:val="none"/>
              </w:rPr>
              <w:t>技能大赛裁判人员工作责任书</w:t>
            </w:r>
            <w:r>
              <w:rPr>
                <w:highlight w:val="none"/>
              </w:rPr>
              <w:tab/>
            </w:r>
            <w:r>
              <w:rPr>
                <w:highlight w:val="none"/>
              </w:rPr>
              <w:fldChar w:fldCharType="begin"/>
            </w:r>
            <w:r>
              <w:rPr>
                <w:highlight w:val="none"/>
              </w:rPr>
              <w:instrText xml:space="preserve"> PAGEREF _Toc21868 \h </w:instrText>
            </w:r>
            <w:r>
              <w:rPr>
                <w:highlight w:val="none"/>
              </w:rPr>
              <w:fldChar w:fldCharType="separate"/>
            </w:r>
            <w:r>
              <w:rPr>
                <w:highlight w:val="none"/>
              </w:rPr>
              <w:t>21</w:t>
            </w:r>
            <w:r>
              <w:rPr>
                <w:highlight w:val="none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844"/>
            </w:tabs>
            <w:rPr>
              <w:highlight w:val="none"/>
            </w:rPr>
          </w:pPr>
          <w:hyperlink w:anchor="_Toc19129" w:history="1">
            <w:r>
              <w:rPr>
                <w:rFonts w:ascii="宋体" w:eastAsia="宋体" w:cs="方正小标宋简体" w:hint="eastAsia"/>
                <w:bCs/>
                <w:szCs w:val="44"/>
                <w:highlight w:val="none"/>
              </w:rPr>
              <w:t>技能大赛竞赛行为规范承诺书</w:t>
            </w:r>
            <w:r>
              <w:rPr>
                <w:highlight w:val="none"/>
              </w:rPr>
              <w:tab/>
            </w:r>
            <w:r>
              <w:rPr>
                <w:highlight w:val="none"/>
              </w:rPr>
              <w:fldChar w:fldCharType="begin"/>
            </w:r>
            <w:r>
              <w:rPr>
                <w:highlight w:val="none"/>
              </w:rPr>
              <w:instrText xml:space="preserve"> PAGEREF _Toc19129 \h </w:instrText>
            </w:r>
            <w:r>
              <w:rPr>
                <w:highlight w:val="none"/>
              </w:rPr>
              <w:fldChar w:fldCharType="separate"/>
            </w:r>
            <w:r>
              <w:rPr>
                <w:highlight w:val="none"/>
              </w:rPr>
              <w:t>22</w:t>
            </w:r>
            <w:r>
              <w:rPr>
                <w:highlight w:val="none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844"/>
            </w:tabs>
            <w:rPr>
              <w:highlight w:val="none"/>
            </w:rPr>
          </w:pPr>
          <w:hyperlink w:anchor="_Toc4458" w:history="1">
            <w:r>
              <w:rPr>
                <w:rFonts w:ascii="宋体" w:eastAsia="宋体" w:cs="方正小标宋简体" w:hint="eastAsia"/>
                <w:bCs/>
                <w:szCs w:val="44"/>
                <w:highlight w:val="none"/>
              </w:rPr>
              <w:t>技能大赛参赛选手安全承诺书</w:t>
            </w:r>
            <w:r>
              <w:rPr>
                <w:highlight w:val="none"/>
              </w:rPr>
              <w:tab/>
            </w:r>
            <w:r>
              <w:rPr>
                <w:highlight w:val="none"/>
              </w:rPr>
              <w:fldChar w:fldCharType="begin"/>
            </w:r>
            <w:r>
              <w:rPr>
                <w:highlight w:val="none"/>
              </w:rPr>
              <w:instrText xml:space="preserve"> PAGEREF _Toc4458 \h </w:instrText>
            </w:r>
            <w:r>
              <w:rPr>
                <w:highlight w:val="none"/>
              </w:rPr>
              <w:fldChar w:fldCharType="separate"/>
            </w:r>
            <w:r>
              <w:rPr>
                <w:highlight w:val="none"/>
              </w:rPr>
              <w:t>24</w:t>
            </w:r>
            <w:r>
              <w:rPr>
                <w:highlight w:val="none"/>
              </w:rPr>
              <w:fldChar w:fldCharType="end"/>
            </w:r>
          </w:hyperlink>
        </w:p>
        <w:p>
          <w:pPr>
            <w:ind w:firstLine="640" w:firstLineChars="200"/>
            <w:rPr>
              <w:rFonts w:hAnsi="Times New Roman" w:cs="方正仿宋_GBK"/>
              <w:szCs w:val="32"/>
              <w:highlight w:val="none"/>
            </w:rPr>
          </w:pPr>
          <w:r>
            <w:rPr>
              <w:rFonts w:hAnsi="Times New Roman" w:cs="方正仿宋_GBK"/>
              <w:szCs w:val="32"/>
              <w:highlight w:val="none"/>
            </w:rPr>
            <w:fldChar w:fldCharType="end"/>
          </w:r>
        </w:p>
      </w:sdtContent>
    </w:sdt>
    <w:p>
      <w:pPr>
        <w:pStyle w:val="Heading1"/>
        <w:spacing w:before="0" w:after="0" w:line="240" w:lineRule="auto"/>
        <w:ind w:firstLine="640" w:firstLineChars="200"/>
        <w:rPr>
          <w:rFonts w:ascii="Times New Roman" w:eastAsia="黑体" w:hAnsi="Times New Roman" w:cs="方正黑体_GBK" w:hint="eastAsia"/>
          <w:sz w:val="32"/>
          <w:szCs w:val="15"/>
          <w:highlight w:val="none"/>
        </w:rPr>
        <w:sectPr>
          <w:headerReference w:type="default" r:id="rId8"/>
          <w:footerReference w:type="even" r:id="rId9"/>
          <w:footerReference w:type="default" r:id="rId10"/>
          <w:pgSz w:w="11906" w:h="16838"/>
          <w:pgMar w:top="1928" w:right="1474" w:bottom="1814" w:left="1588" w:header="851" w:footer="1531" w:gutter="0"/>
          <w:pgNumType w:start="1"/>
          <w:cols w:num="1" w:space="425"/>
          <w:docGrid w:type="linesAndChars" w:linePitch="595" w:charSpace="-849"/>
        </w:sectPr>
      </w:pPr>
    </w:p>
    <w:p>
      <w:pPr>
        <w:pStyle w:val="Heading1"/>
        <w:spacing w:before="0" w:after="0" w:line="240" w:lineRule="auto"/>
        <w:ind w:firstLine="640" w:firstLineChars="200"/>
        <w:rPr>
          <w:rFonts w:eastAsia="黑体" w:hAnsi="Times New Roman" w:cs="方正黑体_GBK"/>
          <w:sz w:val="32"/>
          <w:szCs w:val="15"/>
          <w:highlight w:val="none"/>
        </w:rPr>
      </w:pPr>
      <w:bookmarkStart w:id="1" w:name="_Toc15579"/>
      <w:r>
        <w:rPr>
          <w:rFonts w:ascii="Times New Roman" w:eastAsia="黑体" w:hAnsi="Times New Roman" w:cs="方正黑体_GBK" w:hint="eastAsia"/>
          <w:sz w:val="32"/>
          <w:szCs w:val="15"/>
          <w:highlight w:val="none"/>
        </w:rPr>
        <w:t>一、技术描述</w:t>
      </w:r>
      <w:bookmarkEnd w:id="1"/>
    </w:p>
    <w:p>
      <w:pPr>
        <w:pStyle w:val="Heading2"/>
        <w:spacing w:before="0" w:after="0" w:line="240" w:lineRule="auto"/>
        <w:ind w:firstLine="640" w:firstLineChars="200"/>
        <w:rPr>
          <w:rFonts w:ascii="楷体" w:eastAsia="楷体" w:hAnsi="楷体" w:cs="方正楷体_GBK"/>
          <w:szCs w:val="20"/>
          <w:highlight w:val="none"/>
        </w:rPr>
      </w:pPr>
      <w:bookmarkStart w:id="2" w:name="_Toc26612"/>
      <w:r>
        <w:rPr>
          <w:rFonts w:ascii="楷体" w:eastAsia="楷体" w:hAnsi="楷体" w:cs="方正楷体_GBK" w:hint="eastAsia"/>
          <w:szCs w:val="20"/>
          <w:highlight w:val="none"/>
        </w:rPr>
        <w:t>（一）项目概要</w:t>
      </w:r>
      <w:bookmarkEnd w:id="2"/>
    </w:p>
    <w:p>
      <w:pPr>
        <w:ind w:firstLine="640" w:firstLineChars="200"/>
        <w:rPr>
          <w:rFonts w:ascii="仿宋" w:eastAsia="仿宋" w:hAnsi="仿宋" w:cs="方正仿宋_GBK" w:hint="eastAsia"/>
          <w:szCs w:val="20"/>
          <w:highlight w:val="none"/>
        </w:rPr>
      </w:pPr>
      <w:r>
        <w:rPr>
          <w:rFonts w:ascii="仿宋" w:eastAsia="仿宋" w:hAnsi="仿宋" w:cs="方正仿宋_GBK" w:hint="eastAsia"/>
          <w:szCs w:val="20"/>
          <w:highlight w:val="none"/>
        </w:rPr>
        <w:t>本项目旨在通过职业技能大赛，提高</w:t>
      </w:r>
      <w:r>
        <w:rPr>
          <w:rFonts w:ascii="仿宋" w:eastAsia="仿宋" w:hAnsi="仿宋" w:cs="方正仿宋_GBK" w:hint="eastAsia"/>
          <w:szCs w:val="20"/>
          <w:highlight w:val="none"/>
          <w:lang w:eastAsia="zh-CN"/>
        </w:rPr>
        <w:t>叉车工</w:t>
      </w:r>
      <w:r>
        <w:rPr>
          <w:rFonts w:ascii="仿宋" w:eastAsia="仿宋" w:hAnsi="仿宋" w:cs="方正仿宋_GBK" w:hint="eastAsia"/>
          <w:szCs w:val="20"/>
          <w:highlight w:val="none"/>
        </w:rPr>
        <w:t>的技能水平，培养高素质的专业人才，以满足社会对叉车驾驶员的需求。</w:t>
      </w:r>
      <w:r>
        <w:rPr>
          <w:rFonts w:ascii="仿宋" w:eastAsia="仿宋" w:hAnsi="仿宋" w:cs="仿宋" w:hint="eastAsia"/>
          <w:sz w:val="32"/>
          <w:szCs w:val="32"/>
          <w:highlight w:val="none"/>
        </w:rPr>
        <w:t>本赛项为个人单项赛</w:t>
      </w:r>
      <w:r>
        <w:rPr>
          <w:rFonts w:ascii="仿宋" w:eastAsia="仿宋" w:hAnsi="仿宋" w:cs="仿宋" w:hint="eastAsia"/>
          <w:sz w:val="32"/>
          <w:szCs w:val="32"/>
          <w:highlight w:val="none"/>
          <w:lang w:eastAsia="zh-CN"/>
        </w:rPr>
        <w:t>，</w:t>
      </w:r>
      <w:r>
        <w:rPr>
          <w:rFonts w:ascii="仿宋" w:eastAsia="仿宋" w:hAnsi="仿宋" w:cs="方正仿宋_GBK" w:hint="eastAsia"/>
          <w:szCs w:val="20"/>
          <w:highlight w:val="none"/>
        </w:rPr>
        <w:t>比赛分为</w:t>
      </w:r>
      <w:r>
        <w:rPr>
          <w:rFonts w:ascii="仿宋" w:eastAsia="仿宋" w:hAnsi="仿宋" w:cs="方正仿宋_GBK" w:hint="eastAsia"/>
          <w:szCs w:val="20"/>
          <w:highlight w:val="none"/>
          <w:lang w:val="en-US" w:eastAsia="zh-CN"/>
        </w:rPr>
        <w:t>理论考试和实际操作两</w:t>
      </w:r>
      <w:r>
        <w:rPr>
          <w:rFonts w:ascii="仿宋" w:eastAsia="仿宋" w:hAnsi="仿宋" w:cs="方正仿宋_GBK" w:hint="eastAsia"/>
          <w:szCs w:val="20"/>
          <w:highlight w:val="none"/>
        </w:rPr>
        <w:t>个</w:t>
      </w:r>
      <w:r>
        <w:rPr>
          <w:rFonts w:ascii="仿宋" w:eastAsia="仿宋" w:hAnsi="仿宋" w:cs="方正仿宋_GBK" w:hint="eastAsia"/>
          <w:szCs w:val="20"/>
          <w:highlight w:val="none"/>
          <w:lang w:val="en-US" w:eastAsia="zh-CN"/>
        </w:rPr>
        <w:t>部分</w:t>
      </w:r>
      <w:r>
        <w:rPr>
          <w:rFonts w:ascii="仿宋" w:eastAsia="仿宋" w:hAnsi="仿宋" w:cs="方正仿宋_GBK" w:hint="eastAsia"/>
          <w:szCs w:val="20"/>
          <w:highlight w:val="none"/>
        </w:rPr>
        <w:t>，需</w:t>
      </w:r>
      <w:r>
        <w:rPr>
          <w:rFonts w:ascii="仿宋" w:eastAsia="仿宋" w:hAnsi="仿宋" w:cs="方正仿宋_GBK" w:hint="eastAsia"/>
          <w:szCs w:val="20"/>
          <w:highlight w:val="none"/>
          <w:lang w:val="en-US" w:eastAsia="zh-CN"/>
        </w:rPr>
        <w:t>要选手</w:t>
      </w:r>
      <w:r>
        <w:rPr>
          <w:rFonts w:ascii="仿宋" w:eastAsia="仿宋" w:hAnsi="仿宋" w:cs="方正仿宋_GBK" w:hint="eastAsia"/>
          <w:szCs w:val="20"/>
          <w:highlight w:val="none"/>
        </w:rPr>
        <w:t>在规定时间内完成各项任务，展示其</w:t>
      </w:r>
      <w:r>
        <w:rPr>
          <w:rFonts w:ascii="仿宋" w:eastAsia="仿宋" w:hAnsi="仿宋" w:cs="方正仿宋_GBK" w:hint="eastAsia"/>
          <w:szCs w:val="20"/>
          <w:highlight w:val="none"/>
          <w:lang w:val="en-US" w:eastAsia="zh-CN"/>
        </w:rPr>
        <w:t>知识储备、</w:t>
      </w:r>
      <w:r>
        <w:rPr>
          <w:rFonts w:ascii="仿宋" w:eastAsia="仿宋" w:hAnsi="仿宋" w:cs="方正仿宋_GBK" w:hint="eastAsia"/>
          <w:szCs w:val="20"/>
          <w:highlight w:val="none"/>
        </w:rPr>
        <w:t>驾驶、维护与保养</w:t>
      </w:r>
      <w:r>
        <w:rPr>
          <w:rFonts w:ascii="仿宋" w:eastAsia="仿宋" w:hAnsi="仿宋" w:cs="方正仿宋_GBK" w:hint="eastAsia"/>
          <w:szCs w:val="20"/>
          <w:highlight w:val="none"/>
          <w:lang w:eastAsia="zh-CN"/>
        </w:rPr>
        <w:t>、</w:t>
      </w:r>
      <w:r>
        <w:rPr>
          <w:rFonts w:ascii="仿宋" w:eastAsia="仿宋" w:hAnsi="仿宋" w:cs="方正仿宋_GBK" w:hint="eastAsia"/>
          <w:szCs w:val="20"/>
          <w:highlight w:val="none"/>
        </w:rPr>
        <w:t>故障判断与排除</w:t>
      </w:r>
      <w:r>
        <w:rPr>
          <w:rFonts w:ascii="仿宋" w:eastAsia="仿宋" w:hAnsi="仿宋" w:cs="方正仿宋_GBK" w:hint="eastAsia"/>
          <w:szCs w:val="20"/>
          <w:highlight w:val="none"/>
          <w:lang w:eastAsia="zh-CN"/>
        </w:rPr>
        <w:t>的</w:t>
      </w:r>
      <w:r>
        <w:rPr>
          <w:rFonts w:ascii="仿宋" w:eastAsia="仿宋" w:hAnsi="仿宋" w:cs="方正仿宋_GBK" w:hint="eastAsia"/>
          <w:szCs w:val="20"/>
          <w:highlight w:val="none"/>
        </w:rPr>
        <w:t>技能</w:t>
      </w:r>
      <w:r>
        <w:rPr>
          <w:rFonts w:ascii="仿宋" w:eastAsia="仿宋" w:hAnsi="仿宋" w:cs="方正仿宋_GBK" w:hint="eastAsia"/>
          <w:szCs w:val="20"/>
          <w:highlight w:val="none"/>
          <w:lang w:val="en-US" w:eastAsia="zh-CN"/>
        </w:rPr>
        <w:t>和</w:t>
      </w:r>
      <w:r>
        <w:rPr>
          <w:rFonts w:ascii="仿宋" w:eastAsia="仿宋" w:hAnsi="仿宋" w:cs="方正仿宋_GBK" w:hint="eastAsia"/>
          <w:szCs w:val="20"/>
          <w:highlight w:val="none"/>
        </w:rPr>
        <w:t>安全意识。</w:t>
      </w:r>
    </w:p>
    <w:p>
      <w:pPr>
        <w:pStyle w:val="Heading2"/>
        <w:spacing w:before="0" w:after="0" w:line="240" w:lineRule="auto"/>
        <w:ind w:firstLine="640" w:firstLineChars="200"/>
        <w:rPr>
          <w:rFonts w:ascii="楷体" w:eastAsia="楷体" w:hAnsi="楷体" w:cs="方正楷体_GBK"/>
          <w:szCs w:val="20"/>
          <w:highlight w:val="none"/>
        </w:rPr>
      </w:pPr>
      <w:bookmarkStart w:id="3" w:name="_Toc22379"/>
      <w:r>
        <w:rPr>
          <w:rFonts w:ascii="楷体" w:eastAsia="楷体" w:hAnsi="楷体" w:cs="方正楷体_GBK" w:hint="eastAsia"/>
          <w:szCs w:val="20"/>
          <w:highlight w:val="none"/>
        </w:rPr>
        <w:t>（二）基本知识及能力要求</w:t>
      </w:r>
    </w:p>
    <w:tbl>
      <w:tblPr>
        <w:tblStyle w:val="TableNormal"/>
        <w:tblW w:w="8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5302"/>
        <w:gridCol w:w="2069"/>
      </w:tblGrid>
      <w:tr>
        <w:tblPrEx>
          <w:tblW w:w="8926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  <w:jc w:val="center"/>
        </w:trPr>
        <w:tc>
          <w:tcPr>
            <w:tcW w:w="6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bookmarkEnd w:id="3"/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相关要求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权重比例（%）</w:t>
            </w:r>
          </w:p>
        </w:tc>
      </w:tr>
      <w:tr>
        <w:tblPrEx>
          <w:tblW w:w="8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5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叉车操作</w:t>
            </w:r>
          </w:p>
        </w:tc>
        <w:tc>
          <w:tcPr>
            <w:tcW w:w="20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30</w:t>
            </w:r>
          </w:p>
        </w:tc>
      </w:tr>
      <w:tr>
        <w:tblPrEx>
          <w:tblW w:w="8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安全防护</w:t>
            </w:r>
          </w:p>
        </w:tc>
        <w:tc>
          <w:tcPr>
            <w:tcW w:w="5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both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—危险品、贵重品、易碎品的安全防护措施</w:t>
            </w:r>
          </w:p>
          <w:p>
            <w:pPr>
              <w:jc w:val="both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—货物装卸作业安全防护措施</w:t>
            </w:r>
          </w:p>
        </w:tc>
        <w:tc>
          <w:tcPr>
            <w:tcW w:w="20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GB"/>
              </w:rPr>
            </w:pPr>
          </w:p>
        </w:tc>
      </w:tr>
      <w:tr>
        <w:tblPrEx>
          <w:tblW w:w="8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作业前准备</w:t>
            </w:r>
          </w:p>
        </w:tc>
        <w:tc>
          <w:tcPr>
            <w:tcW w:w="5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both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—内燃叉车各总成及重要零部件的构造特点、技术要求</w:t>
            </w:r>
          </w:p>
          <w:p>
            <w:pPr>
              <w:jc w:val="both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—电瓶叉车各总成及重要零部件的构造特点、工作原理和技术要求</w:t>
            </w:r>
          </w:p>
        </w:tc>
        <w:tc>
          <w:tcPr>
            <w:tcW w:w="20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GB"/>
              </w:rPr>
            </w:pPr>
          </w:p>
        </w:tc>
      </w:tr>
      <w:tr>
        <w:tblPrEx>
          <w:tblW w:w="8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货物装卸搬运</w:t>
            </w:r>
          </w:p>
        </w:tc>
        <w:tc>
          <w:tcPr>
            <w:tcW w:w="5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both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—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eastAsia="zh-CN"/>
              </w:rPr>
              <w:t>货物重心位置的计算方法</w:t>
            </w:r>
          </w:p>
          <w:p>
            <w:pPr>
              <w:jc w:val="both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—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eastAsia="zh-CN"/>
              </w:rPr>
              <w:t>货物的装卸方法</w:t>
            </w:r>
          </w:p>
          <w:p>
            <w:pPr>
              <w:jc w:val="both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—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eastAsia="zh-CN"/>
              </w:rPr>
              <w:t>特殊和复杂环境对叉车稳定性的影响</w:t>
            </w:r>
          </w:p>
        </w:tc>
        <w:tc>
          <w:tcPr>
            <w:tcW w:w="20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GB"/>
              </w:rPr>
            </w:pPr>
          </w:p>
        </w:tc>
      </w:tr>
      <w:tr>
        <w:tblPrEx>
          <w:tblW w:w="8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2</w:t>
            </w:r>
          </w:p>
        </w:tc>
        <w:tc>
          <w:tcPr>
            <w:tcW w:w="5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叉车维护与保养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30</w:t>
            </w:r>
          </w:p>
        </w:tc>
      </w:tr>
    </w:tbl>
    <w:p>
      <w:pPr>
        <w:sectPr>
          <w:headerReference w:type="default" r:id="rId11"/>
          <w:footerReference w:type="even" r:id="rId12"/>
          <w:footerReference w:type="default" r:id="rId13"/>
          <w:pgSz w:w="11906" w:h="16838"/>
          <w:pgMar w:top="1928" w:right="1474" w:bottom="1814" w:left="1588" w:header="851" w:footer="1531" w:gutter="0"/>
          <w:pgNumType w:start="1"/>
          <w:cols w:num="1" w:space="425"/>
          <w:docGrid w:type="linesAndChars" w:linePitch="595" w:charSpace="-849"/>
        </w:sectPr>
      </w:pPr>
    </w:p>
    <w:tbl>
      <w:tblPr>
        <w:tblStyle w:val="TableNormal"/>
        <w:tblW w:w="8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5302"/>
        <w:gridCol w:w="2069"/>
      </w:tblGrid>
      <w:tr>
        <w:tblPrEx>
          <w:tblW w:w="8926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叉车换季、封存保养</w:t>
            </w:r>
          </w:p>
        </w:tc>
        <w:tc>
          <w:tcPr>
            <w:tcW w:w="53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both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—叉车换季保养项目及要求</w:t>
            </w:r>
          </w:p>
          <w:p>
            <w:pPr>
              <w:jc w:val="both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—叉车封存保养的形式及要求</w:t>
            </w:r>
          </w:p>
        </w:tc>
        <w:tc>
          <w:tcPr>
            <w:tcW w:w="206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GB"/>
              </w:rPr>
            </w:pPr>
          </w:p>
        </w:tc>
      </w:tr>
      <w:tr>
        <w:tblPrEx>
          <w:tblW w:w="8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叉车定期保养</w:t>
            </w:r>
          </w:p>
        </w:tc>
        <w:tc>
          <w:tcPr>
            <w:tcW w:w="53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both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—叉车二级保养基本内容、技术要求、作业方法、注意事项</w:t>
            </w:r>
          </w:p>
          <w:p>
            <w:pPr>
              <w:jc w:val="both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—保养耗材相关知识(含易损件磨耗限度及报废标准)</w:t>
            </w:r>
          </w:p>
          <w:p>
            <w:pPr>
              <w:jc w:val="both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—保养常用工具、量具等器材使用方法</w:t>
            </w:r>
          </w:p>
        </w:tc>
        <w:tc>
          <w:tcPr>
            <w:tcW w:w="20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GB"/>
              </w:rPr>
            </w:pPr>
          </w:p>
        </w:tc>
      </w:tr>
      <w:tr>
        <w:tblPrEx>
          <w:tblW w:w="8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567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3</w:t>
            </w:r>
          </w:p>
        </w:tc>
        <w:tc>
          <w:tcPr>
            <w:tcW w:w="53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叉车故障判断与排除</w:t>
            </w:r>
          </w:p>
        </w:tc>
        <w:tc>
          <w:tcPr>
            <w:tcW w:w="206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40</w:t>
            </w:r>
          </w:p>
        </w:tc>
      </w:tr>
      <w:tr>
        <w:tblPrEx>
          <w:tblW w:w="8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判断与排除内燃叉车发动机故障</w:t>
            </w:r>
          </w:p>
        </w:tc>
        <w:tc>
          <w:tcPr>
            <w:tcW w:w="5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both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—发动机故障的现象、原因及排除方法</w:t>
            </w:r>
          </w:p>
          <w:p>
            <w:pPr>
              <w:jc w:val="both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—电控发动机电控系统工作原理</w:t>
            </w:r>
          </w:p>
          <w:p>
            <w:pPr>
              <w:jc w:val="both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—电控发动机电控系统故障排除方法</w:t>
            </w:r>
          </w:p>
        </w:tc>
        <w:tc>
          <w:tcPr>
            <w:tcW w:w="20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GB"/>
              </w:rPr>
            </w:pPr>
          </w:p>
        </w:tc>
      </w:tr>
      <w:tr>
        <w:tblPrEx>
          <w:tblW w:w="8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判断与排除内燃叉车底盘故障</w:t>
            </w:r>
          </w:p>
        </w:tc>
        <w:tc>
          <w:tcPr>
            <w:tcW w:w="5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both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—叉车液力系统构造知识</w:t>
            </w:r>
          </w:p>
          <w:p>
            <w:pPr>
              <w:jc w:val="both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—叉车传动系统故障现象、原因及排除方法</w:t>
            </w:r>
          </w:p>
          <w:p>
            <w:pPr>
              <w:jc w:val="both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—叉车全液压转向系统故障现象、原因及排除方法</w:t>
            </w:r>
          </w:p>
          <w:p>
            <w:pPr>
              <w:jc w:val="both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—叉车制动系统故障现象、原因及排除方法</w:t>
            </w:r>
          </w:p>
        </w:tc>
        <w:tc>
          <w:tcPr>
            <w:tcW w:w="20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</w:p>
        </w:tc>
      </w:tr>
      <w:tr>
        <w:tblPrEx>
          <w:tblW w:w="8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after="0"/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</w:p>
        </w:tc>
        <w:tc>
          <w:tcPr>
            <w:tcW w:w="5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after="0"/>
              <w:jc w:val="both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</w:p>
        </w:tc>
        <w:tc>
          <w:tcPr>
            <w:tcW w:w="20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GB"/>
              </w:rPr>
            </w:pPr>
          </w:p>
        </w:tc>
      </w:tr>
    </w:tbl>
    <w:p>
      <w:pPr>
        <w:sectPr>
          <w:headerReference w:type="default" r:id="rId14"/>
          <w:footerReference w:type="even" r:id="rId15"/>
          <w:footerReference w:type="default" r:id="rId16"/>
          <w:type w:val="nextPage"/>
          <w:pgSz w:w="11906" w:h="16838"/>
          <w:pgMar w:top="1928" w:right="1474" w:bottom="1814" w:left="1588" w:header="851" w:footer="1531" w:gutter="0"/>
          <w:pgNumType w:start="2"/>
          <w:cols w:num="1" w:space="425"/>
          <w:titlePg w:val="0"/>
          <w:docGrid w:type="linesAndChars" w:linePitch="595" w:charSpace="-849"/>
        </w:sectPr>
      </w:pPr>
    </w:p>
    <w:tbl>
      <w:tblPr>
        <w:tblStyle w:val="TableNormal"/>
        <w:tblW w:w="8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5302"/>
        <w:gridCol w:w="2069"/>
      </w:tblGrid>
      <w:tr>
        <w:tblPrEx>
          <w:tblW w:w="8926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="0"/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判断与排除叉车工作装置故障</w:t>
            </w:r>
          </w:p>
        </w:tc>
        <w:tc>
          <w:tcPr>
            <w:tcW w:w="5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before="0"/>
              <w:jc w:val="both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—叉车液压系统故障现象、原因及排除方法</w:t>
            </w:r>
          </w:p>
        </w:tc>
        <w:tc>
          <w:tcPr>
            <w:tcW w:w="206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/>
        </w:tc>
      </w:tr>
      <w:tr>
        <w:tblPrEx>
          <w:tblW w:w="8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判断与排除电瓶叉车故障</w:t>
            </w:r>
          </w:p>
        </w:tc>
        <w:tc>
          <w:tcPr>
            <w:tcW w:w="5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both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—电瓶叉车控制系统的组成、工作原理及常见故障的排除方法</w:t>
            </w:r>
          </w:p>
          <w:p>
            <w:pPr>
              <w:jc w:val="both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—电瓶叉车驱动电机构造、工作原理及常见故障排除方法</w:t>
            </w:r>
          </w:p>
        </w:tc>
        <w:tc>
          <w:tcPr>
            <w:tcW w:w="20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GB"/>
              </w:rPr>
            </w:pPr>
          </w:p>
        </w:tc>
      </w:tr>
      <w:tr>
        <w:tblPrEx>
          <w:tblW w:w="8926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合计</w:t>
            </w:r>
          </w:p>
        </w:tc>
        <w:tc>
          <w:tcPr>
            <w:tcW w:w="5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100</w:t>
            </w:r>
          </w:p>
        </w:tc>
      </w:tr>
    </w:tbl>
    <w:p>
      <w:pPr>
        <w:pStyle w:val="Heading1"/>
        <w:spacing w:before="0" w:after="0" w:line="240" w:lineRule="auto"/>
        <w:ind w:firstLine="640" w:firstLineChars="200"/>
        <w:rPr>
          <w:rFonts w:ascii="Times New Roman" w:eastAsia="黑体" w:hAnsi="Times New Roman" w:cs="方正黑体_GBK"/>
          <w:sz w:val="32"/>
          <w:szCs w:val="15"/>
          <w:highlight w:val="none"/>
        </w:rPr>
      </w:pPr>
      <w:bookmarkStart w:id="4" w:name="_Toc12720"/>
      <w:r>
        <w:rPr>
          <w:rFonts w:ascii="Times New Roman" w:eastAsia="黑体" w:hAnsi="Times New Roman" w:cs="方正黑体_GBK" w:hint="eastAsia"/>
          <w:sz w:val="32"/>
          <w:szCs w:val="15"/>
          <w:highlight w:val="none"/>
        </w:rPr>
        <w:t>二、试题及评判标准</w:t>
      </w:r>
      <w:bookmarkEnd w:id="4"/>
    </w:p>
    <w:p>
      <w:pPr>
        <w:pStyle w:val="Heading2"/>
        <w:spacing w:before="0" w:after="0" w:line="240" w:lineRule="auto"/>
        <w:ind w:firstLine="640" w:firstLineChars="200"/>
        <w:rPr>
          <w:rFonts w:ascii="楷体" w:eastAsia="楷体" w:hAnsi="楷体" w:cs="方正楷体_GBK" w:hint="eastAsia"/>
          <w:szCs w:val="20"/>
          <w:highlight w:val="none"/>
        </w:rPr>
      </w:pPr>
      <w:bookmarkStart w:id="5" w:name="_Toc30740"/>
      <w:r>
        <w:rPr>
          <w:rFonts w:ascii="楷体" w:eastAsia="楷体" w:hAnsi="楷体" w:cs="方正楷体_GBK" w:hint="eastAsia"/>
          <w:szCs w:val="20"/>
          <w:highlight w:val="none"/>
        </w:rPr>
        <w:t>（一）试题（样题）</w:t>
      </w:r>
      <w:bookmarkEnd w:id="5"/>
    </w:p>
    <w:p>
      <w:pPr>
        <w:ind w:firstLine="640" w:firstLineChars="200"/>
        <w:rPr>
          <w:rFonts w:ascii="仿宋" w:eastAsia="仿宋" w:hAnsi="仿宋" w:cs="仿宋" w:hint="eastAsia"/>
          <w:szCs w:val="32"/>
          <w:highlight w:val="none"/>
        </w:rPr>
      </w:pPr>
      <w:r>
        <w:rPr>
          <w:rFonts w:ascii="仿宋" w:eastAsia="仿宋" w:hAnsi="仿宋" w:cs="仿宋" w:hint="eastAsia"/>
          <w:sz w:val="32"/>
          <w:szCs w:val="32"/>
          <w:highlight w:val="none"/>
          <w:lang w:val="en-US" w:eastAsia="zh-CN"/>
        </w:rPr>
        <w:t>1.基本内容：本次大赛理论知识考试主要包括职业道德、基础知识、叉车操作、叉车维护与保养、叉车故障判断与排除、技术革新等方面的知识。题型构成为单选题70题、多选题10题、判断题20题。操作技能考核主要由3个部分组成，其中模块A考核叉车操作；模块B考核叉车维护与保养；模块C考核叉车故障判断与排除。</w:t>
      </w:r>
    </w:p>
    <w:p>
      <w:pPr>
        <w:ind w:firstLine="640" w:firstLineChars="200"/>
        <w:rPr>
          <w:rFonts w:ascii="仿宋" w:eastAsia="仿宋" w:hAnsi="仿宋" w:cs="仿宋" w:hint="eastAsia"/>
          <w:szCs w:val="32"/>
          <w:highlight w:val="none"/>
        </w:rPr>
        <w:sectPr>
          <w:headerReference w:type="default" r:id="rId17"/>
          <w:footerReference w:type="even" r:id="rId18"/>
          <w:footerReference w:type="default" r:id="rId19"/>
          <w:type w:val="nextPage"/>
          <w:pgSz w:w="11906" w:h="16838"/>
          <w:pgMar w:top="1928" w:right="1474" w:bottom="1814" w:left="1588" w:header="851" w:footer="1531" w:gutter="0"/>
          <w:pgNumType w:start="3"/>
          <w:cols w:num="1" w:space="425"/>
          <w:titlePg w:val="0"/>
          <w:docGrid w:type="linesAndChars" w:linePitch="595" w:charSpace="-849"/>
        </w:sectPr>
      </w:pPr>
      <w:r>
        <w:rPr>
          <w:rFonts w:ascii="仿宋" w:eastAsia="仿宋" w:hAnsi="仿宋" w:cs="仿宋" w:hint="eastAsia"/>
          <w:sz w:val="32"/>
          <w:szCs w:val="32"/>
          <w:highlight w:val="none"/>
          <w:lang w:val="en-US" w:eastAsia="zh-CN"/>
        </w:rPr>
        <w:t>2.</w:t>
      </w:r>
      <w:r>
        <w:rPr>
          <w:rFonts w:ascii="仿宋" w:eastAsia="仿宋" w:hAnsi="仿宋" w:cs="仿宋" w:hint="eastAsia"/>
          <w:sz w:val="32"/>
          <w:szCs w:val="32"/>
          <w:highlight w:val="none"/>
        </w:rPr>
        <w:t>试题命制的办法</w:t>
      </w:r>
      <w:r>
        <w:rPr>
          <w:rFonts w:ascii="仿宋" w:eastAsia="仿宋" w:hAnsi="仿宋" w:cs="仿宋" w:hint="eastAsia"/>
          <w:sz w:val="32"/>
          <w:szCs w:val="32"/>
          <w:highlight w:val="none"/>
          <w:lang w:eastAsia="zh-CN"/>
        </w:rPr>
        <w:t>：</w:t>
      </w:r>
    </w:p>
    <w:p>
      <w:pPr>
        <w:ind w:firstLine="640" w:firstLineChars="200"/>
        <w:rPr>
          <w:rFonts w:ascii="仿宋" w:eastAsia="仿宋" w:hAnsi="仿宋" w:cs="仿宋" w:hint="eastAsia"/>
          <w:szCs w:val="32"/>
          <w:highlight w:val="none"/>
        </w:rPr>
      </w:pPr>
      <w:r>
        <w:rPr>
          <w:rFonts w:ascii="仿宋" w:eastAsia="仿宋" w:hAnsi="仿宋" w:cs="仿宋" w:hint="eastAsia"/>
          <w:sz w:val="32"/>
          <w:szCs w:val="32"/>
          <w:highlight w:val="none"/>
          <w:lang w:val="en-US" w:eastAsia="zh-CN"/>
        </w:rPr>
        <w:t>首先组织命题小组，由具有丰富教学经验和实践经验的专家和教师组成。然后命题小组根据现行的国家职业标准《起重装卸机械操作工》高级工（三级）的知识和技能要求为主要命题范围，适当增加部分技师（二级）的内容及相关知识，确定试题的内容和形式及各模块的考试内容和分值；其次，设计多种类型的试题，如选择题、判断题、实操操作题、答辩题等；最后，对试题进行审核和修改，确保试题的准确性和公正性。</w:t>
      </w:r>
    </w:p>
    <w:p>
      <w:pPr>
        <w:ind w:firstLine="640" w:firstLineChars="200"/>
        <w:rPr>
          <w:rFonts w:ascii="仿宋" w:eastAsia="仿宋" w:hAnsi="仿宋" w:cs="仿宋" w:hint="eastAsia"/>
          <w:szCs w:val="32"/>
          <w:highlight w:val="none"/>
        </w:rPr>
      </w:pPr>
      <w:r>
        <w:rPr>
          <w:rFonts w:ascii="仿宋" w:eastAsia="仿宋" w:hAnsi="仿宋" w:cs="仿宋" w:hint="eastAsia"/>
          <w:sz w:val="32"/>
          <w:szCs w:val="32"/>
          <w:highlight w:val="none"/>
          <w:lang w:val="en-US" w:eastAsia="zh-CN"/>
        </w:rPr>
        <w:t>3.</w:t>
      </w:r>
      <w:r>
        <w:rPr>
          <w:rFonts w:ascii="仿宋" w:eastAsia="仿宋" w:hAnsi="仿宋" w:cs="仿宋" w:hint="eastAsia"/>
          <w:sz w:val="32"/>
          <w:szCs w:val="32"/>
          <w:highlight w:val="none"/>
        </w:rPr>
        <w:t>基本流程</w:t>
      </w:r>
      <w:r>
        <w:rPr>
          <w:rFonts w:ascii="仿宋" w:eastAsia="仿宋" w:hAnsi="仿宋" w:cs="仿宋" w:hint="eastAsia"/>
          <w:sz w:val="32"/>
          <w:szCs w:val="32"/>
          <w:highlight w:val="none"/>
          <w:lang w:eastAsia="zh-CN"/>
        </w:rPr>
        <w:t>：</w:t>
      </w:r>
      <w:r>
        <w:rPr>
          <w:rFonts w:ascii="仿宋" w:eastAsia="仿宋" w:hAnsi="仿宋" w:cs="仿宋" w:hint="eastAsia"/>
          <w:sz w:val="32"/>
          <w:szCs w:val="32"/>
          <w:highlight w:val="none"/>
          <w:lang w:val="en-US" w:eastAsia="zh-CN"/>
        </w:rPr>
        <w:t>首先，</w:t>
      </w:r>
      <w:r>
        <w:rPr>
          <w:rFonts w:ascii="仿宋" w:eastAsia="仿宋" w:hAnsi="仿宋" w:cs="仿宋" w:hint="eastAsia"/>
          <w:sz w:val="32"/>
          <w:szCs w:val="32"/>
          <w:highlight w:val="none"/>
          <w:lang w:eastAsia="zh-CN"/>
        </w:rPr>
        <w:t>根据比赛要求，制定详细的</w:t>
      </w:r>
      <w:r>
        <w:rPr>
          <w:rFonts w:ascii="仿宋" w:eastAsia="仿宋" w:hAnsi="仿宋" w:cs="仿宋" w:hint="eastAsia"/>
          <w:sz w:val="32"/>
          <w:szCs w:val="32"/>
          <w:highlight w:val="none"/>
          <w:lang w:val="en-US" w:eastAsia="zh-CN"/>
        </w:rPr>
        <w:t>赛事</w:t>
      </w:r>
      <w:r>
        <w:rPr>
          <w:rFonts w:ascii="仿宋" w:eastAsia="仿宋" w:hAnsi="仿宋" w:cs="仿宋" w:hint="eastAsia"/>
          <w:sz w:val="32"/>
          <w:szCs w:val="32"/>
          <w:highlight w:val="none"/>
          <w:lang w:eastAsia="zh-CN"/>
        </w:rPr>
        <w:t>大纲和评分标准。根据</w:t>
      </w:r>
      <w:r>
        <w:rPr>
          <w:rFonts w:ascii="仿宋" w:eastAsia="仿宋" w:hAnsi="仿宋" w:cs="仿宋" w:hint="eastAsia"/>
          <w:sz w:val="32"/>
          <w:szCs w:val="32"/>
          <w:highlight w:val="none"/>
          <w:lang w:val="en-US" w:eastAsia="zh-CN"/>
        </w:rPr>
        <w:t>赛事</w:t>
      </w:r>
      <w:r>
        <w:rPr>
          <w:rFonts w:ascii="仿宋" w:eastAsia="仿宋" w:hAnsi="仿宋" w:cs="仿宋" w:hint="eastAsia"/>
          <w:sz w:val="32"/>
          <w:szCs w:val="32"/>
          <w:highlight w:val="none"/>
          <w:lang w:eastAsia="zh-CN"/>
        </w:rPr>
        <w:t>大纲和评分标准，命制各类试题。</w:t>
      </w:r>
      <w:r>
        <w:rPr>
          <w:rFonts w:ascii="仿宋" w:eastAsia="仿宋" w:hAnsi="仿宋" w:cs="仿宋" w:hint="eastAsia"/>
          <w:sz w:val="32"/>
          <w:szCs w:val="32"/>
          <w:highlight w:val="none"/>
          <w:lang w:val="en-US" w:eastAsia="zh-CN"/>
        </w:rPr>
        <w:t>然后，</w:t>
      </w:r>
      <w:r>
        <w:rPr>
          <w:rFonts w:ascii="仿宋" w:eastAsia="仿宋" w:hAnsi="仿宋" w:cs="仿宋" w:hint="eastAsia"/>
          <w:sz w:val="32"/>
          <w:szCs w:val="32"/>
          <w:highlight w:val="none"/>
          <w:lang w:eastAsia="zh-CN"/>
        </w:rPr>
        <w:t>对设计的试题进行审核，确保试题的准确性和公正性。</w:t>
      </w:r>
      <w:r>
        <w:rPr>
          <w:rFonts w:ascii="仿宋" w:eastAsia="仿宋" w:hAnsi="仿宋" w:cs="仿宋" w:hint="eastAsia"/>
          <w:sz w:val="32"/>
          <w:szCs w:val="32"/>
          <w:highlight w:val="none"/>
          <w:lang w:val="en-US" w:eastAsia="zh-CN"/>
        </w:rPr>
        <w:t>最后，</w:t>
      </w:r>
      <w:r>
        <w:rPr>
          <w:rFonts w:ascii="仿宋" w:eastAsia="仿宋" w:hAnsi="仿宋" w:cs="仿宋" w:hint="eastAsia"/>
          <w:sz w:val="32"/>
          <w:szCs w:val="32"/>
          <w:highlight w:val="none"/>
          <w:lang w:eastAsia="zh-CN"/>
        </w:rPr>
        <w:t>将审核通过的试题整理成试卷。</w:t>
      </w:r>
    </w:p>
    <w:p>
      <w:pPr>
        <w:ind w:firstLine="640" w:firstLineChars="200"/>
        <w:rPr>
          <w:rFonts w:ascii="仿宋" w:eastAsia="仿宋" w:hAnsi="仿宋" w:cs="仿宋" w:hint="eastAsia"/>
          <w:szCs w:val="32"/>
          <w:highlight w:val="none"/>
        </w:rPr>
      </w:pPr>
      <w:r>
        <w:rPr>
          <w:rFonts w:ascii="仿宋" w:eastAsia="仿宋" w:hAnsi="仿宋" w:cs="仿宋" w:hint="eastAsia"/>
          <w:sz w:val="32"/>
          <w:szCs w:val="32"/>
          <w:highlight w:val="none"/>
          <w:lang w:val="en-US" w:eastAsia="zh-CN"/>
        </w:rPr>
        <w:t>4.</w:t>
      </w:r>
      <w:r>
        <w:rPr>
          <w:rFonts w:ascii="仿宋" w:eastAsia="仿宋" w:hAnsi="仿宋" w:cs="仿宋" w:hint="eastAsia"/>
          <w:sz w:val="32"/>
          <w:szCs w:val="32"/>
          <w:highlight w:val="none"/>
        </w:rPr>
        <w:t>公布方式</w:t>
      </w:r>
      <w:r>
        <w:rPr>
          <w:rFonts w:ascii="仿宋" w:eastAsia="仿宋" w:hAnsi="仿宋" w:cs="仿宋" w:hint="eastAsia"/>
          <w:sz w:val="32"/>
          <w:szCs w:val="32"/>
          <w:highlight w:val="none"/>
          <w:lang w:eastAsia="zh-CN"/>
        </w:rPr>
        <w:t>：通过官方网站、社交媒体等方式公布。</w:t>
      </w:r>
    </w:p>
    <w:p>
      <w:pPr>
        <w:pStyle w:val="Heading2"/>
        <w:spacing w:before="0" w:after="0" w:line="240" w:lineRule="auto"/>
        <w:ind w:firstLine="640" w:firstLineChars="200"/>
        <w:rPr>
          <w:rFonts w:ascii="楷体" w:eastAsia="楷体" w:hAnsi="楷体" w:cs="方正楷体_GBK" w:hint="eastAsia"/>
          <w:szCs w:val="20"/>
          <w:highlight w:val="none"/>
        </w:rPr>
      </w:pPr>
      <w:bookmarkStart w:id="6" w:name="_Toc30658"/>
      <w:r>
        <w:rPr>
          <w:rFonts w:ascii="楷体" w:eastAsia="楷体" w:hAnsi="楷体" w:cs="方正楷体_GBK" w:hint="eastAsia"/>
          <w:szCs w:val="20"/>
          <w:highlight w:val="none"/>
        </w:rPr>
        <w:t>（二）比赛时间及试题具体内容</w:t>
      </w:r>
      <w:bookmarkEnd w:id="6"/>
    </w:p>
    <w:p>
      <w:pPr>
        <w:ind w:firstLine="640" w:firstLineChars="200"/>
        <w:rPr>
          <w:rFonts w:hAnsi="Times New Roman"/>
          <w:szCs w:val="20"/>
          <w:highlight w:val="none"/>
        </w:rPr>
      </w:pPr>
      <w:r>
        <w:rPr>
          <w:rFonts w:hAnsi="Times New Roman" w:hint="eastAsia"/>
          <w:szCs w:val="20"/>
          <w:highlight w:val="none"/>
        </w:rPr>
        <w:t>1.比赛时间安排：</w:t>
      </w:r>
      <w:r>
        <w:rPr>
          <w:rFonts w:ascii="仿宋" w:eastAsia="仿宋" w:hAnsi="仿宋" w:cs="方正仿宋_GBK" w:hint="eastAsia"/>
          <w:szCs w:val="20"/>
          <w:highlight w:val="none"/>
        </w:rPr>
        <w:t>比赛分为</w:t>
      </w:r>
      <w:r>
        <w:rPr>
          <w:rFonts w:ascii="仿宋" w:eastAsia="仿宋" w:hAnsi="仿宋" w:cs="方正仿宋_GBK" w:hint="eastAsia"/>
          <w:szCs w:val="20"/>
          <w:highlight w:val="none"/>
          <w:lang w:val="en-US" w:eastAsia="zh-CN"/>
        </w:rPr>
        <w:t>两</w:t>
      </w:r>
      <w:r>
        <w:rPr>
          <w:rFonts w:ascii="仿宋" w:eastAsia="仿宋" w:hAnsi="仿宋" w:cs="方正仿宋_GBK" w:hint="eastAsia"/>
          <w:szCs w:val="20"/>
          <w:highlight w:val="none"/>
        </w:rPr>
        <w:t>个</w:t>
      </w:r>
      <w:r>
        <w:rPr>
          <w:rFonts w:ascii="仿宋" w:eastAsia="仿宋" w:hAnsi="仿宋" w:cs="方正仿宋_GBK" w:hint="eastAsia"/>
          <w:szCs w:val="20"/>
          <w:highlight w:val="none"/>
          <w:lang w:val="en-US" w:eastAsia="zh-CN"/>
        </w:rPr>
        <w:t>部分</w:t>
      </w:r>
      <w:r>
        <w:rPr>
          <w:rFonts w:ascii="仿宋" w:eastAsia="仿宋" w:hAnsi="仿宋" w:cs="方正仿宋_GBK" w:hint="eastAsia"/>
          <w:szCs w:val="20"/>
          <w:highlight w:val="none"/>
          <w:lang w:eastAsia="zh-CN"/>
        </w:rPr>
        <w:t>，</w:t>
      </w:r>
      <w:r>
        <w:rPr>
          <w:rFonts w:ascii="仿宋" w:eastAsia="仿宋" w:hAnsi="仿宋" w:cs="方正仿宋_GBK" w:hint="eastAsia"/>
          <w:szCs w:val="20"/>
          <w:highlight w:val="none"/>
          <w:lang w:val="en-US" w:eastAsia="zh-CN"/>
        </w:rPr>
        <w:t>第一部分，理论考试时间60分钟；第二部分，</w:t>
      </w:r>
      <w:r>
        <w:rPr>
          <w:rFonts w:ascii="仿宋" w:eastAsia="仿宋" w:hAnsi="仿宋" w:cs="仿宋" w:hint="eastAsia"/>
          <w:sz w:val="32"/>
          <w:szCs w:val="32"/>
          <w:highlight w:val="none"/>
          <w:lang w:val="en-US" w:eastAsia="zh-CN"/>
        </w:rPr>
        <w:t>操作技能考核时间60分钟，主要包括模块A 12分钟、模块B 24分钟、模块C 24分钟。</w:t>
      </w:r>
    </w:p>
    <w:p>
      <w:pPr>
        <w:ind w:firstLine="640" w:firstLineChars="200"/>
        <w:rPr>
          <w:rFonts w:ascii="仿宋" w:eastAsia="仿宋" w:hAnsi="仿宋" w:cs="方正仿宋_GBK" w:hint="eastAsia"/>
          <w:szCs w:val="20"/>
          <w:highlight w:val="none"/>
        </w:rPr>
      </w:pPr>
      <w:r>
        <w:rPr>
          <w:rFonts w:ascii="仿宋" w:eastAsia="仿宋" w:hAnsi="仿宋" w:cs="方正仿宋_GBK" w:hint="eastAsia"/>
          <w:szCs w:val="20"/>
          <w:highlight w:val="none"/>
          <w:lang w:val="en-US" w:eastAsia="zh-CN"/>
        </w:rPr>
        <w:t>2.试题：</w:t>
      </w:r>
    </w:p>
    <w:p>
      <w:pPr>
        <w:ind w:firstLine="640" w:firstLineChars="200"/>
        <w:rPr>
          <w:rFonts w:ascii="仿宋" w:eastAsia="仿宋" w:hAnsi="仿宋" w:cs="方正仿宋_GBK" w:hint="eastAsia"/>
          <w:szCs w:val="20"/>
          <w:highlight w:val="none"/>
        </w:rPr>
      </w:pPr>
      <w:r>
        <w:rPr>
          <w:rFonts w:ascii="仿宋" w:eastAsia="仿宋" w:hAnsi="仿宋" w:cs="方正仿宋_GBK" w:hint="eastAsia"/>
          <w:szCs w:val="20"/>
          <w:highlight w:val="none"/>
          <w:lang w:val="en-US" w:eastAsia="zh-CN"/>
        </w:rPr>
        <w:t>模块A考核叉车操作——工字型场地移库，主要考核参赛者的叉车操作和精细控制能力，可以将货品平稳且高效的运输和摆放，比赛时限为12分钟（比赛时间还剩1分钟时裁判员鸣哨提醒选手）。如果在规定时限内没有完成比赛任务，裁判员鸣哨终止此模块比赛。</w:t>
      </w:r>
    </w:p>
    <w:p>
      <w:pPr>
        <w:ind w:firstLine="640" w:firstLineChars="200"/>
        <w:rPr>
          <w:rFonts w:ascii="仿宋" w:eastAsia="仿宋" w:hAnsi="仿宋" w:cs="方正仿宋_GBK" w:hint="eastAsia"/>
          <w:szCs w:val="20"/>
          <w:highlight w:val="none"/>
        </w:rPr>
      </w:pPr>
      <w:r>
        <w:rPr>
          <w:rFonts w:ascii="仿宋" w:eastAsia="仿宋" w:hAnsi="仿宋" w:cs="方正仿宋_GBK" w:hint="eastAsia"/>
          <w:szCs w:val="20"/>
          <w:highlight w:val="none"/>
          <w:lang w:val="en-US" w:eastAsia="zh-CN"/>
        </w:rPr>
        <w:t>模块B考核叉车维护与保养——内燃叉车级保养.发动机部分维护保养，主要考核参赛者对叉车结构了解程度和叉车保养方面的熟练程度，本模块为实体答辩模式，比赛时限为240分钟（比赛时间还剩1分钟时提醒选手）。如果在规定时限内没有完成比赛任务，裁判长终止此模块比赛。</w:t>
      </w:r>
    </w:p>
    <w:p>
      <w:pPr>
        <w:ind w:firstLine="640" w:firstLineChars="200"/>
        <w:rPr>
          <w:rFonts w:ascii="仿宋" w:eastAsia="仿宋" w:hAnsi="仿宋" w:cs="仿宋" w:hint="eastAsia"/>
          <w:szCs w:val="32"/>
          <w:highlight w:val="none"/>
        </w:rPr>
        <w:sectPr>
          <w:headerReference w:type="default" r:id="rId20"/>
          <w:footerReference w:type="even" r:id="rId21"/>
          <w:footerReference w:type="default" r:id="rId22"/>
          <w:type w:val="nextPage"/>
          <w:pgSz w:w="11906" w:h="16838"/>
          <w:pgMar w:top="1928" w:right="1474" w:bottom="1814" w:left="1588" w:header="851" w:footer="1531" w:gutter="0"/>
          <w:pgNumType w:start="4"/>
          <w:cols w:num="1" w:space="425"/>
          <w:titlePg w:val="0"/>
          <w:docGrid w:type="linesAndChars" w:linePitch="595" w:charSpace="-849"/>
        </w:sectPr>
      </w:pPr>
    </w:p>
    <w:p>
      <w:pPr>
        <w:ind w:firstLine="640" w:firstLineChars="200"/>
        <w:rPr>
          <w:rFonts w:ascii="仿宋" w:eastAsia="仿宋" w:hAnsi="仿宋" w:cs="仿宋" w:hint="eastAsia"/>
          <w:szCs w:val="32"/>
          <w:highlight w:val="none"/>
        </w:rPr>
      </w:pPr>
      <w:r>
        <w:rPr>
          <w:rFonts w:ascii="仿宋" w:eastAsia="仿宋" w:hAnsi="仿宋" w:cs="仿宋" w:hint="eastAsia"/>
          <w:sz w:val="32"/>
          <w:szCs w:val="32"/>
          <w:highlight w:val="none"/>
          <w:lang w:val="en-US" w:eastAsia="zh-CN"/>
        </w:rPr>
        <w:t>模块C考核叉车故障判断与排除——内燃叉车故障排除与判断，</w:t>
      </w:r>
      <w:r>
        <w:rPr>
          <w:rFonts w:ascii="仿宋" w:eastAsia="仿宋" w:hAnsi="仿宋" w:cs="仿宋" w:hint="eastAsia"/>
          <w:sz w:val="32"/>
          <w:szCs w:val="32"/>
          <w:highlight w:val="none"/>
          <w:lang w:val="en-US" w:eastAsia="zh-CN"/>
        </w:rPr>
        <w:t xml:space="preserve"> </w:t>
      </w:r>
      <w:r>
        <w:rPr>
          <w:rFonts w:ascii="仿宋" w:eastAsia="仿宋" w:hAnsi="仿宋" w:cs="方正仿宋_GBK" w:hint="eastAsia"/>
          <w:szCs w:val="20"/>
          <w:highlight w:val="none"/>
          <w:lang w:val="en-US" w:eastAsia="zh-CN"/>
        </w:rPr>
        <w:t>主要考核参赛者对叉车结构了解程度和叉车</w:t>
      </w:r>
      <w:r>
        <w:rPr>
          <w:rFonts w:ascii="仿宋" w:eastAsia="仿宋" w:hAnsi="仿宋" w:cs="仿宋" w:hint="eastAsia"/>
          <w:sz w:val="32"/>
          <w:szCs w:val="32"/>
          <w:highlight w:val="none"/>
          <w:lang w:val="en-US" w:eastAsia="zh-CN"/>
        </w:rPr>
        <w:t>故障排除与判断</w:t>
      </w:r>
      <w:r>
        <w:rPr>
          <w:rFonts w:ascii="仿宋" w:eastAsia="仿宋" w:hAnsi="仿宋" w:cs="方正仿宋_GBK" w:hint="eastAsia"/>
          <w:szCs w:val="20"/>
          <w:highlight w:val="none"/>
          <w:lang w:val="en-US" w:eastAsia="zh-CN"/>
        </w:rPr>
        <w:t>方面知识的掌握程度，本模块为实体答辩模式，比赛时限为240分钟（比赛时间还剩1分钟时提醒选手）。如果在规定时限内没有完成比赛任务，裁判长终止此模块比赛。</w:t>
      </w:r>
    </w:p>
    <w:p>
      <w:pPr>
        <w:pStyle w:val="Heading2"/>
        <w:spacing w:before="0" w:after="0" w:line="240" w:lineRule="auto"/>
        <w:ind w:firstLine="640" w:firstLineChars="200"/>
        <w:rPr>
          <w:rFonts w:ascii="楷体" w:eastAsia="楷体" w:hAnsi="楷体" w:cs="方正楷体_GBK" w:hint="eastAsia"/>
          <w:szCs w:val="20"/>
          <w:highlight w:val="none"/>
        </w:rPr>
      </w:pPr>
      <w:bookmarkStart w:id="7" w:name="_Toc18649"/>
      <w:r>
        <w:rPr>
          <w:rFonts w:ascii="楷体" w:eastAsia="楷体" w:hAnsi="楷体" w:cs="方正楷体_GBK" w:hint="eastAsia"/>
          <w:szCs w:val="20"/>
          <w:highlight w:val="none"/>
        </w:rPr>
        <w:t>（三）评判标准</w:t>
      </w:r>
      <w:bookmarkEnd w:id="7"/>
    </w:p>
    <w:p>
      <w:pPr>
        <w:ind w:firstLine="640" w:firstLineChars="200"/>
        <w:rPr>
          <w:rFonts w:ascii="仿宋" w:eastAsia="仿宋" w:hAnsi="仿宋" w:cs="仿宋" w:hint="eastAsia"/>
          <w:szCs w:val="20"/>
          <w:highlight w:val="none"/>
        </w:rPr>
      </w:pPr>
      <w:r>
        <w:rPr>
          <w:rFonts w:ascii="仿宋" w:eastAsia="仿宋" w:hAnsi="仿宋" w:cs="仿宋" w:hint="eastAsia"/>
          <w:szCs w:val="20"/>
          <w:highlight w:val="none"/>
        </w:rPr>
        <w:t>1.分数权重：总成绩由理论知识成绩和技能操作成绩组成,理论知识</w:t>
      </w:r>
      <w:r>
        <w:rPr>
          <w:rFonts w:ascii="仿宋" w:eastAsia="仿宋" w:hAnsi="仿宋" w:cs="仿宋" w:hint="eastAsia"/>
          <w:szCs w:val="20"/>
          <w:highlight w:val="none"/>
          <w:lang w:eastAsia="zh-CN"/>
        </w:rPr>
        <w:t>占总成绩的</w:t>
      </w:r>
      <w:r>
        <w:rPr>
          <w:rFonts w:ascii="仿宋" w:eastAsia="仿宋" w:hAnsi="仿宋" w:cs="仿宋" w:hint="eastAsia"/>
          <w:szCs w:val="20"/>
          <w:highlight w:val="none"/>
          <w:lang w:val="en-US" w:eastAsia="zh-CN"/>
        </w:rPr>
        <w:t>20%</w:t>
      </w:r>
      <w:r>
        <w:rPr>
          <w:rFonts w:ascii="仿宋" w:eastAsia="仿宋" w:hAnsi="仿宋" w:cs="仿宋" w:hint="eastAsia"/>
          <w:szCs w:val="20"/>
          <w:highlight w:val="none"/>
          <w:lang w:eastAsia="zh-CN"/>
        </w:rPr>
        <w:t>，</w:t>
      </w:r>
      <w:r>
        <w:rPr>
          <w:rFonts w:ascii="仿宋" w:eastAsia="仿宋" w:hAnsi="仿宋" w:cs="仿宋" w:hint="eastAsia"/>
          <w:szCs w:val="20"/>
          <w:highlight w:val="none"/>
        </w:rPr>
        <w:t xml:space="preserve">技能操作成绩分为: </w:t>
      </w:r>
      <w:r>
        <w:rPr>
          <w:rFonts w:ascii="仿宋" w:eastAsia="仿宋" w:hAnsi="仿宋" w:cs="仿宋" w:hint="eastAsia"/>
          <w:sz w:val="32"/>
          <w:szCs w:val="32"/>
          <w:highlight w:val="none"/>
          <w:lang w:val="en-US" w:eastAsia="zh-CN"/>
        </w:rPr>
        <w:t>模块A考核叉车操作</w:t>
      </w:r>
      <w:r>
        <w:rPr>
          <w:rFonts w:ascii="仿宋" w:eastAsia="仿宋" w:hAnsi="仿宋" w:cs="仿宋" w:hint="eastAsia"/>
          <w:szCs w:val="20"/>
          <w:highlight w:val="none"/>
        </w:rPr>
        <w:t>(占</w:t>
      </w:r>
      <w:r>
        <w:rPr>
          <w:rFonts w:ascii="仿宋" w:eastAsia="仿宋" w:hAnsi="仿宋" w:cs="仿宋" w:hint="eastAsia"/>
          <w:szCs w:val="20"/>
          <w:highlight w:val="none"/>
          <w:lang w:val="en-US" w:eastAsia="zh-CN"/>
        </w:rPr>
        <w:t>30</w:t>
      </w:r>
      <w:r>
        <w:rPr>
          <w:rFonts w:ascii="仿宋" w:eastAsia="仿宋" w:hAnsi="仿宋" w:cs="仿宋" w:hint="eastAsia"/>
          <w:szCs w:val="20"/>
          <w:highlight w:val="none"/>
        </w:rPr>
        <w:t>%分)、</w:t>
      </w:r>
      <w:r>
        <w:rPr>
          <w:rFonts w:ascii="仿宋" w:eastAsia="仿宋" w:hAnsi="仿宋" w:cs="仿宋" w:hint="eastAsia"/>
          <w:sz w:val="32"/>
          <w:szCs w:val="32"/>
          <w:highlight w:val="none"/>
          <w:lang w:val="en-US" w:eastAsia="zh-CN"/>
        </w:rPr>
        <w:t>模块B考核叉车维护与保养</w:t>
      </w:r>
      <w:r>
        <w:rPr>
          <w:rFonts w:ascii="仿宋" w:eastAsia="仿宋" w:hAnsi="仿宋" w:cs="仿宋" w:hint="eastAsia"/>
          <w:szCs w:val="20"/>
          <w:highlight w:val="none"/>
        </w:rPr>
        <w:t>(占</w:t>
      </w:r>
      <w:r>
        <w:rPr>
          <w:rFonts w:ascii="仿宋" w:eastAsia="仿宋" w:hAnsi="仿宋" w:cs="仿宋" w:hint="eastAsia"/>
          <w:szCs w:val="20"/>
          <w:highlight w:val="none"/>
          <w:lang w:val="en-US" w:eastAsia="zh-CN"/>
        </w:rPr>
        <w:t>25</w:t>
      </w:r>
      <w:r>
        <w:rPr>
          <w:rFonts w:ascii="仿宋" w:eastAsia="仿宋" w:hAnsi="仿宋" w:cs="仿宋" w:hint="eastAsia"/>
          <w:szCs w:val="20"/>
          <w:highlight w:val="none"/>
        </w:rPr>
        <w:t>%分)、</w:t>
      </w:r>
      <w:r>
        <w:rPr>
          <w:rFonts w:ascii="仿宋" w:eastAsia="仿宋" w:hAnsi="仿宋" w:cs="仿宋" w:hint="eastAsia"/>
          <w:sz w:val="32"/>
          <w:szCs w:val="32"/>
          <w:highlight w:val="none"/>
          <w:lang w:val="en-US" w:eastAsia="zh-CN"/>
        </w:rPr>
        <w:t>模块C考核叉车故障判断与排除</w:t>
      </w:r>
      <w:r>
        <w:rPr>
          <w:rFonts w:ascii="仿宋" w:eastAsia="仿宋" w:hAnsi="仿宋" w:cs="仿宋" w:hint="eastAsia"/>
          <w:szCs w:val="20"/>
          <w:highlight w:val="none"/>
        </w:rPr>
        <w:t>(占</w:t>
      </w:r>
      <w:r>
        <w:rPr>
          <w:rFonts w:ascii="仿宋" w:eastAsia="仿宋" w:hAnsi="仿宋" w:cs="仿宋" w:hint="eastAsia"/>
          <w:szCs w:val="20"/>
          <w:highlight w:val="none"/>
          <w:lang w:val="en-US" w:eastAsia="zh-CN"/>
        </w:rPr>
        <w:t>25</w:t>
      </w:r>
      <w:r>
        <w:rPr>
          <w:rFonts w:ascii="仿宋" w:eastAsia="仿宋" w:hAnsi="仿宋" w:cs="仿宋" w:hint="eastAsia"/>
          <w:szCs w:val="20"/>
          <w:highlight w:val="none"/>
        </w:rPr>
        <w:t>%分),理论知识成绩</w:t>
      </w:r>
      <w:r>
        <w:rPr>
          <w:rFonts w:ascii="仿宋" w:eastAsia="仿宋" w:hAnsi="仿宋" w:cs="仿宋" w:hint="eastAsia"/>
          <w:szCs w:val="20"/>
          <w:highlight w:val="none"/>
          <w:lang w:eastAsia="zh-CN"/>
        </w:rPr>
        <w:t>的</w:t>
      </w:r>
      <w:r>
        <w:rPr>
          <w:rFonts w:ascii="仿宋" w:eastAsia="仿宋" w:hAnsi="仿宋" w:cs="仿宋" w:hint="eastAsia"/>
          <w:szCs w:val="20"/>
          <w:highlight w:val="none"/>
          <w:lang w:val="en-US" w:eastAsia="zh-CN"/>
        </w:rPr>
        <w:t>20%</w:t>
      </w:r>
      <w:r>
        <w:rPr>
          <w:rFonts w:ascii="仿宋" w:eastAsia="仿宋" w:hAnsi="仿宋" w:cs="仿宋" w:hint="eastAsia"/>
          <w:szCs w:val="20"/>
          <w:highlight w:val="none"/>
        </w:rPr>
        <w:t>和技能操作成绩</w:t>
      </w:r>
      <w:r>
        <w:rPr>
          <w:rFonts w:ascii="仿宋" w:eastAsia="仿宋" w:hAnsi="仿宋" w:cs="仿宋" w:hint="eastAsia"/>
          <w:szCs w:val="20"/>
          <w:highlight w:val="none"/>
          <w:lang w:eastAsia="zh-CN"/>
        </w:rPr>
        <w:t>的</w:t>
      </w:r>
      <w:r>
        <w:rPr>
          <w:rFonts w:ascii="仿宋" w:eastAsia="仿宋" w:hAnsi="仿宋" w:cs="仿宋" w:hint="eastAsia"/>
          <w:szCs w:val="20"/>
          <w:highlight w:val="none"/>
          <w:lang w:val="en-US" w:eastAsia="zh-CN"/>
        </w:rPr>
        <w:t>80%</w:t>
      </w:r>
      <w:r>
        <w:rPr>
          <w:rFonts w:ascii="仿宋" w:eastAsia="仿宋" w:hAnsi="仿宋" w:cs="仿宋" w:hint="eastAsia"/>
          <w:szCs w:val="20"/>
          <w:highlight w:val="none"/>
        </w:rPr>
        <w:t>合计占总成绩的</w:t>
      </w:r>
      <w:r>
        <w:rPr>
          <w:rFonts w:ascii="仿宋" w:eastAsia="仿宋" w:hAnsi="仿宋" w:cs="仿宋" w:hint="eastAsia"/>
          <w:szCs w:val="20"/>
          <w:highlight w:val="none"/>
          <w:lang w:val="en-US" w:eastAsia="zh-CN"/>
        </w:rPr>
        <w:t>100</w:t>
      </w:r>
      <w:r>
        <w:rPr>
          <w:rFonts w:ascii="仿宋" w:eastAsia="仿宋" w:hAnsi="仿宋" w:cs="仿宋" w:hint="eastAsia"/>
          <w:szCs w:val="20"/>
          <w:highlight w:val="none"/>
        </w:rPr>
        <w:t>%。</w:t>
      </w:r>
    </w:p>
    <w:p>
      <w:pPr>
        <w:ind w:firstLine="640" w:firstLineChars="200"/>
        <w:rPr>
          <w:rFonts w:ascii="仿宋" w:eastAsia="仿宋" w:hAnsi="仿宋" w:cs="仿宋" w:hint="eastAsia"/>
          <w:szCs w:val="32"/>
          <w:highlight w:val="none"/>
        </w:rPr>
      </w:pPr>
      <w:r>
        <w:rPr>
          <w:rFonts w:ascii="仿宋" w:eastAsia="仿宋" w:hAnsi="仿宋" w:cs="仿宋" w:hint="eastAsia"/>
          <w:sz w:val="32"/>
          <w:szCs w:val="32"/>
          <w:highlight w:val="none"/>
          <w:lang w:val="en-US" w:eastAsia="zh-CN"/>
        </w:rPr>
        <w:t>模块A考核叉车操作——工字型场地移库：</w:t>
      </w:r>
    </w:p>
    <w:tbl>
      <w:tblPr>
        <w:tblStyle w:val="TableNormal"/>
        <w:tblW w:w="8804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712"/>
        <w:gridCol w:w="4891"/>
        <w:gridCol w:w="735"/>
        <w:gridCol w:w="766"/>
      </w:tblGrid>
      <w:tr>
        <w:tblPrEx>
          <w:tblW w:w="8804" w:type="dxa"/>
          <w:tblInd w:w="93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/>
        </w:trPr>
        <w:tc>
          <w:tcPr>
            <w:tcW w:w="700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名称</w:t>
            </w:r>
          </w:p>
        </w:tc>
        <w:tc>
          <w:tcPr>
            <w:tcW w:w="4891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说明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级别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分值</w:t>
            </w:r>
          </w:p>
        </w:tc>
      </w:tr>
      <w:tr>
        <w:tblPrEx>
          <w:tblW w:w="8804" w:type="dxa"/>
          <w:tblInd w:w="93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/>
        </w:trPr>
        <w:tc>
          <w:tcPr>
            <w:tcW w:w="700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起步前未按规范巡检</w:t>
            </w:r>
          </w:p>
        </w:tc>
        <w:tc>
          <w:tcPr>
            <w:tcW w:w="4891" w:type="dxa"/>
            <w:vAlign w:val="center"/>
          </w:tcPr>
          <w:p>
            <w:pPr>
              <w:jc w:val="left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没有按巡检要求进行检查，检查项目为：前后轮胎、货叉、门架和仪表（按发生次数计数）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2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级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</w:tr>
      <w:tr>
        <w:tblPrEx>
          <w:tblW w:w="8804" w:type="dxa"/>
          <w:tblInd w:w="93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/>
        </w:trPr>
        <w:tc>
          <w:tcPr>
            <w:tcW w:w="700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2</w:t>
            </w: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未按规范上车</w:t>
            </w:r>
          </w:p>
        </w:tc>
        <w:tc>
          <w:tcPr>
            <w:tcW w:w="4891" w:type="dxa"/>
            <w:vAlign w:val="center"/>
          </w:tcPr>
          <w:p>
            <w:pPr>
              <w:jc w:val="left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正确佩戴安全帽、左手扶安全把手、右手扶座椅、左脚登踏、正确系上安全带（以上步骤少做一步或不正确计数1次，顺序不正确只计数1次）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1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级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</w:tr>
      <w:tr>
        <w:tblPrEx>
          <w:tblW w:w="8804" w:type="dxa"/>
          <w:tblInd w:w="93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/>
        </w:trPr>
        <w:tc>
          <w:tcPr>
            <w:tcW w:w="700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3</w:t>
            </w: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起步未示意</w:t>
            </w:r>
          </w:p>
        </w:tc>
        <w:tc>
          <w:tcPr>
            <w:tcW w:w="4891" w:type="dxa"/>
            <w:vAlign w:val="center"/>
          </w:tcPr>
          <w:p>
            <w:pPr>
              <w:spacing w:after="0"/>
              <w:jc w:val="left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1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级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</w:tr>
    </w:tbl>
    <w:p>
      <w:pPr>
        <w:sectPr>
          <w:headerReference w:type="default" r:id="rId23"/>
          <w:footerReference w:type="even" r:id="rId24"/>
          <w:footerReference w:type="default" r:id="rId25"/>
          <w:type w:val="nextPage"/>
          <w:pgSz w:w="11906" w:h="16838"/>
          <w:pgMar w:top="1928" w:right="1474" w:bottom="1814" w:left="1588" w:header="851" w:footer="1531" w:gutter="0"/>
          <w:pgNumType w:start="5"/>
          <w:cols w:num="1" w:space="425"/>
          <w:titlePg w:val="0"/>
          <w:docGrid w:type="linesAndChars" w:linePitch="595" w:charSpace="-849"/>
        </w:sectPr>
      </w:pPr>
    </w:p>
    <w:tbl>
      <w:tblPr>
        <w:tblStyle w:val="TableNormal"/>
        <w:tblW w:w="8804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712"/>
        <w:gridCol w:w="4891"/>
        <w:gridCol w:w="735"/>
        <w:gridCol w:w="766"/>
      </w:tblGrid>
      <w:tr>
        <w:tblPrEx>
          <w:tblW w:w="8804" w:type="dxa"/>
          <w:tblInd w:w="93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/>
        </w:trPr>
        <w:tc>
          <w:tcPr>
            <w:tcW w:w="700" w:type="dxa"/>
            <w:vAlign w:val="center"/>
          </w:tcPr>
          <w:p/>
        </w:tc>
        <w:tc>
          <w:tcPr>
            <w:tcW w:w="1712" w:type="dxa"/>
            <w:vAlign w:val="center"/>
          </w:tcPr>
          <w:p/>
        </w:tc>
        <w:tc>
          <w:tcPr>
            <w:tcW w:w="4891" w:type="dxa"/>
            <w:vAlign w:val="center"/>
          </w:tcPr>
          <w:p>
            <w:pPr>
              <w:spacing w:before="0"/>
              <w:jc w:val="left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检查完毕后，选手坐在车上没有向裁判举手示意直接起步。</w:t>
            </w:r>
          </w:p>
        </w:tc>
        <w:tc>
          <w:tcPr>
            <w:tcW w:w="735" w:type="dxa"/>
            <w:vAlign w:val="center"/>
          </w:tcPr>
          <w:p/>
        </w:tc>
        <w:tc>
          <w:tcPr>
            <w:tcW w:w="766" w:type="dxa"/>
            <w:vAlign w:val="center"/>
          </w:tcPr>
          <w:p/>
        </w:tc>
      </w:tr>
      <w:tr>
        <w:tblPrEx>
          <w:tblW w:w="8804" w:type="dxa"/>
          <w:tblInd w:w="93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/>
        </w:trPr>
        <w:tc>
          <w:tcPr>
            <w:tcW w:w="700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4</w:t>
            </w: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未按规范起步</w:t>
            </w:r>
          </w:p>
        </w:tc>
        <w:tc>
          <w:tcPr>
            <w:tcW w:w="4891" w:type="dxa"/>
            <w:vAlign w:val="center"/>
          </w:tcPr>
          <w:p>
            <w:pPr>
              <w:jc w:val="left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合上电锁开关（钥匙开关）、合上电源总开关、闭合方向开关、鸣笛、松开驻车制动、上升货叉、门架后倾和踩加速踏板（以上步骤少做一步或不正确计数1次，顺序不正确只计数1次）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2级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</w:tr>
      <w:tr>
        <w:tblPrEx>
          <w:tblW w:w="8804" w:type="dxa"/>
          <w:tblInd w:w="93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/>
        </w:trPr>
        <w:tc>
          <w:tcPr>
            <w:tcW w:w="700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6</w:t>
            </w: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货叉离地距离（叉车行驶时）</w:t>
            </w:r>
          </w:p>
        </w:tc>
        <w:tc>
          <w:tcPr>
            <w:tcW w:w="4891" w:type="dxa"/>
            <w:vAlign w:val="center"/>
          </w:tcPr>
          <w:p>
            <w:pPr>
              <w:jc w:val="left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叉车在行驶时，货叉离地距离不在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20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cm-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30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cm之间（在同一区域只计数1次）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3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级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</w:tr>
      <w:tr>
        <w:tblPrEx>
          <w:tblW w:w="8804" w:type="dxa"/>
          <w:tblInd w:w="93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/>
        </w:trPr>
        <w:tc>
          <w:tcPr>
            <w:tcW w:w="700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7</w:t>
            </w: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叉车碰撞边线杆和桩杆</w:t>
            </w:r>
          </w:p>
        </w:tc>
        <w:tc>
          <w:tcPr>
            <w:tcW w:w="4891" w:type="dxa"/>
            <w:vAlign w:val="center"/>
          </w:tcPr>
          <w:p>
            <w:pPr>
              <w:jc w:val="left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叉车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eastAsia="zh-CN"/>
              </w:rPr>
              <w:t>压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线和桩杆（按发生次数计数）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3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级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</w:tr>
      <w:tr>
        <w:tblPrEx>
          <w:tblW w:w="8804" w:type="dxa"/>
          <w:tblInd w:w="93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/>
        </w:trPr>
        <w:tc>
          <w:tcPr>
            <w:tcW w:w="700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8</w:t>
            </w: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叉车与其他设备设施发生刮蹭或碰撞</w:t>
            </w:r>
          </w:p>
        </w:tc>
        <w:tc>
          <w:tcPr>
            <w:tcW w:w="4891" w:type="dxa"/>
            <w:vAlign w:val="center"/>
          </w:tcPr>
          <w:p>
            <w:pPr>
              <w:jc w:val="left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叉车与其他设备设施发生刮蹭或碰撞，包括货物、线边杆（桩杆）、地面等（按发生次数计数）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3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级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</w:tr>
      <w:tr>
        <w:tblPrEx>
          <w:tblW w:w="8804" w:type="dxa"/>
          <w:tblInd w:w="93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/>
        </w:trPr>
        <w:tc>
          <w:tcPr>
            <w:tcW w:w="700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9</w:t>
            </w: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未按规范叉取货物</w:t>
            </w:r>
          </w:p>
        </w:tc>
        <w:tc>
          <w:tcPr>
            <w:tcW w:w="4891" w:type="dxa"/>
            <w:vAlign w:val="center"/>
          </w:tcPr>
          <w:p>
            <w:pPr>
              <w:spacing w:after="0"/>
              <w:jc w:val="left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2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级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</w:tr>
    </w:tbl>
    <w:p>
      <w:pPr>
        <w:sectPr>
          <w:headerReference w:type="default" r:id="rId26"/>
          <w:footerReference w:type="even" r:id="rId27"/>
          <w:footerReference w:type="default" r:id="rId28"/>
          <w:type w:val="nextPage"/>
          <w:pgSz w:w="11906" w:h="16838"/>
          <w:pgMar w:top="1928" w:right="1474" w:bottom="1814" w:left="1588" w:header="851" w:footer="1531" w:gutter="0"/>
          <w:pgNumType w:start="6"/>
          <w:cols w:num="1" w:space="425"/>
          <w:titlePg w:val="0"/>
          <w:docGrid w:type="linesAndChars" w:linePitch="595" w:charSpace="-849"/>
        </w:sectPr>
      </w:pPr>
    </w:p>
    <w:tbl>
      <w:tblPr>
        <w:tblStyle w:val="TableNormal"/>
        <w:tblW w:w="8804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712"/>
        <w:gridCol w:w="4891"/>
        <w:gridCol w:w="735"/>
        <w:gridCol w:w="766"/>
      </w:tblGrid>
      <w:tr>
        <w:tblPrEx>
          <w:tblW w:w="8804" w:type="dxa"/>
          <w:tblInd w:w="93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/>
        </w:trPr>
        <w:tc>
          <w:tcPr>
            <w:tcW w:w="700" w:type="dxa"/>
            <w:vAlign w:val="center"/>
          </w:tcPr>
          <w:p/>
        </w:tc>
        <w:tc>
          <w:tcPr>
            <w:tcW w:w="1712" w:type="dxa"/>
            <w:vAlign w:val="center"/>
          </w:tcPr>
          <w:p/>
        </w:tc>
        <w:tc>
          <w:tcPr>
            <w:tcW w:w="4891" w:type="dxa"/>
            <w:vAlign w:val="center"/>
          </w:tcPr>
          <w:p>
            <w:pPr>
              <w:spacing w:before="0"/>
              <w:jc w:val="left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未按取货八步：驶进货位、垂直门架、调整叉高、进叉取货、微提货叉、后倾门架、驶离货位、调整叉高进行叉取货物（以上步骤少做一步或不正确计数1次，顺序不正确只计数1次；进叉取货：进叉取货时托盘近端与货叉根部间距未小于5㎝）</w:t>
            </w:r>
          </w:p>
        </w:tc>
        <w:tc>
          <w:tcPr>
            <w:tcW w:w="735" w:type="dxa"/>
            <w:vAlign w:val="center"/>
          </w:tcPr>
          <w:p/>
        </w:tc>
        <w:tc>
          <w:tcPr>
            <w:tcW w:w="766" w:type="dxa"/>
            <w:vAlign w:val="center"/>
          </w:tcPr>
          <w:p/>
        </w:tc>
      </w:tr>
      <w:tr>
        <w:tblPrEx>
          <w:tblW w:w="8804" w:type="dxa"/>
          <w:tblInd w:w="93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/>
        </w:trPr>
        <w:tc>
          <w:tcPr>
            <w:tcW w:w="700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10</w:t>
            </w: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未按规范卸载货物</w:t>
            </w:r>
          </w:p>
        </w:tc>
        <w:tc>
          <w:tcPr>
            <w:tcW w:w="4891" w:type="dxa"/>
            <w:vAlign w:val="center"/>
          </w:tcPr>
          <w:p>
            <w:pPr>
              <w:jc w:val="left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未按卸载八步：驶进货位、垂直门架、调整叉高、进车对位、落叉卸货、退车抽叉、后倾门架、调整叉高进行卸载货物（以上步骤少做一步或不正确计数1次，顺序不正确只计数1次）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2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级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</w:tr>
      <w:tr>
        <w:tblPrEx>
          <w:tblW w:w="8804" w:type="dxa"/>
          <w:tblInd w:w="93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/>
        </w:trPr>
        <w:tc>
          <w:tcPr>
            <w:tcW w:w="700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11</w:t>
            </w: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叉车未停在指定区域内</w:t>
            </w:r>
          </w:p>
        </w:tc>
        <w:tc>
          <w:tcPr>
            <w:tcW w:w="4891" w:type="dxa"/>
            <w:vAlign w:val="center"/>
          </w:tcPr>
          <w:p>
            <w:pPr>
              <w:jc w:val="left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入库停车时，叉车超出定位线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3级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</w:tr>
      <w:tr>
        <w:tblPrEx>
          <w:tblW w:w="8804" w:type="dxa"/>
          <w:tblInd w:w="93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/>
        </w:trPr>
        <w:tc>
          <w:tcPr>
            <w:tcW w:w="700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12</w:t>
            </w: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未按规范停车下车</w:t>
            </w:r>
          </w:p>
        </w:tc>
        <w:tc>
          <w:tcPr>
            <w:tcW w:w="4891" w:type="dxa"/>
            <w:vAlign w:val="center"/>
          </w:tcPr>
          <w:p>
            <w:pPr>
              <w:jc w:val="left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减速停车、车轮回正、门架回位、拉紧驻车制动、方向开关回位、切断总电源、关闭电锁、规范下车（以上步骤少做一步或不正确计数1次，顺序不正确只计数1次）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2级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</w:tr>
      <w:tr>
        <w:tblPrEx>
          <w:tblW w:w="8804" w:type="dxa"/>
          <w:tblInd w:w="93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/>
        </w:trPr>
        <w:tc>
          <w:tcPr>
            <w:tcW w:w="700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13</w:t>
            </w: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入库停车后未示意</w:t>
            </w:r>
          </w:p>
        </w:tc>
        <w:tc>
          <w:tcPr>
            <w:tcW w:w="4891" w:type="dxa"/>
            <w:vAlign w:val="center"/>
          </w:tcPr>
          <w:p>
            <w:pPr>
              <w:jc w:val="left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规范下车后未举手示意，操作完毕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1级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</w:tr>
      <w:tr>
        <w:tblPrEx>
          <w:tblW w:w="8804" w:type="dxa"/>
          <w:tblInd w:w="93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/>
        </w:trPr>
        <w:tc>
          <w:tcPr>
            <w:tcW w:w="700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15</w:t>
            </w: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行驶中升降货叉和倾斜门架</w:t>
            </w:r>
          </w:p>
        </w:tc>
        <w:tc>
          <w:tcPr>
            <w:tcW w:w="4891" w:type="dxa"/>
            <w:vAlign w:val="center"/>
          </w:tcPr>
          <w:p>
            <w:pPr>
              <w:jc w:val="left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叉车行驶中升降货叉和倾斜门架（按发生次数计数）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3级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</w:tr>
      <w:tr>
        <w:tblPrEx>
          <w:tblW w:w="8804" w:type="dxa"/>
          <w:tblInd w:w="93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/>
        </w:trPr>
        <w:tc>
          <w:tcPr>
            <w:tcW w:w="700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17</w:t>
            </w:r>
          </w:p>
        </w:tc>
        <w:tc>
          <w:tcPr>
            <w:tcW w:w="1712" w:type="dxa"/>
            <w:vAlign w:val="center"/>
          </w:tcPr>
          <w:p>
            <w:pPr>
              <w:spacing w:after="0"/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eastAsia="zh-CN"/>
              </w:rPr>
              <w:t>托盘</w:t>
            </w:r>
          </w:p>
        </w:tc>
        <w:tc>
          <w:tcPr>
            <w:tcW w:w="4891" w:type="dxa"/>
            <w:vAlign w:val="center"/>
          </w:tcPr>
          <w:p>
            <w:pPr>
              <w:jc w:val="left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eastAsia="zh-CN"/>
              </w:rPr>
              <w:t>托盘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超出定位线（按发生次数计数）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2级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</w:tr>
    </w:tbl>
    <w:p>
      <w:pPr>
        <w:sectPr>
          <w:headerReference w:type="default" r:id="rId29"/>
          <w:footerReference w:type="even" r:id="rId30"/>
          <w:footerReference w:type="default" r:id="rId31"/>
          <w:type w:val="nextPage"/>
          <w:pgSz w:w="11906" w:h="16838"/>
          <w:pgMar w:top="1928" w:right="1474" w:bottom="1814" w:left="1588" w:header="851" w:footer="1531" w:gutter="0"/>
          <w:pgNumType w:start="7"/>
          <w:cols w:num="1" w:space="425"/>
          <w:titlePg w:val="0"/>
          <w:docGrid w:type="linesAndChars" w:linePitch="595" w:charSpace="-849"/>
        </w:sectPr>
      </w:pPr>
    </w:p>
    <w:tbl>
      <w:tblPr>
        <w:tblStyle w:val="TableNormal"/>
        <w:tblW w:w="8804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712"/>
        <w:gridCol w:w="4891"/>
        <w:gridCol w:w="735"/>
        <w:gridCol w:w="766"/>
      </w:tblGrid>
      <w:tr>
        <w:tblPrEx>
          <w:tblW w:w="8804" w:type="dxa"/>
          <w:tblInd w:w="93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/>
        </w:trPr>
        <w:tc>
          <w:tcPr>
            <w:tcW w:w="700" w:type="dxa"/>
            <w:vAlign w:val="center"/>
          </w:tcPr>
          <w:p/>
        </w:tc>
        <w:tc>
          <w:tcPr>
            <w:tcW w:w="1712" w:type="dxa"/>
            <w:vAlign w:val="center"/>
          </w:tcPr>
          <w:p>
            <w:pPr>
              <w:spacing w:before="0"/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未放在指定区域内</w:t>
            </w:r>
          </w:p>
        </w:tc>
        <w:tc>
          <w:tcPr>
            <w:tcW w:w="4891" w:type="dxa"/>
            <w:vAlign w:val="center"/>
          </w:tcPr>
          <w:p/>
        </w:tc>
        <w:tc>
          <w:tcPr>
            <w:tcW w:w="735" w:type="dxa"/>
            <w:vAlign w:val="center"/>
          </w:tcPr>
          <w:p/>
        </w:tc>
        <w:tc>
          <w:tcPr>
            <w:tcW w:w="766" w:type="dxa"/>
            <w:vAlign w:val="center"/>
          </w:tcPr>
          <w:p/>
        </w:tc>
      </w:tr>
      <w:tr>
        <w:tblPrEx>
          <w:tblW w:w="8804" w:type="dxa"/>
          <w:tblInd w:w="93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/>
        </w:trPr>
        <w:tc>
          <w:tcPr>
            <w:tcW w:w="700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19</w:t>
            </w: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危险或不规范动作</w:t>
            </w:r>
          </w:p>
        </w:tc>
        <w:tc>
          <w:tcPr>
            <w:tcW w:w="4891" w:type="dxa"/>
            <w:vAlign w:val="center"/>
          </w:tcPr>
          <w:p>
            <w:pPr>
              <w:jc w:val="left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本表没有定义的一般扣分事项：具体分值由裁判组和仲裁组共同确定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0-3级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1-5分</w:t>
            </w:r>
          </w:p>
        </w:tc>
      </w:tr>
      <w:tr>
        <w:tblPrEx>
          <w:tblW w:w="8804" w:type="dxa"/>
          <w:tblInd w:w="93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/>
        </w:trPr>
        <w:tc>
          <w:tcPr>
            <w:tcW w:w="700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20</w:t>
            </w: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按照规定路线行驶</w:t>
            </w:r>
          </w:p>
        </w:tc>
        <w:tc>
          <w:tcPr>
            <w:tcW w:w="4891" w:type="dxa"/>
            <w:vAlign w:val="center"/>
          </w:tcPr>
          <w:p>
            <w:pPr>
              <w:jc w:val="left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未按照规定路线行驶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（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eastAsia="zh-CN"/>
              </w:rPr>
              <w:t>裁判予以指正，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按发生次数计数）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3级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</w:tr>
      <w:tr>
        <w:tblPrEx>
          <w:tblW w:w="8804" w:type="dxa"/>
          <w:tblInd w:w="93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/>
        </w:trPr>
        <w:tc>
          <w:tcPr>
            <w:tcW w:w="700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21</w:t>
            </w:r>
          </w:p>
        </w:tc>
        <w:tc>
          <w:tcPr>
            <w:tcW w:w="1712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操作速度成绩</w:t>
            </w:r>
          </w:p>
        </w:tc>
        <w:tc>
          <w:tcPr>
            <w:tcW w:w="4891" w:type="dxa"/>
            <w:vAlign w:val="center"/>
          </w:tcPr>
          <w:p>
            <w:pPr>
              <w:jc w:val="left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操作超出5分钟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（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eastAsia="zh-CN"/>
              </w:rPr>
              <w:t>每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10秒扣2分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）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eastAsia="zh-CN"/>
              </w:rPr>
              <w:t>，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操作速度成绩=[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300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秒-参赛选手实际操作时间秒）]*0.1，</w:t>
            </w:r>
          </w:p>
          <w:p>
            <w:pPr>
              <w:jc w:val="left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1级</w:t>
            </w:r>
          </w:p>
        </w:tc>
        <w:tc>
          <w:tcPr>
            <w:tcW w:w="766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</w:tr>
      <w:tr>
        <w:tblPrEx>
          <w:tblW w:w="8804" w:type="dxa"/>
          <w:tblInd w:w="93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/>
        </w:trPr>
        <w:tc>
          <w:tcPr>
            <w:tcW w:w="8804" w:type="dxa"/>
            <w:gridSpan w:val="5"/>
          </w:tcPr>
          <w:p>
            <w:pPr>
              <w:jc w:val="left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备注：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br/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1.级别是综合操作安全、操作规范进行划分，分为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0到3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级，危险程度和规范要求程度依次增加，对应的分数分别为，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0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级：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1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，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1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级：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2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，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2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级：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3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，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3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级：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5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br/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2.当选手出现本表没有定义的危险或不规范动作时，裁判记录比赛的情况，并由裁判组和仲裁组共同确定具体的分值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eastAsia="zh-CN"/>
              </w:rPr>
              <w:t>。</w:t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br/>
            </w: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3.在任何时候，如果裁判认为有必要，经裁判长同意，可以终止选手的比赛。</w:t>
            </w:r>
          </w:p>
          <w:p>
            <w:pPr>
              <w:jc w:val="both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4.未按照要求完成此项目，此项成绩不得分，不计入总成绩</w:t>
            </w:r>
          </w:p>
        </w:tc>
      </w:tr>
    </w:tbl>
    <w:p>
      <w:pPr>
        <w:ind w:firstLine="640" w:firstLineChars="200"/>
        <w:rPr>
          <w:rFonts w:ascii="仿宋" w:eastAsia="仿宋" w:hAnsi="仿宋" w:cs="仿宋" w:hint="eastAsia"/>
          <w:szCs w:val="20"/>
          <w:highlight w:val="none"/>
        </w:rPr>
      </w:pPr>
    </w:p>
    <w:p>
      <w:pPr>
        <w:ind w:firstLine="640" w:firstLineChars="200"/>
        <w:rPr>
          <w:rFonts w:ascii="仿宋" w:eastAsia="仿宋" w:hAnsi="仿宋" w:cs="仿宋" w:hint="eastAsia"/>
          <w:szCs w:val="32"/>
          <w:highlight w:val="none"/>
        </w:rPr>
        <w:sectPr>
          <w:headerReference w:type="default" r:id="rId32"/>
          <w:footerReference w:type="even" r:id="rId33"/>
          <w:footerReference w:type="default" r:id="rId34"/>
          <w:type w:val="nextPage"/>
          <w:pgSz w:w="11906" w:h="16838"/>
          <w:pgMar w:top="1928" w:right="1474" w:bottom="1814" w:left="1588" w:header="851" w:footer="1531" w:gutter="0"/>
          <w:pgNumType w:start="8"/>
          <w:cols w:num="1" w:space="425"/>
          <w:titlePg w:val="0"/>
          <w:docGrid w:type="linesAndChars" w:linePitch="595" w:charSpace="-849"/>
        </w:sectPr>
      </w:pPr>
      <w:r>
        <w:rPr>
          <w:rFonts w:ascii="仿宋" w:eastAsia="仿宋" w:hAnsi="仿宋" w:cs="仿宋" w:hint="eastAsia"/>
          <w:sz w:val="32"/>
          <w:szCs w:val="32"/>
          <w:highlight w:val="none"/>
          <w:lang w:val="en-US" w:eastAsia="zh-CN"/>
        </w:rPr>
        <w:t>模块B考核叉车维护与保养——内燃叉车级保养.发动机部分维护保养</w:t>
      </w:r>
    </w:p>
    <w:tbl>
      <w:tblPr>
        <w:tblStyle w:val="TableNormal"/>
        <w:tblW w:w="8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711"/>
        <w:gridCol w:w="5836"/>
        <w:gridCol w:w="883"/>
        <w:gridCol w:w="917"/>
      </w:tblGrid>
      <w:tr>
        <w:tblPrEx>
          <w:tblW w:w="8804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/>
          <w:jc w:val="center"/>
        </w:trPr>
        <w:tc>
          <w:tcPr>
            <w:tcW w:w="8804" w:type="dxa"/>
            <w:gridSpan w:val="5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eastAsia="zh-CN"/>
              </w:rPr>
              <w:t>平分标准</w:t>
            </w:r>
          </w:p>
        </w:tc>
      </w:tr>
      <w:tr>
        <w:tblPrEx>
          <w:tblW w:w="880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/>
          <w:jc w:val="center"/>
        </w:trPr>
        <w:tc>
          <w:tcPr>
            <w:tcW w:w="457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6547" w:type="dxa"/>
            <w:gridSpan w:val="2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考核标准</w:t>
            </w:r>
          </w:p>
        </w:tc>
        <w:tc>
          <w:tcPr>
            <w:tcW w:w="883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级别</w:t>
            </w: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分值</w:t>
            </w:r>
          </w:p>
        </w:tc>
      </w:tr>
      <w:tr>
        <w:tblPrEx>
          <w:tblW w:w="880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7"/>
          <w:jc w:val="center"/>
        </w:trPr>
        <w:tc>
          <w:tcPr>
            <w:tcW w:w="457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eastAsia="zh-CN"/>
              </w:rPr>
              <w:t>识别图片材料名称</w:t>
            </w:r>
          </w:p>
        </w:tc>
        <w:tc>
          <w:tcPr>
            <w:tcW w:w="5836" w:type="dxa"/>
            <w:vAlign w:val="center"/>
          </w:tcPr>
          <w:p>
            <w:pPr>
              <w:jc w:val="both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1、柴油滤清器、2机油滤清器、3、空气滤清器4、套筒链条扳手5、万用表</w:t>
            </w:r>
          </w:p>
        </w:tc>
        <w:tc>
          <w:tcPr>
            <w:tcW w:w="883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10</w:t>
            </w:r>
          </w:p>
        </w:tc>
      </w:tr>
      <w:tr>
        <w:tblPrEx>
          <w:tblW w:w="880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7"/>
          <w:jc w:val="center"/>
        </w:trPr>
        <w:tc>
          <w:tcPr>
            <w:tcW w:w="457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检査活塞连杆机构</w:t>
            </w:r>
          </w:p>
        </w:tc>
        <w:tc>
          <w:tcPr>
            <w:tcW w:w="5836" w:type="dxa"/>
            <w:vAlign w:val="center"/>
          </w:tcPr>
          <w:p>
            <w:pPr>
              <w:jc w:val="both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①检査气缸压力以确定是否更换活塞环，用刮刀刮去气缸上部的台阶—活塞环行程外未磨损部位。②检査曲轴瓦、连杆瓦、连杆小头衬套的配合间隙，超限时予以调整或更换新件。③检查曲轴轴承、连杆轴承螺栓的紧固情况。④清洗机油泵的滤网。⑤清洗油底壳，更换新机油。</w:t>
            </w:r>
          </w:p>
        </w:tc>
        <w:tc>
          <w:tcPr>
            <w:tcW w:w="883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10</w:t>
            </w:r>
          </w:p>
        </w:tc>
      </w:tr>
      <w:tr>
        <w:tblPrEx>
          <w:tblW w:w="880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/>
          <w:jc w:val="center"/>
        </w:trPr>
        <w:tc>
          <w:tcPr>
            <w:tcW w:w="457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  <w:tc>
          <w:tcPr>
            <w:tcW w:w="711" w:type="dxa"/>
            <w:vAlign w:val="center"/>
          </w:tcPr>
          <w:p>
            <w:pPr>
              <w:spacing w:after="0"/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</w:p>
        </w:tc>
        <w:tc>
          <w:tcPr>
            <w:tcW w:w="5836" w:type="dxa"/>
            <w:vAlign w:val="center"/>
          </w:tcPr>
          <w:p>
            <w:pPr>
              <w:spacing w:after="0"/>
              <w:jc w:val="both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</w:p>
        </w:tc>
        <w:tc>
          <w:tcPr>
            <w:tcW w:w="883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</w:tr>
    </w:tbl>
    <w:p>
      <w:pPr>
        <w:sectPr>
          <w:headerReference w:type="default" r:id="rId35"/>
          <w:footerReference w:type="even" r:id="rId36"/>
          <w:footerReference w:type="default" r:id="rId37"/>
          <w:type w:val="nextPage"/>
          <w:pgSz w:w="11906" w:h="16838"/>
          <w:pgMar w:top="1928" w:right="1474" w:bottom="1814" w:left="1588" w:header="851" w:footer="1531" w:gutter="0"/>
          <w:pgNumType w:start="9"/>
          <w:cols w:num="1" w:space="425"/>
          <w:titlePg w:val="0"/>
          <w:docGrid w:type="linesAndChars" w:linePitch="595" w:charSpace="-849"/>
        </w:sectPr>
      </w:pPr>
    </w:p>
    <w:tbl>
      <w:tblPr>
        <w:tblStyle w:val="TableNormal"/>
        <w:tblW w:w="8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711"/>
        <w:gridCol w:w="5836"/>
        <w:gridCol w:w="883"/>
        <w:gridCol w:w="917"/>
      </w:tblGrid>
      <w:tr>
        <w:tblPrEx>
          <w:tblW w:w="8804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/>
          <w:jc w:val="center"/>
        </w:trPr>
        <w:tc>
          <w:tcPr>
            <w:tcW w:w="457" w:type="dxa"/>
            <w:vAlign w:val="center"/>
          </w:tcPr>
          <w:p/>
        </w:tc>
        <w:tc>
          <w:tcPr>
            <w:tcW w:w="711" w:type="dxa"/>
            <w:vAlign w:val="center"/>
          </w:tcPr>
          <w:p>
            <w:pPr>
              <w:spacing w:before="0"/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检查调整配气机构</w:t>
            </w:r>
          </w:p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</w:p>
        </w:tc>
        <w:tc>
          <w:tcPr>
            <w:tcW w:w="5836" w:type="dxa"/>
            <w:vAlign w:val="center"/>
          </w:tcPr>
          <w:p>
            <w:pPr>
              <w:spacing w:before="0"/>
              <w:jc w:val="both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①拆下气缸盖，清除积炭，检查气门及气门座有无划痕、裂纹及烧蚀的麻点，铰削气门座，研磨气门。②检查气门与气门导管、气门弹簧、气门挺杆、气门推杆、凸轮轴等工作表面的情况，磨损超限时应换新件。当挺杆、凸轮表面有划痕，深度小于0.1mm时，挺杆可研磨拋光后使用，凸轮可用油石磨光后使用，但表面粗糙度应不高于0.8。</w:t>
            </w:r>
          </w:p>
        </w:tc>
        <w:tc>
          <w:tcPr>
            <w:tcW w:w="883" w:type="dxa"/>
            <w:vAlign w:val="center"/>
          </w:tcPr>
          <w:p/>
        </w:tc>
        <w:tc>
          <w:tcPr>
            <w:tcW w:w="917" w:type="dxa"/>
            <w:vAlign w:val="center"/>
          </w:tcPr>
          <w:p/>
        </w:tc>
      </w:tr>
      <w:tr>
        <w:tblPrEx>
          <w:tblW w:w="880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/>
          <w:jc w:val="center"/>
        </w:trPr>
        <w:tc>
          <w:tcPr>
            <w:tcW w:w="457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(3)清洗检査柴油机供油系统</w:t>
            </w:r>
          </w:p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</w:p>
        </w:tc>
        <w:tc>
          <w:tcPr>
            <w:tcW w:w="5836" w:type="dxa"/>
            <w:vAlign w:val="center"/>
          </w:tcPr>
          <w:p>
            <w:pPr>
              <w:spacing w:after="0"/>
              <w:jc w:val="both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</w:p>
        </w:tc>
        <w:tc>
          <w:tcPr>
            <w:tcW w:w="883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10</w:t>
            </w:r>
          </w:p>
        </w:tc>
      </w:tr>
    </w:tbl>
    <w:p>
      <w:pPr>
        <w:sectPr>
          <w:headerReference w:type="default" r:id="rId38"/>
          <w:footerReference w:type="even" r:id="rId39"/>
          <w:footerReference w:type="default" r:id="rId40"/>
          <w:type w:val="nextPage"/>
          <w:pgSz w:w="11906" w:h="16838"/>
          <w:pgMar w:top="1928" w:right="1474" w:bottom="1814" w:left="1588" w:header="851" w:footer="1531" w:gutter="0"/>
          <w:pgNumType w:start="10"/>
          <w:cols w:num="1" w:space="425"/>
          <w:titlePg w:val="0"/>
          <w:docGrid w:type="linesAndChars" w:linePitch="595" w:charSpace="-849"/>
        </w:sectPr>
      </w:pPr>
    </w:p>
    <w:tbl>
      <w:tblPr>
        <w:tblStyle w:val="TableNormal"/>
        <w:tblW w:w="8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711"/>
        <w:gridCol w:w="5836"/>
        <w:gridCol w:w="883"/>
        <w:gridCol w:w="917"/>
      </w:tblGrid>
      <w:tr>
        <w:tblPrEx>
          <w:tblW w:w="8804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/>
          <w:jc w:val="center"/>
        </w:trPr>
        <w:tc>
          <w:tcPr>
            <w:tcW w:w="457" w:type="dxa"/>
            <w:vAlign w:val="center"/>
          </w:tcPr>
          <w:p/>
        </w:tc>
        <w:tc>
          <w:tcPr>
            <w:tcW w:w="711" w:type="dxa"/>
            <w:vAlign w:val="center"/>
          </w:tcPr>
          <w:p/>
        </w:tc>
        <w:tc>
          <w:tcPr>
            <w:tcW w:w="5836" w:type="dxa"/>
            <w:vAlign w:val="center"/>
          </w:tcPr>
          <w:p>
            <w:pPr>
              <w:spacing w:before="0"/>
              <w:jc w:val="both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①清洗检查喷油器：喷油压力应达规定值；观察喷雾情况，喷出燃油应成雾状，分布细而均匀；喷油开始和终了应明显，有清脆的声音，喷油器不许有滴油现象；否则应更换新件。②检查并调整喷油泵（在试验台上进行）a.对柱塞偶件及出油阀偶件进行密封性试验，对磨损严重（泄漏严重）的偶件予以更换。b.检查各缸喷油量和喷油量的不均匀度是否符合大修标准的要求。c.检查各缸喷油角度偏差是否在公差范围内，如不符合要求，则应重新调整。d.检查调速器各工况是否符合大修操作的要求，如不符合，应重新调整。e.检査输油泵活塞、柱塞、顶杆及手油泵活塞的磨损情况，若磨损超限应更换新件，检査进、出油阀，如有泄漏可研磨修复。</w:t>
            </w:r>
          </w:p>
          <w:p>
            <w:pPr>
              <w:jc w:val="both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</w:p>
        </w:tc>
        <w:tc>
          <w:tcPr>
            <w:tcW w:w="883" w:type="dxa"/>
            <w:vAlign w:val="center"/>
          </w:tcPr>
          <w:p/>
        </w:tc>
        <w:tc>
          <w:tcPr>
            <w:tcW w:w="917" w:type="dxa"/>
            <w:vAlign w:val="center"/>
          </w:tcPr>
          <w:p/>
        </w:tc>
      </w:tr>
      <w:tr>
        <w:tblPrEx>
          <w:tblW w:w="880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/>
          <w:jc w:val="center"/>
        </w:trPr>
        <w:tc>
          <w:tcPr>
            <w:tcW w:w="457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清洗、检查机油泵</w:t>
            </w:r>
          </w:p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</w:p>
        </w:tc>
        <w:tc>
          <w:tcPr>
            <w:tcW w:w="5836" w:type="dxa"/>
            <w:vAlign w:val="center"/>
          </w:tcPr>
          <w:p>
            <w:pPr>
              <w:jc w:val="both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解体检査齿轮啮合间隙；检査齿面、外圆周及端面磨损情况，必要时刮研泵壳端面，调整齿轮的端面间隙。</w:t>
            </w:r>
          </w:p>
          <w:p>
            <w:pPr>
              <w:jc w:val="both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</w:p>
        </w:tc>
        <w:tc>
          <w:tcPr>
            <w:tcW w:w="883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</w:tr>
      <w:tr>
        <w:tblPrEx>
          <w:tblW w:w="880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/>
          <w:jc w:val="center"/>
        </w:trPr>
        <w:tc>
          <w:tcPr>
            <w:tcW w:w="457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6</w:t>
            </w: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检查冷却液泵</w:t>
            </w:r>
          </w:p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</w:p>
        </w:tc>
        <w:tc>
          <w:tcPr>
            <w:tcW w:w="5836" w:type="dxa"/>
            <w:vAlign w:val="center"/>
          </w:tcPr>
          <w:p>
            <w:pPr>
              <w:jc w:val="both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拆洗检査，更换磨损的水封胶圈及水封胶木垫圈，检査轴承磨损情况，更换磨损超限的轴承。</w:t>
            </w:r>
          </w:p>
          <w:p>
            <w:pPr>
              <w:jc w:val="both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</w:p>
        </w:tc>
        <w:tc>
          <w:tcPr>
            <w:tcW w:w="883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</w:tr>
      <w:tr>
        <w:tblPrEx>
          <w:tblW w:w="880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/>
          <w:jc w:val="center"/>
        </w:trPr>
        <w:tc>
          <w:tcPr>
            <w:tcW w:w="457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7</w:t>
            </w:r>
          </w:p>
        </w:tc>
        <w:tc>
          <w:tcPr>
            <w:tcW w:w="711" w:type="dxa"/>
            <w:vAlign w:val="center"/>
          </w:tcPr>
          <w:p>
            <w:pPr>
              <w:spacing w:after="0"/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</w:p>
        </w:tc>
        <w:tc>
          <w:tcPr>
            <w:tcW w:w="5836" w:type="dxa"/>
            <w:vAlign w:val="center"/>
          </w:tcPr>
          <w:p>
            <w:pPr>
              <w:jc w:val="both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按一级保养内容进行，对纸质机油滤清器滤芯应予以清洗，可根据情况恶劣与否使用2〜3个二保周期予以更换。</w:t>
            </w:r>
          </w:p>
        </w:tc>
        <w:tc>
          <w:tcPr>
            <w:tcW w:w="883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</w:tr>
    </w:tbl>
    <w:p>
      <w:pPr>
        <w:sectPr>
          <w:headerReference w:type="default" r:id="rId41"/>
          <w:footerReference w:type="even" r:id="rId42"/>
          <w:footerReference w:type="default" r:id="rId43"/>
          <w:type w:val="nextPage"/>
          <w:pgSz w:w="11906" w:h="16838"/>
          <w:pgMar w:top="1928" w:right="1474" w:bottom="1814" w:left="1588" w:header="851" w:footer="1531" w:gutter="0"/>
          <w:pgNumType w:start="11"/>
          <w:cols w:num="1" w:space="425"/>
          <w:titlePg w:val="0"/>
          <w:docGrid w:type="linesAndChars" w:linePitch="595" w:charSpace="-849"/>
        </w:sectPr>
      </w:pPr>
    </w:p>
    <w:tbl>
      <w:tblPr>
        <w:tblStyle w:val="TableNormal"/>
        <w:tblW w:w="8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711"/>
        <w:gridCol w:w="5836"/>
        <w:gridCol w:w="883"/>
        <w:gridCol w:w="917"/>
      </w:tblGrid>
      <w:tr>
        <w:tblPrEx>
          <w:tblW w:w="8804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/>
          <w:jc w:val="center"/>
        </w:trPr>
        <w:tc>
          <w:tcPr>
            <w:tcW w:w="457" w:type="dxa"/>
            <w:vAlign w:val="center"/>
          </w:tcPr>
          <w:p/>
        </w:tc>
        <w:tc>
          <w:tcPr>
            <w:tcW w:w="711" w:type="dxa"/>
            <w:vAlign w:val="center"/>
          </w:tcPr>
          <w:p>
            <w:pPr>
              <w:spacing w:before="0"/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清洗或更换滤芯</w:t>
            </w:r>
          </w:p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</w:p>
        </w:tc>
        <w:tc>
          <w:tcPr>
            <w:tcW w:w="5836" w:type="dxa"/>
            <w:vAlign w:val="center"/>
          </w:tcPr>
          <w:p>
            <w:pPr>
              <w:jc w:val="both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</w:p>
        </w:tc>
        <w:tc>
          <w:tcPr>
            <w:tcW w:w="883" w:type="dxa"/>
            <w:vAlign w:val="center"/>
          </w:tcPr>
          <w:p/>
        </w:tc>
        <w:tc>
          <w:tcPr>
            <w:tcW w:w="917" w:type="dxa"/>
            <w:vAlign w:val="center"/>
          </w:tcPr>
          <w:p/>
        </w:tc>
      </w:tr>
      <w:tr>
        <w:tblPrEx>
          <w:tblW w:w="880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/>
          <w:jc w:val="center"/>
        </w:trPr>
        <w:tc>
          <w:tcPr>
            <w:tcW w:w="457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8</w:t>
            </w:r>
          </w:p>
        </w:tc>
        <w:tc>
          <w:tcPr>
            <w:tcW w:w="711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清洗冷却系管道及散热器</w:t>
            </w:r>
          </w:p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</w:p>
        </w:tc>
        <w:tc>
          <w:tcPr>
            <w:tcW w:w="5836" w:type="dxa"/>
            <w:vAlign w:val="center"/>
          </w:tcPr>
          <w:p>
            <w:pPr>
              <w:jc w:val="both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可将苛性钠750〜800g、煤油150g在容器内配成混合液，晚间将混合液注入散热器内并保存一夜，次晨在发动机起动10〜15min后，将混合液放出，用清洁的水冲洗散热器（发动机不火），直到冲洗干净为止。</w:t>
            </w:r>
          </w:p>
          <w:p>
            <w:pPr>
              <w:jc w:val="both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  <w:t>水垢的清除：对非铝质缸体，缸盖的内燃机可用浓度为5%〜10%的盐酸(温度60〜80℃：),取下节温器，直接注入散热器内，运转20〜40min,放出清洗液，用清水洗（发动机不熄火）直到干净为止。</w:t>
            </w:r>
          </w:p>
          <w:p>
            <w:pPr>
              <w:jc w:val="both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</w:p>
        </w:tc>
        <w:tc>
          <w:tcPr>
            <w:tcW w:w="883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10</w:t>
            </w:r>
          </w:p>
        </w:tc>
      </w:tr>
      <w:tr>
        <w:tblPrEx>
          <w:tblW w:w="8804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/>
          <w:jc w:val="center"/>
        </w:trPr>
        <w:tc>
          <w:tcPr>
            <w:tcW w:w="457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9</w:t>
            </w:r>
          </w:p>
        </w:tc>
        <w:tc>
          <w:tcPr>
            <w:tcW w:w="711" w:type="dxa"/>
            <w:vAlign w:val="center"/>
          </w:tcPr>
          <w:p>
            <w:pPr>
              <w:spacing w:after="0"/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</w:p>
        </w:tc>
        <w:tc>
          <w:tcPr>
            <w:tcW w:w="5836" w:type="dxa"/>
            <w:vAlign w:val="center"/>
          </w:tcPr>
          <w:p>
            <w:pPr>
              <w:spacing w:after="0"/>
              <w:jc w:val="both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</w:p>
        </w:tc>
        <w:tc>
          <w:tcPr>
            <w:tcW w:w="883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917" w:type="dxa"/>
            <w:vAlign w:val="center"/>
          </w:tcPr>
          <w:p>
            <w:pPr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none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highlight w:val="none"/>
                <w:lang w:val="en-US" w:eastAsia="zh-CN"/>
              </w:rPr>
              <w:t>10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https://d.book118.com/085124213112011121</w:t>
        </w:r>
      </w:hyperlink>
    </w:p>
    <w:p/>
    <w:sectPr>
      <w:headerReference w:type="default" r:id="rId45"/>
      <w:footerReference w:type="even" r:id="rId46"/>
      <w:footerReference w:type="default" r:id="rId47"/>
      <w:type w:val="nextPage"/>
      <w:pgSz w:w="11906" w:h="16838"/>
      <w:pgMar w:top="1928" w:right="1474" w:bottom="1814" w:left="1588" w:header="851" w:footer="1531" w:gutter="0"/>
      <w:pgNumType w:start="12"/>
      <w:cols w:num="1" w:space="425"/>
      <w:titlePg w:val="0"/>
      <w:docGrid w:type="linesAndChars" w:linePitch="595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  <w:ind w:right="360"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right="360" w:firstLine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  <w:ind w:right="360" w:firstLine="36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ind w:left="320" w:right="320" w:leftChars="100" w:rightChars="100"/>
      <w:rPr>
        <w:rStyle w:val="PageNumber"/>
        <w:b/>
        <w:bCs/>
        <w:sz w:val="28"/>
      </w:rPr>
    </w:pPr>
    <w:r>
      <w:rPr>
        <w:rStyle w:val="PageNumber"/>
        <w:rFonts w:hint="eastAsia"/>
        <w:sz w:val="28"/>
      </w:rPr>
      <w:t>—</w:t>
    </w:r>
    <w:r>
      <w:rPr>
        <w:rStyle w:val="PageNumber"/>
        <w:sz w:val="28"/>
      </w:rPr>
      <w:t xml:space="preserve"> </w:t>
    </w:r>
    <w:r>
      <w:rPr>
        <w:rStyle w:val="PageNumber"/>
        <w:sz w:val="28"/>
      </w:rPr>
      <w:fldChar w:fldCharType="begin"/>
    </w:r>
    <w:r>
      <w:rPr>
        <w:rStyle w:val="PageNumber"/>
        <w:sz w:val="28"/>
      </w:rPr>
      <w:instrText xml:space="preserve">PAGE  </w:instrText>
    </w:r>
    <w:r>
      <w:rPr>
        <w:rStyle w:val="PageNumber"/>
        <w:sz w:val="28"/>
      </w:rPr>
      <w:fldChar w:fldCharType="separate"/>
    </w:r>
    <w:r>
      <w:rPr>
        <w:rStyle w:val="PageNumber"/>
        <w:sz w:val="28"/>
      </w:rPr>
      <w:t>1</w:t>
    </w:r>
    <w:r>
      <w:rPr>
        <w:rStyle w:val="PageNumber"/>
        <w:sz w:val="28"/>
      </w:rPr>
      <w:fldChar w:fldCharType="end"/>
    </w:r>
    <w:r>
      <w:rPr>
        <w:rStyle w:val="PageNumber"/>
        <w:sz w:val="28"/>
      </w:rPr>
      <w:t xml:space="preserve"> </w:t>
    </w:r>
    <w:r>
      <w:rPr>
        <w:rStyle w:val="PageNumber"/>
        <w:rFonts w:hint="eastAsia"/>
        <w:sz w:val="28"/>
      </w:rPr>
      <w:t>—</w:t>
    </w:r>
  </w:p>
  <w:p>
    <w:pPr>
      <w:pStyle w:val="Footer"/>
      <w:ind w:right="360" w:firstLine="360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  <w:ind w:right="360" w:firstLine="360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ind w:left="320" w:right="320" w:leftChars="100" w:rightChars="100"/>
      <w:rPr>
        <w:rStyle w:val="PageNumber"/>
        <w:b/>
        <w:bCs/>
        <w:sz w:val="28"/>
      </w:rPr>
    </w:pPr>
    <w:r>
      <w:rPr>
        <w:rStyle w:val="PageNumber"/>
        <w:rFonts w:hint="eastAsia"/>
        <w:sz w:val="28"/>
      </w:rPr>
      <w:t>—</w:t>
    </w:r>
    <w:r>
      <w:rPr>
        <w:rStyle w:val="PageNumber"/>
        <w:sz w:val="28"/>
      </w:rPr>
      <w:t xml:space="preserve"> </w:t>
    </w:r>
    <w:r>
      <w:rPr>
        <w:rStyle w:val="PageNumber"/>
        <w:sz w:val="28"/>
      </w:rPr>
      <w:fldChar w:fldCharType="begin"/>
    </w:r>
    <w:r>
      <w:rPr>
        <w:rStyle w:val="PageNumber"/>
        <w:sz w:val="28"/>
      </w:rPr>
      <w:instrText xml:space="preserve">PAGE  </w:instrText>
    </w:r>
    <w:r>
      <w:rPr>
        <w:rStyle w:val="PageNumber"/>
        <w:sz w:val="28"/>
      </w:rPr>
      <w:fldChar w:fldCharType="separate"/>
    </w:r>
    <w:r>
      <w:rPr>
        <w:rStyle w:val="PageNumber"/>
        <w:sz w:val="28"/>
      </w:rPr>
      <w:t>2</w:t>
    </w:r>
    <w:r>
      <w:rPr>
        <w:rStyle w:val="PageNumber"/>
        <w:sz w:val="28"/>
      </w:rPr>
      <w:fldChar w:fldCharType="end"/>
    </w:r>
    <w:r>
      <w:rPr>
        <w:rStyle w:val="PageNumber"/>
        <w:sz w:val="28"/>
      </w:rPr>
      <w:t xml:space="preserve"> </w:t>
    </w:r>
    <w:r>
      <w:rPr>
        <w:rStyle w:val="PageNumber"/>
        <w:rFonts w:hint="eastAsia"/>
        <w:sz w:val="28"/>
      </w:rPr>
      <w:t>—</w:t>
    </w:r>
  </w:p>
  <w:p>
    <w:pPr>
      <w:pStyle w:val="Footer"/>
      <w:ind w:right="360" w:firstLine="360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  <w:ind w:right="360" w:firstLine="360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ind w:left="320" w:right="320" w:leftChars="100" w:rightChars="100"/>
      <w:rPr>
        <w:rStyle w:val="PageNumber"/>
        <w:b/>
        <w:bCs/>
        <w:sz w:val="28"/>
      </w:rPr>
    </w:pPr>
    <w:r>
      <w:rPr>
        <w:rStyle w:val="PageNumber"/>
        <w:rFonts w:hint="eastAsia"/>
        <w:sz w:val="28"/>
      </w:rPr>
      <w:t>—</w:t>
    </w:r>
    <w:r>
      <w:rPr>
        <w:rStyle w:val="PageNumber"/>
        <w:sz w:val="28"/>
      </w:rPr>
      <w:t xml:space="preserve"> </w:t>
    </w:r>
    <w:r>
      <w:rPr>
        <w:rStyle w:val="PageNumber"/>
        <w:sz w:val="28"/>
      </w:rPr>
      <w:fldChar w:fldCharType="begin"/>
    </w:r>
    <w:r>
      <w:rPr>
        <w:rStyle w:val="PageNumber"/>
        <w:sz w:val="28"/>
      </w:rPr>
      <w:instrText xml:space="preserve">PAGE  </w:instrText>
    </w:r>
    <w:r>
      <w:rPr>
        <w:rStyle w:val="PageNumber"/>
        <w:sz w:val="28"/>
      </w:rPr>
      <w:fldChar w:fldCharType="separate"/>
    </w:r>
    <w:r>
      <w:rPr>
        <w:rStyle w:val="PageNumber"/>
        <w:sz w:val="28"/>
      </w:rPr>
      <w:t>3</w:t>
    </w:r>
    <w:r>
      <w:rPr>
        <w:rStyle w:val="PageNumber"/>
        <w:sz w:val="28"/>
      </w:rPr>
      <w:fldChar w:fldCharType="end"/>
    </w:r>
    <w:r>
      <w:rPr>
        <w:rStyle w:val="PageNumber"/>
        <w:sz w:val="28"/>
      </w:rPr>
      <w:t xml:space="preserve"> </w:t>
    </w:r>
    <w:r>
      <w:rPr>
        <w:rStyle w:val="PageNumber"/>
        <w:rFonts w:hint="eastAsia"/>
        <w:sz w:val="28"/>
      </w:rPr>
      <w:t>—</w:t>
    </w:r>
  </w:p>
  <w:p>
    <w:pPr>
      <w:pStyle w:val="Footer"/>
      <w:ind w:right="360" w:firstLine="360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  <w:ind w:right="360" w:firstLine="360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ind w:left="320" w:right="320" w:leftChars="100" w:rightChars="100"/>
      <w:rPr>
        <w:rStyle w:val="PageNumber"/>
        <w:b/>
        <w:bCs/>
        <w:sz w:val="28"/>
      </w:rPr>
    </w:pPr>
    <w:r>
      <w:rPr>
        <w:rStyle w:val="PageNumber"/>
        <w:rFonts w:hint="eastAsia"/>
        <w:sz w:val="28"/>
      </w:rPr>
      <w:t>—</w:t>
    </w:r>
    <w:r>
      <w:rPr>
        <w:rStyle w:val="PageNumber"/>
        <w:sz w:val="28"/>
      </w:rPr>
      <w:t xml:space="preserve"> </w:t>
    </w:r>
    <w:r>
      <w:rPr>
        <w:rStyle w:val="PageNumber"/>
        <w:sz w:val="28"/>
      </w:rPr>
      <w:fldChar w:fldCharType="begin"/>
    </w:r>
    <w:r>
      <w:rPr>
        <w:rStyle w:val="PageNumber"/>
        <w:sz w:val="28"/>
      </w:rPr>
      <w:instrText xml:space="preserve">PAGE  </w:instrText>
    </w:r>
    <w:r>
      <w:rPr>
        <w:rStyle w:val="PageNumber"/>
        <w:sz w:val="28"/>
      </w:rPr>
      <w:fldChar w:fldCharType="separate"/>
    </w:r>
    <w:r>
      <w:rPr>
        <w:rStyle w:val="PageNumber"/>
        <w:sz w:val="28"/>
      </w:rPr>
      <w:t>5</w:t>
    </w:r>
    <w:r>
      <w:rPr>
        <w:rStyle w:val="PageNumber"/>
        <w:sz w:val="28"/>
      </w:rPr>
      <w:fldChar w:fldCharType="end"/>
    </w:r>
    <w:r>
      <w:rPr>
        <w:rStyle w:val="PageNumber"/>
        <w:sz w:val="28"/>
      </w:rPr>
      <w:t xml:space="preserve"> </w:t>
    </w:r>
    <w:r>
      <w:rPr>
        <w:rStyle w:val="PageNumber"/>
        <w:rFonts w:hint="eastAsia"/>
        <w:sz w:val="28"/>
      </w:rPr>
      <w:t>—</w:t>
    </w:r>
  </w:p>
  <w:p>
    <w:pPr>
      <w:pStyle w:val="Footer"/>
      <w:ind w:right="360" w:firstLine="360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  <w:ind w:right="360" w:firstLine="360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ind w:left="320" w:right="320" w:leftChars="100" w:rightChars="100"/>
      <w:rPr>
        <w:rStyle w:val="PageNumber"/>
        <w:b/>
        <w:bCs/>
        <w:sz w:val="28"/>
      </w:rPr>
    </w:pPr>
    <w:r>
      <w:rPr>
        <w:rStyle w:val="PageNumber"/>
        <w:rFonts w:hint="eastAsia"/>
        <w:sz w:val="28"/>
      </w:rPr>
      <w:t>—</w:t>
    </w:r>
    <w:r>
      <w:rPr>
        <w:rStyle w:val="PageNumber"/>
        <w:sz w:val="28"/>
      </w:rPr>
      <w:t xml:space="preserve"> </w:t>
    </w:r>
    <w:r>
      <w:rPr>
        <w:rStyle w:val="PageNumber"/>
        <w:sz w:val="28"/>
      </w:rPr>
      <w:fldChar w:fldCharType="begin"/>
    </w:r>
    <w:r>
      <w:rPr>
        <w:rStyle w:val="PageNumber"/>
        <w:sz w:val="28"/>
      </w:rPr>
      <w:instrText xml:space="preserve">PAGE  </w:instrText>
    </w:r>
    <w:r>
      <w:rPr>
        <w:rStyle w:val="PageNumber"/>
        <w:sz w:val="28"/>
      </w:rPr>
      <w:fldChar w:fldCharType="separate"/>
    </w:r>
    <w:r>
      <w:rPr>
        <w:rStyle w:val="PageNumber"/>
        <w:sz w:val="28"/>
      </w:rPr>
      <w:t>6</w:t>
    </w:r>
    <w:r>
      <w:rPr>
        <w:rStyle w:val="PageNumber"/>
        <w:sz w:val="28"/>
      </w:rPr>
      <w:fldChar w:fldCharType="end"/>
    </w:r>
    <w:r>
      <w:rPr>
        <w:rStyle w:val="PageNumber"/>
        <w:sz w:val="28"/>
      </w:rPr>
      <w:t xml:space="preserve"> </w:t>
    </w:r>
    <w:r>
      <w:rPr>
        <w:rStyle w:val="PageNumber"/>
        <w:rFonts w:hint="eastAsia"/>
        <w:sz w:val="28"/>
      </w:rPr>
      <w:t>—</w:t>
    </w:r>
  </w:p>
  <w:p>
    <w:pPr>
      <w:pStyle w:val="Footer"/>
      <w:ind w:right="360" w:firstLine="360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  <w:ind w:right="360" w:firstLine="360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ind w:left="320" w:right="320" w:leftChars="100" w:rightChars="100"/>
      <w:rPr>
        <w:rStyle w:val="PageNumber"/>
        <w:b/>
        <w:bCs/>
        <w:sz w:val="28"/>
      </w:rPr>
    </w:pPr>
    <w:r>
      <w:rPr>
        <w:rStyle w:val="PageNumber"/>
        <w:rFonts w:hint="eastAsia"/>
        <w:sz w:val="28"/>
      </w:rPr>
      <w:t>—</w:t>
    </w:r>
    <w:r>
      <w:rPr>
        <w:rStyle w:val="PageNumber"/>
        <w:sz w:val="28"/>
      </w:rPr>
      <w:t xml:space="preserve"> </w:t>
    </w:r>
    <w:r>
      <w:rPr>
        <w:rStyle w:val="PageNumber"/>
        <w:sz w:val="28"/>
      </w:rPr>
      <w:fldChar w:fldCharType="begin"/>
    </w:r>
    <w:r>
      <w:rPr>
        <w:rStyle w:val="PageNumber"/>
        <w:sz w:val="28"/>
      </w:rPr>
      <w:instrText xml:space="preserve">PAGE  </w:instrText>
    </w:r>
    <w:r>
      <w:rPr>
        <w:rStyle w:val="PageNumber"/>
        <w:sz w:val="28"/>
      </w:rPr>
      <w:fldChar w:fldCharType="separate"/>
    </w:r>
    <w:r>
      <w:rPr>
        <w:rStyle w:val="PageNumber"/>
        <w:sz w:val="28"/>
      </w:rPr>
      <w:t>6</w:t>
    </w:r>
    <w:r>
      <w:rPr>
        <w:rStyle w:val="PageNumber"/>
        <w:sz w:val="28"/>
      </w:rPr>
      <w:fldChar w:fldCharType="end"/>
    </w:r>
    <w:r>
      <w:rPr>
        <w:rStyle w:val="PageNumber"/>
        <w:sz w:val="28"/>
      </w:rPr>
      <w:t xml:space="preserve"> </w:t>
    </w:r>
    <w:r>
      <w:rPr>
        <w:rStyle w:val="PageNumber"/>
        <w:rFonts w:hint="eastAsia"/>
        <w:sz w:val="28"/>
      </w:rPr>
      <w:t>—</w:t>
    </w:r>
  </w:p>
  <w:p>
    <w:pPr>
      <w:pStyle w:val="Footer"/>
      <w:ind w:right="360" w:firstLine="360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  <w:ind w:right="360" w:firstLine="360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ind w:left="320" w:right="320" w:leftChars="100" w:rightChars="100"/>
      <w:rPr>
        <w:rStyle w:val="PageNumber"/>
        <w:b/>
        <w:bCs/>
        <w:sz w:val="28"/>
      </w:rPr>
    </w:pPr>
    <w:r>
      <w:rPr>
        <w:rStyle w:val="PageNumber"/>
        <w:rFonts w:hint="eastAsia"/>
        <w:sz w:val="28"/>
      </w:rPr>
      <w:t>—</w:t>
    </w:r>
    <w:r>
      <w:rPr>
        <w:rStyle w:val="PageNumber"/>
        <w:sz w:val="28"/>
      </w:rPr>
      <w:t xml:space="preserve"> </w:t>
    </w:r>
    <w:r>
      <w:rPr>
        <w:rStyle w:val="PageNumber"/>
        <w:sz w:val="28"/>
      </w:rPr>
      <w:fldChar w:fldCharType="begin"/>
    </w:r>
    <w:r>
      <w:rPr>
        <w:rStyle w:val="PageNumber"/>
        <w:sz w:val="28"/>
      </w:rPr>
      <w:instrText xml:space="preserve">PAGE  </w:instrText>
    </w:r>
    <w:r>
      <w:rPr>
        <w:rStyle w:val="PageNumber"/>
        <w:sz w:val="28"/>
      </w:rPr>
      <w:fldChar w:fldCharType="separate"/>
    </w:r>
    <w:r>
      <w:rPr>
        <w:rStyle w:val="PageNumber"/>
        <w:sz w:val="28"/>
      </w:rPr>
      <w:t>8</w:t>
    </w:r>
    <w:r>
      <w:rPr>
        <w:rStyle w:val="PageNumber"/>
        <w:sz w:val="28"/>
      </w:rPr>
      <w:fldChar w:fldCharType="end"/>
    </w:r>
    <w:r>
      <w:rPr>
        <w:rStyle w:val="PageNumber"/>
        <w:sz w:val="28"/>
      </w:rPr>
      <w:t xml:space="preserve"> </w:t>
    </w:r>
    <w:r>
      <w:rPr>
        <w:rStyle w:val="PageNumber"/>
        <w:rFonts w:hint="eastAsia"/>
        <w:sz w:val="28"/>
      </w:rPr>
      <w:t>—</w:t>
    </w:r>
  </w:p>
  <w:p>
    <w:pPr>
      <w:pStyle w:val="Footer"/>
      <w:ind w:right="360" w:firstLine="360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  <w:ind w:right="360" w:firstLine="360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ind w:left="320" w:right="320" w:leftChars="100" w:rightChars="100"/>
      <w:rPr>
        <w:rStyle w:val="PageNumber"/>
        <w:b/>
        <w:bCs/>
        <w:sz w:val="28"/>
      </w:rPr>
    </w:pPr>
    <w:r>
      <w:rPr>
        <w:rStyle w:val="PageNumber"/>
        <w:rFonts w:hint="eastAsia"/>
        <w:sz w:val="28"/>
      </w:rPr>
      <w:t>—</w:t>
    </w:r>
    <w:r>
      <w:rPr>
        <w:rStyle w:val="PageNumber"/>
        <w:sz w:val="28"/>
      </w:rPr>
      <w:t xml:space="preserve"> </w:t>
    </w:r>
    <w:r>
      <w:rPr>
        <w:rStyle w:val="PageNumber"/>
        <w:sz w:val="28"/>
      </w:rPr>
      <w:fldChar w:fldCharType="begin"/>
    </w:r>
    <w:r>
      <w:rPr>
        <w:rStyle w:val="PageNumber"/>
        <w:sz w:val="28"/>
      </w:rPr>
      <w:instrText xml:space="preserve">PAGE  </w:instrText>
    </w:r>
    <w:r>
      <w:rPr>
        <w:rStyle w:val="PageNumber"/>
        <w:sz w:val="28"/>
      </w:rPr>
      <w:fldChar w:fldCharType="separate"/>
    </w:r>
    <w:r>
      <w:rPr>
        <w:rStyle w:val="PageNumber"/>
        <w:sz w:val="28"/>
      </w:rPr>
      <w:t>8</w:t>
    </w:r>
    <w:r>
      <w:rPr>
        <w:rStyle w:val="PageNumber"/>
        <w:sz w:val="28"/>
      </w:rPr>
      <w:fldChar w:fldCharType="end"/>
    </w:r>
    <w:r>
      <w:rPr>
        <w:rStyle w:val="PageNumber"/>
        <w:sz w:val="28"/>
      </w:rPr>
      <w:t xml:space="preserve"> </w:t>
    </w:r>
    <w:r>
      <w:rPr>
        <w:rStyle w:val="PageNumber"/>
        <w:rFonts w:hint="eastAsia"/>
        <w:sz w:val="28"/>
      </w:rPr>
      <w:t>—</w:t>
    </w:r>
  </w:p>
  <w:p>
    <w:pPr>
      <w:pStyle w:val="Footer"/>
      <w:ind w:right="360" w:firstLine="360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  <w:ind w:right="360" w:firstLine="360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ind w:left="320" w:right="320" w:leftChars="100" w:rightChars="100"/>
      <w:rPr>
        <w:rStyle w:val="PageNumber"/>
        <w:b/>
        <w:bCs/>
        <w:sz w:val="28"/>
      </w:rPr>
    </w:pPr>
    <w:r>
      <w:rPr>
        <w:rStyle w:val="PageNumber"/>
        <w:rFonts w:hint="eastAsia"/>
        <w:sz w:val="28"/>
      </w:rPr>
      <w:t>—</w:t>
    </w:r>
    <w:r>
      <w:rPr>
        <w:rStyle w:val="PageNumber"/>
        <w:sz w:val="28"/>
      </w:rPr>
      <w:t xml:space="preserve"> </w:t>
    </w:r>
    <w:r>
      <w:rPr>
        <w:rStyle w:val="PageNumber"/>
        <w:sz w:val="28"/>
      </w:rPr>
      <w:fldChar w:fldCharType="begin"/>
    </w:r>
    <w:r>
      <w:rPr>
        <w:rStyle w:val="PageNumber"/>
        <w:sz w:val="28"/>
      </w:rPr>
      <w:instrText xml:space="preserve">PAGE  </w:instrText>
    </w:r>
    <w:r>
      <w:rPr>
        <w:rStyle w:val="PageNumber"/>
        <w:sz w:val="28"/>
      </w:rPr>
      <w:fldChar w:fldCharType="separate"/>
    </w:r>
    <w:r>
      <w:rPr>
        <w:rStyle w:val="PageNumber"/>
        <w:sz w:val="28"/>
      </w:rPr>
      <w:t>9</w:t>
    </w:r>
    <w:r>
      <w:rPr>
        <w:rStyle w:val="PageNumber"/>
        <w:sz w:val="28"/>
      </w:rPr>
      <w:fldChar w:fldCharType="end"/>
    </w:r>
    <w:r>
      <w:rPr>
        <w:rStyle w:val="PageNumber"/>
        <w:sz w:val="28"/>
      </w:rPr>
      <w:t xml:space="preserve"> </w:t>
    </w:r>
    <w:r>
      <w:rPr>
        <w:rStyle w:val="PageNumber"/>
        <w:rFonts w:hint="eastAsia"/>
        <w:sz w:val="28"/>
      </w:rPr>
      <w:t>—</w:t>
    </w:r>
  </w:p>
  <w:p>
    <w:pPr>
      <w:pStyle w:val="Footer"/>
      <w:ind w:right="360" w:firstLine="360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  <w:ind w:right="360" w:firstLine="360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ind w:left="320" w:right="320" w:leftChars="100" w:rightChars="100"/>
      <w:rPr>
        <w:rStyle w:val="PageNumber"/>
        <w:b/>
        <w:bCs/>
        <w:sz w:val="28"/>
      </w:rPr>
    </w:pPr>
    <w:r>
      <w:rPr>
        <w:rStyle w:val="PageNumber"/>
        <w:rFonts w:hint="eastAsia"/>
        <w:sz w:val="28"/>
      </w:rPr>
      <w:t>—</w:t>
    </w:r>
    <w:r>
      <w:rPr>
        <w:rStyle w:val="PageNumber"/>
        <w:sz w:val="28"/>
      </w:rPr>
      <w:t xml:space="preserve"> </w:t>
    </w:r>
    <w:r>
      <w:rPr>
        <w:rStyle w:val="PageNumber"/>
        <w:sz w:val="28"/>
      </w:rPr>
      <w:fldChar w:fldCharType="begin"/>
    </w:r>
    <w:r>
      <w:rPr>
        <w:rStyle w:val="PageNumber"/>
        <w:sz w:val="28"/>
      </w:rPr>
      <w:instrText xml:space="preserve">PAGE  </w:instrText>
    </w:r>
    <w:r>
      <w:rPr>
        <w:rStyle w:val="PageNumber"/>
        <w:sz w:val="28"/>
      </w:rPr>
      <w:fldChar w:fldCharType="separate"/>
    </w:r>
    <w:r>
      <w:rPr>
        <w:rStyle w:val="PageNumber"/>
        <w:sz w:val="28"/>
      </w:rPr>
      <w:t>11</w:t>
    </w:r>
    <w:r>
      <w:rPr>
        <w:rStyle w:val="PageNumber"/>
        <w:sz w:val="28"/>
      </w:rPr>
      <w:fldChar w:fldCharType="end"/>
    </w:r>
    <w:r>
      <w:rPr>
        <w:rStyle w:val="PageNumber"/>
        <w:sz w:val="28"/>
      </w:rPr>
      <w:t xml:space="preserve"> </w:t>
    </w:r>
    <w:r>
      <w:rPr>
        <w:rStyle w:val="PageNumber"/>
        <w:rFonts w:hint="eastAsia"/>
        <w:sz w:val="28"/>
      </w:rPr>
      <w:t>—</w:t>
    </w:r>
  </w:p>
  <w:p>
    <w:pPr>
      <w:pStyle w:val="Footer"/>
      <w:ind w:right="360" w:firstLine="360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  <w:ind w:right="360" w:firstLine="360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ind w:left="320" w:right="320" w:leftChars="100" w:rightChars="100"/>
      <w:rPr>
        <w:rStyle w:val="PageNumber"/>
        <w:b/>
        <w:bCs/>
        <w:sz w:val="28"/>
      </w:rPr>
    </w:pPr>
    <w:r>
      <w:rPr>
        <w:rStyle w:val="PageNumber"/>
        <w:rFonts w:hint="eastAsia"/>
        <w:sz w:val="28"/>
      </w:rPr>
      <w:t>—</w:t>
    </w:r>
    <w:r>
      <w:rPr>
        <w:rStyle w:val="PageNumber"/>
        <w:sz w:val="28"/>
      </w:rPr>
      <w:t xml:space="preserve"> </w:t>
    </w:r>
    <w:r>
      <w:rPr>
        <w:rStyle w:val="PageNumber"/>
        <w:sz w:val="28"/>
      </w:rPr>
      <w:fldChar w:fldCharType="begin"/>
    </w:r>
    <w:r>
      <w:rPr>
        <w:rStyle w:val="PageNumber"/>
        <w:sz w:val="28"/>
      </w:rPr>
      <w:instrText xml:space="preserve">PAGE  </w:instrText>
    </w:r>
    <w:r>
      <w:rPr>
        <w:rStyle w:val="PageNumber"/>
        <w:sz w:val="28"/>
      </w:rPr>
      <w:fldChar w:fldCharType="separate"/>
    </w:r>
    <w:r>
      <w:rPr>
        <w:rStyle w:val="PageNumber"/>
        <w:sz w:val="28"/>
      </w:rPr>
      <w:t>12</w:t>
    </w:r>
    <w:r>
      <w:rPr>
        <w:rStyle w:val="PageNumber"/>
        <w:sz w:val="28"/>
      </w:rPr>
      <w:fldChar w:fldCharType="end"/>
    </w:r>
    <w:r>
      <w:rPr>
        <w:rStyle w:val="PageNumber"/>
        <w:sz w:val="28"/>
      </w:rPr>
      <w:t xml:space="preserve"> </w:t>
    </w:r>
    <w:r>
      <w:rPr>
        <w:rStyle w:val="PageNumber"/>
        <w:rFonts w:hint="eastAsia"/>
        <w:sz w:val="28"/>
      </w:rPr>
      <w:t>—</w:t>
    </w:r>
  </w:p>
  <w:p>
    <w:pPr>
      <w:pStyle w:val="Footer"/>
      <w:ind w:right="360" w:firstLine="360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  <w:ind w:right="360" w:firstLine="360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outside" w:y="1"/>
      <w:ind w:left="320" w:right="320" w:leftChars="100" w:rightChars="100"/>
      <w:rPr>
        <w:rStyle w:val="PageNumber"/>
        <w:b/>
        <w:bCs/>
        <w:sz w:val="28"/>
      </w:rPr>
    </w:pPr>
    <w:r>
      <w:rPr>
        <w:rStyle w:val="PageNumber"/>
        <w:rFonts w:hint="eastAsia"/>
        <w:sz w:val="28"/>
      </w:rPr>
      <w:t>—</w:t>
    </w:r>
    <w:r>
      <w:rPr>
        <w:rStyle w:val="PageNumber"/>
        <w:sz w:val="28"/>
      </w:rPr>
      <w:t xml:space="preserve"> </w:t>
    </w:r>
    <w:r>
      <w:rPr>
        <w:rStyle w:val="PageNumber"/>
        <w:sz w:val="28"/>
      </w:rPr>
      <w:fldChar w:fldCharType="begin"/>
    </w:r>
    <w:r>
      <w:rPr>
        <w:rStyle w:val="PageNumber"/>
        <w:sz w:val="28"/>
      </w:rPr>
      <w:instrText xml:space="preserve">PAGE  </w:instrText>
    </w:r>
    <w:r>
      <w:rPr>
        <w:rStyle w:val="PageNumber"/>
        <w:sz w:val="28"/>
      </w:rPr>
      <w:fldChar w:fldCharType="separate"/>
    </w:r>
    <w:r>
      <w:rPr>
        <w:rStyle w:val="PageNumber"/>
        <w:sz w:val="28"/>
      </w:rPr>
      <w:t>12</w:t>
    </w:r>
    <w:r>
      <w:rPr>
        <w:rStyle w:val="PageNumber"/>
        <w:sz w:val="28"/>
      </w:rPr>
      <w:fldChar w:fldCharType="end"/>
    </w:r>
    <w:r>
      <w:rPr>
        <w:rStyle w:val="PageNumber"/>
        <w:sz w:val="28"/>
      </w:rPr>
      <w:t xml:space="preserve"> </w:t>
    </w:r>
    <w:r>
      <w:rPr>
        <w:rStyle w:val="PageNumber"/>
        <w:rFonts w:hint="eastAsia"/>
        <w:sz w:val="28"/>
      </w:rPr>
      <w:t>—</w:t>
    </w:r>
  </w:p>
  <w:p>
    <w:pPr>
      <w:pStyle w:val="Footer"/>
      <w:ind w:right="360" w:firstLine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mirrorMargins/>
  <w:defaultTabStop w:val="420"/>
  <w:drawingGridHorizontalSpacing w:val="158"/>
  <w:drawingGridVerticalSpacing w:val="595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1FD"/>
    <w:rsid w:val="DF6FBE67"/>
    <w:rsid w:val="F7E50EF0"/>
    <w:rsid w:val="FF6F4906"/>
    <w:rsid w:val="FFBFDA06"/>
    <w:rsid w:val="FFF735F3"/>
    <w:rsid w:val="00014398"/>
    <w:rsid w:val="000169A0"/>
    <w:rsid w:val="00017865"/>
    <w:rsid w:val="00024431"/>
    <w:rsid w:val="000811F5"/>
    <w:rsid w:val="00095A31"/>
    <w:rsid w:val="00097620"/>
    <w:rsid w:val="000A7A67"/>
    <w:rsid w:val="000B4430"/>
    <w:rsid w:val="000B5BAD"/>
    <w:rsid w:val="000B5C40"/>
    <w:rsid w:val="000B61A9"/>
    <w:rsid w:val="000C4D3D"/>
    <w:rsid w:val="000E5B6E"/>
    <w:rsid w:val="00103867"/>
    <w:rsid w:val="00114A7F"/>
    <w:rsid w:val="001379FE"/>
    <w:rsid w:val="00142BA2"/>
    <w:rsid w:val="001772F3"/>
    <w:rsid w:val="0019493D"/>
    <w:rsid w:val="001951E9"/>
    <w:rsid w:val="001C08C6"/>
    <w:rsid w:val="001C0AF5"/>
    <w:rsid w:val="001D7893"/>
    <w:rsid w:val="001E313A"/>
    <w:rsid w:val="00203CD1"/>
    <w:rsid w:val="0020568D"/>
    <w:rsid w:val="00213774"/>
    <w:rsid w:val="0022257C"/>
    <w:rsid w:val="002532EB"/>
    <w:rsid w:val="002A7E1A"/>
    <w:rsid w:val="002C4A49"/>
    <w:rsid w:val="002E6DC7"/>
    <w:rsid w:val="00307089"/>
    <w:rsid w:val="00331F9A"/>
    <w:rsid w:val="00345B67"/>
    <w:rsid w:val="003711FD"/>
    <w:rsid w:val="00375C70"/>
    <w:rsid w:val="00375CBC"/>
    <w:rsid w:val="003867E6"/>
    <w:rsid w:val="00394B3C"/>
    <w:rsid w:val="003A28B2"/>
    <w:rsid w:val="003B289A"/>
    <w:rsid w:val="003B536C"/>
    <w:rsid w:val="003C485B"/>
    <w:rsid w:val="003D6247"/>
    <w:rsid w:val="003F5FF2"/>
    <w:rsid w:val="00403BC0"/>
    <w:rsid w:val="00413902"/>
    <w:rsid w:val="00416388"/>
    <w:rsid w:val="00424A33"/>
    <w:rsid w:val="00433DA2"/>
    <w:rsid w:val="00476A55"/>
    <w:rsid w:val="00481B9B"/>
    <w:rsid w:val="004922BD"/>
    <w:rsid w:val="00494715"/>
    <w:rsid w:val="004A0018"/>
    <w:rsid w:val="004C2140"/>
    <w:rsid w:val="004C2436"/>
    <w:rsid w:val="004C6261"/>
    <w:rsid w:val="004E30A4"/>
    <w:rsid w:val="004E791B"/>
    <w:rsid w:val="004F5424"/>
    <w:rsid w:val="005051DF"/>
    <w:rsid w:val="0054409C"/>
    <w:rsid w:val="00556B84"/>
    <w:rsid w:val="005B0EF3"/>
    <w:rsid w:val="005B4551"/>
    <w:rsid w:val="005C6EDC"/>
    <w:rsid w:val="005F0470"/>
    <w:rsid w:val="005F53B2"/>
    <w:rsid w:val="00601983"/>
    <w:rsid w:val="00605320"/>
    <w:rsid w:val="0067018E"/>
    <w:rsid w:val="0068267E"/>
    <w:rsid w:val="006956FD"/>
    <w:rsid w:val="006A1FE8"/>
    <w:rsid w:val="006B42C9"/>
    <w:rsid w:val="006C5C9C"/>
    <w:rsid w:val="006E325F"/>
    <w:rsid w:val="0070252B"/>
    <w:rsid w:val="00720828"/>
    <w:rsid w:val="00724E11"/>
    <w:rsid w:val="00741CBA"/>
    <w:rsid w:val="007635BF"/>
    <w:rsid w:val="00777966"/>
    <w:rsid w:val="007A0FEC"/>
    <w:rsid w:val="007A54DE"/>
    <w:rsid w:val="007B3632"/>
    <w:rsid w:val="007C3507"/>
    <w:rsid w:val="007D5F8C"/>
    <w:rsid w:val="00802BE9"/>
    <w:rsid w:val="0080566A"/>
    <w:rsid w:val="008166B5"/>
    <w:rsid w:val="008316AD"/>
    <w:rsid w:val="0083203F"/>
    <w:rsid w:val="008342DD"/>
    <w:rsid w:val="00865168"/>
    <w:rsid w:val="008676E9"/>
    <w:rsid w:val="008759AD"/>
    <w:rsid w:val="00882B85"/>
    <w:rsid w:val="00887F5F"/>
    <w:rsid w:val="008F0552"/>
    <w:rsid w:val="008F4C30"/>
    <w:rsid w:val="008F5124"/>
    <w:rsid w:val="009035BC"/>
    <w:rsid w:val="00933024"/>
    <w:rsid w:val="0094799A"/>
    <w:rsid w:val="0097542A"/>
    <w:rsid w:val="00980718"/>
    <w:rsid w:val="00984CEB"/>
    <w:rsid w:val="009B2A1D"/>
    <w:rsid w:val="009E07ED"/>
    <w:rsid w:val="00A3468F"/>
    <w:rsid w:val="00A431DC"/>
    <w:rsid w:val="00A53183"/>
    <w:rsid w:val="00A642B3"/>
    <w:rsid w:val="00A71C58"/>
    <w:rsid w:val="00A842BD"/>
    <w:rsid w:val="00AB3D14"/>
    <w:rsid w:val="00AE06C7"/>
    <w:rsid w:val="00AF2390"/>
    <w:rsid w:val="00AF3E84"/>
    <w:rsid w:val="00AF4FF6"/>
    <w:rsid w:val="00B54AB1"/>
    <w:rsid w:val="00B5551E"/>
    <w:rsid w:val="00B61A7B"/>
    <w:rsid w:val="00B661A6"/>
    <w:rsid w:val="00B81943"/>
    <w:rsid w:val="00B861FD"/>
    <w:rsid w:val="00B86B89"/>
    <w:rsid w:val="00B947E5"/>
    <w:rsid w:val="00BC2FC6"/>
    <w:rsid w:val="00BE15AD"/>
    <w:rsid w:val="00C12F1A"/>
    <w:rsid w:val="00C63C21"/>
    <w:rsid w:val="00C667BC"/>
    <w:rsid w:val="00C80F63"/>
    <w:rsid w:val="00CA026C"/>
    <w:rsid w:val="00CA6945"/>
    <w:rsid w:val="00CC4079"/>
    <w:rsid w:val="00CD1DEB"/>
    <w:rsid w:val="00CD68CD"/>
    <w:rsid w:val="00CE3132"/>
    <w:rsid w:val="00CF74ED"/>
    <w:rsid w:val="00D16CB7"/>
    <w:rsid w:val="00D24E37"/>
    <w:rsid w:val="00D33985"/>
    <w:rsid w:val="00D64F6B"/>
    <w:rsid w:val="00D73151"/>
    <w:rsid w:val="00D7372A"/>
    <w:rsid w:val="00DB26A4"/>
    <w:rsid w:val="00DC5E34"/>
    <w:rsid w:val="00DD5D48"/>
    <w:rsid w:val="00DE3E36"/>
    <w:rsid w:val="00E24B91"/>
    <w:rsid w:val="00E4313B"/>
    <w:rsid w:val="00E5250F"/>
    <w:rsid w:val="00E52EAD"/>
    <w:rsid w:val="00E569A4"/>
    <w:rsid w:val="00E647D9"/>
    <w:rsid w:val="00EA114C"/>
    <w:rsid w:val="00EB0534"/>
    <w:rsid w:val="00EB20B2"/>
    <w:rsid w:val="00EB43B8"/>
    <w:rsid w:val="00EB670C"/>
    <w:rsid w:val="00F21DB6"/>
    <w:rsid w:val="00F30A15"/>
    <w:rsid w:val="00F4346F"/>
    <w:rsid w:val="00F45E0F"/>
    <w:rsid w:val="00F66F37"/>
    <w:rsid w:val="00F81B5D"/>
    <w:rsid w:val="00FA2B0C"/>
    <w:rsid w:val="00FB0B32"/>
    <w:rsid w:val="00FE6B72"/>
    <w:rsid w:val="00FF5844"/>
    <w:rsid w:val="077C7A64"/>
    <w:rsid w:val="110A60E1"/>
    <w:rsid w:val="14E01D5A"/>
    <w:rsid w:val="19A60C4A"/>
    <w:rsid w:val="208C08C0"/>
    <w:rsid w:val="27DF39CB"/>
    <w:rsid w:val="2B200583"/>
    <w:rsid w:val="2E952AE5"/>
    <w:rsid w:val="2F195A15"/>
    <w:rsid w:val="31DB13D9"/>
    <w:rsid w:val="35847FBF"/>
    <w:rsid w:val="360F0726"/>
    <w:rsid w:val="37EC4F35"/>
    <w:rsid w:val="394915ED"/>
    <w:rsid w:val="3BEF920C"/>
    <w:rsid w:val="3D9A20BC"/>
    <w:rsid w:val="44C164DB"/>
    <w:rsid w:val="44E001FA"/>
    <w:rsid w:val="46B70939"/>
    <w:rsid w:val="472C3839"/>
    <w:rsid w:val="476E7C3A"/>
    <w:rsid w:val="477974CE"/>
    <w:rsid w:val="494C219A"/>
    <w:rsid w:val="4BF058F8"/>
    <w:rsid w:val="4E604211"/>
    <w:rsid w:val="523A78CD"/>
    <w:rsid w:val="538F1D0F"/>
    <w:rsid w:val="566D2567"/>
    <w:rsid w:val="5B3C5793"/>
    <w:rsid w:val="5B70435F"/>
    <w:rsid w:val="5DC0089E"/>
    <w:rsid w:val="5EE81B6E"/>
    <w:rsid w:val="5FFB4B3F"/>
    <w:rsid w:val="602D63BE"/>
    <w:rsid w:val="63F0428F"/>
    <w:rsid w:val="703674CE"/>
    <w:rsid w:val="72C2329A"/>
    <w:rsid w:val="75930F1E"/>
    <w:rsid w:val="771F0CBB"/>
    <w:rsid w:val="793238A9"/>
    <w:rsid w:val="7B136E8B"/>
    <w:rsid w:val="7B172A63"/>
    <w:rsid w:val="7DBFE8B4"/>
    <w:rsid w:val="7EFE88DF"/>
  </w:rsids>
  <w:docVars>
    <w:docVar w:name="commondata" w:val="eyJoZGlkIjoiYThkN2FlOWRiNDlhYTQwNWFkZTgxOGNlNmQwNDM5NW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uiPriority="0" w:qFormat="1"/>
    <w:lsdException w:name="footer" w:semiHidden="0" w:uiPriority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 w:semiHidden="0" w:uiPriority="0" w:unhideWhenUsed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0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qFormat="1"/>
    <w:lsdException w:name="Body Text First Indent" w:qFormat="1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仿宋_GB2312" w:hAnsi="宋体" w:cs="Times New Roman"/>
      <w:kern w:val="2"/>
      <w:sz w:val="32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paragraph" w:styleId="Heading3">
    <w:name w:val="heading 3"/>
    <w:basedOn w:val="Normal"/>
    <w:next w:val="Normal"/>
    <w:link w:val="3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uiPriority w:val="99"/>
    <w:semiHidden/>
    <w:unhideWhenUsed/>
    <w:pPr>
      <w:jc w:val="left"/>
    </w:pPr>
  </w:style>
  <w:style w:type="paragraph" w:styleId="BodyText">
    <w:name w:val="Body Text"/>
    <w:basedOn w:val="Normal"/>
    <w:link w:val="a1"/>
    <w:qFormat/>
    <w:pPr>
      <w:spacing w:line="0" w:lineRule="atLeast"/>
    </w:pPr>
    <w:rPr>
      <w:rFonts w:eastAsia="小标宋"/>
      <w:sz w:val="44"/>
      <w:szCs w:val="32"/>
    </w:rPr>
  </w:style>
  <w:style w:type="paragraph" w:styleId="TOC3">
    <w:name w:val="toc 3"/>
    <w:basedOn w:val="Normal"/>
    <w:next w:val="Normal"/>
    <w:uiPriority w:val="39"/>
    <w:semiHidden/>
    <w:unhideWhenUsed/>
    <w:qFormat/>
    <w:pPr>
      <w:ind w:left="840" w:leftChars="400"/>
    </w:pPr>
  </w:style>
  <w:style w:type="paragraph" w:styleId="Date">
    <w:name w:val="Date"/>
    <w:basedOn w:val="Normal"/>
    <w:next w:val="Normal"/>
    <w:link w:val="a2"/>
    <w:uiPriority w:val="99"/>
    <w:semiHidden/>
    <w:unhideWhenUsed/>
    <w:qFormat/>
    <w:pPr>
      <w:ind w:left="100" w:leftChars="2500"/>
    </w:pPr>
  </w:style>
  <w:style w:type="paragraph" w:styleId="Footer">
    <w:name w:val="footer"/>
    <w:basedOn w:val="Normal"/>
    <w:link w:val="a0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semiHidden/>
    <w:unhideWhenUsed/>
    <w:qFormat/>
  </w:style>
  <w:style w:type="paragraph" w:styleId="TOC2">
    <w:name w:val="toc 2"/>
    <w:basedOn w:val="Normal"/>
    <w:next w:val="Normal"/>
    <w:uiPriority w:val="39"/>
    <w:semiHidden/>
    <w:unhideWhenUsed/>
    <w:qFormat/>
    <w:pPr>
      <w:ind w:left="420" w:leftChars="200"/>
    </w:pPr>
  </w:style>
  <w:style w:type="paragraph" w:styleId="NormalWeb">
    <w:name w:val="Normal (Web)"/>
    <w:basedOn w:val="Normal"/>
    <w:uiPriority w:val="99"/>
    <w:semiHidden/>
    <w:unhideWhenUsed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BodyTextFirstIndent">
    <w:name w:val="Body Text First Indent"/>
    <w:basedOn w:val="BodyText"/>
    <w:link w:val="a3"/>
    <w:uiPriority w:val="99"/>
    <w:semiHidden/>
    <w:unhideWhenUsed/>
    <w:qFormat/>
    <w:pPr>
      <w:spacing w:after="120" w:line="240" w:lineRule="auto"/>
      <w:ind w:firstLine="420" w:firstLineChars="100"/>
    </w:pPr>
    <w:rPr>
      <w:rFonts w:eastAsia="仿宋_GB2312"/>
      <w:sz w:val="32"/>
      <w:szCs w:val="22"/>
    </w:rPr>
  </w:style>
  <w:style w:type="table" w:styleId="TableGrid">
    <w:name w:val="Table Grid"/>
    <w:basedOn w:val="TableNormal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qFormat/>
  </w:style>
  <w:style w:type="character" w:customStyle="1" w:styleId="a">
    <w:name w:val="页眉 字符"/>
    <w:basedOn w:val="DefaultParagraphFont"/>
    <w:link w:val="Header"/>
    <w:uiPriority w:val="99"/>
    <w:semiHidden/>
    <w:qFormat/>
    <w:rPr>
      <w:rFonts w:ascii="宋体" w:eastAsia="方正仿宋简体" w:hAnsi="宋体"/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rFonts w:ascii="宋体" w:eastAsia="方正仿宋简体" w:hAnsi="宋体"/>
      <w:sz w:val="18"/>
      <w:szCs w:val="18"/>
    </w:rPr>
  </w:style>
  <w:style w:type="character" w:customStyle="1" w:styleId="a1">
    <w:name w:val="正文文本 字符"/>
    <w:basedOn w:val="DefaultParagraphFont"/>
    <w:link w:val="BodyText"/>
    <w:qFormat/>
    <w:rPr>
      <w:rFonts w:ascii="宋体" w:eastAsia="小标宋" w:hAnsi="宋体" w:cs="Times New Roman"/>
      <w:sz w:val="44"/>
      <w:szCs w:val="32"/>
    </w:rPr>
  </w:style>
  <w:style w:type="character" w:customStyle="1" w:styleId="a2">
    <w:name w:val="日期 字符"/>
    <w:basedOn w:val="DefaultParagraphFont"/>
    <w:link w:val="Date"/>
    <w:uiPriority w:val="99"/>
    <w:semiHidden/>
    <w:qFormat/>
    <w:rPr>
      <w:rFonts w:ascii="Times New Roman" w:eastAsia="仿宋_GB2312" w:hAnsi="宋体"/>
      <w:kern w:val="2"/>
      <w:sz w:val="32"/>
      <w:szCs w:val="22"/>
    </w:rPr>
  </w:style>
  <w:style w:type="character" w:customStyle="1" w:styleId="a3">
    <w:name w:val="正文文本首行缩进 字符"/>
    <w:basedOn w:val="a1"/>
    <w:link w:val="BodyTextFirstIndent"/>
    <w:uiPriority w:val="99"/>
    <w:semiHidden/>
    <w:qFormat/>
    <w:rPr>
      <w:rFonts w:ascii="Times New Roman" w:eastAsia="仿宋_GB2312" w:hAnsi="宋体" w:cs="Times New Roman"/>
      <w:kern w:val="2"/>
      <w:sz w:val="32"/>
      <w:szCs w:val="22"/>
    </w:rPr>
  </w:style>
  <w:style w:type="paragraph" w:customStyle="1" w:styleId="Style1">
    <w:name w:val="_Style 1"/>
    <w:basedOn w:val="Normal"/>
    <w:next w:val="Normal"/>
    <w:uiPriority w:val="99"/>
    <w:qFormat/>
    <w:pPr>
      <w:spacing w:line="580" w:lineRule="exact"/>
      <w:ind w:firstLine="420" w:firstLineChars="200"/>
    </w:pPr>
    <w:rPr>
      <w:rFonts w:ascii="Calibri" w:eastAsia="宋体" w:hAnsi="Calibri"/>
      <w:szCs w:val="24"/>
    </w:rPr>
  </w:style>
  <w:style w:type="character" w:customStyle="1" w:styleId="1">
    <w:name w:val="标题 1 字符"/>
    <w:basedOn w:val="DefaultParagraphFont"/>
    <w:link w:val="Heading1"/>
    <w:uiPriority w:val="9"/>
    <w:qFormat/>
    <w:rPr>
      <w:rFonts w:ascii="Times New Roman" w:eastAsia="仿宋_GB2312" w:hAnsi="宋体"/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">
    <w:name w:val="标题 3 字符"/>
    <w:basedOn w:val="DefaultParagraphFont"/>
    <w:link w:val="Heading3"/>
    <w:uiPriority w:val="9"/>
    <w:qFormat/>
    <w:rPr>
      <w:rFonts w:ascii="Times New Roman" w:eastAsia="仿宋_GB2312" w:hAnsi="宋体"/>
      <w:b/>
      <w:bCs/>
      <w:kern w:val="2"/>
      <w:sz w:val="32"/>
      <w:szCs w:val="32"/>
    </w:rPr>
  </w:style>
  <w:style w:type="table" w:customStyle="1" w:styleId="TableNormal0">
    <w:name w:val="Table Normal_0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正文文本1"/>
    <w:basedOn w:val="Normal"/>
    <w:link w:val="a4"/>
    <w:qFormat/>
    <w:pPr>
      <w:spacing w:line="394" w:lineRule="auto"/>
      <w:ind w:firstLine="400"/>
      <w:jc w:val="left"/>
    </w:pPr>
    <w:rPr>
      <w:rFonts w:ascii="宋体" w:eastAsia="宋体" w:cs="宋体"/>
      <w:kern w:val="0"/>
      <w:sz w:val="30"/>
      <w:szCs w:val="30"/>
      <w:lang w:val="zh-CN" w:bidi="zh-CN"/>
    </w:rPr>
  </w:style>
  <w:style w:type="character" w:customStyle="1" w:styleId="a4">
    <w:name w:val="正文文本_"/>
    <w:basedOn w:val="DefaultParagraphFont"/>
    <w:link w:val="10"/>
    <w:qFormat/>
    <w:rPr>
      <w:rFonts w:ascii="宋体" w:eastAsia="宋体" w:cs="宋体"/>
      <w:kern w:val="0"/>
      <w:sz w:val="30"/>
      <w:szCs w:val="30"/>
      <w:lang w:val="zh-CN" w:bidi="zh-CN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character" w:customStyle="1" w:styleId="2Char">
    <w:name w:val="标题 2 Char"/>
    <w:basedOn w:val="DefaultParagraphFont"/>
    <w:link w:val="Heading2"/>
    <w:qFormat/>
    <w:locked/>
    <w:rPr>
      <w:rFonts w:ascii="Arial" w:eastAsia="黑体" w:hAnsi="Arial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header" Target="header3.xml" /><Relationship Id="rId12" Type="http://schemas.openxmlformats.org/officeDocument/2006/relationships/footer" Target="footer5.xml" /><Relationship Id="rId13" Type="http://schemas.openxmlformats.org/officeDocument/2006/relationships/footer" Target="footer6.xml" /><Relationship Id="rId14" Type="http://schemas.openxmlformats.org/officeDocument/2006/relationships/header" Target="header4.xml" /><Relationship Id="rId15" Type="http://schemas.openxmlformats.org/officeDocument/2006/relationships/footer" Target="footer7.xml" /><Relationship Id="rId16" Type="http://schemas.openxmlformats.org/officeDocument/2006/relationships/footer" Target="footer8.xml" /><Relationship Id="rId17" Type="http://schemas.openxmlformats.org/officeDocument/2006/relationships/header" Target="header5.xml" /><Relationship Id="rId18" Type="http://schemas.openxmlformats.org/officeDocument/2006/relationships/footer" Target="footer9.xml" /><Relationship Id="rId19" Type="http://schemas.openxmlformats.org/officeDocument/2006/relationships/footer" Target="footer10.xml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11.xml" /><Relationship Id="rId22" Type="http://schemas.openxmlformats.org/officeDocument/2006/relationships/footer" Target="footer12.xml" /><Relationship Id="rId23" Type="http://schemas.openxmlformats.org/officeDocument/2006/relationships/header" Target="header7.xml" /><Relationship Id="rId24" Type="http://schemas.openxmlformats.org/officeDocument/2006/relationships/footer" Target="footer13.xml" /><Relationship Id="rId25" Type="http://schemas.openxmlformats.org/officeDocument/2006/relationships/footer" Target="footer14.xml" /><Relationship Id="rId26" Type="http://schemas.openxmlformats.org/officeDocument/2006/relationships/header" Target="header8.xml" /><Relationship Id="rId27" Type="http://schemas.openxmlformats.org/officeDocument/2006/relationships/footer" Target="footer15.xml" /><Relationship Id="rId28" Type="http://schemas.openxmlformats.org/officeDocument/2006/relationships/footer" Target="footer16.xml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17.xml" /><Relationship Id="rId31" Type="http://schemas.openxmlformats.org/officeDocument/2006/relationships/footer" Target="footer18.xml" /><Relationship Id="rId32" Type="http://schemas.openxmlformats.org/officeDocument/2006/relationships/header" Target="header10.xml" /><Relationship Id="rId33" Type="http://schemas.openxmlformats.org/officeDocument/2006/relationships/footer" Target="footer19.xml" /><Relationship Id="rId34" Type="http://schemas.openxmlformats.org/officeDocument/2006/relationships/footer" Target="footer20.xml" /><Relationship Id="rId35" Type="http://schemas.openxmlformats.org/officeDocument/2006/relationships/header" Target="header11.xml" /><Relationship Id="rId36" Type="http://schemas.openxmlformats.org/officeDocument/2006/relationships/footer" Target="footer21.xml" /><Relationship Id="rId37" Type="http://schemas.openxmlformats.org/officeDocument/2006/relationships/footer" Target="footer22.xml" /><Relationship Id="rId38" Type="http://schemas.openxmlformats.org/officeDocument/2006/relationships/header" Target="header12.xml" /><Relationship Id="rId39" Type="http://schemas.openxmlformats.org/officeDocument/2006/relationships/footer" Target="footer23.xml" /><Relationship Id="rId4" Type="http://schemas.openxmlformats.org/officeDocument/2006/relationships/customXml" Target="../customXml/item1.xml" /><Relationship Id="rId40" Type="http://schemas.openxmlformats.org/officeDocument/2006/relationships/footer" Target="footer24.xml" /><Relationship Id="rId41" Type="http://schemas.openxmlformats.org/officeDocument/2006/relationships/header" Target="header13.xml" /><Relationship Id="rId42" Type="http://schemas.openxmlformats.org/officeDocument/2006/relationships/footer" Target="footer25.xml" /><Relationship Id="rId43" Type="http://schemas.openxmlformats.org/officeDocument/2006/relationships/footer" Target="footer26.xml" /><Relationship Id="rId44" Type="http://schemas.openxmlformats.org/officeDocument/2006/relationships/hyperlink" Target="https://d.book118.com/085124213112011121" TargetMode="External" /><Relationship Id="rId45" Type="http://schemas.openxmlformats.org/officeDocument/2006/relationships/header" Target="header14.xml" /><Relationship Id="rId46" Type="http://schemas.openxmlformats.org/officeDocument/2006/relationships/footer" Target="footer27.xml" /><Relationship Id="rId47" Type="http://schemas.openxmlformats.org/officeDocument/2006/relationships/footer" Target="footer28.xml" /><Relationship Id="rId48" Type="http://schemas.openxmlformats.org/officeDocument/2006/relationships/theme" Target="theme/theme1.xml" /><Relationship Id="rId49" Type="http://schemas.openxmlformats.org/officeDocument/2006/relationships/styles" Target="styles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26</Pages>
  <Words>10173</Words>
  <Characters>10403</Characters>
  <Application>Microsoft Office Word</Application>
  <DocSecurity>0</DocSecurity>
  <Lines>28</Lines>
  <Paragraphs>7</Paragraphs>
  <ScaleCrop>false</ScaleCrop>
  <Company/>
  <LinksUpToDate>false</LinksUpToDate>
  <CharactersWithSpaces>10534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〔2022〕号</dc:title>
  <dc:subject>[此处输入文件标题]</dc:subject>
  <dc:creator>女神</dc:creator>
  <cp:lastModifiedBy>石伟</cp:lastModifiedBy>
  <cp:revision>3</cp:revision>
  <dcterms:created xsi:type="dcterms:W3CDTF">2023-10-10T08:51:00Z</dcterms:created>
  <dcterms:modified xsi:type="dcterms:W3CDTF">2023-10-22T00:39:19Z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C11D1E1507A1455E956FCC1D03C35537_13</vt:lpwstr>
  </property>
  <property fmtid="{D5CDD505-2E9C-101B-9397-08002B2CF9AE}" pid="3" name="KSOProductBuildVer">
    <vt:lpwstr>2052-11.1.0.14177</vt:lpwstr>
  </property>
</Properties>
</file>