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2024年制药废物处置行业分析报告及未来五到十年行业发展趋势报告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22389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制药废物处置</w:t>
        </w:r>
        <w:r>
          <w:rPr>
            <w:rFonts w:eastAsia="微软雅黑" w:hint="eastAsia"/>
            <w:snapToGrid/>
            <w:lang w:val="en-US" w:eastAsia="en-US"/>
          </w:rPr>
          <w:t>行业的外部环境及发展趋势分析</w:t>
        </w:r>
        <w:r>
          <w:tab/>
        </w:r>
        <w:r>
          <w:fldChar w:fldCharType="begin"/>
        </w:r>
        <w:r>
          <w:instrText xml:space="preserve"> PAGEREF _Toc22389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28264" w:history="1">
        <w:r>
          <w:rPr>
            <w:rFonts w:eastAsia="微软雅黑" w:hint="eastAsia"/>
            <w:snapToGrid/>
            <w:lang w:val="en-US" w:eastAsia="en-US"/>
          </w:rPr>
          <w:t>(一)、国际政治经济发展对</w:t>
        </w:r>
        <w:r>
          <w:rPr>
            <w:rFonts w:eastAsia="微软雅黑" w:hint="eastAsia"/>
            <w:snapToGrid/>
            <w:lang w:val="en-US" w:eastAsia="en-US"/>
          </w:rPr>
          <w:t>制药废物处置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_Toc28264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358" w:history="1">
        <w:r>
          <w:rPr>
            <w:rFonts w:eastAsia="微软雅黑" w:hint="eastAsia"/>
            <w:snapToGrid/>
            <w:lang w:val="en-US" w:eastAsia="zh-CN"/>
          </w:rPr>
          <w:t>(二)、国内政治经济发展对</w:t>
        </w:r>
        <w:r>
          <w:rPr>
            <w:rFonts w:eastAsia="微软雅黑" w:hint="eastAsia"/>
            <w:snapToGrid/>
            <w:lang w:val="en-US" w:eastAsia="zh-CN"/>
          </w:rPr>
          <w:t>制药废物处置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_Toc5358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86" w:history="1">
        <w:r>
          <w:rPr>
            <w:rFonts w:eastAsia="微软雅黑" w:hint="eastAsia"/>
            <w:snapToGrid/>
            <w:lang w:val="en-US" w:eastAsia="zh-CN"/>
          </w:rPr>
          <w:t>(三)、国内突出经济问题对</w:t>
        </w:r>
        <w:r>
          <w:rPr>
            <w:rFonts w:eastAsia="微软雅黑" w:hint="eastAsia"/>
            <w:snapToGrid/>
            <w:lang w:val="en-US" w:eastAsia="zh-CN"/>
          </w:rPr>
          <w:t>制药废物处置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_Toc2986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019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制药废物处置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_Toc9019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021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制药废物处置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_Toc31021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69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制药废物处置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_Toc12693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902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制药废物处置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_Toc26902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823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_Toc12823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979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制药废物处置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_Toc4979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900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制药废物处置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_Toc22900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169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制药废物处置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_Toc11169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895" w:history="1">
        <w:r>
          <w:rPr>
            <w:rFonts w:eastAsia="微软雅黑" w:hint="eastAsia"/>
            <w:snapToGrid/>
            <w:lang w:val="en-US" w:eastAsia="en-US"/>
          </w:rPr>
          <w:t>三、宏观经济对</w:t>
        </w:r>
        <w:r>
          <w:rPr>
            <w:rFonts w:eastAsia="微软雅黑" w:hint="eastAsia"/>
            <w:snapToGrid/>
            <w:lang w:val="en-US" w:eastAsia="en-US"/>
          </w:rPr>
          <w:t>制药废物处置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_Toc24895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775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制药废物处置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_Toc12775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84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制药废物处置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_Toc18842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0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制药废物处置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_Toc2801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076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制药废物处置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_Toc32076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51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制药废物处置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_Toc21515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000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制药废物处置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_Toc5000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168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制药废物处置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_Toc25168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6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制药废物处置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_Toc1261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0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制药废物处置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_Toc3108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51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制药废物处置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_Toc5512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067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制药废物处置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_Toc6067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89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制药废物处置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_Toc989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955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制药废物处置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_Toc15955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77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制药废物处置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_Toc19777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684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制药废物处置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_Toc29684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674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制药废物处置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_Toc6674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298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制药废物处置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_Toc23298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473" w:history="1">
        <w:r>
          <w:rPr>
            <w:rFonts w:eastAsia="微软雅黑" w:hint="eastAsia"/>
            <w:snapToGrid/>
            <w:lang w:val="en-US" w:eastAsia="en-US"/>
          </w:rPr>
          <w:t>七、2024-2029年</w:t>
        </w:r>
        <w:r>
          <w:rPr>
            <w:rFonts w:eastAsia="微软雅黑" w:hint="eastAsia"/>
            <w:snapToGrid/>
            <w:lang w:val="en-US" w:eastAsia="en-US"/>
          </w:rPr>
          <w:t>制药废物处置</w:t>
        </w:r>
        <w:r>
          <w:rPr>
            <w:rFonts w:eastAsia="微软雅黑" w:hint="eastAsia"/>
            <w:snapToGrid/>
            <w:lang w:val="en-US" w:eastAsia="en-US"/>
          </w:rPr>
          <w:t>行业企业市场突围战略分析</w:t>
        </w:r>
        <w:r>
          <w:tab/>
        </w:r>
        <w:r>
          <w:fldChar w:fldCharType="begin"/>
        </w:r>
        <w:r>
          <w:instrText xml:space="preserve"> PAGEREF _Toc14473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579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制药废物处置</w:t>
        </w:r>
        <w:r>
          <w:rPr>
            <w:rFonts w:eastAsia="微软雅黑" w:hint="eastAsia"/>
            <w:snapToGrid/>
            <w:lang w:val="en-US" w:eastAsia="en-US"/>
          </w:rPr>
          <w:t>行业树立“战略突破”理念</w:t>
        </w:r>
        <w:r>
          <w:tab/>
        </w:r>
        <w:r>
          <w:fldChar w:fldCharType="begin"/>
        </w:r>
        <w:r>
          <w:instrText xml:space="preserve"> PAGEREF _Toc20579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24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制药废物处置</w:t>
        </w:r>
        <w:r>
          <w:rPr>
            <w:rFonts w:eastAsia="微软雅黑" w:hint="eastAsia"/>
            <w:snapToGrid/>
            <w:lang w:val="en-US" w:eastAsia="zh-CN"/>
          </w:rPr>
          <w:t>行业市场定位、产品定位和品牌定位</w:t>
        </w:r>
        <w:r>
          <w:tab/>
        </w:r>
        <w:r>
          <w:fldChar w:fldCharType="begin"/>
        </w:r>
        <w:r>
          <w:instrText xml:space="preserve"> PAGEREF _Toc824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6273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_Toc6273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4458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_Toc14458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5741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_Toc15741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893" w:history="1">
        <w:r>
          <w:rPr>
            <w:rFonts w:eastAsia="微软雅黑" w:hint="eastAsia"/>
            <w:snapToGrid/>
            <w:lang w:val="en-US" w:eastAsia="zh-CN"/>
          </w:rPr>
          <w:t>(三)、创新寻求突破</w:t>
        </w:r>
        <w:r>
          <w:tab/>
        </w:r>
        <w:r>
          <w:fldChar w:fldCharType="begin"/>
        </w:r>
        <w:r>
          <w:instrText xml:space="preserve"> PAGEREF _Toc12893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657" w:history="1">
        <w:r>
          <w:rPr>
            <w:rFonts w:eastAsia="微软雅黑" w:hint="eastAsia"/>
            <w:snapToGrid/>
            <w:lang w:val="en-US" w:eastAsia="zh-CN"/>
          </w:rPr>
          <w:t>1、基于消费升级的科技创新模式</w:t>
        </w:r>
        <w:r>
          <w:tab/>
        </w:r>
        <w:r>
          <w:fldChar w:fldCharType="begin"/>
        </w:r>
        <w:r>
          <w:instrText xml:space="preserve"> PAGEREF _Toc28657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0952" w:history="1">
        <w:r>
          <w:rPr>
            <w:rFonts w:eastAsia="微软雅黑" w:hint="eastAsia"/>
            <w:snapToGrid/>
            <w:lang w:val="en-US" w:eastAsia="zh-CN"/>
          </w:rPr>
          <w:t>2、创新推动行业更高质量发展</w:t>
        </w:r>
        <w:r>
          <w:tab/>
        </w:r>
        <w:r>
          <w:fldChar w:fldCharType="begin"/>
        </w:r>
        <w:r>
          <w:instrText xml:space="preserve"> PAGEREF _Toc10952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787" w:history="1">
        <w:r>
          <w:rPr>
            <w:rFonts w:eastAsia="微软雅黑" w:hint="eastAsia"/>
            <w:snapToGrid/>
            <w:lang w:val="en-US" w:eastAsia="zh-CN"/>
          </w:rPr>
          <w:t>3、尝试业态创新和品牌创新</w:t>
        </w:r>
        <w:r>
          <w:tab/>
        </w:r>
        <w:r>
          <w:fldChar w:fldCharType="begin"/>
        </w:r>
        <w:r>
          <w:instrText xml:space="preserve"> PAGEREF _Toc1787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1998" w:history="1">
        <w:r>
          <w:rPr>
            <w:rFonts w:eastAsia="微软雅黑" w:hint="eastAsia"/>
            <w:snapToGrid/>
            <w:lang w:val="en-US" w:eastAsia="zh-CN"/>
          </w:rPr>
          <w:t>4、自主创新打造品牌</w:t>
        </w:r>
        <w:r>
          <w:tab/>
        </w:r>
        <w:r>
          <w:fldChar w:fldCharType="begin"/>
        </w:r>
        <w:r>
          <w:instrText xml:space="preserve"> PAGEREF _Toc21998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930" w:history="1">
        <w:r>
          <w:rPr>
            <w:rFonts w:eastAsia="微软雅黑" w:hint="eastAsia"/>
            <w:snapToGrid/>
            <w:lang w:val="en-US" w:eastAsia="zh-CN"/>
          </w:rPr>
          <w:t>(四)、制定宣传计划</w:t>
        </w:r>
        <w:r>
          <w:tab/>
        </w:r>
        <w:r>
          <w:fldChar w:fldCharType="begin"/>
        </w:r>
        <w:r>
          <w:instrText xml:space="preserve"> PAGEREF _Toc24930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601" w:history="1">
        <w:r>
          <w:rPr>
            <w:rFonts w:eastAsia="微软雅黑" w:hint="eastAsia"/>
            <w:snapToGrid/>
            <w:lang w:val="en-US" w:eastAsia="zh-CN"/>
          </w:rPr>
          <w:t>1、学会做低成本的传播工具</w:t>
        </w:r>
        <w:r>
          <w:tab/>
        </w:r>
        <w:r>
          <w:fldChar w:fldCharType="begin"/>
        </w:r>
        <w:r>
          <w:instrText xml:space="preserve"> PAGEREF _Toc11601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4607" w:history="1">
        <w:r>
          <w:rPr>
            <w:rFonts w:eastAsia="微软雅黑" w:hint="eastAsia"/>
            <w:snapToGrid/>
            <w:lang w:val="en-US" w:eastAsia="zh-CN"/>
          </w:rPr>
          <w:t>2、学会以优秀的品牌视觉设计突出品牌特色</w:t>
        </w:r>
        <w:r>
          <w:tab/>
        </w:r>
        <w:r>
          <w:fldChar w:fldCharType="begin"/>
        </w:r>
        <w:r>
          <w:instrText xml:space="preserve"> PAGEREF _Toc14607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2498" w:history="1">
        <w:r>
          <w:rPr>
            <w:rFonts w:eastAsia="微软雅黑" w:hint="eastAsia"/>
            <w:snapToGrid/>
            <w:lang w:val="en-US" w:eastAsia="zh-CN"/>
          </w:rPr>
          <w:t>3、学会使用网络营销</w:t>
        </w:r>
        <w:r>
          <w:tab/>
        </w:r>
        <w:r>
          <w:fldChar w:fldCharType="begin"/>
        </w:r>
        <w:r>
          <w:instrText xml:space="preserve"> PAGEREF _Toc22498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208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制药废物处置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_Toc17208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374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制药废物处置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_Toc16374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94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制药废物处置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_Toc2794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829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制药废物处置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_Toc11829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403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制药废物处置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_Toc8403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506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制药废物处置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_Toc14506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121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制药废物处置</w:t>
        </w:r>
        <w:r>
          <w:rPr>
            <w:rFonts w:eastAsia="微软雅黑" w:hint="eastAsia"/>
            <w:snapToGrid/>
            <w:lang w:val="en-US" w:eastAsia="en-US"/>
          </w:rPr>
          <w:t>行业发展模式分析</w:t>
        </w:r>
        <w:r>
          <w:tab/>
        </w:r>
        <w:r>
          <w:fldChar w:fldCharType="begin"/>
        </w:r>
        <w:r>
          <w:instrText xml:space="preserve"> PAGEREF _Toc21121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99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制药废物处置</w:t>
        </w:r>
        <w:r>
          <w:rPr>
            <w:rFonts w:eastAsia="微软雅黑" w:hint="eastAsia"/>
            <w:snapToGrid/>
            <w:lang w:val="en-US" w:eastAsia="en-US"/>
          </w:rPr>
          <w:t>行业地域有明显差异</w:t>
        </w:r>
        <w:r>
          <w:tab/>
        </w:r>
        <w:r>
          <w:fldChar w:fldCharType="begin"/>
        </w:r>
        <w:r>
          <w:instrText xml:space="preserve"> PAGEREF _Toc3992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759" w:history="1">
        <w:r>
          <w:rPr>
            <w:rFonts w:eastAsia="微软雅黑" w:hint="eastAsia"/>
            <w:snapToGrid/>
            <w:lang w:val="en-US" w:eastAsia="en-US"/>
          </w:rPr>
          <w:t>十、关于</w:t>
        </w:r>
        <w:r>
          <w:rPr>
            <w:rFonts w:eastAsia="微软雅黑" w:hint="eastAsia"/>
            <w:snapToGrid/>
            <w:lang w:val="en-US" w:eastAsia="en-US"/>
          </w:rPr>
          <w:t>制药废物处置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_Toc27759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81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制药废物处置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_Toc15816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6001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_Toc26001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4679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_Toc24679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2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制药废物处置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_Toc2120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01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制药废物处置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_Toc15018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40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制药废物处置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_Toc3040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611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制药废物处置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_Toc27611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39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制药废物处置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_Toc27394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3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制药废物处置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_Toc631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6311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_Toc26311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5745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_Toc15745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5417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_Toc25417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436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_Toc5436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165" w:history="1">
        <w:r>
          <w:rPr>
            <w:rFonts w:eastAsia="微软雅黑" w:hint="eastAsia"/>
            <w:snapToGrid/>
            <w:lang w:val="en-US" w:eastAsia="en-US"/>
          </w:rPr>
          <w:t>十二、2024-2029年</w:t>
        </w:r>
        <w:r>
          <w:rPr>
            <w:rFonts w:eastAsia="微软雅黑" w:hint="eastAsia"/>
            <w:snapToGrid/>
            <w:lang w:val="en-US" w:eastAsia="en-US"/>
          </w:rPr>
          <w:t>制药废物处置</w:t>
        </w:r>
        <w:r>
          <w:rPr>
            <w:rFonts w:eastAsia="微软雅黑" w:hint="eastAsia"/>
            <w:snapToGrid/>
            <w:lang w:val="en-US" w:eastAsia="en-US"/>
          </w:rPr>
          <w:t>行业竞争格局展望</w:t>
        </w:r>
        <w:r>
          <w:tab/>
        </w:r>
        <w:r>
          <w:fldChar w:fldCharType="begin"/>
        </w:r>
        <w:r>
          <w:instrText xml:space="preserve"> PAGEREF _Toc29165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01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制药废物处置</w:t>
        </w:r>
        <w:r>
          <w:rPr>
            <w:rFonts w:eastAsia="微软雅黑" w:hint="eastAsia"/>
            <w:snapToGrid/>
            <w:lang w:val="en-US" w:eastAsia="en-US"/>
          </w:rPr>
          <w:t>行业经济周期分析</w:t>
        </w:r>
        <w:r>
          <w:tab/>
        </w:r>
        <w:r>
          <w:fldChar w:fldCharType="begin"/>
        </w:r>
        <w:r>
          <w:instrText xml:space="preserve"> PAGEREF _Toc12010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05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制药废物处置</w:t>
        </w:r>
        <w:r>
          <w:rPr>
            <w:rFonts w:eastAsia="微软雅黑" w:hint="eastAsia"/>
            <w:snapToGrid/>
            <w:lang w:val="en-US" w:eastAsia="zh-CN"/>
          </w:rPr>
          <w:t>行业的增长与波动分析</w:t>
        </w:r>
        <w:r>
          <w:tab/>
        </w:r>
        <w:r>
          <w:fldChar w:fldCharType="begin"/>
        </w:r>
        <w:r>
          <w:instrText xml:space="preserve"> PAGEREF _Toc16053 \h </w:instrText>
        </w:r>
        <w:r>
          <w:fldChar w:fldCharType="separate"/>
        </w:r>
        <w:r>
          <w:t>35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https://d.book118.com/085124224343011033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085124224343011033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