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8"/>
        <w:ind w:left="0" w:right="686" w:firstLine="0"/>
        <w:jc w:val="center"/>
        <w:rPr>
          <w:rFonts w:ascii="幼圆" w:eastAsia="幼圆" w:hint="eastAsia"/>
          <w:sz w:val="27"/>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line id="_x0000_s1027" style="position:absolute" from="4436,2453" to="13659,2453" stroked="t" strokecolor="black" strokeweight="2.06pt">
              <v:stroke dashstyle="longDash"/>
            </v:line>
            <v:line id="_x0000_s1028" style="position:absolute" from="6114,21851" to="12011,21851" stroked="t" strokecolor="black" strokeweight="1.32pt">
              <v:stroke dashstyle="longDash"/>
            </v:line>
          </v:group>
        </w:pict>
      </w:r>
      <w:r>
        <w:rPr>
          <w:rFonts w:ascii="幼圆" w:eastAsia="幼圆" w:hint="eastAsia"/>
          <w:sz w:val="27"/>
        </w:rPr>
        <w:t>实用文档</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7"/>
        <w:rPr>
          <w:rFonts w:ascii="幼圆"/>
          <w:sz w:val="22"/>
        </w:rPr>
      </w:pPr>
    </w:p>
    <w:p>
      <w:pPr>
        <w:spacing w:before="7"/>
        <w:ind w:left="0" w:right="683" w:firstLine="0"/>
        <w:jc w:val="center"/>
        <w:rPr>
          <w:sz w:val="66"/>
        </w:rPr>
      </w:pPr>
      <w:r>
        <w:rPr>
          <w:spacing w:val="-27"/>
          <w:sz w:val="66"/>
        </w:rPr>
        <w:t xml:space="preserve">草南公路段 </w:t>
      </w:r>
      <w:r>
        <w:rPr>
          <w:sz w:val="66"/>
        </w:rPr>
        <w:t>WA16~WA34</w:t>
      </w:r>
      <w:r>
        <w:rPr>
          <w:spacing w:val="-80"/>
          <w:sz w:val="66"/>
        </w:rPr>
        <w:t xml:space="preserve"> 段</w:t>
      </w:r>
    </w:p>
    <w:p>
      <w:pPr>
        <w:pStyle w:val="BodyText"/>
        <w:rPr>
          <w:sz w:val="66"/>
        </w:rPr>
      </w:pPr>
    </w:p>
    <w:p>
      <w:pPr>
        <w:pStyle w:val="BodyText"/>
        <w:spacing w:before="9"/>
        <w:rPr>
          <w:sz w:val="54"/>
        </w:rPr>
      </w:pPr>
    </w:p>
    <w:p>
      <w:pPr>
        <w:spacing w:before="0" w:line="338" w:lineRule="auto"/>
        <w:ind w:left="6923" w:right="7613" w:firstLine="0"/>
        <w:jc w:val="both"/>
        <w:rPr>
          <w:b/>
          <w:sz w:val="78"/>
        </w:rPr>
      </w:pPr>
      <w:r>
        <w:rPr>
          <w:b/>
          <w:sz w:val="78"/>
        </w:rPr>
        <w:t>顶管专项施工方案</w:t>
      </w:r>
    </w:p>
    <w:p>
      <w:pPr>
        <w:pStyle w:val="BodyText"/>
        <w:spacing w:before="1"/>
        <w:rPr>
          <w:b/>
          <w:sz w:val="94"/>
        </w:rPr>
      </w:pPr>
    </w:p>
    <w:p>
      <w:pPr>
        <w:spacing w:before="0" w:line="417" w:lineRule="auto"/>
        <w:ind w:left="4417" w:right="9215" w:firstLine="0"/>
        <w:jc w:val="both"/>
        <w:rPr>
          <w:sz w:val="42"/>
        </w:rPr>
      </w:pPr>
      <w:r>
        <w:rPr>
          <w:sz w:val="42"/>
        </w:rPr>
        <w:t>编制人： 审核人： 审批人：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p>
      <w:pPr>
        <w:spacing w:before="42"/>
        <w:ind w:left="0" w:right="518" w:firstLine="0"/>
        <w:jc w:val="center"/>
        <w:rPr>
          <w:sz w:val="42"/>
        </w:rPr>
      </w:pPr>
      <w:r>
        <w:rPr>
          <w:sz w:val="42"/>
        </w:rPr>
        <w:t>2017</w:t>
      </w:r>
      <w:r>
        <w:rPr>
          <w:spacing w:val="-71"/>
          <w:sz w:val="42"/>
        </w:rPr>
        <w:t xml:space="preserve"> 年 </w:t>
      </w:r>
      <w:r>
        <w:rPr>
          <w:sz w:val="42"/>
        </w:rPr>
        <w:t>6</w:t>
      </w:r>
      <w:r>
        <w:rPr>
          <w:spacing w:val="-54"/>
          <w:sz w:val="42"/>
        </w:rPr>
        <w:t xml:space="preserve"> 月</w:t>
      </w:r>
    </w:p>
    <w:p>
      <w:pPr>
        <w:spacing w:after="0"/>
        <w:jc w:val="center"/>
        <w:rPr>
          <w:sz w:val="42"/>
        </w:rPr>
        <w:sectPr>
          <w:type w:val="continuous"/>
          <w:pgSz w:w="17860" w:h="25260"/>
          <w:pgMar w:top="1000" w:right="800" w:bottom="280" w:left="1740" w:header="708" w:footer="708"/>
          <w:cols w:space="708"/>
        </w:sectPr>
      </w:pPr>
    </w:p>
    <w:p>
      <w:pPr>
        <w:spacing w:before="28" w:line="315" w:lineRule="exact"/>
        <w:ind w:left="0" w:right="686" w:firstLine="0"/>
        <w:jc w:val="center"/>
        <w:rPr>
          <w:rFonts w:ascii="幼圆" w:eastAsia="幼圆" w:hint="eastAsia"/>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tabs>
          <w:tab w:val="left" w:pos="1321"/>
        </w:tabs>
        <w:spacing w:before="0" w:line="815" w:lineRule="exact"/>
        <w:ind w:left="0" w:right="513" w:firstLine="0"/>
        <w:jc w:val="center"/>
        <w:rPr>
          <w:sz w:val="66"/>
        </w:rPr>
      </w:pPr>
      <w:r>
        <w:rPr>
          <w:sz w:val="66"/>
        </w:rPr>
        <w:t>目</w:t>
        <w:tab/>
        <w:t>录</w:t>
      </w:r>
    </w:p>
    <w:p>
      <w:pPr>
        <w:tabs>
          <w:tab w:val="left" w:pos="1421"/>
          <w:tab w:val="left" w:pos="14254"/>
        </w:tabs>
        <w:spacing w:before="516"/>
        <w:ind w:left="215" w:right="0" w:firstLine="0"/>
        <w:jc w:val="left"/>
        <w:rPr>
          <w:b/>
          <w:sz w:val="30"/>
        </w:rPr>
      </w:pPr>
      <w:r>
        <w:rPr>
          <w:b/>
          <w:sz w:val="30"/>
        </w:rPr>
        <w:t>第一章</w:t>
        <w:tab/>
        <w:t>编制依据及原则</w:t>
      </w:r>
      <w:r>
        <w:rPr>
          <w:b/>
          <w:spacing w:val="-51"/>
          <w:sz w:val="30"/>
        </w:rPr>
        <w:t xml:space="preserve"> </w:t>
      </w:r>
      <w:r>
        <w:rPr>
          <w:b/>
          <w:sz w:val="30"/>
        </w:rPr>
        <w:t>....................................................................</w:t>
        <w:tab/>
        <w:t>4</w:t>
      </w:r>
    </w:p>
    <w:sdt>
      <w:sdtPr>
        <w:id w:val="1825214623"/>
        <w:docPartObj>
          <w:docPartGallery w:val="Table of Contents"/>
          <w:docPartUnique/>
        </w:docPartObj>
      </w:sdtPr>
      <w:sdtContent>
        <w:p>
          <w:pPr>
            <w:pStyle w:val="TOC2"/>
            <w:tabs>
              <w:tab w:val="left" w:pos="2202"/>
              <w:tab w:val="right" w:leader="dot" w:pos="14403"/>
            </w:tabs>
            <w:spacing w:before="317"/>
            <w:ind w:left="996"/>
          </w:pPr>
          <w:hyperlink w:anchor="_TOC_250016" w:history="1">
            <w:r>
              <w:t>第一节</w:t>
              <w:tab/>
              <w:t>编制依据</w:t>
              <w:tab/>
              <w:t>4</w:t>
            </w:r>
          </w:hyperlink>
        </w:p>
        <w:p>
          <w:pPr>
            <w:pStyle w:val="TOC2"/>
            <w:tabs>
              <w:tab w:val="left" w:pos="2180"/>
              <w:tab w:val="right" w:pos="14403"/>
            </w:tabs>
          </w:pPr>
          <w:hyperlink w:anchor="_TOC_250015" w:history="1">
            <w:r>
              <w:t>第二节</w:t>
              <w:tab/>
              <w:t>编制原则</w:t>
            </w:r>
            <w:r>
              <w:rPr>
                <w:spacing w:val="-32"/>
              </w:rPr>
              <w:t xml:space="preserve"> </w:t>
            </w:r>
            <w:r>
              <w:t>.....................................................................</w:t>
              <w:tab/>
              <w:t>4</w:t>
            </w:r>
          </w:hyperlink>
        </w:p>
        <w:p>
          <w:pPr>
            <w:pStyle w:val="TOC1"/>
            <w:tabs>
              <w:tab w:val="left" w:pos="1421"/>
              <w:tab w:val="right" w:pos="14403"/>
            </w:tabs>
          </w:pPr>
          <w:hyperlink w:anchor="_TOC_250014" w:history="1">
            <w:r>
              <w:t>第二章</w:t>
              <w:tab/>
              <w:t>工程概况</w:t>
            </w:r>
            <w:r>
              <w:rPr>
                <w:spacing w:val="-34"/>
              </w:rPr>
              <w:t xml:space="preserve"> </w:t>
            </w:r>
            <w:r>
              <w:t>..........................................................................</w:t>
              <w:tab/>
              <w:t>5</w:t>
            </w:r>
          </w:hyperlink>
        </w:p>
        <w:p>
          <w:pPr>
            <w:pStyle w:val="TOC2"/>
            <w:tabs>
              <w:tab w:val="left" w:pos="2180"/>
              <w:tab w:val="right" w:pos="14403"/>
            </w:tabs>
            <w:spacing w:before="317"/>
          </w:pPr>
          <w:hyperlink w:anchor="_TOC_250013" w:history="1">
            <w:r>
              <w:t>第一节</w:t>
              <w:tab/>
              <w:t>工程简介</w:t>
            </w:r>
            <w:r>
              <w:rPr>
                <w:spacing w:val="-32"/>
              </w:rPr>
              <w:t xml:space="preserve"> </w:t>
            </w:r>
            <w:r>
              <w:t>.....................................................................</w:t>
              <w:tab/>
              <w:t>5</w:t>
            </w:r>
          </w:hyperlink>
        </w:p>
        <w:p>
          <w:pPr>
            <w:pStyle w:val="TOC2"/>
            <w:tabs>
              <w:tab w:val="right" w:leader="dot" w:pos="14403"/>
            </w:tabs>
          </w:pPr>
          <w:hyperlink w:anchor="_TOC_250012" w:history="1">
            <w:r>
              <w:t>第二节、环境与地质条件</w:t>
              <w:tab/>
              <w:t>5</w:t>
            </w:r>
          </w:hyperlink>
        </w:p>
        <w:p>
          <w:pPr>
            <w:pStyle w:val="TOC1"/>
            <w:tabs>
              <w:tab w:val="left" w:pos="1421"/>
              <w:tab w:val="right" w:pos="14403"/>
            </w:tabs>
            <w:spacing w:before="317"/>
          </w:pPr>
          <w:hyperlink w:anchor="_TOC_250011" w:history="1">
            <w:r>
              <w:t>第三章</w:t>
              <w:tab/>
              <w:t>施工总体部署</w:t>
            </w:r>
            <w:r>
              <w:rPr>
                <w:spacing w:val="-28"/>
              </w:rPr>
              <w:t xml:space="preserve"> </w:t>
            </w:r>
            <w:r>
              <w:t>......................................................................</w:t>
              <w:tab/>
              <w:t>8</w:t>
            </w:r>
          </w:hyperlink>
        </w:p>
        <w:p>
          <w:pPr>
            <w:pStyle w:val="TOC2"/>
            <w:tabs>
              <w:tab w:val="left" w:pos="2180"/>
              <w:tab w:val="right" w:leader="dot" w:pos="14403"/>
            </w:tabs>
            <w:spacing w:before="319"/>
          </w:pPr>
          <w:hyperlink w:anchor="_TOC_250010" w:history="1">
            <w:r>
              <w:t>第一节</w:t>
              <w:tab/>
              <w:t>临时设施安排及施工准备</w:t>
              <w:tab/>
              <w:t>8</w:t>
            </w:r>
          </w:hyperlink>
        </w:p>
        <w:p>
          <w:pPr>
            <w:pStyle w:val="TOC2"/>
            <w:tabs>
              <w:tab w:val="left" w:pos="2180"/>
              <w:tab w:val="right" w:leader="dot" w:pos="14403"/>
            </w:tabs>
            <w:spacing w:before="317"/>
          </w:pPr>
          <w:r>
            <w:t>第二节</w:t>
            <w:tab/>
            <w:t>设备、人员、材料动员周期和安排</w:t>
            <w:tab/>
            <w:t>8</w:t>
          </w:r>
        </w:p>
        <w:p>
          <w:pPr>
            <w:pStyle w:val="TOC2"/>
            <w:tabs>
              <w:tab w:val="left" w:pos="2180"/>
              <w:tab w:val="right" w:leader="dot" w:pos="14403"/>
            </w:tabs>
          </w:pPr>
          <w:hyperlink w:anchor="_TOC_250009" w:history="1">
            <w:r>
              <w:t>第三节</w:t>
              <w:tab/>
              <w:t>施工准备工作计划</w:t>
              <w:tab/>
              <w:t>9</w:t>
            </w:r>
          </w:hyperlink>
        </w:p>
        <w:p>
          <w:pPr>
            <w:pStyle w:val="TOC1"/>
            <w:tabs>
              <w:tab w:val="left" w:pos="1421"/>
              <w:tab w:val="right" w:pos="14401"/>
            </w:tabs>
          </w:pPr>
          <w:hyperlink w:anchor="_TOC_250008" w:history="1">
            <w:r>
              <w:t>第四章</w:t>
              <w:tab/>
              <w:t>施工工艺</w:t>
            </w:r>
            <w:r>
              <w:rPr>
                <w:spacing w:val="-34"/>
              </w:rPr>
              <w:t xml:space="preserve"> </w:t>
            </w:r>
            <w:r>
              <w:t>.........................................................................</w:t>
              <w:tab/>
              <w:t>12</w:t>
            </w:r>
          </w:hyperlink>
        </w:p>
        <w:p>
          <w:pPr>
            <w:pStyle w:val="TOC2"/>
            <w:tabs>
              <w:tab w:val="left" w:pos="2180"/>
              <w:tab w:val="right" w:pos="14401"/>
            </w:tabs>
            <w:spacing w:before="317"/>
          </w:pPr>
          <w:hyperlink w:anchor="_TOC_250007" w:history="1">
            <w:r>
              <w:t>第一节</w:t>
              <w:tab/>
              <w:t>顶管施工</w:t>
            </w:r>
            <w:r>
              <w:rPr>
                <w:spacing w:val="-32"/>
              </w:rPr>
              <w:t xml:space="preserve"> </w:t>
            </w:r>
            <w:r>
              <w:t>....................................................................</w:t>
              <w:tab/>
              <w:t>12</w:t>
            </w:r>
          </w:hyperlink>
        </w:p>
        <w:p>
          <w:pPr>
            <w:pStyle w:val="TOC1"/>
            <w:tabs>
              <w:tab w:val="left" w:pos="1421"/>
              <w:tab w:val="right" w:leader="dot" w:pos="14401"/>
            </w:tabs>
          </w:pPr>
          <w:hyperlink w:anchor="_TOC_250006" w:history="1">
            <w:r>
              <w:t>第五章</w:t>
              <w:tab/>
              <w:t>安全生产与文明施工</w:t>
              <w:tab/>
              <w:t>32</w:t>
            </w:r>
          </w:hyperlink>
        </w:p>
        <w:p>
          <w:pPr>
            <w:pStyle w:val="TOC2"/>
            <w:tabs>
              <w:tab w:val="left" w:pos="2180"/>
              <w:tab w:val="right" w:pos="14401"/>
            </w:tabs>
          </w:pPr>
          <w:r>
            <w:t>第一节</w:t>
            <w:tab/>
            <w:t>安全管理目</w:t>
          </w:r>
          <w:r>
            <w:rPr>
              <w:spacing w:val="15"/>
            </w:rPr>
            <w:t>标</w:t>
          </w:r>
          <w:r>
            <w:t>.................................................................</w:t>
            <w:tab/>
            <w:t>32</w:t>
          </w:r>
        </w:p>
        <w:p>
          <w:pPr>
            <w:pStyle w:val="TOC2"/>
            <w:tabs>
              <w:tab w:val="left" w:pos="2180"/>
              <w:tab w:val="right" w:leader="dot" w:pos="14401"/>
            </w:tabs>
            <w:spacing w:before="317"/>
          </w:pPr>
          <w:hyperlink w:anchor="_TOC_250005" w:history="1">
            <w:r>
              <w:t>第二节</w:t>
              <w:tab/>
              <w:t>现场安全管理措施</w:t>
              <w:tab/>
              <w:t>32</w:t>
            </w:r>
          </w:hyperlink>
        </w:p>
        <w:p>
          <w:pPr>
            <w:pStyle w:val="TOC2"/>
            <w:tabs>
              <w:tab w:val="left" w:pos="2180"/>
              <w:tab w:val="right" w:leader="dot" w:pos="14401"/>
            </w:tabs>
          </w:pPr>
          <w:hyperlink w:anchor="_TOC_250004" w:history="1">
            <w:r>
              <w:t>第三节</w:t>
              <w:tab/>
              <w:t>文明施工及治安消防</w:t>
              <w:tab/>
              <w:t>35</w:t>
            </w:r>
          </w:hyperlink>
        </w:p>
        <w:p>
          <w:pPr>
            <w:pStyle w:val="TOC2"/>
            <w:tabs>
              <w:tab w:val="left" w:pos="2180"/>
              <w:tab w:val="right" w:pos="14401"/>
            </w:tabs>
          </w:pPr>
          <w:hyperlink w:anchor="_TOC_250003" w:history="1">
            <w:r>
              <w:t>第四节</w:t>
              <w:tab/>
              <w:t>雨天施工措</w:t>
            </w:r>
            <w:r>
              <w:rPr>
                <w:spacing w:val="15"/>
              </w:rPr>
              <w:t>施</w:t>
            </w:r>
            <w:r>
              <w:t>.................................................................</w:t>
              <w:tab/>
              <w:t>36</w:t>
            </w:r>
          </w:hyperlink>
        </w:p>
        <w:p>
          <w:pPr>
            <w:pStyle w:val="TOC1"/>
            <w:tabs>
              <w:tab w:val="left" w:pos="1421"/>
              <w:tab w:val="right" w:leader="dot" w:pos="14401"/>
            </w:tabs>
          </w:pPr>
          <w:hyperlink w:anchor="_TOC_250002" w:history="1">
            <w:r>
              <w:t>第五节</w:t>
              <w:tab/>
              <w:t>施工用电方案及作业人员安全措施</w:t>
              <w:tab/>
              <w:t>38</w:t>
            </w:r>
          </w:hyperlink>
        </w:p>
        <w:p>
          <w:pPr>
            <w:pStyle w:val="TOC1"/>
            <w:tabs>
              <w:tab w:val="left" w:pos="1421"/>
              <w:tab w:val="right" w:pos="14401"/>
            </w:tabs>
            <w:spacing w:before="317"/>
          </w:pPr>
          <w:hyperlink w:anchor="_TOC_250001" w:history="1">
            <w:r>
              <w:t>第六章</w:t>
              <w:tab/>
              <w:t>应急救援预案</w:t>
            </w:r>
            <w:r>
              <w:rPr>
                <w:spacing w:val="-28"/>
              </w:rPr>
              <w:t xml:space="preserve"> </w:t>
            </w:r>
            <w:r>
              <w:t>.....................................................................</w:t>
              <w:tab/>
              <w:t>41</w:t>
            </w:r>
          </w:hyperlink>
        </w:p>
        <w:p>
          <w:pPr>
            <w:pStyle w:val="TOC1"/>
            <w:tabs>
              <w:tab w:val="left" w:pos="1421"/>
              <w:tab w:val="right" w:leader="dot" w:pos="14401"/>
            </w:tabs>
          </w:pPr>
          <w:hyperlink w:anchor="_TOC_250000" w:history="1">
            <w:r>
              <w:t>第七章</w:t>
              <w:tab/>
              <w:t>临时设施与平面布置</w:t>
              <w:tab/>
              <w:t>49</w:t>
            </w:r>
          </w:hyperlink>
        </w:p>
      </w:sdtContent>
    </w:sdt>
    <w:p>
      <w:pPr>
        <w:pStyle w:val="BodyText"/>
        <w:rPr>
          <w:b/>
          <w:sz w:val="20"/>
        </w:rPr>
      </w:pPr>
    </w:p>
    <w:p>
      <w:pPr>
        <w:pStyle w:val="BodyText"/>
        <w:rPr>
          <w:b/>
          <w:sz w:val="20"/>
        </w:rPr>
      </w:pPr>
    </w:p>
    <w:p>
      <w:pPr>
        <w:pStyle w:val="BodyText"/>
        <w:rPr>
          <w:b/>
          <w:sz w:val="20"/>
        </w:rPr>
      </w:pPr>
    </w:p>
    <w:p>
      <w:pPr>
        <w:pStyle w:val="BodyText"/>
        <w:spacing w:before="12"/>
        <w:rPr>
          <w:b/>
          <w:sz w:val="22"/>
        </w:rPr>
      </w:pPr>
    </w:p>
    <w:tbl>
      <w:tblPr>
        <w:tblStyle w:val="TableNormal0"/>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6"/>
        <w:gridCol w:w="12671"/>
        <w:gridCol w:w="510"/>
      </w:tblGrid>
      <w:tr>
        <w:tblPrEx>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0"/>
          <w:jc w:val="left"/>
        </w:trPr>
        <w:tc>
          <w:tcPr>
            <w:tcW w:w="1106" w:type="dxa"/>
          </w:tcPr>
          <w:p>
            <w:pPr>
              <w:pStyle w:val="TableParagraph"/>
              <w:spacing w:line="341" w:lineRule="exact"/>
              <w:ind w:left="50"/>
              <w:rPr>
                <w:b/>
                <w:sz w:val="30"/>
              </w:rPr>
            </w:pPr>
            <w:r>
              <w:rPr>
                <w:b/>
                <w:sz w:val="30"/>
              </w:rPr>
              <w:t>附表 1</w:t>
            </w:r>
          </w:p>
        </w:tc>
        <w:tc>
          <w:tcPr>
            <w:tcW w:w="12671" w:type="dxa"/>
          </w:tcPr>
          <w:p>
            <w:pPr>
              <w:pStyle w:val="TableParagraph"/>
              <w:spacing w:line="341" w:lineRule="exact"/>
              <w:ind w:left="102" w:right="39"/>
              <w:jc w:val="center"/>
              <w:rPr>
                <w:b/>
                <w:sz w:val="30"/>
              </w:rPr>
            </w:pPr>
            <w:r>
              <w:rPr>
                <w:b/>
                <w:sz w:val="30"/>
              </w:rPr>
              <w:t>主要机械设备和测量设备配备表 .....................................................</w:t>
            </w:r>
          </w:p>
        </w:tc>
        <w:tc>
          <w:tcPr>
            <w:tcW w:w="510" w:type="dxa"/>
          </w:tcPr>
          <w:p>
            <w:pPr>
              <w:pStyle w:val="TableParagraph"/>
              <w:spacing w:line="341" w:lineRule="exact"/>
              <w:ind w:right="48"/>
              <w:jc w:val="right"/>
              <w:rPr>
                <w:b/>
                <w:sz w:val="30"/>
              </w:rPr>
            </w:pPr>
            <w:r>
              <w:rPr>
                <w:b/>
                <w:w w:val="95"/>
                <w:sz w:val="30"/>
              </w:rPr>
              <w:t>51</w:t>
            </w:r>
          </w:p>
        </w:tc>
      </w:tr>
      <w:tr>
        <w:tblPrEx>
          <w:tblW w:w="0" w:type="auto"/>
          <w:jc w:val="left"/>
          <w:tblInd w:w="173" w:type="dxa"/>
          <w:tblLayout w:type="fixed"/>
          <w:tblCellMar>
            <w:top w:w="0" w:type="dxa"/>
            <w:left w:w="0" w:type="dxa"/>
            <w:bottom w:w="0" w:type="dxa"/>
            <w:right w:w="0" w:type="dxa"/>
          </w:tblCellMar>
          <w:tblLook w:val="01E0"/>
        </w:tblPrEx>
        <w:trPr>
          <w:trHeight w:val="702"/>
          <w:jc w:val="left"/>
        </w:trPr>
        <w:tc>
          <w:tcPr>
            <w:tcW w:w="1106" w:type="dxa"/>
          </w:tcPr>
          <w:p>
            <w:pPr>
              <w:pStyle w:val="TableParagraph"/>
              <w:spacing w:before="158"/>
              <w:ind w:left="50"/>
              <w:rPr>
                <w:b/>
                <w:sz w:val="30"/>
              </w:rPr>
            </w:pPr>
            <w:r>
              <w:rPr>
                <w:b/>
                <w:sz w:val="30"/>
              </w:rPr>
              <w:t>附表 2</w:t>
            </w:r>
          </w:p>
        </w:tc>
        <w:tc>
          <w:tcPr>
            <w:tcW w:w="12671" w:type="dxa"/>
          </w:tcPr>
          <w:p>
            <w:pPr>
              <w:pStyle w:val="TableParagraph"/>
              <w:spacing w:before="158"/>
              <w:ind w:left="90" w:right="94"/>
              <w:jc w:val="center"/>
              <w:rPr>
                <w:b/>
                <w:sz w:val="30"/>
              </w:rPr>
            </w:pPr>
            <w:r>
              <w:rPr>
                <w:b/>
                <w:sz w:val="30"/>
              </w:rPr>
              <w:t>主要材料供应计划表 ...............................................................</w:t>
            </w:r>
          </w:p>
        </w:tc>
        <w:tc>
          <w:tcPr>
            <w:tcW w:w="510" w:type="dxa"/>
          </w:tcPr>
          <w:p>
            <w:pPr>
              <w:pStyle w:val="TableParagraph"/>
              <w:spacing w:before="158"/>
              <w:ind w:right="48"/>
              <w:jc w:val="right"/>
              <w:rPr>
                <w:b/>
                <w:sz w:val="30"/>
              </w:rPr>
            </w:pPr>
            <w:r>
              <w:rPr>
                <w:b/>
                <w:w w:val="95"/>
                <w:sz w:val="30"/>
              </w:rPr>
              <w:t>51</w:t>
            </w:r>
          </w:p>
        </w:tc>
      </w:tr>
      <w:tr>
        <w:tblPrEx>
          <w:tblW w:w="0" w:type="auto"/>
          <w:jc w:val="left"/>
          <w:tblInd w:w="173" w:type="dxa"/>
          <w:tblLayout w:type="fixed"/>
          <w:tblCellMar>
            <w:top w:w="0" w:type="dxa"/>
            <w:left w:w="0" w:type="dxa"/>
            <w:bottom w:w="0" w:type="dxa"/>
            <w:right w:w="0" w:type="dxa"/>
          </w:tblCellMar>
          <w:tblLook w:val="01E0"/>
        </w:tblPrEx>
        <w:trPr>
          <w:trHeight w:val="702"/>
          <w:jc w:val="left"/>
        </w:trPr>
        <w:tc>
          <w:tcPr>
            <w:tcW w:w="1106" w:type="dxa"/>
          </w:tcPr>
          <w:p>
            <w:pPr>
              <w:pStyle w:val="TableParagraph"/>
              <w:spacing w:before="159"/>
              <w:ind w:left="50"/>
              <w:rPr>
                <w:b/>
                <w:sz w:val="30"/>
              </w:rPr>
            </w:pPr>
            <w:r>
              <w:rPr>
                <w:b/>
                <w:sz w:val="30"/>
              </w:rPr>
              <w:t>附表 3</w:t>
            </w:r>
          </w:p>
        </w:tc>
        <w:tc>
          <w:tcPr>
            <w:tcW w:w="12671" w:type="dxa"/>
          </w:tcPr>
          <w:p>
            <w:pPr>
              <w:pStyle w:val="TableParagraph"/>
              <w:spacing w:before="159"/>
              <w:ind w:left="57" w:right="94"/>
              <w:jc w:val="center"/>
              <w:rPr>
                <w:b/>
                <w:sz w:val="30"/>
              </w:rPr>
            </w:pPr>
            <w:r>
              <w:rPr>
                <w:b/>
                <w:sz w:val="30"/>
              </w:rPr>
              <w:t>劳动力计划表 .....................................................................</w:t>
            </w:r>
          </w:p>
        </w:tc>
        <w:tc>
          <w:tcPr>
            <w:tcW w:w="510" w:type="dxa"/>
          </w:tcPr>
          <w:p>
            <w:pPr>
              <w:pStyle w:val="TableParagraph"/>
              <w:spacing w:before="159"/>
              <w:ind w:right="48"/>
              <w:jc w:val="right"/>
              <w:rPr>
                <w:b/>
                <w:sz w:val="30"/>
              </w:rPr>
            </w:pPr>
            <w:r>
              <w:rPr>
                <w:b/>
                <w:w w:val="95"/>
                <w:sz w:val="30"/>
              </w:rPr>
              <w:t>51</w:t>
            </w:r>
          </w:p>
        </w:tc>
      </w:tr>
      <w:tr>
        <w:tblPrEx>
          <w:tblW w:w="0" w:type="auto"/>
          <w:jc w:val="left"/>
          <w:tblInd w:w="173" w:type="dxa"/>
          <w:tblLayout w:type="fixed"/>
          <w:tblCellMar>
            <w:top w:w="0" w:type="dxa"/>
            <w:left w:w="0" w:type="dxa"/>
            <w:bottom w:w="0" w:type="dxa"/>
            <w:right w:w="0" w:type="dxa"/>
          </w:tblCellMar>
          <w:tblLook w:val="01E0"/>
        </w:tblPrEx>
        <w:trPr>
          <w:trHeight w:val="500"/>
          <w:jc w:val="left"/>
        </w:trPr>
        <w:tc>
          <w:tcPr>
            <w:tcW w:w="1106" w:type="dxa"/>
          </w:tcPr>
          <w:p>
            <w:pPr>
              <w:pStyle w:val="TableParagraph"/>
              <w:spacing w:before="158" w:line="322" w:lineRule="exact"/>
              <w:ind w:left="50"/>
              <w:rPr>
                <w:b/>
                <w:sz w:val="30"/>
              </w:rPr>
            </w:pPr>
            <w:r>
              <w:rPr>
                <w:b/>
                <w:sz w:val="30"/>
              </w:rPr>
              <w:t>附表 4</w:t>
            </w:r>
          </w:p>
        </w:tc>
        <w:tc>
          <w:tcPr>
            <w:tcW w:w="12671" w:type="dxa"/>
          </w:tcPr>
          <w:p>
            <w:pPr>
              <w:pStyle w:val="TableParagraph"/>
              <w:spacing w:before="158" w:line="322" w:lineRule="exact"/>
              <w:ind w:left="46" w:right="94"/>
              <w:jc w:val="center"/>
              <w:rPr>
                <w:b/>
                <w:sz w:val="30"/>
              </w:rPr>
            </w:pPr>
            <w:r>
              <w:rPr>
                <w:b/>
                <w:sz w:val="30"/>
              </w:rPr>
              <w:t>进度计划表.......................................................................</w:t>
            </w:r>
          </w:p>
        </w:tc>
        <w:tc>
          <w:tcPr>
            <w:tcW w:w="510" w:type="dxa"/>
          </w:tcPr>
          <w:p>
            <w:pPr>
              <w:pStyle w:val="TableParagraph"/>
              <w:spacing w:before="158" w:line="322" w:lineRule="exact"/>
              <w:ind w:right="48"/>
              <w:jc w:val="right"/>
              <w:rPr>
                <w:b/>
                <w:sz w:val="30"/>
              </w:rPr>
            </w:pPr>
            <w:r>
              <w:rPr>
                <w:b/>
                <w:w w:val="95"/>
                <w:sz w:val="30"/>
              </w:rPr>
              <w:t>51</w:t>
            </w:r>
          </w:p>
        </w:tc>
      </w:tr>
    </w:tbl>
    <w:p>
      <w:pPr>
        <w:spacing w:after="0" w:line="322" w:lineRule="exact"/>
        <w:jc w:val="right"/>
        <w:rPr>
          <w:sz w:val="30"/>
        </w:rPr>
        <w:sectPr>
          <w:pgSz w:w="17860" w:h="25260"/>
          <w:pgMar w:top="1000" w:right="800" w:bottom="280" w:left="1740" w:header="708" w:footer="708"/>
          <w:pgNumType w:start="2"/>
          <w:cols w:space="708"/>
        </w:sectPr>
      </w:pPr>
    </w:p>
    <w:p>
      <w:pPr>
        <w:spacing w:before="28"/>
        <w:ind w:left="0" w:right="686" w:firstLine="0"/>
        <w:jc w:val="center"/>
        <w:rPr>
          <w:rFonts w:ascii="幼圆" w:eastAsia="幼圆" w:hint="eastAsia"/>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5"/>
        <w:rPr>
          <w:rFonts w:ascii="幼圆"/>
          <w:sz w:val="23"/>
        </w:rPr>
      </w:pPr>
    </w:p>
    <w:p>
      <w:pPr>
        <w:tabs>
          <w:tab w:val="left" w:pos="1260"/>
        </w:tabs>
        <w:spacing w:before="0"/>
        <w:ind w:left="0" w:right="516" w:firstLine="0"/>
        <w:jc w:val="center"/>
        <w:rPr>
          <w:sz w:val="42"/>
        </w:rPr>
      </w:pPr>
      <w:r>
        <w:rPr>
          <w:sz w:val="42"/>
        </w:rPr>
        <w:t>前</w:t>
        <w:tab/>
        <w:t>言</w:t>
      </w:r>
    </w:p>
    <w:p>
      <w:pPr>
        <w:pStyle w:val="BodyText"/>
        <w:spacing w:before="371" w:line="364" w:lineRule="auto"/>
        <w:ind w:left="215" w:right="901" w:firstLine="698"/>
      </w:pPr>
      <w:r>
        <w:rPr>
          <w:spacing w:val="-8"/>
        </w:rPr>
        <w:t>在认真阅读和充分理解设计意图及对施工现场作详细了解，以及铜孟镇政府对该段道路</w:t>
      </w:r>
      <w:r>
        <w:t>改造和使用时间要求的基础上，并结合我项目部的施工经验，以信守合同、确保工期和质量、合理控制工程造价、优质高效文明施工为指导思想，编制本工程施工专项方案。</w:t>
      </w:r>
    </w:p>
    <w:p>
      <w:pPr>
        <w:spacing w:after="0" w:line="364" w:lineRule="auto"/>
        <w:sectPr>
          <w:pgSz w:w="17860" w:h="25260"/>
          <w:pgMar w:top="1000" w:right="800" w:bottom="280" w:left="1740" w:header="708" w:footer="708"/>
          <w:pgNumType w:start="3"/>
          <w:cols w:space="708"/>
        </w:sectPr>
      </w:pPr>
    </w:p>
    <w:p>
      <w:pPr>
        <w:spacing w:before="28"/>
        <w:ind w:left="0" w:right="686" w:firstLine="0"/>
        <w:jc w:val="center"/>
        <w:rPr>
          <w:rFonts w:ascii="幼圆" w:eastAsia="幼圆" w:hint="eastAsia"/>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9"/>
        <w:rPr>
          <w:rFonts w:ascii="幼圆"/>
          <w:sz w:val="33"/>
        </w:rPr>
      </w:pPr>
    </w:p>
    <w:p>
      <w:pPr>
        <w:tabs>
          <w:tab w:val="left" w:pos="1806"/>
        </w:tabs>
        <w:spacing w:before="0"/>
        <w:ind w:left="0" w:right="697" w:firstLine="0"/>
        <w:jc w:val="center"/>
        <w:rPr>
          <w:b/>
          <w:sz w:val="45"/>
        </w:rPr>
      </w:pPr>
      <w:r>
        <w:rPr>
          <w:b/>
          <w:sz w:val="45"/>
        </w:rPr>
        <w:t>第一章</w:t>
        <w:tab/>
        <w:t>编制依据及原则</w:t>
      </w:r>
    </w:p>
    <w:p>
      <w:pPr>
        <w:pStyle w:val="BodyText"/>
        <w:spacing w:before="5"/>
        <w:rPr>
          <w:b/>
          <w:sz w:val="34"/>
        </w:rPr>
      </w:pPr>
    </w:p>
    <w:p>
      <w:pPr>
        <w:pStyle w:val="Heading2"/>
        <w:tabs>
          <w:tab w:val="left" w:pos="7318"/>
        </w:tabs>
        <w:spacing w:before="1"/>
        <w:ind w:left="5871"/>
      </w:pPr>
      <w:bookmarkStart w:id="0" w:name="_TOC_250016"/>
      <w:bookmarkEnd w:id="0"/>
      <w:r>
        <w:t>第一节</w:t>
        <w:tab/>
        <w:t>编制依据</w:t>
      </w:r>
    </w:p>
    <w:p>
      <w:pPr>
        <w:pStyle w:val="BodyText"/>
        <w:spacing w:before="305" w:line="364" w:lineRule="auto"/>
        <w:ind w:left="935" w:right="1063" w:hanging="720"/>
      </w:pPr>
      <w:r>
        <w:t>一、现场踏勘调查所获得的工程地质、水文地质、当地资源、交通状况及施工环境等调查资料；</w:t>
      </w:r>
    </w:p>
    <w:p>
      <w:pPr>
        <w:pStyle w:val="BodyText"/>
        <w:spacing w:before="2"/>
        <w:ind w:left="215"/>
      </w:pPr>
      <w:r>
        <w:t>二、国家及地方关于施工安全生产和环境保护等方面的法律法规；</w:t>
      </w:r>
    </w:p>
    <w:p>
      <w:pPr>
        <w:pStyle w:val="BodyText"/>
        <w:tabs>
          <w:tab w:val="left" w:leader="hyphen" w:pos="5976"/>
        </w:tabs>
        <w:spacing w:before="241"/>
        <w:ind w:left="215"/>
      </w:pPr>
      <w:r>
        <w:t>三、</w:t>
        <w:tab/>
        <w:t>施工设计图、说明及相关合同文件等资料；</w:t>
      </w:r>
    </w:p>
    <w:p>
      <w:pPr>
        <w:pStyle w:val="BodyText"/>
        <w:spacing w:before="240"/>
        <w:ind w:left="215"/>
      </w:pPr>
      <w:r>
        <w:t>四、国家现有施工标准及规范</w:t>
      </w:r>
    </w:p>
    <w:p>
      <w:pPr>
        <w:pStyle w:val="BodyText"/>
        <w:spacing w:before="241"/>
        <w:ind w:left="935"/>
      </w:pPr>
      <w:r>
        <w:t>1</w:t>
      </w:r>
      <w:r>
        <w:rPr>
          <w:spacing w:val="-28"/>
        </w:rPr>
        <w:t>、《给排水工程顶管技术规程》</w:t>
      </w:r>
      <w:r>
        <w:t>（CECS246：2008</w:t>
      </w:r>
      <w:r>
        <w:rPr>
          <w:spacing w:val="-180"/>
        </w:rPr>
        <w:t>）</w:t>
      </w:r>
      <w:r>
        <w:t>；</w:t>
      </w:r>
    </w:p>
    <w:p>
      <w:pPr>
        <w:pStyle w:val="BodyText"/>
        <w:spacing w:before="242"/>
        <w:ind w:left="935"/>
      </w:pPr>
      <w:r>
        <w:t>2</w:t>
      </w:r>
      <w:r>
        <w:rPr>
          <w:spacing w:val="-24"/>
        </w:rPr>
        <w:t>、《给排水管道工程施工及验收规范》</w:t>
      </w:r>
      <w:r>
        <w:t>（GB50268-2008</w:t>
      </w:r>
      <w:r>
        <w:rPr>
          <w:spacing w:val="-180"/>
        </w:rPr>
        <w:t>）</w:t>
      </w:r>
      <w:r>
        <w:t>；</w:t>
      </w:r>
    </w:p>
    <w:p>
      <w:pPr>
        <w:pStyle w:val="BodyText"/>
        <w:spacing w:before="240"/>
        <w:ind w:left="935"/>
      </w:pPr>
      <w:r>
        <w:t>3</w:t>
      </w:r>
      <w:r>
        <w:rPr>
          <w:spacing w:val="-24"/>
        </w:rPr>
        <w:t>、《顶进施工法用钢筋混凝土排水管》</w:t>
      </w:r>
      <w:r>
        <w:t>（JC/T 640-2010</w:t>
      </w:r>
      <w:r>
        <w:rPr>
          <w:spacing w:val="-180"/>
        </w:rPr>
        <w:t>）</w:t>
      </w:r>
      <w:r>
        <w:t>；</w:t>
      </w:r>
    </w:p>
    <w:p>
      <w:pPr>
        <w:pStyle w:val="BodyText"/>
        <w:spacing w:before="241"/>
        <w:ind w:left="935"/>
      </w:pPr>
      <w:r>
        <w:t>4</w:t>
      </w:r>
      <w:r>
        <w:rPr>
          <w:spacing w:val="-41"/>
        </w:rPr>
        <w:t>、《工程测量规范》</w:t>
      </w:r>
      <w:r>
        <w:t>（GB50026-2007</w:t>
      </w:r>
      <w:r>
        <w:rPr>
          <w:spacing w:val="-180"/>
        </w:rPr>
        <w:t>）</w:t>
      </w:r>
      <w:r>
        <w:t>；</w:t>
      </w:r>
    </w:p>
    <w:p>
      <w:pPr>
        <w:pStyle w:val="BodyText"/>
      </w:pPr>
    </w:p>
    <w:p>
      <w:pPr>
        <w:pStyle w:val="BodyText"/>
        <w:spacing w:before="5"/>
        <w:rPr>
          <w:sz w:val="42"/>
        </w:rPr>
      </w:pPr>
    </w:p>
    <w:p>
      <w:pPr>
        <w:pStyle w:val="Heading2"/>
        <w:ind w:left="5871"/>
        <w:jc w:val="both"/>
      </w:pPr>
      <w:bookmarkStart w:id="1" w:name="_TOC_250015"/>
      <w:bookmarkEnd w:id="1"/>
      <w:r>
        <w:t>第二节 编制原则</w:t>
      </w:r>
    </w:p>
    <w:p>
      <w:pPr>
        <w:pStyle w:val="BodyText"/>
        <w:spacing w:before="305" w:line="364" w:lineRule="auto"/>
        <w:ind w:left="215" w:right="1063"/>
        <w:jc w:val="both"/>
      </w:pPr>
      <w:r>
        <w:t>一、严格遵守图纸设计规范、施工技术规范和质量评定验收标准。实事求是，施工方案可行、适用、经济、结合现场施工位置及施工条件的基础上力求技术先进、科学合理相适用的原则。</w:t>
      </w:r>
    </w:p>
    <w:p>
      <w:pPr>
        <w:pStyle w:val="BodyText"/>
        <w:spacing w:before="4" w:line="364" w:lineRule="auto"/>
        <w:ind w:left="215" w:right="1063"/>
      </w:pPr>
      <w:r>
        <w:t>二、坚持始至终对本项目我司施工现场实施全员、全过程、全范围严密监控，坚持动静结合、科学管理的原则。</w:t>
      </w:r>
    </w:p>
    <w:p>
      <w:pPr>
        <w:pStyle w:val="BodyText"/>
        <w:spacing w:before="1"/>
        <w:ind w:left="215"/>
      </w:pPr>
      <w:r>
        <w:t>三、推行全面质量管理，执行质量管理标准和程序。</w:t>
      </w:r>
    </w:p>
    <w:p>
      <w:pPr>
        <w:pStyle w:val="BodyText"/>
        <w:spacing w:before="241"/>
        <w:ind w:left="215"/>
      </w:pPr>
      <w:r>
        <w:t>四、采用项目法组织施工，推行标准化管理，达到安全、文明、高效。</w:t>
      </w:r>
    </w:p>
    <w:p>
      <w:pPr>
        <w:pStyle w:val="BodyText"/>
        <w:spacing w:before="241" w:line="364" w:lineRule="auto"/>
        <w:ind w:left="215" w:right="703"/>
        <w:jc w:val="both"/>
      </w:pPr>
      <w:r>
        <w:t>五、实行项目法管理，通过对劳务、设备、材料、资金、技术、施工方案和信息优化处置， 实现安全、质量、工期、成本及社会信誉的预期目标。坚持技术创新，推广和应用“四新” 成果。</w:t>
      </w:r>
    </w:p>
    <w:p>
      <w:pPr>
        <w:pStyle w:val="BodyText"/>
        <w:spacing w:before="4" w:line="364" w:lineRule="auto"/>
        <w:ind w:left="215" w:right="1063"/>
      </w:pPr>
      <w:r>
        <w:t>五、组织专业队伍上场，装备足够的优良机械设备进行专业化施工，力争提前在规定的工期内完成合同范围内的施工任务。</w:t>
      </w:r>
    </w:p>
    <w:p>
      <w:pPr>
        <w:pStyle w:val="BodyText"/>
        <w:spacing w:before="1"/>
        <w:ind w:left="215"/>
      </w:pPr>
      <w:r>
        <w:t>六、遵守环境保护法并切实按有关要求和规定来组织实施。</w:t>
      </w:r>
    </w:p>
    <w:p>
      <w:pPr>
        <w:pStyle w:val="BodyText"/>
        <w:spacing w:before="241" w:line="364" w:lineRule="auto"/>
        <w:ind w:left="215" w:right="1063"/>
      </w:pPr>
      <w:r>
        <w:t>七、在仔细考察工程实地，针对本合同工程的特点、施工条件，并结合现场实际、进场的机械装备、人员条件，科学合理地组织施工。</w:t>
      </w:r>
    </w:p>
    <w:p>
      <w:pPr>
        <w:spacing w:after="0" w:line="364" w:lineRule="auto"/>
        <w:sectPr>
          <w:pgSz w:w="17860" w:h="25260"/>
          <w:pgMar w:top="1000" w:right="800" w:bottom="280" w:left="1740" w:header="708" w:footer="708"/>
          <w:pgNumType w:start="4"/>
          <w:cols w:space="708"/>
        </w:sectPr>
      </w:pPr>
    </w:p>
    <w:p>
      <w:pPr>
        <w:spacing w:before="28"/>
        <w:ind w:left="0" w:right="686" w:firstLine="0"/>
        <w:jc w:val="center"/>
        <w:rPr>
          <w:rFonts w:ascii="幼圆" w:eastAsia="幼圆" w:hint="eastAsia"/>
          <w:sz w:val="27"/>
        </w:rPr>
      </w:pPr>
      <w:r>
        <w:pict>
          <v:group id="_x0000_s1029" style="width:893pt;height:1248pt;margin-top:0;margin-left:0;mso-position-horizontal-relative:page;mso-position-vertical-relative:page;position:absolute;z-index:-251654144" coordorigin="0,0" coordsize="17860,24960">
            <v:shape id="_x0000_s1030" type="#_x0000_t75" style="width:17860;height:24960;position:absolute" stroked="f">
              <v:imagedata r:id="rId6" o:title=""/>
            </v:shape>
            <v:shape id="_x0000_s1031" type="#_x0000_t75" style="width:10800;height:8100;left:4014;position:absolute;top:13603" stroked="f">
              <v:imagedata r:id="rId7" o:title=""/>
            </v:shape>
          </v:group>
        </w:pict>
      </w:r>
      <w:r>
        <w:rPr>
          <w:rFonts w:ascii="幼圆" w:eastAsia="幼圆" w:hint="eastAsia"/>
          <w:sz w:val="27"/>
        </w:rPr>
        <w:t>实用文档</w:t>
      </w:r>
    </w:p>
    <w:p>
      <w:pPr>
        <w:pStyle w:val="BodyText"/>
        <w:spacing w:before="9"/>
        <w:rPr>
          <w:rFonts w:ascii="幼圆"/>
          <w:sz w:val="33"/>
        </w:rPr>
      </w:pPr>
    </w:p>
    <w:p>
      <w:pPr>
        <w:pStyle w:val="Heading1"/>
        <w:tabs>
          <w:tab w:val="left" w:pos="1807"/>
        </w:tabs>
      </w:pPr>
      <w:bookmarkStart w:id="2" w:name="_TOC_250014"/>
      <w:bookmarkEnd w:id="2"/>
      <w:r>
        <w:t>第二章</w:t>
        <w:tab/>
        <w:t>工程概况</w:t>
      </w:r>
    </w:p>
    <w:p>
      <w:pPr>
        <w:pStyle w:val="BodyText"/>
        <w:spacing w:before="5"/>
        <w:rPr>
          <w:b/>
          <w:sz w:val="34"/>
        </w:rPr>
      </w:pPr>
    </w:p>
    <w:p>
      <w:pPr>
        <w:pStyle w:val="Heading2"/>
        <w:tabs>
          <w:tab w:val="left" w:pos="7318"/>
        </w:tabs>
        <w:spacing w:before="1"/>
        <w:ind w:left="5871"/>
      </w:pPr>
      <w:bookmarkStart w:id="3" w:name="_TOC_250013"/>
      <w:bookmarkEnd w:id="3"/>
      <w:r>
        <w:t>第一节</w:t>
        <w:tab/>
        <w:t>工程简介</w:t>
      </w:r>
    </w:p>
    <w:p>
      <w:pPr>
        <w:pStyle w:val="BodyText"/>
        <w:spacing w:before="186" w:line="364" w:lineRule="auto"/>
        <w:ind w:left="215" w:right="721" w:firstLine="698"/>
      </w:pPr>
      <w:r>
        <w:t>汕头市----------------------------（</w:t>
      </w:r>
      <w:r>
        <w:rPr>
          <w:spacing w:val="-16"/>
        </w:rPr>
        <w:t xml:space="preserve">草南公路段 </w:t>
      </w:r>
      <w:r>
        <w:t>WA16~WA34</w:t>
      </w:r>
      <w:r>
        <w:rPr>
          <w:spacing w:val="-45"/>
        </w:rPr>
        <w:t xml:space="preserve"> 段</w:t>
      </w:r>
      <w:r>
        <w:t>）</w:t>
      </w:r>
      <w:r>
        <w:rPr>
          <w:spacing w:val="-45"/>
        </w:rPr>
        <w:t xml:space="preserve">为 </w:t>
      </w:r>
      <w:r>
        <w:t>A</w:t>
      </w:r>
      <w:r>
        <w:rPr>
          <w:spacing w:val="-16"/>
        </w:rPr>
        <w:t xml:space="preserve"> 线截流管道， </w:t>
      </w:r>
      <w:r>
        <w:rPr>
          <w:spacing w:val="3"/>
        </w:rPr>
        <w:t>设计采用不开槽顶管施工；管材为</w:t>
      </w:r>
      <w:r>
        <w:t>d1200Ⅲ级钢筋混凝土钢承口管，橡胶圈接口，管道总长</w:t>
      </w:r>
      <w:r>
        <w:rPr>
          <w:spacing w:val="-45"/>
        </w:rPr>
        <w:t xml:space="preserve">约 </w:t>
      </w:r>
      <w:r>
        <w:t>981</w:t>
      </w:r>
      <w:r>
        <w:rPr>
          <w:spacing w:val="-25"/>
        </w:rPr>
        <w:t xml:space="preserve"> 米，管线包含 </w:t>
      </w:r>
      <w:r>
        <w:t>3</w:t>
      </w:r>
      <w:r>
        <w:rPr>
          <w:spacing w:val="-60"/>
        </w:rPr>
        <w:t xml:space="preserve"> 座 </w:t>
      </w:r>
      <w:r>
        <w:t>7000*3500，4</w:t>
      </w:r>
      <w:r>
        <w:rPr>
          <w:spacing w:val="-45"/>
        </w:rPr>
        <w:t xml:space="preserve"> 座</w:t>
      </w:r>
      <w:r>
        <w:t>Φ4500</w:t>
      </w:r>
      <w:r>
        <w:rPr>
          <w:spacing w:val="-23"/>
        </w:rPr>
        <w:t xml:space="preserve"> 接收井</w:t>
      </w:r>
      <w:r>
        <w:t>，12</w:t>
      </w:r>
      <w:r>
        <w:rPr>
          <w:spacing w:val="-45"/>
        </w:rPr>
        <w:t xml:space="preserve"> 座</w:t>
      </w:r>
      <w:r>
        <w:t>Φ1000</w:t>
      </w:r>
      <w:r>
        <w:rPr>
          <w:spacing w:val="-12"/>
        </w:rPr>
        <w:t xml:space="preserve"> 骑马井。工作井及</w:t>
      </w:r>
      <w:r>
        <w:rPr>
          <w:spacing w:val="-8"/>
        </w:rPr>
        <w:t>接收井采用逆做法施工，外侧面四周需先采用</w:t>
      </w:r>
      <w:r>
        <w:t>D800@550</w:t>
      </w:r>
      <w:r>
        <w:rPr>
          <w:spacing w:val="-10"/>
        </w:rPr>
        <w:t xml:space="preserve"> 双重管高压旋喷桩作为止水帷幕及支护。</w:t>
      </w:r>
    </w:p>
    <w:p>
      <w:pPr>
        <w:pStyle w:val="BodyText"/>
        <w:rPr>
          <w:sz w:val="10"/>
        </w:rPr>
      </w:pPr>
    </w:p>
    <w:p>
      <w:pPr>
        <w:pStyle w:val="Heading2"/>
        <w:spacing w:before="49"/>
        <w:ind w:left="0" w:right="701"/>
        <w:jc w:val="center"/>
      </w:pPr>
      <w:bookmarkStart w:id="4" w:name="_TOC_250012"/>
      <w:bookmarkEnd w:id="4"/>
      <w:r>
        <w:t>第二节、环境与地质条件</w:t>
      </w:r>
    </w:p>
    <w:p>
      <w:pPr>
        <w:spacing w:before="188"/>
        <w:ind w:left="0" w:right="12006" w:firstLine="0"/>
        <w:jc w:val="center"/>
        <w:rPr>
          <w:b/>
          <w:sz w:val="36"/>
        </w:rPr>
      </w:pPr>
      <w:r>
        <w:rPr>
          <w:b/>
          <w:sz w:val="36"/>
        </w:rPr>
        <w:t>一、工程地理位置</w:t>
      </w:r>
    </w:p>
    <w:p>
      <w:pPr>
        <w:pStyle w:val="BodyText"/>
        <w:spacing w:before="12"/>
        <w:rPr>
          <w:b/>
          <w:sz w:val="23"/>
        </w:rPr>
      </w:pPr>
    </w:p>
    <w:p>
      <w:pPr>
        <w:pStyle w:val="BodyText"/>
        <w:spacing w:before="49" w:line="364" w:lineRule="auto"/>
        <w:ind w:left="215" w:right="884" w:firstLine="720"/>
      </w:pPr>
      <w:r>
        <w:rPr>
          <w:spacing w:val="-2"/>
        </w:rPr>
        <w:t xml:space="preserve">草南公路段 </w:t>
      </w:r>
      <w:r>
        <w:t>WA16~WA34</w:t>
      </w:r>
      <w:r>
        <w:rPr>
          <w:spacing w:val="-3"/>
        </w:rPr>
        <w:t xml:space="preserve"> 管线沿汕头市潮阳区铜盂镇草南公路布设，顶管沿线经过铜盂镇繁华区域人口密集地段；工作井、接收井处于铜盂镇草南公路左幅主车道中，周围建筑物密集，来往行人多、车流量大、道路一侧布设有高压供电电杆、高压线、通信设施，施工不便（具体详见施工现场相片</w:t>
      </w:r>
      <w:r>
        <w:rPr>
          <w:spacing w:val="-183"/>
        </w:rPr>
        <w:t>）</w:t>
      </w:r>
      <w:r>
        <w:rPr>
          <w:spacing w:val="-1"/>
        </w:rPr>
        <w:t>。为了按期完成施工任务，保证施工进度，我项目部结合</w:t>
      </w:r>
      <w:r>
        <w:t>现场实际情况进行了多作业面同时开工、流水作业。施工前，做好临建搭设、临电临水布置及施工用地规划等工作。施工过程中，结合不同时间段，不同作业面进行施工平面布置的动态调整，以满足不同施工特性的要求。</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46"/>
        </w:rPr>
      </w:pPr>
    </w:p>
    <w:p>
      <w:pPr>
        <w:pStyle w:val="BodyText"/>
        <w:ind w:left="728" w:right="697"/>
        <w:jc w:val="center"/>
      </w:pPr>
      <w:r>
        <w:t>施工现场相片</w:t>
      </w:r>
    </w:p>
    <w:p>
      <w:pPr>
        <w:spacing w:after="0"/>
        <w:jc w:val="center"/>
        <w:sectPr>
          <w:pgSz w:w="17860" w:h="25260"/>
          <w:pgMar w:top="1000" w:right="800" w:bottom="280" w:left="1740" w:header="708" w:footer="708"/>
          <w:pgNumType w:start="5"/>
          <w:cols w:space="708"/>
        </w:sectPr>
      </w:pPr>
    </w:p>
    <w:p>
      <w:pPr>
        <w:spacing w:before="28"/>
        <w:ind w:left="0" w:right="686" w:firstLine="0"/>
        <w:jc w:val="center"/>
        <w:rPr>
          <w:rFonts w:ascii="幼圆" w:eastAsia="幼圆" w:hint="eastAsia"/>
          <w:sz w:val="27"/>
        </w:rPr>
      </w:pPr>
      <w:r>
        <w:rPr>
          <w:rFonts w:ascii="幼圆" w:eastAsia="幼圆" w:hint="eastAsia"/>
          <w:sz w:val="27"/>
        </w:rPr>
        <w:t>实用文档</w:t>
      </w: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spacing w:before="11"/>
        <w:rPr>
          <w:rFonts w:ascii="幼圆"/>
          <w:sz w:val="23"/>
        </w:rPr>
      </w:pPr>
    </w:p>
    <w:p>
      <w:pPr>
        <w:pStyle w:val="BodyText"/>
        <w:tabs>
          <w:tab w:val="left" w:pos="10296"/>
        </w:tabs>
        <w:ind w:left="1835"/>
      </w:pPr>
      <w:r>
        <w:t>施工现场相片</w:t>
        <w:tab/>
        <w:t>施工现场相片</w:t>
      </w:r>
    </w:p>
    <w:p>
      <w:pPr>
        <w:spacing w:before="241"/>
        <w:ind w:left="215" w:right="0" w:firstLine="0"/>
        <w:jc w:val="left"/>
        <w:rPr>
          <w:b/>
          <w:sz w:val="36"/>
        </w:rPr>
      </w:pPr>
      <w:r>
        <w:rPr>
          <w:b/>
          <w:w w:val="95"/>
          <w:sz w:val="36"/>
        </w:rPr>
        <w:t>二、施工情况与地质条件</w:t>
      </w:r>
    </w:p>
    <w:p>
      <w:pPr>
        <w:pStyle w:val="BodyText"/>
        <w:spacing w:before="240"/>
        <w:ind w:left="935"/>
      </w:pPr>
      <w:r>
        <w:t>1、顶管工程施工情况</w:t>
      </w:r>
    </w:p>
    <w:p>
      <w:pPr>
        <w:pStyle w:val="BodyText"/>
        <w:spacing w:before="242" w:line="352" w:lineRule="auto"/>
        <w:ind w:left="215" w:right="701" w:firstLine="630"/>
      </w:pPr>
      <w:r>
        <w:rPr>
          <w:position w:val="-3"/>
          <w:sz w:val="31"/>
        </w:rPr>
        <w:t>WA16~WA34 段</w:t>
      </w:r>
      <w:r>
        <w:t>顶管区域位于汕头市潮阳区铜盂镇草南公路。属于练江流域冲积平原地貌， 沿公路走向；地形较平坦，沿线为水泥路面，管线自然地面标高在2.440 米～4.500 米之间</w:t>
      </w:r>
    </w:p>
    <w:p>
      <w:pPr>
        <w:pStyle w:val="BodyText"/>
        <w:spacing w:before="22"/>
        <w:ind w:left="215"/>
      </w:pPr>
      <w:r>
        <w:t>（按图纸地貌</w:t>
      </w:r>
      <w:r>
        <w:rPr>
          <w:spacing w:val="-180"/>
        </w:rPr>
        <w:t>）</w:t>
      </w:r>
      <w:r>
        <w:t>，地势较平坦。顶管施工段分布、管道埋深详见下表：</w:t>
      </w:r>
    </w:p>
    <w:p>
      <w:pPr>
        <w:pStyle w:val="BodyText"/>
        <w:spacing w:before="9"/>
        <w:rPr>
          <w:sz w:val="11"/>
        </w:rPr>
      </w:pPr>
    </w:p>
    <w:p>
      <w:pPr>
        <w:spacing w:after="0"/>
        <w:rPr>
          <w:sz w:val="11"/>
        </w:rPr>
        <w:sectPr>
          <w:pgSz w:w="17860" w:h="25260"/>
          <w:pgMar w:top="1000" w:right="800" w:bottom="280" w:left="1740" w:header="708" w:footer="708"/>
          <w:pgNumType w:start="6"/>
          <w:cols w:space="708"/>
        </w:sectPr>
      </w:pPr>
    </w:p>
    <w:p>
      <w:pPr>
        <w:tabs>
          <w:tab w:val="left" w:pos="2242"/>
          <w:tab w:val="left" w:pos="5220"/>
          <w:tab w:val="left" w:pos="7340"/>
        </w:tabs>
        <w:spacing w:before="63"/>
        <w:ind w:left="179" w:right="0" w:firstLine="0"/>
        <w:jc w:val="left"/>
        <w:rPr>
          <w:sz w:val="31"/>
        </w:rPr>
      </w:pPr>
      <w:r>
        <w:pict>
          <v:shapetype id="_x0000_t202" coordsize="21600,21600" o:spt="202" path="m,l,21600r21600,l21600,xe">
            <v:stroke joinstyle="miter"/>
            <v:path gradientshapeok="t" o:connecttype="rect"/>
          </v:shapetype>
          <v:shape id="_x0000_s1032" type="#_x0000_t202" style="width:723.7pt;height:170.35pt;margin-top:25.38pt;margin-left:93.48pt;mso-position-horizontal-relative:page;position:absolute;z-index:251663360"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1"/>
                    <w:gridCol w:w="4022"/>
                    <w:gridCol w:w="1956"/>
                    <w:gridCol w:w="2024"/>
                    <w:gridCol w:w="2854"/>
                    <w:gridCol w:w="308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86"/>
                      <w:jc w:val="left"/>
                    </w:trPr>
                    <w:tc>
                      <w:tcPr>
                        <w:tcW w:w="531" w:type="dxa"/>
                      </w:tcPr>
                      <w:p>
                        <w:pPr>
                          <w:pStyle w:val="TableParagraph"/>
                          <w:spacing w:line="359" w:lineRule="exact"/>
                          <w:ind w:left="50"/>
                          <w:rPr>
                            <w:sz w:val="31"/>
                          </w:rPr>
                        </w:pPr>
                        <w:r>
                          <w:rPr>
                            <w:w w:val="102"/>
                            <w:sz w:val="31"/>
                          </w:rPr>
                          <w:t>号</w:t>
                        </w:r>
                      </w:p>
                      <w:p>
                        <w:pPr>
                          <w:pStyle w:val="TableParagraph"/>
                          <w:spacing w:before="125"/>
                          <w:ind w:left="118"/>
                          <w:rPr>
                            <w:sz w:val="31"/>
                          </w:rPr>
                        </w:pPr>
                        <w:r>
                          <w:rPr>
                            <w:w w:val="102"/>
                            <w:sz w:val="31"/>
                          </w:rPr>
                          <w:t>1</w:t>
                        </w:r>
                      </w:p>
                    </w:tc>
                    <w:tc>
                      <w:tcPr>
                        <w:tcW w:w="4022" w:type="dxa"/>
                      </w:tcPr>
                      <w:p>
                        <w:pPr>
                          <w:pStyle w:val="TableParagraph"/>
                          <w:spacing w:before="10"/>
                          <w:rPr>
                            <w:sz w:val="37"/>
                          </w:rPr>
                        </w:pPr>
                      </w:p>
                      <w:p>
                        <w:pPr>
                          <w:pStyle w:val="TableParagraph"/>
                          <w:ind w:left="163"/>
                          <w:rPr>
                            <w:sz w:val="31"/>
                          </w:rPr>
                        </w:pPr>
                        <w:r>
                          <w:rPr>
                            <w:sz w:val="31"/>
                          </w:rPr>
                          <w:t>KA1+010.63～KA0+807.14</w:t>
                        </w:r>
                      </w:p>
                    </w:tc>
                    <w:tc>
                      <w:tcPr>
                        <w:tcW w:w="1956" w:type="dxa"/>
                      </w:tcPr>
                      <w:p>
                        <w:pPr>
                          <w:pStyle w:val="TableParagraph"/>
                          <w:spacing w:line="359" w:lineRule="exact"/>
                          <w:ind w:left="379"/>
                          <w:rPr>
                            <w:sz w:val="31"/>
                          </w:rPr>
                        </w:pPr>
                        <w:r>
                          <w:rPr>
                            <w:sz w:val="31"/>
                          </w:rPr>
                          <w:t>（mm）</w:t>
                        </w:r>
                      </w:p>
                      <w:p>
                        <w:pPr>
                          <w:pStyle w:val="TableParagraph"/>
                          <w:spacing w:before="125"/>
                          <w:ind w:left="458"/>
                          <w:rPr>
                            <w:sz w:val="31"/>
                          </w:rPr>
                        </w:pPr>
                        <w:r>
                          <w:rPr>
                            <w:sz w:val="31"/>
                          </w:rPr>
                          <w:t>d1200</w:t>
                        </w:r>
                      </w:p>
                    </w:tc>
                    <w:tc>
                      <w:tcPr>
                        <w:tcW w:w="2024" w:type="dxa"/>
                      </w:tcPr>
                      <w:p>
                        <w:pPr>
                          <w:pStyle w:val="TableParagraph"/>
                          <w:spacing w:line="359" w:lineRule="exact"/>
                          <w:ind w:left="610" w:right="597"/>
                          <w:jc w:val="center"/>
                          <w:rPr>
                            <w:sz w:val="31"/>
                          </w:rPr>
                        </w:pPr>
                        <w:r>
                          <w:rPr>
                            <w:sz w:val="31"/>
                          </w:rPr>
                          <w:t>(m)</w:t>
                        </w:r>
                      </w:p>
                      <w:p>
                        <w:pPr>
                          <w:pStyle w:val="TableParagraph"/>
                          <w:spacing w:before="125"/>
                          <w:ind w:left="611" w:right="597"/>
                          <w:jc w:val="center"/>
                          <w:rPr>
                            <w:sz w:val="31"/>
                          </w:rPr>
                        </w:pPr>
                        <w:r>
                          <w:rPr>
                            <w:sz w:val="31"/>
                          </w:rPr>
                          <w:t>203.5</w:t>
                        </w:r>
                      </w:p>
                    </w:tc>
                    <w:tc>
                      <w:tcPr>
                        <w:tcW w:w="2854" w:type="dxa"/>
                      </w:tcPr>
                      <w:p>
                        <w:pPr>
                          <w:pStyle w:val="TableParagraph"/>
                          <w:spacing w:line="359" w:lineRule="exact"/>
                          <w:ind w:left="600" w:right="351"/>
                          <w:jc w:val="center"/>
                          <w:rPr>
                            <w:sz w:val="31"/>
                          </w:rPr>
                        </w:pPr>
                        <w:r>
                          <w:rPr>
                            <w:sz w:val="31"/>
                          </w:rPr>
                          <w:t>（m）</w:t>
                        </w:r>
                      </w:p>
                      <w:p>
                        <w:pPr>
                          <w:pStyle w:val="TableParagraph"/>
                          <w:spacing w:before="125"/>
                          <w:ind w:left="603" w:right="351"/>
                          <w:jc w:val="center"/>
                          <w:rPr>
                            <w:sz w:val="31"/>
                          </w:rPr>
                        </w:pPr>
                        <w:r>
                          <w:rPr>
                            <w:sz w:val="31"/>
                          </w:rPr>
                          <w:t>7.728～7.726</w:t>
                        </w:r>
                      </w:p>
                    </w:tc>
                    <w:tc>
                      <w:tcPr>
                        <w:tcW w:w="3089" w:type="dxa"/>
                      </w:tcPr>
                      <w:p>
                        <w:pPr>
                          <w:pStyle w:val="TableParagraph"/>
                          <w:spacing w:before="10"/>
                          <w:rPr>
                            <w:sz w:val="37"/>
                          </w:rPr>
                        </w:pPr>
                      </w:p>
                      <w:p>
                        <w:pPr>
                          <w:pStyle w:val="TableParagraph"/>
                          <w:ind w:left="261" w:right="60"/>
                          <w:jc w:val="center"/>
                          <w:rPr>
                            <w:sz w:val="31"/>
                          </w:rPr>
                        </w:pPr>
                        <w:r>
                          <w:rPr>
                            <w:sz w:val="31"/>
                          </w:rPr>
                          <w:t>&lt;3-3&gt;粉质粘土</w:t>
                        </w:r>
                      </w:p>
                    </w:tc>
                  </w:tr>
                  <w:tr>
                    <w:tblPrEx>
                      <w:tblW w:w="0" w:type="auto"/>
                      <w:jc w:val="left"/>
                      <w:tblInd w:w="7" w:type="dxa"/>
                      <w:tblLayout w:type="fixed"/>
                      <w:tblCellMar>
                        <w:top w:w="0" w:type="dxa"/>
                        <w:left w:w="0" w:type="dxa"/>
                        <w:bottom w:w="0" w:type="dxa"/>
                        <w:right w:w="0" w:type="dxa"/>
                      </w:tblCellMar>
                      <w:tblLook w:val="01E0"/>
                    </w:tblPrEx>
                    <w:trPr>
                      <w:trHeight w:val="613"/>
                      <w:jc w:val="left"/>
                    </w:trPr>
                    <w:tc>
                      <w:tcPr>
                        <w:tcW w:w="531" w:type="dxa"/>
                      </w:tcPr>
                      <w:p>
                        <w:pPr>
                          <w:pStyle w:val="TableParagraph"/>
                          <w:spacing w:before="110"/>
                          <w:ind w:left="118"/>
                          <w:rPr>
                            <w:sz w:val="31"/>
                          </w:rPr>
                        </w:pPr>
                        <w:r>
                          <w:rPr>
                            <w:w w:val="102"/>
                            <w:sz w:val="31"/>
                          </w:rPr>
                          <w:t>2</w:t>
                        </w:r>
                      </w:p>
                    </w:tc>
                    <w:tc>
                      <w:tcPr>
                        <w:tcW w:w="4022" w:type="dxa"/>
                      </w:tcPr>
                      <w:p>
                        <w:pPr>
                          <w:pStyle w:val="TableParagraph"/>
                          <w:spacing w:before="110"/>
                          <w:ind w:left="163"/>
                          <w:rPr>
                            <w:sz w:val="31"/>
                          </w:rPr>
                        </w:pPr>
                        <w:r>
                          <w:rPr>
                            <w:sz w:val="31"/>
                          </w:rPr>
                          <w:t>KA1+010.63～KA1+191.62</w:t>
                        </w:r>
                      </w:p>
                    </w:tc>
                    <w:tc>
                      <w:tcPr>
                        <w:tcW w:w="1956" w:type="dxa"/>
                      </w:tcPr>
                      <w:p>
                        <w:pPr>
                          <w:pStyle w:val="TableParagraph"/>
                          <w:spacing w:before="110"/>
                          <w:ind w:left="458"/>
                          <w:rPr>
                            <w:sz w:val="31"/>
                          </w:rPr>
                        </w:pPr>
                        <w:r>
                          <w:rPr>
                            <w:sz w:val="31"/>
                          </w:rPr>
                          <w:t>d1200</w:t>
                        </w:r>
                      </w:p>
                    </w:tc>
                    <w:tc>
                      <w:tcPr>
                        <w:tcW w:w="2024" w:type="dxa"/>
                      </w:tcPr>
                      <w:p>
                        <w:pPr>
                          <w:pStyle w:val="TableParagraph"/>
                          <w:spacing w:before="110"/>
                          <w:ind w:left="781"/>
                          <w:rPr>
                            <w:sz w:val="31"/>
                          </w:rPr>
                        </w:pPr>
                        <w:r>
                          <w:rPr>
                            <w:sz w:val="31"/>
                          </w:rPr>
                          <w:t>181</w:t>
                        </w:r>
                      </w:p>
                    </w:tc>
                    <w:tc>
                      <w:tcPr>
                        <w:tcW w:w="2854" w:type="dxa"/>
                      </w:tcPr>
                      <w:p>
                        <w:pPr>
                          <w:pStyle w:val="TableParagraph"/>
                          <w:spacing w:before="110"/>
                          <w:ind w:right="351"/>
                          <w:jc w:val="right"/>
                          <w:rPr>
                            <w:sz w:val="31"/>
                          </w:rPr>
                        </w:pPr>
                        <w:r>
                          <w:rPr>
                            <w:sz w:val="31"/>
                          </w:rPr>
                          <w:t>7.728～8.266</w:t>
                        </w:r>
                      </w:p>
                    </w:tc>
                    <w:tc>
                      <w:tcPr>
                        <w:tcW w:w="3089" w:type="dxa"/>
                      </w:tcPr>
                      <w:p>
                        <w:pPr>
                          <w:pStyle w:val="TableParagraph"/>
                          <w:spacing w:before="110"/>
                          <w:ind w:left="261" w:right="60"/>
                          <w:jc w:val="center"/>
                          <w:rPr>
                            <w:sz w:val="31"/>
                          </w:rPr>
                        </w:pPr>
                        <w:r>
                          <w:rPr>
                            <w:sz w:val="31"/>
                          </w:rPr>
                          <w:t>&lt;3-3&gt;粉质粘土</w:t>
                        </w:r>
                      </w:p>
                    </w:tc>
                  </w:tr>
                  <w:tr>
                    <w:tblPrEx>
                      <w:tblW w:w="0" w:type="auto"/>
                      <w:jc w:val="left"/>
                      <w:tblInd w:w="7" w:type="dxa"/>
                      <w:tblLayout w:type="fixed"/>
                      <w:tblCellMar>
                        <w:top w:w="0" w:type="dxa"/>
                        <w:left w:w="0" w:type="dxa"/>
                        <w:bottom w:w="0" w:type="dxa"/>
                        <w:right w:w="0" w:type="dxa"/>
                      </w:tblCellMar>
                      <w:tblLook w:val="01E0"/>
                    </w:tblPrEx>
                    <w:trPr>
                      <w:trHeight w:val="613"/>
                      <w:jc w:val="left"/>
                    </w:trPr>
                    <w:tc>
                      <w:tcPr>
                        <w:tcW w:w="531" w:type="dxa"/>
                      </w:tcPr>
                      <w:p>
                        <w:pPr>
                          <w:pStyle w:val="TableParagraph"/>
                          <w:spacing w:before="111"/>
                          <w:ind w:left="118"/>
                          <w:rPr>
                            <w:sz w:val="31"/>
                          </w:rPr>
                        </w:pPr>
                        <w:r>
                          <w:rPr>
                            <w:w w:val="102"/>
                            <w:sz w:val="31"/>
                          </w:rPr>
                          <w:t>3</w:t>
                        </w:r>
                      </w:p>
                    </w:tc>
                    <w:tc>
                      <w:tcPr>
                        <w:tcW w:w="4022" w:type="dxa"/>
                      </w:tcPr>
                      <w:p>
                        <w:pPr>
                          <w:pStyle w:val="TableParagraph"/>
                          <w:spacing w:before="111"/>
                          <w:ind w:left="163"/>
                          <w:rPr>
                            <w:sz w:val="31"/>
                          </w:rPr>
                        </w:pPr>
                        <w:r>
                          <w:rPr>
                            <w:sz w:val="31"/>
                          </w:rPr>
                          <w:t>KA1+335.63～KA1+191.62</w:t>
                        </w:r>
                      </w:p>
                    </w:tc>
                    <w:tc>
                      <w:tcPr>
                        <w:tcW w:w="1956" w:type="dxa"/>
                      </w:tcPr>
                      <w:p>
                        <w:pPr>
                          <w:pStyle w:val="TableParagraph"/>
                          <w:spacing w:before="111"/>
                          <w:ind w:left="458"/>
                          <w:rPr>
                            <w:sz w:val="31"/>
                          </w:rPr>
                        </w:pPr>
                        <w:r>
                          <w:rPr>
                            <w:sz w:val="31"/>
                          </w:rPr>
                          <w:t>d1200</w:t>
                        </w:r>
                      </w:p>
                    </w:tc>
                    <w:tc>
                      <w:tcPr>
                        <w:tcW w:w="2024" w:type="dxa"/>
                      </w:tcPr>
                      <w:p>
                        <w:pPr>
                          <w:pStyle w:val="TableParagraph"/>
                          <w:spacing w:before="111"/>
                          <w:ind w:left="781"/>
                          <w:rPr>
                            <w:sz w:val="31"/>
                          </w:rPr>
                        </w:pPr>
                        <w:r>
                          <w:rPr>
                            <w:sz w:val="31"/>
                          </w:rPr>
                          <w:t>144</w:t>
                        </w:r>
                      </w:p>
                    </w:tc>
                    <w:tc>
                      <w:tcPr>
                        <w:tcW w:w="2854" w:type="dxa"/>
                      </w:tcPr>
                      <w:p>
                        <w:pPr>
                          <w:pStyle w:val="TableParagraph"/>
                          <w:spacing w:before="111"/>
                          <w:ind w:right="351"/>
                          <w:jc w:val="right"/>
                          <w:rPr>
                            <w:sz w:val="31"/>
                          </w:rPr>
                        </w:pPr>
                        <w:r>
                          <w:rPr>
                            <w:sz w:val="31"/>
                          </w:rPr>
                          <w:t>8.323～8.266</w:t>
                        </w:r>
                      </w:p>
                    </w:tc>
                    <w:tc>
                      <w:tcPr>
                        <w:tcW w:w="3089" w:type="dxa"/>
                      </w:tcPr>
                      <w:p>
                        <w:pPr>
                          <w:pStyle w:val="TableParagraph"/>
                          <w:spacing w:before="111"/>
                          <w:ind w:left="261" w:right="60"/>
                          <w:jc w:val="center"/>
                          <w:rPr>
                            <w:sz w:val="31"/>
                          </w:rPr>
                        </w:pPr>
                        <w:r>
                          <w:rPr>
                            <w:sz w:val="31"/>
                          </w:rPr>
                          <w:t>&lt;3-3&gt;粉质粘土</w:t>
                        </w:r>
                      </w:p>
                    </w:tc>
                  </w:tr>
                  <w:tr>
                    <w:tblPrEx>
                      <w:tblW w:w="0" w:type="auto"/>
                      <w:jc w:val="left"/>
                      <w:tblInd w:w="7" w:type="dxa"/>
                      <w:tblLayout w:type="fixed"/>
                      <w:tblCellMar>
                        <w:top w:w="0" w:type="dxa"/>
                        <w:left w:w="0" w:type="dxa"/>
                        <w:bottom w:w="0" w:type="dxa"/>
                        <w:right w:w="0" w:type="dxa"/>
                      </w:tblCellMar>
                      <w:tblLook w:val="01E0"/>
                    </w:tblPrEx>
                    <w:trPr>
                      <w:trHeight w:val="567"/>
                      <w:jc w:val="left"/>
                    </w:trPr>
                    <w:tc>
                      <w:tcPr>
                        <w:tcW w:w="531" w:type="dxa"/>
                      </w:tcPr>
                      <w:p>
                        <w:pPr>
                          <w:pStyle w:val="TableParagraph"/>
                          <w:spacing w:before="110"/>
                          <w:ind w:left="118"/>
                          <w:rPr>
                            <w:sz w:val="31"/>
                          </w:rPr>
                        </w:pPr>
                        <w:r>
                          <w:rPr>
                            <w:w w:val="102"/>
                            <w:sz w:val="31"/>
                          </w:rPr>
                          <w:t>4</w:t>
                        </w:r>
                      </w:p>
                    </w:tc>
                    <w:tc>
                      <w:tcPr>
                        <w:tcW w:w="4022" w:type="dxa"/>
                      </w:tcPr>
                      <w:p>
                        <w:pPr>
                          <w:pStyle w:val="TableParagraph"/>
                          <w:spacing w:before="110"/>
                          <w:ind w:left="163"/>
                          <w:rPr>
                            <w:sz w:val="31"/>
                          </w:rPr>
                        </w:pPr>
                        <w:r>
                          <w:rPr>
                            <w:sz w:val="31"/>
                          </w:rPr>
                          <w:t>KA1+335.63～KA1+485.63</w:t>
                        </w:r>
                      </w:p>
                    </w:tc>
                    <w:tc>
                      <w:tcPr>
                        <w:tcW w:w="1956" w:type="dxa"/>
                      </w:tcPr>
                      <w:p>
                        <w:pPr>
                          <w:pStyle w:val="TableParagraph"/>
                          <w:spacing w:before="110"/>
                          <w:ind w:left="458"/>
                          <w:rPr>
                            <w:sz w:val="31"/>
                          </w:rPr>
                        </w:pPr>
                        <w:r>
                          <w:rPr>
                            <w:sz w:val="31"/>
                          </w:rPr>
                          <w:t>d1200</w:t>
                        </w:r>
                      </w:p>
                    </w:tc>
                    <w:tc>
                      <w:tcPr>
                        <w:tcW w:w="2024" w:type="dxa"/>
                      </w:tcPr>
                      <w:p>
                        <w:pPr>
                          <w:pStyle w:val="TableParagraph"/>
                          <w:spacing w:before="110"/>
                          <w:ind w:left="781"/>
                          <w:rPr>
                            <w:sz w:val="31"/>
                          </w:rPr>
                        </w:pPr>
                        <w:r>
                          <w:rPr>
                            <w:sz w:val="31"/>
                          </w:rPr>
                          <w:t>150</w:t>
                        </w:r>
                      </w:p>
                    </w:tc>
                    <w:tc>
                      <w:tcPr>
                        <w:tcW w:w="2854" w:type="dxa"/>
                      </w:tcPr>
                      <w:p>
                        <w:pPr>
                          <w:pStyle w:val="TableParagraph"/>
                          <w:spacing w:before="110"/>
                          <w:ind w:right="351"/>
                          <w:jc w:val="right"/>
                          <w:rPr>
                            <w:sz w:val="31"/>
                          </w:rPr>
                        </w:pPr>
                        <w:r>
                          <w:rPr>
                            <w:sz w:val="31"/>
                          </w:rPr>
                          <w:t>8.323～8.793</w:t>
                        </w:r>
                      </w:p>
                    </w:tc>
                    <w:tc>
                      <w:tcPr>
                        <w:tcW w:w="3089" w:type="dxa"/>
                      </w:tcPr>
                      <w:p>
                        <w:pPr>
                          <w:pStyle w:val="TableParagraph"/>
                          <w:spacing w:before="110"/>
                          <w:ind w:left="261" w:right="60"/>
                          <w:jc w:val="center"/>
                          <w:rPr>
                            <w:sz w:val="31"/>
                          </w:rPr>
                        </w:pPr>
                        <w:r>
                          <w:rPr>
                            <w:sz w:val="31"/>
                          </w:rPr>
                          <w:t>&lt;3-3&gt;粉质粘土</w:t>
                        </w:r>
                      </w:p>
                    </w:tc>
                  </w:tr>
                  <w:tr>
                    <w:tblPrEx>
                      <w:tblW w:w="0" w:type="auto"/>
                      <w:jc w:val="left"/>
                      <w:tblInd w:w="7" w:type="dxa"/>
                      <w:tblLayout w:type="fixed"/>
                      <w:tblCellMar>
                        <w:top w:w="0" w:type="dxa"/>
                        <w:left w:w="0" w:type="dxa"/>
                        <w:bottom w:w="0" w:type="dxa"/>
                        <w:right w:w="0" w:type="dxa"/>
                      </w:tblCellMar>
                      <w:tblLook w:val="01E0"/>
                    </w:tblPrEx>
                    <w:trPr>
                      <w:trHeight w:val="625"/>
                      <w:jc w:val="left"/>
                    </w:trPr>
                    <w:tc>
                      <w:tcPr>
                        <w:tcW w:w="531" w:type="dxa"/>
                      </w:tcPr>
                      <w:p>
                        <w:pPr>
                          <w:pStyle w:val="TableParagraph"/>
                          <w:spacing w:before="270" w:line="335" w:lineRule="exact"/>
                          <w:ind w:left="118"/>
                          <w:rPr>
                            <w:sz w:val="31"/>
                          </w:rPr>
                        </w:pPr>
                        <w:r>
                          <w:rPr>
                            <w:w w:val="102"/>
                            <w:sz w:val="31"/>
                          </w:rPr>
                          <w:t>5</w:t>
                        </w:r>
                      </w:p>
                    </w:tc>
                    <w:tc>
                      <w:tcPr>
                        <w:tcW w:w="4022" w:type="dxa"/>
                      </w:tcPr>
                      <w:p>
                        <w:pPr>
                          <w:pStyle w:val="TableParagraph"/>
                          <w:spacing w:before="270" w:line="335" w:lineRule="exact"/>
                          <w:ind w:left="163"/>
                          <w:rPr>
                            <w:sz w:val="31"/>
                          </w:rPr>
                        </w:pPr>
                        <w:r>
                          <w:rPr>
                            <w:sz w:val="31"/>
                          </w:rPr>
                          <w:t>KA1+635.63～KA1+485.63</w:t>
                        </w:r>
                      </w:p>
                    </w:tc>
                    <w:tc>
                      <w:tcPr>
                        <w:tcW w:w="1956" w:type="dxa"/>
                      </w:tcPr>
                      <w:p>
                        <w:pPr>
                          <w:pStyle w:val="TableParagraph"/>
                          <w:spacing w:before="270" w:line="335" w:lineRule="exact"/>
                          <w:ind w:left="458"/>
                          <w:rPr>
                            <w:sz w:val="31"/>
                          </w:rPr>
                        </w:pPr>
                        <w:r>
                          <w:rPr>
                            <w:sz w:val="31"/>
                          </w:rPr>
                          <w:t>d1200</w:t>
                        </w:r>
                      </w:p>
                    </w:tc>
                    <w:tc>
                      <w:tcPr>
                        <w:tcW w:w="2024" w:type="dxa"/>
                      </w:tcPr>
                      <w:p>
                        <w:pPr>
                          <w:pStyle w:val="TableParagraph"/>
                          <w:spacing w:before="270" w:line="335" w:lineRule="exact"/>
                          <w:ind w:left="781"/>
                          <w:rPr>
                            <w:sz w:val="31"/>
                          </w:rPr>
                        </w:pPr>
                        <w:r>
                          <w:rPr>
                            <w:sz w:val="31"/>
                          </w:rPr>
                          <w:t>150</w:t>
                        </w:r>
                      </w:p>
                    </w:tc>
                    <w:tc>
                      <w:tcPr>
                        <w:tcW w:w="2854" w:type="dxa"/>
                      </w:tcPr>
                      <w:p>
                        <w:pPr>
                          <w:pStyle w:val="TableParagraph"/>
                          <w:spacing w:before="270" w:line="335" w:lineRule="exact"/>
                          <w:ind w:right="351"/>
                          <w:jc w:val="right"/>
                          <w:rPr>
                            <w:sz w:val="31"/>
                          </w:rPr>
                        </w:pPr>
                        <w:r>
                          <w:rPr>
                            <w:sz w:val="31"/>
                          </w:rPr>
                          <w:t>9.433～8.793</w:t>
                        </w:r>
                      </w:p>
                    </w:tc>
                    <w:tc>
                      <w:tcPr>
                        <w:tcW w:w="3089" w:type="dxa"/>
                      </w:tcPr>
                      <w:p>
                        <w:pPr>
                          <w:pStyle w:val="TableParagraph"/>
                          <w:spacing w:before="65"/>
                          <w:ind w:left="354" w:right="60"/>
                          <w:jc w:val="center"/>
                          <w:rPr>
                            <w:sz w:val="31"/>
                          </w:rPr>
                        </w:pPr>
                        <w:r>
                          <w:rPr>
                            <w:sz w:val="31"/>
                          </w:rPr>
                          <w:t>&lt;3-2&gt;细砂、中砂、</w:t>
                        </w:r>
                      </w:p>
                    </w:tc>
                  </w:tr>
                </w:tbl>
                <w:p>
                  <w:pPr>
                    <w:pStyle w:val="BodyText"/>
                  </w:pPr>
                </w:p>
              </w:txbxContent>
            </v:textbox>
          </v:shape>
        </w:pict>
      </w:r>
      <w:r>
        <w:rPr>
          <w:sz w:val="31"/>
        </w:rPr>
        <w:t>序</w:t>
        <w:tab/>
      </w:r>
      <w:r>
        <w:rPr>
          <w:position w:val="-19"/>
          <w:sz w:val="31"/>
        </w:rPr>
        <w:t>桩号</w:t>
        <w:tab/>
      </w:r>
      <w:r>
        <w:rPr>
          <w:sz w:val="31"/>
        </w:rPr>
        <w:t>直径</w:t>
        <w:tab/>
        <w:t>长度</w:t>
      </w:r>
    </w:p>
    <w:p>
      <w:pPr>
        <w:tabs>
          <w:tab w:val="left" w:pos="2653"/>
        </w:tabs>
        <w:spacing w:before="64"/>
        <w:ind w:left="179" w:right="0" w:firstLine="0"/>
        <w:jc w:val="left"/>
        <w:rPr>
          <w:sz w:val="31"/>
        </w:rPr>
      </w:pPr>
      <w:r>
        <w:br w:type="column"/>
      </w:r>
      <w:r>
        <w:rPr>
          <w:position w:val="20"/>
          <w:sz w:val="31"/>
        </w:rPr>
        <w:t>埋深</w:t>
        <w:tab/>
      </w:r>
      <w:r>
        <w:rPr>
          <w:sz w:val="31"/>
        </w:rPr>
        <w:t>管底地质层</w:t>
      </w:r>
    </w:p>
    <w:p>
      <w:pPr>
        <w:spacing w:after="0"/>
        <w:jc w:val="left"/>
        <w:rPr>
          <w:sz w:val="31"/>
        </w:rPr>
        <w:sectPr>
          <w:type w:val="continuous"/>
          <w:pgSz w:w="17860" w:h="25260"/>
          <w:pgMar w:top="1000" w:right="800" w:bottom="280" w:left="1740" w:header="708" w:footer="708"/>
          <w:pgNumType w:start="7"/>
          <w:cols w:num="2" w:space="708" w:equalWidth="0">
            <w:col w:w="8015" w:space="1703"/>
            <w:col w:w="5602" w:space="0"/>
          </w:cols>
        </w:sectPr>
      </w:pPr>
    </w:p>
    <w:p>
      <w:pPr>
        <w:pStyle w:val="BodyText"/>
        <w:rPr>
          <w:sz w:val="20"/>
        </w:rPr>
      </w:pPr>
      <w:r>
        <w:pict>
          <v:group id="_x0000_s1033" style="width:893pt;height:1248pt;margin-top:0;margin-left:0;mso-position-horizontal-relative:page;mso-position-vertical-relative:page;position:absolute;z-index:-251652096" coordorigin="0,0" coordsize="17860,24960">
            <v:shape id="_x0000_s1034" type="#_x0000_t75" style="width:17860;height:24960;position:absolute" stroked="f">
              <v:imagedata r:id="rId5" o:title=""/>
            </v:shape>
            <v:shape id="_x0000_s1035" type="#_x0000_t75" style="width:14680;height:4820;left:1720;position:absolute;top:15120" stroked="f">
              <v:imagedata r:id="rId8" o:title=""/>
            </v:shape>
            <v:shape id="_x0000_s1036" type="#_x0000_t75" style="width:6804;height:9076;left:1954;position:absolute;top:1698" stroked="f">
              <v:imagedata r:id="rId9" o:title=""/>
            </v:shape>
            <v:shape id="_x0000_s1037" type="#_x0000_t75" style="width:6804;height:9076;left:9118;position:absolute;top:1698" stroked="f">
              <v:imagedata r:id="rId10"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5"/>
        </w:rPr>
      </w:pPr>
    </w:p>
    <w:tbl>
      <w:tblPr>
        <w:tblStyle w:val="TableNormal1"/>
        <w:tblW w:w="0" w:type="auto"/>
        <w:jc w:val="left"/>
        <w:tblInd w:w="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7"/>
        <w:gridCol w:w="4106"/>
        <w:gridCol w:w="1955"/>
        <w:gridCol w:w="1865"/>
        <w:gridCol w:w="3147"/>
        <w:gridCol w:w="2551"/>
      </w:tblGrid>
      <w:tr>
        <w:tblPrEx>
          <w:tblW w:w="0" w:type="auto"/>
          <w:jc w:val="left"/>
          <w:tblInd w:w="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9"/>
          <w:jc w:val="left"/>
        </w:trPr>
        <w:tc>
          <w:tcPr>
            <w:tcW w:w="11490" w:type="dxa"/>
            <w:gridSpan w:val="5"/>
          </w:tcPr>
          <w:p>
            <w:pPr>
              <w:pStyle w:val="TableParagraph"/>
              <w:rPr>
                <w:rFonts w:ascii="Times New Roman"/>
                <w:sz w:val="32"/>
              </w:rPr>
            </w:pPr>
          </w:p>
        </w:tc>
        <w:tc>
          <w:tcPr>
            <w:tcW w:w="2551" w:type="dxa"/>
          </w:tcPr>
          <w:p>
            <w:pPr>
              <w:pStyle w:val="TableParagraph"/>
              <w:spacing w:line="359" w:lineRule="exact"/>
              <w:ind w:left="442" w:right="50"/>
              <w:jc w:val="center"/>
              <w:rPr>
                <w:sz w:val="31"/>
              </w:rPr>
            </w:pPr>
            <w:r>
              <w:rPr>
                <w:sz w:val="31"/>
              </w:rPr>
              <w:t>粗砂</w:t>
            </w:r>
          </w:p>
        </w:tc>
      </w:tr>
      <w:tr>
        <w:tblPrEx>
          <w:tblW w:w="0" w:type="auto"/>
          <w:jc w:val="left"/>
          <w:tblInd w:w="205" w:type="dxa"/>
          <w:tblLayout w:type="fixed"/>
          <w:tblCellMar>
            <w:top w:w="0" w:type="dxa"/>
            <w:left w:w="0" w:type="dxa"/>
            <w:bottom w:w="0" w:type="dxa"/>
            <w:right w:w="0" w:type="dxa"/>
          </w:tblCellMar>
          <w:tblLook w:val="01E0"/>
        </w:tblPrEx>
        <w:trPr>
          <w:trHeight w:val="419"/>
          <w:jc w:val="left"/>
        </w:trPr>
        <w:tc>
          <w:tcPr>
            <w:tcW w:w="417" w:type="dxa"/>
          </w:tcPr>
          <w:p>
            <w:pPr>
              <w:pStyle w:val="TableParagraph"/>
              <w:spacing w:before="65" w:line="335" w:lineRule="exact"/>
              <w:ind w:left="50"/>
              <w:rPr>
                <w:sz w:val="31"/>
              </w:rPr>
            </w:pPr>
            <w:r>
              <w:rPr>
                <w:w w:val="102"/>
                <w:sz w:val="31"/>
              </w:rPr>
              <w:t>6</w:t>
            </w:r>
          </w:p>
        </w:tc>
        <w:tc>
          <w:tcPr>
            <w:tcW w:w="4106" w:type="dxa"/>
          </w:tcPr>
          <w:p>
            <w:pPr>
              <w:pStyle w:val="TableParagraph"/>
              <w:spacing w:before="65" w:line="335" w:lineRule="exact"/>
              <w:ind w:left="208"/>
              <w:rPr>
                <w:sz w:val="31"/>
              </w:rPr>
            </w:pPr>
            <w:r>
              <w:rPr>
                <w:sz w:val="31"/>
              </w:rPr>
              <w:t>KA1+635.63～KA1+787.53</w:t>
            </w:r>
          </w:p>
        </w:tc>
        <w:tc>
          <w:tcPr>
            <w:tcW w:w="1955" w:type="dxa"/>
          </w:tcPr>
          <w:p>
            <w:pPr>
              <w:pStyle w:val="TableParagraph"/>
              <w:spacing w:before="65" w:line="335" w:lineRule="exact"/>
              <w:ind w:left="420"/>
              <w:rPr>
                <w:sz w:val="31"/>
              </w:rPr>
            </w:pPr>
            <w:r>
              <w:rPr>
                <w:sz w:val="31"/>
              </w:rPr>
              <w:t>d1200</w:t>
            </w:r>
          </w:p>
        </w:tc>
        <w:tc>
          <w:tcPr>
            <w:tcW w:w="1865" w:type="dxa"/>
          </w:tcPr>
          <w:p>
            <w:pPr>
              <w:pStyle w:val="TableParagraph"/>
              <w:spacing w:before="65" w:line="335" w:lineRule="exact"/>
              <w:ind w:left="728" w:right="631"/>
              <w:jc w:val="center"/>
              <w:rPr>
                <w:sz w:val="31"/>
              </w:rPr>
            </w:pPr>
            <w:r>
              <w:rPr>
                <w:sz w:val="31"/>
              </w:rPr>
              <w:t>152</w:t>
            </w:r>
          </w:p>
        </w:tc>
        <w:tc>
          <w:tcPr>
            <w:tcW w:w="3147" w:type="dxa"/>
          </w:tcPr>
          <w:p>
            <w:pPr>
              <w:pStyle w:val="TableParagraph"/>
              <w:spacing w:before="65" w:line="335" w:lineRule="exact"/>
              <w:ind w:left="647"/>
              <w:rPr>
                <w:sz w:val="31"/>
              </w:rPr>
            </w:pPr>
            <w:r>
              <w:rPr>
                <w:sz w:val="31"/>
              </w:rPr>
              <w:t>9.433～10.374</w:t>
            </w:r>
          </w:p>
        </w:tc>
        <w:tc>
          <w:tcPr>
            <w:tcW w:w="2551" w:type="dxa"/>
          </w:tcPr>
          <w:p>
            <w:pPr>
              <w:pStyle w:val="TableParagraph"/>
              <w:spacing w:before="65" w:line="335" w:lineRule="exact"/>
              <w:ind w:left="446" w:right="50"/>
              <w:jc w:val="center"/>
              <w:rPr>
                <w:sz w:val="31"/>
              </w:rPr>
            </w:pPr>
            <w:r>
              <w:rPr>
                <w:sz w:val="31"/>
              </w:rPr>
              <w:t>&lt;3-3&gt;粉质粘土</w:t>
            </w:r>
          </w:p>
        </w:tc>
      </w:tr>
    </w:tbl>
    <w:p>
      <w:pPr>
        <w:pStyle w:val="BodyText"/>
        <w:spacing w:before="8"/>
        <w:rPr>
          <w:sz w:val="22"/>
        </w:rPr>
      </w:pPr>
    </w:p>
    <w:p>
      <w:pPr>
        <w:pStyle w:val="BodyText"/>
        <w:spacing w:before="49"/>
        <w:ind w:left="921"/>
      </w:pPr>
      <w:r>
        <w:t>2、场地岩土层划分及其结构特征</w:t>
      </w:r>
    </w:p>
    <w:p>
      <w:pPr>
        <w:pStyle w:val="BodyText"/>
        <w:spacing w:before="274"/>
        <w:ind w:left="935"/>
      </w:pPr>
      <w:r>
        <w:t>参照建设单位提供的岩土勘察报告可知地层特征如下表：</w:t>
      </w:r>
    </w:p>
    <w:p>
      <w:pPr>
        <w:pStyle w:val="BodyText"/>
      </w:pPr>
    </w:p>
    <w:p>
      <w:pPr>
        <w:pStyle w:val="BodyText"/>
      </w:pPr>
    </w:p>
    <w:p>
      <w:pPr>
        <w:pStyle w:val="BodyText"/>
      </w:pPr>
    </w:p>
    <w:p>
      <w:pPr>
        <w:pStyle w:val="BodyText"/>
        <w:spacing w:before="253"/>
        <w:ind w:right="686"/>
        <w:jc w:val="center"/>
      </w:pPr>
      <w:r>
        <w:t>场地各岩土层结构特征表</w:t>
      </w:r>
    </w:p>
    <w:p>
      <w:pPr>
        <w:spacing w:after="0"/>
        <w:jc w:val="center"/>
        <w:sectPr>
          <w:type w:val="continuous"/>
          <w:pgSz w:w="17860" w:h="25260"/>
          <w:pgMar w:top="1000" w:right="800" w:bottom="280" w:left="1740" w:header="708" w:footer="708"/>
          <w:pgNumType w:start="8"/>
          <w:cols w:space="708"/>
        </w:sectPr>
      </w:pPr>
    </w:p>
    <w:p>
      <w:pPr>
        <w:pStyle w:val="BodyText"/>
        <w:rPr>
          <w:sz w:val="32"/>
        </w:rPr>
      </w:pPr>
    </w:p>
    <w:p>
      <w:pPr>
        <w:spacing w:before="233" w:line="247" w:lineRule="auto"/>
        <w:ind w:left="669" w:right="38" w:firstLine="0"/>
        <w:jc w:val="left"/>
        <w:rPr>
          <w:b/>
          <w:sz w:val="31"/>
        </w:rPr>
      </w:pPr>
      <w:r>
        <w:rPr>
          <w:b/>
          <w:spacing w:val="-9"/>
          <w:sz w:val="31"/>
        </w:rPr>
        <w:t>地层编号</w:t>
      </w:r>
    </w:p>
    <w:p>
      <w:pPr>
        <w:spacing w:before="125"/>
        <w:ind w:left="748" w:right="0" w:firstLine="0"/>
        <w:jc w:val="left"/>
        <w:rPr>
          <w:sz w:val="31"/>
        </w:rPr>
      </w:pPr>
      <w:r>
        <w:rPr>
          <w:sz w:val="31"/>
        </w:rPr>
        <w:t>&lt;1&gt;</w:t>
      </w:r>
    </w:p>
    <w:p>
      <w:pPr>
        <w:pStyle w:val="BodyText"/>
        <w:spacing w:before="5"/>
        <w:rPr>
          <w:sz w:val="39"/>
        </w:rPr>
      </w:pPr>
      <w:r>
        <w:br w:type="column"/>
      </w:r>
    </w:p>
    <w:p>
      <w:pPr>
        <w:spacing w:before="0" w:line="740" w:lineRule="atLeast"/>
        <w:ind w:left="669" w:right="38" w:firstLine="313"/>
        <w:jc w:val="left"/>
        <w:rPr>
          <w:sz w:val="31"/>
        </w:rPr>
      </w:pPr>
      <w:r>
        <w:rPr>
          <w:b/>
          <w:sz w:val="31"/>
        </w:rPr>
        <w:t xml:space="preserve">岩土层 </w:t>
      </w:r>
      <w:r>
        <w:rPr>
          <w:spacing w:val="-4"/>
          <w:sz w:val="31"/>
        </w:rPr>
        <w:t>人工填土层</w:t>
      </w:r>
    </w:p>
    <w:p>
      <w:pPr>
        <w:pStyle w:val="BodyText"/>
        <w:rPr>
          <w:sz w:val="32"/>
        </w:rPr>
      </w:pPr>
      <w:r>
        <w:br w:type="column"/>
      </w:r>
    </w:p>
    <w:p>
      <w:pPr>
        <w:spacing w:before="233"/>
        <w:ind w:left="669" w:right="0" w:firstLine="0"/>
        <w:jc w:val="center"/>
        <w:rPr>
          <w:b/>
          <w:sz w:val="31"/>
        </w:rPr>
      </w:pPr>
      <w:r>
        <w:rPr>
          <w:b/>
          <w:sz w:val="31"/>
        </w:rPr>
        <w:t>层顶埋深</w:t>
      </w:r>
    </w:p>
    <w:p>
      <w:pPr>
        <w:spacing w:before="13"/>
        <w:ind w:left="668" w:right="0" w:firstLine="0"/>
        <w:jc w:val="center"/>
        <w:rPr>
          <w:b/>
          <w:sz w:val="31"/>
        </w:rPr>
      </w:pPr>
      <w:r>
        <w:rPr>
          <w:b/>
          <w:sz w:val="31"/>
        </w:rPr>
        <w:t>（m）</w:t>
      </w:r>
    </w:p>
    <w:p>
      <w:pPr>
        <w:spacing w:before="136"/>
        <w:ind w:left="669" w:right="0" w:firstLine="0"/>
        <w:jc w:val="center"/>
        <w:rPr>
          <w:sz w:val="31"/>
        </w:rPr>
      </w:pPr>
      <w:r>
        <w:rPr>
          <w:sz w:val="31"/>
        </w:rPr>
        <w:t>0.00</w:t>
      </w:r>
    </w:p>
    <w:p>
      <w:pPr>
        <w:spacing w:before="28"/>
        <w:ind w:left="35" w:right="0" w:firstLine="0"/>
        <w:jc w:val="left"/>
        <w:rPr>
          <w:rFonts w:ascii="幼圆" w:eastAsia="幼圆" w:hint="eastAsia"/>
          <w:sz w:val="27"/>
        </w:rPr>
      </w:pPr>
      <w:r>
        <w:br w:type="column"/>
      </w:r>
      <w:r>
        <w:rPr>
          <w:rFonts w:ascii="幼圆" w:eastAsia="幼圆" w:hint="eastAsia"/>
          <w:sz w:val="27"/>
        </w:rPr>
        <w:t>实用文档</w:t>
      </w:r>
    </w:p>
    <w:p>
      <w:pPr>
        <w:pStyle w:val="BodyText"/>
        <w:rPr>
          <w:rFonts w:ascii="幼圆"/>
          <w:sz w:val="32"/>
        </w:rPr>
      </w:pPr>
      <w:r>
        <w:br w:type="column"/>
      </w:r>
    </w:p>
    <w:p>
      <w:pPr>
        <w:spacing w:before="233"/>
        <w:ind w:left="424" w:right="36" w:firstLine="0"/>
        <w:jc w:val="center"/>
        <w:rPr>
          <w:b/>
          <w:sz w:val="31"/>
        </w:rPr>
      </w:pPr>
      <w:r>
        <w:rPr>
          <w:b/>
          <w:sz w:val="31"/>
        </w:rPr>
        <w:t>层厚</w:t>
      </w:r>
    </w:p>
    <w:p>
      <w:pPr>
        <w:spacing w:before="13"/>
        <w:ind w:left="424" w:right="36" w:firstLine="0"/>
        <w:jc w:val="center"/>
        <w:rPr>
          <w:b/>
          <w:sz w:val="31"/>
        </w:rPr>
      </w:pPr>
      <w:r>
        <w:rPr>
          <w:b/>
          <w:sz w:val="31"/>
        </w:rPr>
        <w:t>（m）</w:t>
      </w:r>
    </w:p>
    <w:p>
      <w:pPr>
        <w:spacing w:before="136"/>
        <w:ind w:left="431" w:right="36" w:firstLine="0"/>
        <w:jc w:val="center"/>
        <w:rPr>
          <w:sz w:val="31"/>
        </w:rPr>
      </w:pPr>
      <w:r>
        <w:rPr>
          <w:sz w:val="31"/>
        </w:rPr>
        <w:t>1.40~3.30</w:t>
      </w:r>
    </w:p>
    <w:p>
      <w:pPr>
        <w:pStyle w:val="BodyText"/>
        <w:spacing w:before="5"/>
        <w:rPr>
          <w:sz w:val="39"/>
        </w:rPr>
      </w:pPr>
      <w:r>
        <w:br w:type="column"/>
      </w:r>
    </w:p>
    <w:p>
      <w:pPr>
        <w:spacing w:before="0" w:line="740" w:lineRule="atLeast"/>
        <w:ind w:left="669" w:right="38" w:firstLine="154"/>
        <w:jc w:val="left"/>
        <w:rPr>
          <w:sz w:val="31"/>
        </w:rPr>
      </w:pPr>
      <w:r>
        <w:rPr>
          <w:b/>
          <w:sz w:val="31"/>
        </w:rPr>
        <w:t>状态</w:t>
      </w:r>
      <w:r>
        <w:rPr>
          <w:sz w:val="31"/>
        </w:rPr>
        <w:t>稍压实</w:t>
      </w:r>
    </w:p>
    <w:p>
      <w:pPr>
        <w:pStyle w:val="BodyText"/>
        <w:rPr>
          <w:sz w:val="32"/>
        </w:rPr>
      </w:pPr>
      <w:r>
        <w:br w:type="column"/>
      </w:r>
    </w:p>
    <w:p>
      <w:pPr>
        <w:pStyle w:val="BodyText"/>
        <w:spacing w:before="2"/>
        <w:rPr>
          <w:sz w:val="34"/>
        </w:rPr>
      </w:pPr>
    </w:p>
    <w:p>
      <w:pPr>
        <w:spacing w:before="0"/>
        <w:ind w:left="621" w:right="1094" w:firstLine="0"/>
        <w:jc w:val="center"/>
        <w:rPr>
          <w:b/>
          <w:sz w:val="31"/>
        </w:rPr>
      </w:pPr>
      <w:r>
        <w:rPr>
          <w:b/>
          <w:sz w:val="31"/>
        </w:rPr>
        <w:t>N 平均值</w:t>
      </w:r>
    </w:p>
    <w:p>
      <w:pPr>
        <w:pStyle w:val="BodyText"/>
        <w:spacing w:before="8"/>
        <w:rPr>
          <w:b/>
          <w:sz w:val="26"/>
        </w:rPr>
      </w:pPr>
    </w:p>
    <w:p>
      <w:pPr>
        <w:spacing w:before="1"/>
        <w:ind w:left="0" w:right="473" w:firstLine="0"/>
        <w:jc w:val="center"/>
        <w:rPr>
          <w:sz w:val="31"/>
        </w:rPr>
      </w:pPr>
      <w:r>
        <w:rPr>
          <w:w w:val="102"/>
          <w:sz w:val="31"/>
        </w:rPr>
        <w:t>/</w:t>
      </w:r>
    </w:p>
    <w:p>
      <w:pPr>
        <w:spacing w:after="0"/>
        <w:jc w:val="center"/>
        <w:rPr>
          <w:sz w:val="31"/>
        </w:rPr>
        <w:sectPr>
          <w:pgSz w:w="17860" w:h="25260"/>
          <w:pgMar w:top="1000" w:right="800" w:bottom="280" w:left="1740" w:header="708" w:footer="708"/>
          <w:pgNumType w:start="9"/>
          <w:cols w:num="7" w:space="708" w:equalWidth="0">
            <w:col w:w="1343" w:space="298"/>
            <w:col w:w="2294" w:space="829"/>
            <w:col w:w="1937" w:space="39"/>
            <w:col w:w="1116" w:space="40"/>
            <w:col w:w="1902" w:space="654"/>
            <w:col w:w="1660" w:space="206"/>
            <w:col w:w="3002" w:space="0"/>
          </w:cols>
        </w:sectPr>
      </w:pPr>
    </w:p>
    <w:p>
      <w:pPr>
        <w:pStyle w:val="BodyText"/>
        <w:spacing w:before="7"/>
        <w:rPr>
          <w:sz w:val="9"/>
        </w:rPr>
      </w:pPr>
    </w:p>
    <w:p>
      <w:pPr>
        <w:spacing w:after="0"/>
        <w:rPr>
          <w:sz w:val="9"/>
        </w:rPr>
        <w:sectPr>
          <w:type w:val="continuous"/>
          <w:pgSz w:w="17860" w:h="25260"/>
          <w:pgMar w:top="1000" w:right="800" w:bottom="280" w:left="1740" w:header="708" w:footer="708"/>
          <w:pgNumType w:start="10"/>
          <w:cols w:space="708"/>
        </w:sectPr>
      </w:pPr>
    </w:p>
    <w:p>
      <w:pPr>
        <w:spacing w:before="63"/>
        <w:ind w:left="590" w:right="0" w:firstLine="0"/>
        <w:jc w:val="left"/>
        <w:rPr>
          <w:sz w:val="31"/>
        </w:rPr>
      </w:pPr>
      <w:r>
        <w:rPr>
          <w:sz w:val="31"/>
        </w:rPr>
        <w:t>&lt;3-1&gt;</w:t>
      </w:r>
    </w:p>
    <w:p>
      <w:pPr>
        <w:pStyle w:val="BodyText"/>
        <w:spacing w:before="12"/>
      </w:pPr>
    </w:p>
    <w:p>
      <w:pPr>
        <w:spacing w:before="0"/>
        <w:ind w:left="590" w:right="0" w:firstLine="0"/>
        <w:jc w:val="left"/>
        <w:rPr>
          <w:sz w:val="31"/>
        </w:rPr>
      </w:pPr>
      <w:r>
        <w:rPr>
          <w:sz w:val="31"/>
        </w:rPr>
        <w:t>&lt;3-2&gt;</w:t>
      </w:r>
    </w:p>
    <w:p>
      <w:pPr>
        <w:pStyle w:val="BodyText"/>
        <w:spacing w:before="4"/>
        <w:rPr>
          <w:sz w:val="37"/>
        </w:rPr>
      </w:pPr>
    </w:p>
    <w:p>
      <w:pPr>
        <w:spacing w:before="0"/>
        <w:ind w:left="590" w:right="0" w:firstLine="0"/>
        <w:jc w:val="left"/>
        <w:rPr>
          <w:sz w:val="31"/>
        </w:rPr>
      </w:pPr>
      <w:r>
        <w:rPr>
          <w:sz w:val="31"/>
        </w:rPr>
        <w:t>&lt;3-3&gt;</w:t>
      </w:r>
    </w:p>
    <w:p>
      <w:pPr>
        <w:spacing w:before="63"/>
        <w:ind w:left="400" w:right="38" w:firstLine="0"/>
        <w:jc w:val="center"/>
        <w:rPr>
          <w:sz w:val="31"/>
        </w:rPr>
      </w:pPr>
      <w:r>
        <w:br w:type="column"/>
      </w:r>
      <w:r>
        <w:rPr>
          <w:sz w:val="31"/>
        </w:rPr>
        <w:t>淤泥层</w:t>
      </w:r>
    </w:p>
    <w:p>
      <w:pPr>
        <w:spacing w:before="186" w:line="350" w:lineRule="auto"/>
        <w:ind w:left="416" w:right="38" w:firstLine="0"/>
        <w:jc w:val="center"/>
        <w:rPr>
          <w:sz w:val="31"/>
        </w:rPr>
      </w:pPr>
      <w:r>
        <w:rPr>
          <w:spacing w:val="-3"/>
          <w:sz w:val="31"/>
        </w:rPr>
        <w:t>细砂、中砂、粗砂</w:t>
      </w:r>
      <w:r>
        <w:rPr>
          <w:sz w:val="31"/>
        </w:rPr>
        <w:t>粘土层</w:t>
      </w:r>
    </w:p>
    <w:p>
      <w:pPr>
        <w:spacing w:before="3"/>
        <w:ind w:left="407" w:right="38" w:firstLine="0"/>
        <w:jc w:val="center"/>
        <w:rPr>
          <w:sz w:val="31"/>
        </w:rPr>
      </w:pPr>
      <w:r>
        <w:rPr>
          <w:sz w:val="31"/>
        </w:rPr>
        <w:t>粉质粘土</w:t>
      </w:r>
    </w:p>
    <w:p>
      <w:pPr>
        <w:spacing w:before="63"/>
        <w:ind w:left="669" w:right="0" w:firstLine="0"/>
        <w:jc w:val="left"/>
        <w:rPr>
          <w:sz w:val="31"/>
        </w:rPr>
      </w:pPr>
      <w:r>
        <w:br w:type="column"/>
      </w:r>
      <w:r>
        <w:rPr>
          <w:sz w:val="31"/>
        </w:rPr>
        <w:t>1.50~3.30</w:t>
      </w:r>
    </w:p>
    <w:p>
      <w:pPr>
        <w:spacing w:before="186"/>
        <w:ind w:left="669" w:right="0" w:firstLine="0"/>
        <w:jc w:val="left"/>
        <w:rPr>
          <w:sz w:val="31"/>
        </w:rPr>
      </w:pPr>
      <w:r>
        <w:rPr>
          <w:sz w:val="31"/>
        </w:rPr>
        <w:t>1.40~4.50</w:t>
      </w:r>
    </w:p>
    <w:p>
      <w:pPr>
        <w:spacing w:before="182"/>
        <w:ind w:left="590" w:right="0" w:firstLine="0"/>
        <w:jc w:val="left"/>
        <w:rPr>
          <w:sz w:val="31"/>
        </w:rPr>
      </w:pPr>
      <w:r>
        <w:rPr>
          <w:sz w:val="31"/>
        </w:rPr>
        <w:t>7.20</w:t>
      </w:r>
      <w:r>
        <w:rPr>
          <w:spacing w:val="-4"/>
          <w:sz w:val="31"/>
        </w:rPr>
        <w:t>、</w:t>
      </w:r>
      <w:r>
        <w:rPr>
          <w:sz w:val="31"/>
        </w:rPr>
        <w:t>4.30</w:t>
      </w:r>
    </w:p>
    <w:p>
      <w:pPr>
        <w:spacing w:before="186"/>
        <w:ind w:left="669" w:right="0" w:firstLine="0"/>
        <w:jc w:val="left"/>
        <w:rPr>
          <w:sz w:val="31"/>
        </w:rPr>
      </w:pPr>
      <w:r>
        <w:rPr>
          <w:sz w:val="31"/>
        </w:rPr>
        <w:t>3.50~11.0</w:t>
      </w:r>
    </w:p>
    <w:p>
      <w:pPr>
        <w:spacing w:before="63"/>
        <w:ind w:left="668" w:right="0" w:firstLine="0"/>
        <w:jc w:val="left"/>
        <w:rPr>
          <w:sz w:val="31"/>
        </w:rPr>
      </w:pPr>
      <w:r>
        <w:br w:type="column"/>
      </w:r>
      <w:r>
        <w:rPr>
          <w:sz w:val="31"/>
        </w:rPr>
        <w:t>2.00~5.90</w:t>
      </w:r>
    </w:p>
    <w:p>
      <w:pPr>
        <w:spacing w:before="186"/>
        <w:ind w:left="668" w:right="0" w:firstLine="0"/>
        <w:jc w:val="left"/>
        <w:rPr>
          <w:sz w:val="31"/>
        </w:rPr>
      </w:pPr>
      <w:r>
        <w:rPr>
          <w:sz w:val="31"/>
        </w:rPr>
        <w:t>2.10~6.50</w:t>
      </w:r>
    </w:p>
    <w:p>
      <w:pPr>
        <w:spacing w:before="182"/>
        <w:ind w:left="590" w:right="0" w:firstLine="0"/>
        <w:jc w:val="left"/>
        <w:rPr>
          <w:sz w:val="31"/>
        </w:rPr>
      </w:pPr>
      <w:r>
        <w:rPr>
          <w:spacing w:val="-1"/>
          <w:sz w:val="31"/>
        </w:rPr>
        <w:t>1.20</w:t>
      </w:r>
      <w:r>
        <w:rPr>
          <w:spacing w:val="-4"/>
          <w:sz w:val="31"/>
        </w:rPr>
        <w:t>、</w:t>
      </w:r>
      <w:r>
        <w:rPr>
          <w:sz w:val="31"/>
        </w:rPr>
        <w:t>7.75</w:t>
      </w:r>
    </w:p>
    <w:p>
      <w:pPr>
        <w:spacing w:before="186"/>
        <w:ind w:left="590" w:right="0" w:firstLine="0"/>
        <w:jc w:val="left"/>
        <w:rPr>
          <w:sz w:val="31"/>
        </w:rPr>
      </w:pPr>
      <w:r>
        <w:rPr>
          <w:sz w:val="31"/>
        </w:rPr>
        <w:t>4.70~16.65</w:t>
      </w:r>
    </w:p>
    <w:p>
      <w:pPr>
        <w:spacing w:before="63" w:line="350" w:lineRule="auto"/>
        <w:ind w:left="906" w:right="38" w:hanging="317"/>
        <w:jc w:val="left"/>
        <w:rPr>
          <w:sz w:val="31"/>
        </w:rPr>
      </w:pPr>
      <w:r>
        <w:br w:type="column"/>
      </w:r>
      <w:r>
        <w:rPr>
          <w:sz w:val="31"/>
        </w:rPr>
        <w:t>饱和，流塑松 散 状 可塑</w:t>
      </w:r>
    </w:p>
    <w:p>
      <w:pPr>
        <w:spacing w:before="6"/>
        <w:ind w:left="1065" w:right="0" w:firstLine="0"/>
        <w:jc w:val="left"/>
        <w:rPr>
          <w:sz w:val="31"/>
        </w:rPr>
      </w:pPr>
      <w:r>
        <w:rPr>
          <w:sz w:val="31"/>
        </w:rPr>
        <w:t>可塑</w:t>
      </w:r>
    </w:p>
    <w:p>
      <w:pPr>
        <w:spacing w:before="63"/>
        <w:ind w:left="590" w:right="0" w:firstLine="0"/>
        <w:jc w:val="left"/>
        <w:rPr>
          <w:sz w:val="31"/>
        </w:rPr>
      </w:pPr>
      <w:r>
        <w:br w:type="column"/>
      </w:r>
      <w:r>
        <w:rPr>
          <w:sz w:val="31"/>
        </w:rPr>
        <w:t>1.8</w:t>
      </w:r>
    </w:p>
    <w:p>
      <w:pPr>
        <w:spacing w:before="186"/>
        <w:ind w:left="590" w:right="0" w:firstLine="0"/>
        <w:jc w:val="left"/>
        <w:rPr>
          <w:sz w:val="31"/>
        </w:rPr>
      </w:pPr>
      <w:r>
        <w:rPr>
          <w:sz w:val="31"/>
        </w:rPr>
        <w:t>3.6</w:t>
      </w:r>
    </w:p>
    <w:p>
      <w:pPr>
        <w:spacing w:before="182"/>
        <w:ind w:left="590" w:right="0" w:firstLine="0"/>
        <w:jc w:val="left"/>
        <w:rPr>
          <w:sz w:val="31"/>
        </w:rPr>
      </w:pPr>
      <w:r>
        <w:rPr>
          <w:sz w:val="31"/>
        </w:rPr>
        <w:t>8.0</w:t>
      </w:r>
    </w:p>
    <w:p>
      <w:pPr>
        <w:spacing w:before="186"/>
        <w:ind w:left="590" w:right="0" w:firstLine="0"/>
        <w:jc w:val="left"/>
        <w:rPr>
          <w:sz w:val="31"/>
        </w:rPr>
      </w:pPr>
      <w:r>
        <w:rPr>
          <w:sz w:val="31"/>
        </w:rPr>
        <w:t>7.5</w:t>
      </w:r>
    </w:p>
    <w:p>
      <w:pPr>
        <w:spacing w:after="0"/>
        <w:jc w:val="left"/>
        <w:rPr>
          <w:sz w:val="31"/>
        </w:rPr>
        <w:sectPr>
          <w:type w:val="continuous"/>
          <w:pgSz w:w="17860" w:h="25260"/>
          <w:pgMar w:top="1000" w:right="800" w:bottom="280" w:left="1740" w:header="708" w:footer="708"/>
          <w:pgNumType w:start="11"/>
          <w:cols w:num="6" w:space="708" w:equalWidth="0">
            <w:col w:w="1383" w:space="40"/>
            <w:col w:w="2992" w:space="273"/>
            <w:col w:w="2211" w:space="763"/>
            <w:col w:w="2215" w:space="338"/>
            <w:col w:w="2215" w:space="327"/>
            <w:col w:w="2563" w:space="0"/>
          </w:cols>
        </w:sectPr>
      </w:pPr>
    </w:p>
    <w:p>
      <w:pPr>
        <w:pStyle w:val="BodyText"/>
        <w:spacing w:before="8"/>
        <w:rPr>
          <w:sz w:val="9"/>
        </w:rPr>
      </w:pPr>
    </w:p>
    <w:p>
      <w:pPr>
        <w:spacing w:after="0"/>
        <w:rPr>
          <w:sz w:val="9"/>
        </w:rPr>
        <w:sectPr>
          <w:type w:val="continuous"/>
          <w:pgSz w:w="17860" w:h="25260"/>
          <w:pgMar w:top="1000" w:right="800" w:bottom="280" w:left="1740" w:header="708" w:footer="708"/>
          <w:pgNumType w:start="12"/>
          <w:cols w:space="708"/>
        </w:sectPr>
      </w:pPr>
    </w:p>
    <w:p>
      <w:pPr>
        <w:spacing w:before="62"/>
        <w:ind w:left="590" w:right="0" w:firstLine="0"/>
        <w:jc w:val="left"/>
        <w:rPr>
          <w:sz w:val="31"/>
        </w:rPr>
      </w:pPr>
      <w:r>
        <w:rPr>
          <w:sz w:val="31"/>
        </w:rPr>
        <w:t>&lt;3-4&gt;</w:t>
      </w:r>
    </w:p>
    <w:p>
      <w:pPr>
        <w:pStyle w:val="BodyText"/>
        <w:spacing w:before="5"/>
        <w:rPr>
          <w:sz w:val="24"/>
        </w:rPr>
      </w:pPr>
    </w:p>
    <w:p>
      <w:pPr>
        <w:spacing w:before="0"/>
        <w:ind w:left="590" w:right="0" w:firstLine="0"/>
        <w:jc w:val="left"/>
        <w:rPr>
          <w:sz w:val="31"/>
        </w:rPr>
      </w:pPr>
      <w:r>
        <w:rPr>
          <w:sz w:val="31"/>
        </w:rPr>
        <w:t>&lt;3-6&gt;</w:t>
      </w:r>
    </w:p>
    <w:p>
      <w:pPr>
        <w:spacing w:before="62" w:line="429" w:lineRule="auto"/>
        <w:ind w:left="744" w:right="38" w:hanging="155"/>
        <w:jc w:val="left"/>
        <w:rPr>
          <w:sz w:val="31"/>
        </w:rPr>
      </w:pPr>
      <w:r>
        <w:br w:type="column"/>
      </w:r>
      <w:r>
        <w:rPr>
          <w:sz w:val="31"/>
        </w:rPr>
        <w:t>粉质粘土粗砂层</w:t>
      </w:r>
    </w:p>
    <w:p>
      <w:pPr>
        <w:spacing w:before="62"/>
        <w:ind w:left="590" w:right="0" w:firstLine="0"/>
        <w:jc w:val="center"/>
        <w:rPr>
          <w:sz w:val="31"/>
        </w:rPr>
      </w:pPr>
      <w:r>
        <w:br w:type="column"/>
      </w:r>
      <w:r>
        <w:rPr>
          <w:sz w:val="31"/>
        </w:rPr>
        <w:t>14.40、14.00、16.00 5.65、6.05、4.00</w:t>
      </w:r>
    </w:p>
    <w:p>
      <w:pPr>
        <w:pStyle w:val="BodyText"/>
        <w:spacing w:before="5"/>
        <w:rPr>
          <w:sz w:val="24"/>
        </w:rPr>
      </w:pPr>
    </w:p>
    <w:p>
      <w:pPr>
        <w:tabs>
          <w:tab w:val="left" w:pos="3801"/>
        </w:tabs>
        <w:spacing w:before="0"/>
        <w:ind w:left="669" w:right="0" w:firstLine="0"/>
        <w:jc w:val="center"/>
        <w:rPr>
          <w:sz w:val="31"/>
        </w:rPr>
      </w:pPr>
      <w:r>
        <w:rPr>
          <w:sz w:val="31"/>
        </w:rPr>
        <w:t>4.80</w:t>
      </w:r>
      <w:r>
        <w:rPr>
          <w:spacing w:val="-4"/>
          <w:sz w:val="31"/>
        </w:rPr>
        <w:t>、</w:t>
      </w:r>
      <w:r>
        <w:rPr>
          <w:sz w:val="31"/>
        </w:rPr>
        <w:t>5.80</w:t>
        <w:tab/>
        <w:t>1.1、1.9</w:t>
      </w:r>
    </w:p>
    <w:p>
      <w:pPr>
        <w:spacing w:before="62"/>
        <w:ind w:left="125" w:right="0" w:firstLine="0"/>
        <w:jc w:val="center"/>
        <w:rPr>
          <w:sz w:val="31"/>
        </w:rPr>
      </w:pPr>
      <w:r>
        <w:br w:type="column"/>
      </w:r>
      <w:r>
        <w:rPr>
          <w:sz w:val="31"/>
        </w:rPr>
        <w:t>硬塑</w:t>
      </w:r>
    </w:p>
    <w:p>
      <w:pPr>
        <w:spacing w:before="107" w:line="247" w:lineRule="auto"/>
        <w:ind w:left="154" w:right="0" w:firstLine="0"/>
        <w:jc w:val="center"/>
        <w:rPr>
          <w:sz w:val="31"/>
        </w:rPr>
      </w:pPr>
      <w:r>
        <w:rPr>
          <w:sz w:val="31"/>
        </w:rPr>
        <w:t>饱和，松散，级配好，具有粘性</w:t>
      </w:r>
    </w:p>
    <w:p>
      <w:pPr>
        <w:spacing w:before="62"/>
        <w:ind w:left="662" w:right="0" w:firstLine="0"/>
        <w:jc w:val="left"/>
        <w:rPr>
          <w:sz w:val="31"/>
        </w:rPr>
      </w:pPr>
      <w:r>
        <w:br w:type="column"/>
      </w:r>
      <w:r>
        <w:rPr>
          <w:sz w:val="31"/>
        </w:rPr>
        <w:t>10</w:t>
      </w:r>
    </w:p>
    <w:p>
      <w:pPr>
        <w:pStyle w:val="BodyText"/>
        <w:spacing w:before="5"/>
        <w:rPr>
          <w:sz w:val="24"/>
        </w:rPr>
      </w:pPr>
    </w:p>
    <w:p>
      <w:pPr>
        <w:spacing w:before="0"/>
        <w:ind w:left="587" w:right="0" w:firstLine="0"/>
        <w:jc w:val="left"/>
        <w:rPr>
          <w:sz w:val="31"/>
        </w:rPr>
      </w:pPr>
      <w:r>
        <w:rPr>
          <w:sz w:val="31"/>
        </w:rPr>
        <w:t>6.1</w:t>
      </w:r>
    </w:p>
    <w:p>
      <w:pPr>
        <w:spacing w:after="0"/>
        <w:jc w:val="left"/>
        <w:rPr>
          <w:sz w:val="31"/>
        </w:rPr>
        <w:sectPr>
          <w:type w:val="continuous"/>
          <w:pgSz w:w="17860" w:h="25260"/>
          <w:pgMar w:top="1000" w:right="800" w:bottom="280" w:left="1740" w:header="708" w:footer="708"/>
          <w:pgNumType w:start="13"/>
          <w:cols w:num="5" w:space="708" w:equalWidth="0">
            <w:col w:w="1423" w:space="456"/>
            <w:col w:w="1898" w:space="202"/>
            <w:col w:w="6330" w:space="39"/>
            <w:col w:w="2373" w:space="39"/>
            <w:col w:w="2560" w:space="0"/>
          </w:cols>
        </w:sectPr>
      </w:pPr>
    </w:p>
    <w:p>
      <w:pPr>
        <w:spacing w:before="0" w:line="364" w:lineRule="exact"/>
        <w:ind w:left="215" w:right="0" w:firstLine="0"/>
        <w:jc w:val="left"/>
        <w:rPr>
          <w:b/>
          <w:sz w:val="36"/>
        </w:rPr>
      </w:pPr>
      <w:r>
        <w:pict>
          <v:group id="_x0000_s1038" style="width:893pt;height:1248pt;margin-top:0;margin-left:0;mso-position-horizontal-relative:page;mso-position-vertical-relative:page;position:absolute;z-index:-251651072" coordorigin="0,0" coordsize="17860,24960">
            <v:shape id="_x0000_s1039" type="#_x0000_t75" style="width:17860;height:24960;position:absolute" stroked="f">
              <v:imagedata r:id="rId11" o:title=""/>
            </v:shape>
            <v:shape id="_x0000_s1040" type="#_x0000_t75" style="width:14340;height:5320;left:1900;position:absolute;top:1520" stroked="f">
              <v:imagedata r:id="rId12" o:title=""/>
            </v:shape>
          </v:group>
        </w:pict>
      </w:r>
      <w:r>
        <w:rPr>
          <w:b/>
          <w:sz w:val="36"/>
        </w:rPr>
        <w:t>二、水文地质条件</w:t>
      </w:r>
    </w:p>
    <w:p>
      <w:pPr>
        <w:pStyle w:val="BodyText"/>
        <w:spacing w:before="10"/>
        <w:rPr>
          <w:b/>
          <w:sz w:val="27"/>
        </w:rPr>
      </w:pPr>
    </w:p>
    <w:p>
      <w:pPr>
        <w:pStyle w:val="BodyText"/>
        <w:spacing w:before="1" w:line="364" w:lineRule="auto"/>
        <w:ind w:left="215" w:right="969" w:firstLine="900"/>
      </w:pPr>
      <w:r>
        <w:rPr>
          <w:spacing w:val="-3"/>
        </w:rPr>
        <w:t xml:space="preserve">工程紧靠北回归线，属亚热带季风气候，全年降水充沛，雨季明显，雨量集中在 </w:t>
      </w:r>
      <w:r>
        <w:rPr>
          <w:spacing w:val="-6"/>
        </w:rPr>
        <w:t xml:space="preserve">4~9 </w:t>
      </w:r>
      <w:r>
        <w:rPr>
          <w:spacing w:val="-11"/>
        </w:rPr>
        <w:t xml:space="preserve">月，占全年雨量的 </w:t>
      </w:r>
      <w:r>
        <w:t>80%</w:t>
      </w:r>
      <w:r>
        <w:rPr>
          <w:spacing w:val="-10"/>
        </w:rPr>
        <w:t xml:space="preserve">以上，年降雨量在 </w:t>
      </w:r>
      <w:r>
        <w:t>1300~1800</w:t>
      </w:r>
      <w:r>
        <w:rPr>
          <w:spacing w:val="-10"/>
        </w:rPr>
        <w:t xml:space="preserve"> 毫米之间。台风和暴雨盛行的季节为4~9</w:t>
      </w:r>
      <w:r>
        <w:rPr>
          <w:spacing w:val="-30"/>
        </w:rPr>
        <w:t xml:space="preserve"> 月。</w:t>
      </w:r>
    </w:p>
    <w:p>
      <w:pPr>
        <w:pStyle w:val="BodyText"/>
        <w:spacing w:before="2" w:line="364" w:lineRule="auto"/>
        <w:ind w:left="215" w:right="969" w:firstLine="900"/>
        <w:jc w:val="both"/>
      </w:pPr>
      <w:r>
        <w:rPr>
          <w:spacing w:val="-4"/>
        </w:rPr>
        <w:t xml:space="preserve">场地地下水位埋藏较浅，水位为第四系孔隙水位，水位埋深约 </w:t>
      </w:r>
      <w:r>
        <w:t>0.3~4.65m</w:t>
      </w:r>
      <w:r>
        <w:rPr>
          <w:spacing w:val="-4"/>
        </w:rPr>
        <w:t xml:space="preserve">，地下水位的变化与地下水的贮存、补给及排泄关系密切，每年 </w:t>
      </w:r>
      <w:r>
        <w:t>4~9</w:t>
      </w:r>
      <w:r>
        <w:rPr>
          <w:spacing w:val="-10"/>
        </w:rPr>
        <w:t xml:space="preserve"> 月为降雨集中季节，大气降水充</w:t>
      </w:r>
      <w:r>
        <w:rPr>
          <w:spacing w:val="-13"/>
        </w:rPr>
        <w:t xml:space="preserve">沛，水位会明显上升，而在冬季降水减少，地下水随之下降，年变化幅度为 </w:t>
      </w:r>
      <w:r>
        <w:t>2.00~3.00m</w:t>
      </w:r>
      <w:r>
        <w:rPr>
          <w:spacing w:val="-17"/>
        </w:rPr>
        <w:t>。</w:t>
      </w:r>
    </w:p>
    <w:p>
      <w:pPr>
        <w:spacing w:after="0" w:line="364" w:lineRule="auto"/>
        <w:jc w:val="both"/>
        <w:sectPr>
          <w:type w:val="continuous"/>
          <w:pgSz w:w="17860" w:h="25260"/>
          <w:pgMar w:top="1000" w:right="800" w:bottom="280" w:left="1740" w:header="708" w:footer="708"/>
          <w:pgNumType w:start="14"/>
          <w:cols w:space="708"/>
        </w:sectPr>
      </w:pPr>
    </w:p>
    <w:p>
      <w:pPr>
        <w:spacing w:before="28"/>
        <w:ind w:left="0" w:right="686" w:firstLine="0"/>
        <w:jc w:val="center"/>
        <w:rPr>
          <w:rFonts w:ascii="幼圆" w:eastAsia="幼圆" w:hint="eastAsia"/>
          <w:sz w:val="27"/>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4"/>
        <w:rPr>
          <w:rFonts w:ascii="幼圆"/>
          <w:sz w:val="30"/>
        </w:rPr>
      </w:pPr>
    </w:p>
    <w:p>
      <w:pPr>
        <w:tabs>
          <w:tab w:val="left" w:pos="1929"/>
        </w:tabs>
        <w:spacing w:before="0"/>
        <w:ind w:left="0" w:right="702" w:firstLine="0"/>
        <w:jc w:val="center"/>
        <w:rPr>
          <w:rFonts w:ascii="幼圆" w:eastAsia="幼圆" w:hint="eastAsia"/>
          <w:b/>
          <w:sz w:val="48"/>
        </w:rPr>
      </w:pPr>
      <w:bookmarkStart w:id="5" w:name="_TOC_250011"/>
      <w:bookmarkEnd w:id="5"/>
      <w:r>
        <w:rPr>
          <w:rFonts w:ascii="幼圆" w:eastAsia="幼圆" w:hint="eastAsia"/>
          <w:b/>
          <w:sz w:val="48"/>
        </w:rPr>
        <w:t>第三章</w:t>
        <w:tab/>
        <w:t>施工总体部署</w:t>
      </w:r>
    </w:p>
    <w:p>
      <w:pPr>
        <w:pStyle w:val="BodyText"/>
        <w:spacing w:before="10"/>
        <w:rPr>
          <w:rFonts w:ascii="幼圆"/>
          <w:b/>
          <w:sz w:val="34"/>
        </w:rPr>
      </w:pPr>
    </w:p>
    <w:p>
      <w:pPr>
        <w:pStyle w:val="Heading2"/>
        <w:tabs>
          <w:tab w:val="left" w:pos="1447"/>
        </w:tabs>
        <w:spacing w:before="1"/>
        <w:ind w:left="0" w:right="701"/>
        <w:jc w:val="center"/>
        <w:rPr>
          <w:rFonts w:ascii="幼圆" w:eastAsia="幼圆" w:hint="eastAsia"/>
        </w:rPr>
      </w:pPr>
      <w:bookmarkStart w:id="6" w:name="_TOC_250010"/>
      <w:bookmarkEnd w:id="6"/>
      <w:r>
        <w:rPr>
          <w:rFonts w:ascii="幼圆" w:eastAsia="幼圆" w:hint="eastAsia"/>
        </w:rPr>
        <w:t>第一节</w:t>
        <w:tab/>
        <w:t>临时设施安排及施工准备</w:t>
      </w:r>
    </w:p>
    <w:p>
      <w:pPr>
        <w:spacing w:before="305"/>
        <w:ind w:left="215" w:right="0" w:firstLine="0"/>
        <w:jc w:val="left"/>
        <w:rPr>
          <w:rFonts w:ascii="幼圆" w:eastAsia="幼圆" w:hint="eastAsia"/>
          <w:b/>
          <w:sz w:val="36"/>
        </w:rPr>
      </w:pPr>
      <w:r>
        <w:rPr>
          <w:rFonts w:ascii="幼圆" w:eastAsia="幼圆" w:hint="eastAsia"/>
          <w:b/>
          <w:sz w:val="36"/>
        </w:rPr>
        <w:t>一、临时驻地</w:t>
      </w:r>
    </w:p>
    <w:p>
      <w:pPr>
        <w:pStyle w:val="BodyText"/>
        <w:spacing w:before="122" w:line="364" w:lineRule="auto"/>
        <w:ind w:left="215" w:right="1063" w:firstLine="720"/>
        <w:jc w:val="both"/>
        <w:rPr>
          <w:rFonts w:ascii="幼圆" w:eastAsia="幼圆" w:hint="eastAsia"/>
        </w:rPr>
      </w:pPr>
      <w:r>
        <w:rPr>
          <w:rFonts w:ascii="幼圆" w:eastAsia="幼圆" w:hint="eastAsia"/>
        </w:rPr>
        <w:t>组织先遣人员，调配部分机械进入施工现场工作。同时项目部要密切与公司、设计单位、监理单位沟通联系，作好施工准备；并积极与地方政府及有关部门取得联系，征得支持和协助。施工管理和技术人员，对整个合同段进一步现场调查，结合工程任务划分，安排队伍驻地，认真调查水电及料源情况、对施工材料进场线路进行规划等措施。</w:t>
      </w:r>
    </w:p>
    <w:p>
      <w:pPr>
        <w:spacing w:before="115"/>
        <w:ind w:left="215" w:right="0" w:firstLine="0"/>
        <w:jc w:val="left"/>
        <w:rPr>
          <w:rFonts w:ascii="幼圆" w:eastAsia="幼圆" w:hint="eastAsia"/>
          <w:b/>
          <w:sz w:val="36"/>
        </w:rPr>
      </w:pPr>
      <w:r>
        <w:rPr>
          <w:rFonts w:ascii="幼圆" w:eastAsia="幼圆" w:hint="eastAsia"/>
          <w:b/>
          <w:sz w:val="36"/>
        </w:rPr>
        <w:t>二、技术准备</w:t>
      </w:r>
    </w:p>
    <w:p>
      <w:pPr>
        <w:pStyle w:val="BodyText"/>
        <w:spacing w:before="242" w:line="364" w:lineRule="auto"/>
        <w:ind w:left="215" w:right="1063" w:firstLine="720"/>
        <w:jc w:val="both"/>
        <w:rPr>
          <w:rFonts w:ascii="幼圆" w:eastAsia="幼圆" w:hint="eastAsia"/>
        </w:rPr>
      </w:pPr>
      <w:r>
        <w:rPr>
          <w:rFonts w:ascii="幼圆" w:eastAsia="幼圆" w:hint="eastAsia"/>
        </w:rPr>
        <w:t>根据设计单位提供的工程施工图纸和业主单位现场坐标定位控制桩资料，认真做好交接桩工作，组织测量人员对合同段内线路中线及高程进行贯通和闭合测量，资料整理后报请监理工程师确认，同时放出用地界限，并对主要井室具体位置进行放桩，设置控制桩点及临时水准点。</w:t>
      </w:r>
    </w:p>
    <w:p>
      <w:pPr>
        <w:spacing w:before="3"/>
        <w:ind w:left="215" w:right="0" w:firstLine="0"/>
        <w:jc w:val="left"/>
        <w:rPr>
          <w:rFonts w:ascii="幼圆" w:eastAsia="幼圆" w:hint="eastAsia"/>
          <w:b/>
          <w:sz w:val="36"/>
        </w:rPr>
      </w:pPr>
      <w:r>
        <w:rPr>
          <w:rFonts w:ascii="幼圆" w:eastAsia="幼圆" w:hint="eastAsia"/>
          <w:b/>
          <w:sz w:val="36"/>
        </w:rPr>
        <w:t>三、临时设施</w:t>
      </w:r>
    </w:p>
    <w:p>
      <w:pPr>
        <w:pStyle w:val="BodyText"/>
        <w:spacing w:before="241"/>
        <w:ind w:left="935"/>
        <w:rPr>
          <w:rFonts w:ascii="幼圆" w:eastAsia="幼圆" w:hint="eastAsia"/>
        </w:rPr>
      </w:pPr>
      <w:r>
        <w:rPr>
          <w:rFonts w:ascii="幼圆" w:eastAsia="幼圆" w:hint="eastAsia"/>
        </w:rPr>
        <w:t>1、供电</w:t>
      </w:r>
    </w:p>
    <w:p>
      <w:pPr>
        <w:pStyle w:val="BodyText"/>
        <w:spacing w:before="241" w:line="364" w:lineRule="auto"/>
        <w:ind w:left="215" w:right="703" w:firstLine="720"/>
        <w:rPr>
          <w:rFonts w:ascii="幼圆" w:eastAsia="幼圆" w:hint="eastAsia"/>
        </w:rPr>
      </w:pPr>
      <w:r>
        <w:rPr>
          <w:rFonts w:ascii="幼圆" w:eastAsia="幼圆" w:hint="eastAsia"/>
        </w:rPr>
        <w:t>考虑到现场实际情况，现有变压器为小型民用干式变压器（</w:t>
      </w:r>
      <w:r>
        <w:rPr>
          <w:rFonts w:ascii="幼圆" w:eastAsia="幼圆" w:hint="eastAsia"/>
          <w:spacing w:val="9"/>
        </w:rPr>
        <w:t>多为</w:t>
      </w:r>
      <w:r>
        <w:rPr>
          <w:rFonts w:ascii="幼圆" w:eastAsia="幼圆" w:hint="eastAsia"/>
        </w:rPr>
        <w:t>200KV</w:t>
      </w:r>
      <w:r>
        <w:rPr>
          <w:rFonts w:ascii="幼圆" w:eastAsia="幼圆" w:hint="eastAsia"/>
          <w:spacing w:val="1"/>
        </w:rPr>
        <w:t>A</w:t>
      </w:r>
      <w:r>
        <w:rPr>
          <w:rFonts w:ascii="幼圆" w:eastAsia="幼圆" w:hint="eastAsia"/>
          <w:spacing w:val="-180"/>
        </w:rPr>
        <w:t>）</w:t>
      </w:r>
      <w:r>
        <w:rPr>
          <w:rFonts w:ascii="幼圆" w:eastAsia="幼圆" w:hint="eastAsia"/>
        </w:rPr>
        <w:t>，施工期间为</w:t>
      </w:r>
      <w:r>
        <w:rPr>
          <w:rFonts w:ascii="幼圆" w:eastAsia="幼圆" w:hint="eastAsia"/>
          <w:spacing w:val="-1"/>
        </w:rPr>
        <w:t>夏季用电高峰期，如本工程施工用电从现有变压器接入将可能影响到周围居民的生活用电。</w:t>
      </w:r>
      <w:r>
        <w:rPr>
          <w:rFonts w:ascii="幼圆" w:eastAsia="幼圆" w:hint="eastAsia"/>
        </w:rPr>
        <w:t xml:space="preserve">如申请工程专用变压台，受到专用变压台申报周期长、本工程施工进度紧因素约束；暂拟 </w:t>
      </w:r>
      <w:r>
        <w:rPr>
          <w:rFonts w:ascii="幼圆" w:eastAsia="幼圆" w:hint="eastAsia"/>
          <w:spacing w:val="-19"/>
        </w:rPr>
        <w:t xml:space="preserve">现场配备 </w:t>
      </w:r>
      <w:r>
        <w:rPr>
          <w:rFonts w:ascii="幼圆" w:eastAsia="幼圆" w:hint="eastAsia"/>
        </w:rPr>
        <w:t>120</w:t>
      </w:r>
      <w:r>
        <w:rPr>
          <w:rFonts w:ascii="幼圆" w:eastAsia="幼圆" w:hint="eastAsia"/>
          <w:spacing w:val="-23"/>
        </w:rPr>
        <w:t xml:space="preserve"> 千瓦、</w:t>
      </w:r>
      <w:r>
        <w:rPr>
          <w:rFonts w:ascii="幼圆" w:eastAsia="幼圆" w:hint="eastAsia"/>
        </w:rPr>
        <w:t>30</w:t>
      </w:r>
      <w:r>
        <w:rPr>
          <w:rFonts w:ascii="幼圆" w:eastAsia="幼圆" w:hint="eastAsia"/>
          <w:spacing w:val="-10"/>
        </w:rPr>
        <w:t xml:space="preserve"> 千瓦的柴油发电机组各一台，保证现场施工用电。</w:t>
      </w:r>
    </w:p>
    <w:p>
      <w:pPr>
        <w:pStyle w:val="BodyText"/>
        <w:spacing w:before="4"/>
        <w:ind w:left="935"/>
        <w:rPr>
          <w:rFonts w:ascii="幼圆" w:eastAsia="幼圆" w:hint="eastAsia"/>
        </w:rPr>
      </w:pPr>
      <w:r>
        <w:rPr>
          <w:rFonts w:ascii="幼圆" w:eastAsia="幼圆" w:hint="eastAsia"/>
        </w:rPr>
        <w:t>2、排污及垃圾处理</w:t>
      </w:r>
    </w:p>
    <w:p>
      <w:pPr>
        <w:pStyle w:val="BodyText"/>
        <w:spacing w:before="241" w:line="364" w:lineRule="auto"/>
        <w:ind w:left="215" w:right="1063" w:firstLine="720"/>
        <w:jc w:val="both"/>
        <w:rPr>
          <w:rFonts w:ascii="幼圆" w:eastAsia="幼圆" w:hint="eastAsia"/>
        </w:rPr>
      </w:pPr>
      <w:r>
        <w:rPr>
          <w:rFonts w:ascii="幼圆" w:eastAsia="幼圆" w:hint="eastAsia"/>
        </w:rPr>
        <w:t>为达到保护环境、防止污染的目的，施工现场设置临时排污沟渠、沉淀井、泥浆池， 对施工中产生的污水作集中处理，经沉淀成清水后有组织的排入附近沟渠或河道。并对生活及生产垃圾集中堆放，外运处理，最大限度地保证施工区域自然环境不被破坏。</w:t>
      </w:r>
    </w:p>
    <w:p>
      <w:pPr>
        <w:pStyle w:val="BodyText"/>
        <w:spacing w:before="3"/>
        <w:ind w:left="935"/>
        <w:rPr>
          <w:rFonts w:ascii="幼圆" w:eastAsia="幼圆" w:hint="eastAsia"/>
        </w:rPr>
      </w:pPr>
      <w:r>
        <w:rPr>
          <w:rFonts w:ascii="幼圆" w:eastAsia="幼圆" w:hint="eastAsia"/>
        </w:rPr>
        <w:t>3、临时用地</w:t>
      </w:r>
    </w:p>
    <w:p>
      <w:pPr>
        <w:pStyle w:val="BodyText"/>
        <w:spacing w:before="241" w:line="364" w:lineRule="auto"/>
        <w:ind w:left="215" w:right="703" w:firstLine="720"/>
        <w:rPr>
          <w:rFonts w:ascii="幼圆" w:eastAsia="幼圆" w:hint="eastAsia"/>
          <w:b/>
        </w:rPr>
      </w:pPr>
      <w:r>
        <w:rPr>
          <w:rFonts w:ascii="幼圆" w:eastAsia="幼圆" w:hint="eastAsia"/>
          <w:spacing w:val="-1"/>
        </w:rPr>
        <w:t xml:space="preserve">施工临时用地尽量利用界内土地。泥浆及取、弃土场地在与地方政府做详细的协商后， </w:t>
      </w:r>
      <w:r>
        <w:rPr>
          <w:rFonts w:ascii="幼圆" w:eastAsia="幼圆" w:hint="eastAsia"/>
        </w:rPr>
        <w:t>在少占地、少破坏、尽量保护当地自然环境和生态平衡的原则下选定具体地点；其它施工 场地、办公及生活用地就地租用；仓库与料场、泥浆池用地</w:t>
      </w:r>
      <w:r>
        <w:rPr>
          <w:rFonts w:ascii="幼圆" w:eastAsia="幼圆" w:hint="eastAsia"/>
          <w:b/>
        </w:rPr>
        <w:t>详见平面布置图</w:t>
      </w:r>
    </w:p>
    <w:p>
      <w:pPr>
        <w:tabs>
          <w:tab w:val="left" w:pos="5328"/>
        </w:tabs>
        <w:spacing w:before="64" w:line="398" w:lineRule="auto"/>
        <w:ind w:left="215" w:right="4589" w:firstLine="3664"/>
        <w:jc w:val="left"/>
        <w:rPr>
          <w:rFonts w:ascii="幼圆" w:eastAsia="幼圆" w:hint="eastAsia"/>
          <w:b/>
          <w:sz w:val="36"/>
        </w:rPr>
      </w:pPr>
      <w:r>
        <w:rPr>
          <w:rFonts w:ascii="幼圆" w:eastAsia="幼圆" w:hint="eastAsia"/>
          <w:b/>
          <w:sz w:val="36"/>
        </w:rPr>
        <w:t>第二节</w:t>
        <w:tab/>
      </w:r>
      <w:r>
        <w:rPr>
          <w:rFonts w:ascii="幼圆" w:eastAsia="幼圆" w:hint="eastAsia"/>
          <w:b/>
          <w:w w:val="95"/>
          <w:sz w:val="36"/>
        </w:rPr>
        <w:t>设备、人员、材料动员周期和安</w:t>
      </w:r>
      <w:r>
        <w:rPr>
          <w:rFonts w:ascii="幼圆" w:eastAsia="幼圆" w:hint="eastAsia"/>
          <w:b/>
          <w:spacing w:val="-18"/>
          <w:w w:val="95"/>
          <w:sz w:val="36"/>
        </w:rPr>
        <w:t>排</w:t>
      </w:r>
      <w:r>
        <w:rPr>
          <w:rFonts w:ascii="幼圆" w:eastAsia="幼圆" w:hint="eastAsia"/>
          <w:b/>
          <w:sz w:val="36"/>
        </w:rPr>
        <w:t>一、设备、人员动员周期</w:t>
      </w:r>
    </w:p>
    <w:p>
      <w:pPr>
        <w:pStyle w:val="BodyText"/>
        <w:spacing w:line="398" w:lineRule="exact"/>
        <w:ind w:left="935"/>
        <w:rPr>
          <w:rFonts w:ascii="幼圆" w:eastAsia="幼圆" w:hint="eastAsia"/>
        </w:rPr>
      </w:pPr>
      <w:r>
        <w:rPr>
          <w:rFonts w:ascii="幼圆" w:eastAsia="幼圆" w:hint="eastAsia"/>
          <w:spacing w:val="-9"/>
        </w:rPr>
        <w:t xml:space="preserve">我单位将在合同签订后 </w:t>
      </w:r>
      <w:r>
        <w:rPr>
          <w:rFonts w:ascii="幼圆" w:eastAsia="幼圆" w:hint="eastAsia"/>
        </w:rPr>
        <w:t>3</w:t>
      </w:r>
      <w:r>
        <w:rPr>
          <w:rFonts w:ascii="幼圆" w:eastAsia="幼圆" w:hint="eastAsia"/>
          <w:spacing w:val="-14"/>
        </w:rPr>
        <w:t xml:space="preserve"> 日内做好人员、设备的动员和安排布署。管理人员 </w:t>
      </w:r>
      <w:r>
        <w:rPr>
          <w:rFonts w:ascii="幼圆" w:eastAsia="幼圆" w:hint="eastAsia"/>
        </w:rPr>
        <w:t>7</w:t>
      </w:r>
      <w:r>
        <w:rPr>
          <w:rFonts w:ascii="幼圆" w:eastAsia="幼圆" w:hint="eastAsia"/>
          <w:spacing w:val="-23"/>
        </w:rPr>
        <w:t xml:space="preserve"> 天内到</w:t>
      </w:r>
    </w:p>
    <w:p>
      <w:pPr>
        <w:pStyle w:val="BodyText"/>
        <w:spacing w:before="241"/>
        <w:ind w:left="215"/>
        <w:rPr>
          <w:rFonts w:ascii="幼圆" w:eastAsia="幼圆" w:hint="eastAsia"/>
        </w:rPr>
      </w:pPr>
      <w:r>
        <w:rPr>
          <w:rFonts w:ascii="幼圆" w:eastAsia="幼圆" w:hint="eastAsia"/>
        </w:rPr>
        <w:t>达施工现场，组建项目经理部，与业主取得联系，开展息息相关业务工作；前期施工人员</w:t>
      </w:r>
    </w:p>
    <w:p>
      <w:pPr>
        <w:spacing w:after="0"/>
        <w:rPr>
          <w:rFonts w:ascii="幼圆" w:eastAsia="幼圆" w:hint="eastAsia"/>
        </w:rPr>
        <w:sectPr>
          <w:pgSz w:w="17860" w:h="25260"/>
          <w:pgMar w:top="1000" w:right="800" w:bottom="280" w:left="1740" w:header="708" w:footer="708"/>
          <w:pgNumType w:start="15"/>
          <w:cols w:space="708"/>
        </w:sectPr>
      </w:pPr>
    </w:p>
    <w:p>
      <w:pPr>
        <w:spacing w:before="28"/>
        <w:ind w:left="0" w:right="686" w:firstLine="0"/>
        <w:jc w:val="center"/>
        <w:rPr>
          <w:rFonts w:ascii="幼圆" w:eastAsia="幼圆" w:hint="eastAsia"/>
          <w:sz w:val="27"/>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3"/>
        <w:rPr>
          <w:rFonts w:ascii="幼圆"/>
          <w:sz w:val="21"/>
        </w:rPr>
      </w:pPr>
    </w:p>
    <w:p>
      <w:pPr>
        <w:pStyle w:val="BodyText"/>
        <w:spacing w:line="364" w:lineRule="auto"/>
        <w:ind w:left="215" w:right="897"/>
      </w:pPr>
      <w:r>
        <w:t>10</w:t>
      </w:r>
      <w:r>
        <w:rPr>
          <w:spacing w:val="-18"/>
        </w:rPr>
        <w:t xml:space="preserve"> 天内到达施工指定地点，着手临建和施工准备工作；首批投入施工的机械设备 </w:t>
      </w:r>
      <w:r>
        <w:t>15</w:t>
      </w:r>
      <w:r>
        <w:rPr>
          <w:spacing w:val="-27"/>
        </w:rPr>
        <w:t xml:space="preserve"> 日内到</w:t>
      </w:r>
      <w:r>
        <w:t>达施工地点，做好施工前的准备工作。</w:t>
      </w:r>
    </w:p>
    <w:p>
      <w:pPr>
        <w:spacing w:before="2"/>
        <w:ind w:left="215" w:right="0" w:firstLine="0"/>
        <w:jc w:val="left"/>
        <w:rPr>
          <w:b/>
          <w:sz w:val="36"/>
        </w:rPr>
      </w:pPr>
      <w:r>
        <w:rPr>
          <w:b/>
          <w:sz w:val="36"/>
        </w:rPr>
        <w:t>二、设备、人员、材料</w:t>
      </w:r>
    </w:p>
    <w:p>
      <w:pPr>
        <w:pStyle w:val="BodyText"/>
        <w:spacing w:before="241" w:line="364" w:lineRule="auto"/>
        <w:ind w:left="215" w:right="1063" w:firstLine="720"/>
      </w:pPr>
      <w:r>
        <w:t>施工准备过程中，设备、人员、材料依照“先进、足量、精干、合格”的原则，施工设备和材料指定厂家或料场，由汽车送至现场。</w:t>
      </w:r>
    </w:p>
    <w:p>
      <w:pPr>
        <w:pStyle w:val="Heading2"/>
        <w:tabs>
          <w:tab w:val="left" w:pos="6595"/>
        </w:tabs>
        <w:spacing w:before="63"/>
        <w:ind w:left="5148"/>
      </w:pPr>
      <w:bookmarkStart w:id="7" w:name="_TOC_250009"/>
      <w:bookmarkEnd w:id="7"/>
      <w:r>
        <w:t>第三节</w:t>
        <w:tab/>
        <w:t>施工准备工作计划</w:t>
      </w:r>
    </w:p>
    <w:p>
      <w:pPr>
        <w:spacing w:before="305"/>
        <w:ind w:left="215" w:right="0" w:firstLine="0"/>
        <w:jc w:val="left"/>
        <w:rPr>
          <w:b/>
          <w:sz w:val="36"/>
        </w:rPr>
      </w:pPr>
      <w:r>
        <w:rPr>
          <w:b/>
          <w:sz w:val="36"/>
        </w:rPr>
        <w:t>一、技术准备</w:t>
      </w:r>
    </w:p>
    <w:p>
      <w:pPr>
        <w:pStyle w:val="BodyText"/>
        <w:spacing w:before="122" w:line="364" w:lineRule="auto"/>
        <w:ind w:left="215" w:right="1063" w:firstLine="720"/>
        <w:jc w:val="both"/>
      </w:pPr>
      <w:r>
        <w:t>组织人员进场边筹建边进行施工前期的各项技术准备工作。在项目经理的组织下，各部门及时主动与业主、设计院、监理公司、安全质量检查监督站等单位取得联系。同时由项目总工程师组织工程部、安质部、计划部、试验室、测量组进行图纸会审、测量复核、施工组织设计编制等工作，开工前建立健全工程洽商通道及变更设计通知和原材料的试验及检验工作和做好向监理工程师的材料报验、资料报审工作。</w:t>
      </w:r>
    </w:p>
    <w:p>
      <w:pPr>
        <w:pStyle w:val="BodyText"/>
        <w:spacing w:before="117"/>
        <w:ind w:left="935"/>
      </w:pPr>
      <w:r>
        <w:t>1、图纸会审</w:t>
      </w:r>
    </w:p>
    <w:p>
      <w:pPr>
        <w:pStyle w:val="BodyText"/>
        <w:spacing w:before="241" w:line="364" w:lineRule="auto"/>
        <w:ind w:left="215" w:right="703" w:firstLine="720"/>
      </w:pPr>
      <w:r>
        <w:t xml:space="preserve">在获得施工图纸及相关施工文件后，及时组织项目部人员进行图纸会审。主要审核构 </w:t>
      </w:r>
      <w:r>
        <w:rPr>
          <w:spacing w:val="-1"/>
        </w:rPr>
        <w:t xml:space="preserve">筑物类别及其技术、经济、环境条件；结构类型和结构形式；平面位置、高程、结构尺寸； </w:t>
      </w:r>
      <w:r>
        <w:t xml:space="preserve">使用材料及设备的品名、规格、质量标准；工程地质、水文、气象条件、施工工法、施工 程序和施工措施及工程质量等，从而达到了解设计意图，领会设计精神，掌握设计的技术 </w:t>
      </w:r>
      <w:r>
        <w:rPr>
          <w:spacing w:val="-1"/>
        </w:rPr>
        <w:t>标准，主要的技术条件和设计原则，以及新材料、新工艺的运用。对设计图纸中的漏、缺、</w:t>
      </w:r>
      <w:r>
        <w:t>差、错等事通过工程洽商渠道及时与设计人取得联系，完善设计文件，使设计更加符合施 工现场的实际，确保施工安全、工程质量和按期完成工程任务。</w:t>
      </w:r>
    </w:p>
    <w:p>
      <w:pPr>
        <w:pStyle w:val="BodyText"/>
        <w:spacing w:before="7"/>
        <w:ind w:left="935"/>
      </w:pPr>
      <w:r>
        <w:t>2、控制测量导线网的建立</w:t>
      </w:r>
    </w:p>
    <w:p>
      <w:pPr>
        <w:pStyle w:val="BodyText"/>
        <w:spacing w:before="241" w:line="364" w:lineRule="auto"/>
        <w:ind w:left="215" w:right="1063" w:firstLine="720"/>
        <w:jc w:val="both"/>
      </w:pPr>
      <w:r>
        <w:t>接桩后，及时组织人员进行现场踏勘，根据线路的大致走向，在设计提供的控制桩基础上，按需要加密布桩，测量复核加密导线网的精度及复核设计提供的导线精度是否能满足设计文件及施工规范地要求，避免出现大及重大的测量事故。根据复测的结果，对线路中心线进行布桩测量，查看在平面及纵断面上是否与设计文件相符合，并在监理工程师旁站的情况下对开工有影响的原地面进行测绘，做好原始资料备查。</w:t>
      </w:r>
    </w:p>
    <w:p>
      <w:pPr>
        <w:pStyle w:val="BodyText"/>
        <w:spacing w:before="5"/>
        <w:ind w:left="935"/>
      </w:pPr>
      <w:r>
        <w:t>3、材料试验及检验</w:t>
      </w:r>
    </w:p>
    <w:p>
      <w:pPr>
        <w:pStyle w:val="BodyText"/>
        <w:spacing w:before="241" w:line="364" w:lineRule="auto"/>
        <w:ind w:left="215" w:right="1063" w:firstLine="720"/>
        <w:jc w:val="both"/>
      </w:pPr>
      <w:r>
        <w:t>在熟悉和了解设计图纸的基础上，根据材料进场情况，及时对原材料进行材料试验和检验。所有材料的取样及送样工作都必须是有监理工程师见证，只有检测合格的材料才准使用于本工程中，对检验不合格的材料坚决予以退货等处理。</w:t>
      </w:r>
    </w:p>
    <w:p>
      <w:pPr>
        <w:pStyle w:val="BodyText"/>
        <w:spacing w:before="2"/>
        <w:ind w:left="935"/>
      </w:pPr>
      <w:r>
        <w:t>4、机电设备、物资进场计划</w:t>
      </w:r>
    </w:p>
    <w:p>
      <w:pPr>
        <w:spacing w:after="0"/>
        <w:sectPr>
          <w:pgSz w:w="17860" w:h="25260"/>
          <w:pgMar w:top="1000" w:right="800" w:bottom="280" w:left="1740" w:header="708" w:footer="708"/>
          <w:pgNumType w:start="16"/>
          <w:cols w:space="708"/>
        </w:sectPr>
      </w:pPr>
    </w:p>
    <w:p>
      <w:pPr>
        <w:spacing w:before="28"/>
        <w:ind w:left="0" w:right="686" w:firstLine="0"/>
        <w:jc w:val="center"/>
        <w:rPr>
          <w:rFonts w:ascii="幼圆" w:eastAsia="幼圆" w:hint="eastAsia"/>
          <w:sz w:val="27"/>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3"/>
        <w:rPr>
          <w:rFonts w:ascii="幼圆"/>
          <w:sz w:val="21"/>
        </w:rPr>
      </w:pPr>
    </w:p>
    <w:p>
      <w:pPr>
        <w:pStyle w:val="BodyText"/>
        <w:spacing w:line="364" w:lineRule="auto"/>
        <w:ind w:left="215" w:right="1063" w:firstLine="720"/>
      </w:pPr>
      <w:r>
        <w:t>根据本项目的施工工法、施工程序和进度，详细编制本项目需用的机械设备、物质材料的进场计划，以保证分项工程开工前所有的机械设备全部到场。</w:t>
      </w:r>
    </w:p>
    <w:p>
      <w:pPr>
        <w:pStyle w:val="BodyText"/>
        <w:spacing w:before="2"/>
        <w:ind w:left="935"/>
      </w:pPr>
      <w:r>
        <w:t>5、进度计划编制</w:t>
      </w:r>
    </w:p>
    <w:p>
      <w:pPr>
        <w:pStyle w:val="BodyText"/>
        <w:spacing w:before="241" w:line="364" w:lineRule="auto"/>
        <w:ind w:left="215" w:right="1063" w:firstLine="720"/>
        <w:jc w:val="both"/>
      </w:pPr>
      <w:r>
        <w:t>在熟读设计文件并了解设计意图的基础上，根据详细的工程地质情况、工程环境、征地拆迁的进度情况和工程总工期的要求，编制详细的、操作性强的施工进度作业计划，要求计划进度指标能最大满足施工生产的实际，同时编制计划时又必须满足工期提前预留不可预见而影响工期的时间的要求，制定相应的工期保障措施，确保工程工期目标的实现。建立安全、质量、工期保证制度。</w:t>
      </w:r>
      <w:r>
        <w:rPr>
          <w:b/>
        </w:rPr>
        <w:t>施工进度计划详见附件</w:t>
      </w:r>
      <w:r>
        <w:t>。</w:t>
      </w:r>
    </w:p>
    <w:p>
      <w:pPr>
        <w:pStyle w:val="BodyText"/>
        <w:spacing w:before="4"/>
        <w:ind w:left="935"/>
      </w:pPr>
      <w:r>
        <w:t>6、编制实施性施工组织设计文件，搞好技术交底工作</w:t>
      </w:r>
    </w:p>
    <w:p>
      <w:pPr>
        <w:pStyle w:val="BodyText"/>
        <w:spacing w:before="242" w:line="364" w:lineRule="auto"/>
        <w:ind w:left="215" w:right="1063" w:firstLine="720"/>
        <w:jc w:val="both"/>
      </w:pPr>
      <w:r>
        <w:t>在图纸会审工作完成并熟悉和消化设计文件、详细踏勘施工现场、详细讲述施工方法和施工程序的基础上，结合业主的要求和本公司的创优目标，编制实施性施工组织设计度报监理审批。同时做好设计、施工“三交底”和施工组织设计交底工作，详细向参加施工的人员介绍本工程的工程概况、工程规模、工程工期、结构类型、施工方法、施工工艺、操作要求、施工重难点和安全防护、质量目标等，使员工心中有数，能预见性指导施工， 避免出现安全质量事故。</w:t>
      </w:r>
    </w:p>
    <w:p>
      <w:pPr>
        <w:spacing w:before="5"/>
        <w:ind w:left="215" w:right="0" w:firstLine="0"/>
        <w:jc w:val="left"/>
        <w:rPr>
          <w:b/>
          <w:sz w:val="36"/>
        </w:rPr>
      </w:pPr>
      <w:r>
        <w:rPr>
          <w:b/>
          <w:sz w:val="36"/>
        </w:rPr>
        <w:t>二、现场施工准备</w:t>
      </w:r>
    </w:p>
    <w:p>
      <w:pPr>
        <w:pStyle w:val="BodyText"/>
        <w:spacing w:before="242" w:line="364" w:lineRule="auto"/>
        <w:ind w:left="215" w:right="1063" w:firstLine="720"/>
        <w:jc w:val="both"/>
      </w:pPr>
      <w:r>
        <w:rPr>
          <w:spacing w:val="-1"/>
        </w:rPr>
        <w:t>进场后，由项目负责人组织人员进行现场详细勘察，主动和当地各部门取得联系，积极协助业主搞好地下管线勘察工作；临时设施场地的租借、地方道路使用等手续，同时与当地派出所、治安联防队、交警部门取得联系，共同搞好工地的安全、保卫、交通疏通工</w:t>
      </w:r>
      <w:r>
        <w:t>作，为及早开工创造条件。</w:t>
      </w:r>
    </w:p>
    <w:p>
      <w:pPr>
        <w:pStyle w:val="BodyText"/>
        <w:spacing w:before="3"/>
        <w:ind w:left="935"/>
      </w:pPr>
      <w:r>
        <w:t>1、与各单位部门的协调</w:t>
      </w:r>
    </w:p>
    <w:p>
      <w:pPr>
        <w:pStyle w:val="BodyText"/>
        <w:spacing w:before="241" w:line="364" w:lineRule="auto"/>
        <w:ind w:left="215" w:right="1063" w:firstLine="720"/>
      </w:pPr>
      <w:r>
        <w:t>项目部将办好开工、夜间施工、余泥、散体物料运输及排放、租地等事宜，联系好弃土地点，加强与各主管单位的联系，为工程的顺利进行创造有利的条件。</w:t>
      </w:r>
    </w:p>
    <w:p>
      <w:pPr>
        <w:pStyle w:val="BodyText"/>
        <w:spacing w:before="2"/>
        <w:ind w:left="935"/>
      </w:pPr>
      <w:r>
        <w:t>2、场地平整规划</w:t>
      </w:r>
    </w:p>
    <w:p>
      <w:pPr>
        <w:pStyle w:val="BodyText"/>
        <w:spacing w:before="242" w:line="364" w:lineRule="auto"/>
        <w:ind w:left="215" w:right="1063" w:firstLine="720"/>
        <w:jc w:val="both"/>
      </w:pPr>
      <w:r>
        <w:t>考察本项目所处的地理位置和周边环境，进场后对临设位置分别进行场地规划。所有的临时设施建设均充分考虑需现场环境，充分利用既有道路和交通设施，做到临设布置既方便施工的现场管理，又不影响施工生产。</w:t>
      </w:r>
    </w:p>
    <w:p>
      <w:pPr>
        <w:pStyle w:val="BodyText"/>
        <w:spacing w:before="2"/>
        <w:ind w:left="935"/>
      </w:pPr>
      <w:r>
        <w:t>3、布设水电管路、接通水电</w:t>
      </w:r>
    </w:p>
    <w:p>
      <w:pPr>
        <w:pStyle w:val="BodyText"/>
        <w:spacing w:before="241"/>
        <w:ind w:left="935"/>
      </w:pPr>
      <w:r>
        <w:rPr>
          <w:spacing w:val="-6"/>
        </w:rPr>
        <w:t xml:space="preserve">施工用电，在施工现场自己配备 </w:t>
      </w:r>
      <w:r>
        <w:t>1</w:t>
      </w:r>
      <w:r>
        <w:rPr>
          <w:spacing w:val="-60"/>
        </w:rPr>
        <w:t xml:space="preserve"> 台 </w:t>
      </w:r>
      <w:r>
        <w:t>120</w:t>
      </w:r>
      <w:r>
        <w:rPr>
          <w:spacing w:val="-23"/>
        </w:rPr>
        <w:t xml:space="preserve"> 千瓦、</w:t>
      </w:r>
      <w:r>
        <w:t>1</w:t>
      </w:r>
      <w:r>
        <w:rPr>
          <w:spacing w:val="-60"/>
        </w:rPr>
        <w:t xml:space="preserve"> 台 </w:t>
      </w:r>
      <w:r>
        <w:t>30</w:t>
      </w:r>
      <w:r>
        <w:rPr>
          <w:spacing w:val="-10"/>
        </w:rPr>
        <w:t xml:space="preserve"> 千瓦的柴油发电机组。</w:t>
      </w:r>
    </w:p>
    <w:p>
      <w:pPr>
        <w:pStyle w:val="BodyText"/>
        <w:spacing w:before="241" w:line="364" w:lineRule="auto"/>
        <w:ind w:left="215" w:right="1063" w:firstLine="720"/>
      </w:pPr>
      <w:r>
        <w:t>施工用水，与当地水务部门联系就近市政给水管网接入工地临时用水，并沿线布置供水线路、连通各施工点和施工营地。另在施工营地设置排水边沟，将生活污水排入污水沉</w:t>
      </w:r>
    </w:p>
    <w:p>
      <w:pPr>
        <w:spacing w:after="0" w:line="364" w:lineRule="auto"/>
        <w:sectPr>
          <w:pgSz w:w="17860" w:h="25260"/>
          <w:pgMar w:top="1000" w:right="800" w:bottom="280" w:left="1740" w:header="708" w:footer="708"/>
          <w:pgNumType w:start="17"/>
          <w:cols w:space="708"/>
        </w:sectPr>
      </w:pPr>
    </w:p>
    <w:p>
      <w:pPr>
        <w:spacing w:before="28"/>
        <w:ind w:left="0" w:right="686" w:firstLine="0"/>
        <w:jc w:val="center"/>
        <w:rPr>
          <w:rFonts w:ascii="幼圆" w:eastAsia="幼圆" w:hint="eastAsia"/>
          <w:sz w:val="27"/>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3"/>
        <w:rPr>
          <w:rFonts w:ascii="幼圆"/>
          <w:sz w:val="21"/>
        </w:rPr>
      </w:pPr>
    </w:p>
    <w:p>
      <w:pPr>
        <w:pStyle w:val="BodyText"/>
        <w:ind w:left="215"/>
      </w:pPr>
      <w:r>
        <w:t>淀池。</w:t>
      </w:r>
    </w:p>
    <w:p>
      <w:pPr>
        <w:pStyle w:val="BodyText"/>
        <w:spacing w:before="241"/>
        <w:ind w:left="935"/>
      </w:pPr>
      <w:r>
        <w:t>4、修建排水设施</w:t>
      </w:r>
    </w:p>
    <w:p>
      <w:pPr>
        <w:pStyle w:val="BodyText"/>
        <w:spacing w:before="12"/>
        <w:rPr>
          <w:sz w:val="14"/>
        </w:rPr>
      </w:pPr>
    </w:p>
    <w:p>
      <w:pPr>
        <w:pStyle w:val="BodyText"/>
        <w:spacing w:before="49" w:line="364" w:lineRule="auto"/>
        <w:ind w:left="215" w:right="1063" w:firstLine="720"/>
        <w:jc w:val="both"/>
      </w:pPr>
      <w:r>
        <w:t>施工临设设立污水沉淀池、泥浆池，并将排污系统的位置图纸上报监理工程师，同时征得当地环保部门的同意。把施工和生活产生的污水排入污水沉淀池，经沉淀后就近排入环保部门允许排放的其他地方，严禁随处排放污水。</w:t>
      </w:r>
    </w:p>
    <w:p>
      <w:pPr>
        <w:pStyle w:val="BodyText"/>
        <w:spacing w:before="3"/>
        <w:ind w:left="935"/>
      </w:pPr>
      <w:r>
        <w:t>5、现场通讯</w:t>
      </w:r>
    </w:p>
    <w:p>
      <w:pPr>
        <w:pStyle w:val="BodyText"/>
        <w:spacing w:before="241" w:line="364" w:lineRule="auto"/>
        <w:ind w:left="215" w:right="1059" w:firstLine="720"/>
      </w:pPr>
      <w:r>
        <w:rPr>
          <w:spacing w:val="-3"/>
        </w:rPr>
        <w:t xml:space="preserve">施工现场则主要通过对讲机并辅以手机进行协调、指挥和调度，对讲机 </w:t>
      </w:r>
      <w:r>
        <w:t>4</w:t>
      </w:r>
      <w:r>
        <w:rPr>
          <w:spacing w:val="-19"/>
        </w:rPr>
        <w:t xml:space="preserve"> 台，确保施</w:t>
      </w:r>
      <w:r>
        <w:t>工期通讯畅顺。</w:t>
      </w:r>
    </w:p>
    <w:p>
      <w:pPr>
        <w:spacing w:before="2"/>
        <w:ind w:left="215" w:right="0" w:firstLine="0"/>
        <w:jc w:val="left"/>
        <w:rPr>
          <w:b/>
          <w:sz w:val="36"/>
        </w:rPr>
      </w:pPr>
      <w:r>
        <w:rPr>
          <w:b/>
          <w:sz w:val="36"/>
        </w:rPr>
        <w:t>三、材料、机具准备</w:t>
      </w:r>
    </w:p>
    <w:p>
      <w:pPr>
        <w:pStyle w:val="BodyText"/>
        <w:spacing w:before="241" w:line="364" w:lineRule="auto"/>
        <w:ind w:left="215" w:right="1063" w:firstLine="720"/>
        <w:jc w:val="both"/>
      </w:pPr>
      <w:r>
        <w:t>对现有施工设备、机具以及试验、检验设备由汽车运输到施工现场；机械设备进场后及时组织人员进行检修、维护和保养，确保开工后设备运转正常。在材料采购过程中，严格把关，杜绝不合格材料进入本项目内，确保工程材料质量达到国家规定要求。</w:t>
      </w:r>
    </w:p>
    <w:p>
      <w:pPr>
        <w:pStyle w:val="BodyText"/>
        <w:spacing w:before="3"/>
        <w:ind w:left="935"/>
      </w:pPr>
      <w:r>
        <w:t>1、材料进场的检验</w:t>
      </w:r>
    </w:p>
    <w:p>
      <w:pPr>
        <w:pStyle w:val="BodyText"/>
        <w:spacing w:before="241" w:line="364" w:lineRule="auto"/>
        <w:ind w:left="215" w:right="703" w:firstLine="720"/>
      </w:pPr>
      <w:r>
        <w:t>坚持材料进场检验制度，确保原材料、半成品、成品使用前符合技术规范的质量要求。管材进场前应检查强度、裂缝情况、管口节及产品合格证。</w:t>
      </w:r>
    </w:p>
    <w:p>
      <w:pPr>
        <w:pStyle w:val="BodyText"/>
        <w:spacing w:before="1" w:line="364" w:lineRule="auto"/>
        <w:ind w:left="215" w:right="1063" w:firstLine="720"/>
        <w:jc w:val="both"/>
      </w:pPr>
      <w:r>
        <w:t>严格控制原材料、半成品的质量。施工中所用的钢材、水泥等除须具有相应的质量证明书外，还须按规范要求进行抽检试验，合格后方可使用，对经试验达不到设计要求的原材料作退货处理。</w:t>
      </w:r>
    </w:p>
    <w:p>
      <w:pPr>
        <w:pStyle w:val="BodyText"/>
        <w:spacing w:before="4"/>
        <w:ind w:left="935"/>
      </w:pPr>
      <w:r>
        <w:t>原材料、半成品的堆放应符合现场要求，分类分规格堆放，并挂上标识牌，以防误用。</w:t>
      </w:r>
    </w:p>
    <w:p>
      <w:pPr>
        <w:pStyle w:val="BodyText"/>
        <w:spacing w:before="241"/>
        <w:ind w:left="935"/>
      </w:pPr>
      <w:r>
        <w:t>2、主要材料的进场控制</w:t>
      </w:r>
    </w:p>
    <w:p>
      <w:pPr>
        <w:pStyle w:val="BodyText"/>
        <w:spacing w:before="240" w:line="364" w:lineRule="auto"/>
        <w:ind w:left="215" w:right="1063" w:firstLine="720"/>
      </w:pPr>
      <w:r>
        <w:t>派员与各材料成品供应商取得联系，及早提供所需材料、构件的时间和清单，以便供应商作好有关的供料准备工作。</w:t>
      </w:r>
    </w:p>
    <w:p>
      <w:pPr>
        <w:pStyle w:val="BodyText"/>
        <w:spacing w:before="2" w:line="364" w:lineRule="auto"/>
        <w:ind w:left="215" w:right="1059" w:firstLine="720"/>
      </w:pPr>
      <w:r>
        <w:rPr>
          <w:spacing w:val="-3"/>
        </w:rPr>
        <w:t xml:space="preserve">此外，对于在施工阶段各工作区段要使用的管材、构件等，将于施工前的 </w:t>
      </w:r>
      <w:r>
        <w:t>5</w:t>
      </w:r>
      <w:r>
        <w:rPr>
          <w:spacing w:val="-22"/>
        </w:rPr>
        <w:t xml:space="preserve"> 天从供应</w:t>
      </w:r>
      <w:r>
        <w:t>商处提取，并做好质量检验工作，确保安装顺利进行。</w:t>
      </w:r>
    </w:p>
    <w:p>
      <w:pPr>
        <w:spacing w:after="0" w:line="364" w:lineRule="auto"/>
        <w:sectPr>
          <w:pgSz w:w="17860" w:h="25260"/>
          <w:pgMar w:top="1000" w:right="800" w:bottom="280" w:left="1740" w:header="708" w:footer="708"/>
          <w:pgNumType w:start="18"/>
          <w:cols w:space="708"/>
        </w:sectPr>
      </w:pPr>
    </w:p>
    <w:p>
      <w:pPr>
        <w:spacing w:before="28"/>
        <w:ind w:left="0" w:right="686" w:firstLine="0"/>
        <w:jc w:val="center"/>
        <w:rPr>
          <w:rFonts w:ascii="幼圆" w:eastAsia="幼圆" w:hint="eastAsia"/>
          <w:sz w:val="27"/>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9"/>
        <w:rPr>
          <w:rFonts w:ascii="幼圆"/>
          <w:sz w:val="33"/>
        </w:rPr>
      </w:pPr>
    </w:p>
    <w:p>
      <w:pPr>
        <w:pStyle w:val="Heading1"/>
        <w:tabs>
          <w:tab w:val="left" w:pos="1807"/>
        </w:tabs>
      </w:pPr>
      <w:bookmarkStart w:id="8" w:name="_TOC_250008"/>
      <w:bookmarkEnd w:id="8"/>
      <w:r>
        <w:t>第四章</w:t>
        <w:tab/>
        <w:t>施工工艺</w:t>
      </w:r>
    </w:p>
    <w:p>
      <w:pPr>
        <w:pStyle w:val="BodyText"/>
        <w:spacing w:before="5"/>
        <w:rPr>
          <w:b/>
          <w:sz w:val="34"/>
        </w:rPr>
      </w:pPr>
    </w:p>
    <w:p>
      <w:pPr>
        <w:pStyle w:val="Heading2"/>
        <w:tabs>
          <w:tab w:val="left" w:pos="1447"/>
        </w:tabs>
        <w:spacing w:before="1"/>
        <w:ind w:left="0" w:right="686"/>
        <w:jc w:val="center"/>
      </w:pPr>
      <w:bookmarkStart w:id="9" w:name="_TOC_250007"/>
      <w:bookmarkEnd w:id="9"/>
      <w:r>
        <w:t>第一节</w:t>
        <w:tab/>
        <w:t>顶管施工</w:t>
      </w:r>
    </w:p>
    <w:p>
      <w:pPr>
        <w:spacing w:before="305"/>
        <w:ind w:left="215" w:right="0" w:firstLine="0"/>
        <w:jc w:val="left"/>
        <w:rPr>
          <w:b/>
          <w:sz w:val="36"/>
        </w:rPr>
      </w:pPr>
      <w:r>
        <w:rPr>
          <w:b/>
          <w:sz w:val="36"/>
        </w:rPr>
        <w:t>一、工程特点</w:t>
      </w:r>
    </w:p>
    <w:p>
      <w:pPr>
        <w:pStyle w:val="BodyText"/>
        <w:spacing w:before="241"/>
        <w:ind w:left="935"/>
      </w:pPr>
      <w:r>
        <w:rPr>
          <w:b/>
        </w:rPr>
        <w:t>1、</w:t>
      </w:r>
      <w:r>
        <w:t>根据地质资料及现场勘查，本工程具有以下特点、难点：</w:t>
      </w:r>
    </w:p>
    <w:p>
      <w:pPr>
        <w:pStyle w:val="ListParagraph"/>
        <w:numPr>
          <w:ilvl w:val="0"/>
          <w:numId w:val="1"/>
        </w:numPr>
        <w:tabs>
          <w:tab w:val="left" w:pos="1477"/>
        </w:tabs>
        <w:spacing w:before="241" w:after="0" w:line="364" w:lineRule="auto"/>
        <w:ind w:left="215" w:right="882" w:firstLine="720"/>
        <w:jc w:val="left"/>
        <w:rPr>
          <w:sz w:val="36"/>
        </w:rPr>
      </w:pPr>
      <w:r>
        <w:rPr>
          <w:spacing w:val="-1"/>
          <w:sz w:val="36"/>
        </w:rPr>
        <w:t>受到施工场地内地下水位比较浅、地质条件较差、管道埋设较深等因素的影响，从</w:t>
      </w:r>
      <w:r>
        <w:rPr>
          <w:sz w:val="36"/>
        </w:rPr>
        <w:t>经济、安全考虑采用了泥水平衡式顶管的施工方法进行施工。</w:t>
      </w:r>
    </w:p>
    <w:p>
      <w:pPr>
        <w:pStyle w:val="ListParagraph"/>
        <w:numPr>
          <w:ilvl w:val="0"/>
          <w:numId w:val="1"/>
        </w:numPr>
        <w:tabs>
          <w:tab w:val="left" w:pos="1477"/>
        </w:tabs>
        <w:spacing w:before="1" w:after="0" w:line="364" w:lineRule="auto"/>
        <w:ind w:left="215" w:right="882" w:firstLine="720"/>
        <w:jc w:val="left"/>
        <w:rPr>
          <w:sz w:val="36"/>
        </w:rPr>
      </w:pPr>
      <w:r>
        <w:rPr>
          <w:sz w:val="36"/>
        </w:rPr>
        <w:t>施工段为长距离顶管施工，管径较大，顶管阻力大，需要采用的技术工艺（</w:t>
      </w:r>
      <w:r>
        <w:rPr>
          <w:spacing w:val="-6"/>
          <w:sz w:val="36"/>
        </w:rPr>
        <w:t>减阻、</w:t>
      </w:r>
      <w:r>
        <w:rPr>
          <w:sz w:val="36"/>
        </w:rPr>
        <w:t>中继间技术）施工难度较大，技术含量高。</w:t>
      </w:r>
    </w:p>
    <w:p>
      <w:pPr>
        <w:pStyle w:val="ListParagraph"/>
        <w:numPr>
          <w:ilvl w:val="0"/>
          <w:numId w:val="1"/>
        </w:numPr>
        <w:tabs>
          <w:tab w:val="left" w:pos="1477"/>
        </w:tabs>
        <w:spacing w:before="3" w:after="0" w:line="364" w:lineRule="auto"/>
        <w:ind w:left="215" w:right="889" w:firstLine="720"/>
        <w:jc w:val="left"/>
        <w:rPr>
          <w:sz w:val="36"/>
        </w:rPr>
      </w:pPr>
      <w:r>
        <w:rPr>
          <w:spacing w:val="-7"/>
          <w:sz w:val="36"/>
        </w:rPr>
        <w:t xml:space="preserve">施工精度要求高，一次顶进最长度 </w:t>
      </w:r>
      <w:r>
        <w:rPr>
          <w:sz w:val="36"/>
        </w:rPr>
        <w:t>203.5</w:t>
      </w:r>
      <w:r>
        <w:rPr>
          <w:spacing w:val="-11"/>
          <w:sz w:val="36"/>
        </w:rPr>
        <w:t xml:space="preserve"> 米，容易出现顶偏现象，需严格控制施工</w:t>
      </w:r>
      <w:r>
        <w:rPr>
          <w:sz w:val="36"/>
        </w:rPr>
        <w:t>精度。</w:t>
      </w:r>
    </w:p>
    <w:p>
      <w:pPr>
        <w:pStyle w:val="ListParagraph"/>
        <w:numPr>
          <w:ilvl w:val="0"/>
          <w:numId w:val="1"/>
        </w:numPr>
        <w:tabs>
          <w:tab w:val="left" w:pos="1477"/>
        </w:tabs>
        <w:spacing w:before="2" w:after="0" w:line="364" w:lineRule="auto"/>
        <w:ind w:left="935" w:right="1242" w:firstLine="0"/>
        <w:jc w:val="left"/>
        <w:rPr>
          <w:sz w:val="36"/>
        </w:rPr>
      </w:pPr>
      <w:r>
        <w:rPr>
          <w:spacing w:val="-1"/>
          <w:sz w:val="36"/>
        </w:rPr>
        <w:t>顶管区域人员密集，车流量大，需要配合草南路改造工程施工，施工进度紧张。</w:t>
      </w:r>
      <w:r>
        <w:rPr>
          <w:b/>
          <w:spacing w:val="3"/>
          <w:sz w:val="36"/>
        </w:rPr>
        <w:t>2、</w:t>
      </w:r>
      <w:r>
        <w:rPr>
          <w:sz w:val="36"/>
        </w:rPr>
        <w:t>根据本工程的特点，拟采取以下对策：</w:t>
      </w:r>
    </w:p>
    <w:p>
      <w:pPr>
        <w:pStyle w:val="ListParagraph"/>
        <w:numPr>
          <w:ilvl w:val="0"/>
          <w:numId w:val="27"/>
        </w:numPr>
        <w:tabs>
          <w:tab w:val="left" w:pos="1487"/>
        </w:tabs>
        <w:spacing w:before="2" w:after="0" w:line="364" w:lineRule="auto"/>
        <w:ind w:left="215" w:right="906" w:firstLine="720"/>
        <w:jc w:val="both"/>
        <w:rPr>
          <w:sz w:val="36"/>
        </w:rPr>
      </w:pPr>
      <w:r>
        <w:rPr>
          <w:spacing w:val="1"/>
          <w:sz w:val="36"/>
        </w:rPr>
        <w:t>在顶管顶进过程中采用管外壁注触变泥浆的措施从而降低顶进时的摩阻力 , 施工</w:t>
      </w:r>
      <w:r>
        <w:rPr>
          <w:spacing w:val="-4"/>
          <w:sz w:val="36"/>
        </w:rPr>
        <w:t>工程中严格控制膨润土的浓度来达到最好的减阻效果 , 施工现场按重量计的触变泥浆配合比为：水：膨润土＝8：1，膨润土：CMC＝30：1；</w:t>
      </w:r>
    </w:p>
    <w:p>
      <w:pPr>
        <w:pStyle w:val="ListParagraph"/>
        <w:numPr>
          <w:ilvl w:val="0"/>
          <w:numId w:val="27"/>
        </w:numPr>
        <w:tabs>
          <w:tab w:val="left" w:pos="1477"/>
        </w:tabs>
        <w:spacing w:before="3" w:after="0" w:line="240" w:lineRule="auto"/>
        <w:ind w:left="1476" w:right="0" w:hanging="542"/>
        <w:jc w:val="left"/>
        <w:rPr>
          <w:sz w:val="36"/>
        </w:rPr>
      </w:pPr>
      <w:r>
        <w:rPr>
          <w:sz w:val="36"/>
        </w:rPr>
        <w:t>在顶进过程中设置中继间,将整段管道分段推进，减少主推顶力；</w:t>
      </w:r>
    </w:p>
    <w:p>
      <w:pPr>
        <w:pStyle w:val="ListParagraph"/>
        <w:numPr>
          <w:ilvl w:val="0"/>
          <w:numId w:val="27"/>
        </w:numPr>
        <w:tabs>
          <w:tab w:val="left" w:pos="1490"/>
        </w:tabs>
        <w:spacing w:before="241" w:after="0" w:line="364" w:lineRule="auto"/>
        <w:ind w:left="215" w:right="960" w:firstLine="720"/>
        <w:jc w:val="left"/>
        <w:rPr>
          <w:sz w:val="36"/>
        </w:rPr>
      </w:pPr>
      <w:r>
        <w:rPr>
          <w:spacing w:val="-3"/>
          <w:sz w:val="36"/>
        </w:rPr>
        <w:t>对穿越轴线上路面变化进行跟踪监测 ,一旦发现异常情况 ,马上停工,采取补救措</w:t>
      </w:r>
      <w:r>
        <w:rPr>
          <w:sz w:val="36"/>
        </w:rPr>
        <w:t>施；</w:t>
      </w:r>
    </w:p>
    <w:p>
      <w:pPr>
        <w:pStyle w:val="ListParagraph"/>
        <w:numPr>
          <w:ilvl w:val="0"/>
          <w:numId w:val="27"/>
        </w:numPr>
        <w:tabs>
          <w:tab w:val="left" w:pos="1477"/>
        </w:tabs>
        <w:spacing w:before="1" w:after="0" w:line="364" w:lineRule="auto"/>
        <w:ind w:left="215" w:right="882" w:firstLine="720"/>
        <w:jc w:val="left"/>
        <w:rPr>
          <w:sz w:val="36"/>
        </w:rPr>
      </w:pPr>
      <w:r>
        <w:rPr>
          <w:spacing w:val="-1"/>
          <w:sz w:val="36"/>
        </w:rPr>
        <w:t>科学合理的配备顶管设备，采用先进的管理手段，加强工程计划管理，合理安排施</w:t>
      </w:r>
      <w:r>
        <w:rPr>
          <w:sz w:val="36"/>
        </w:rPr>
        <w:t>工顺序，加快施工进度；</w:t>
      </w:r>
    </w:p>
    <w:p>
      <w:pPr>
        <w:pStyle w:val="ListParagraph"/>
        <w:numPr>
          <w:ilvl w:val="0"/>
          <w:numId w:val="27"/>
        </w:numPr>
        <w:tabs>
          <w:tab w:val="left" w:pos="1477"/>
        </w:tabs>
        <w:spacing w:before="2" w:after="0" w:line="364" w:lineRule="auto"/>
        <w:ind w:left="215" w:right="882" w:firstLine="720"/>
        <w:jc w:val="left"/>
        <w:rPr>
          <w:sz w:val="36"/>
        </w:rPr>
      </w:pPr>
      <w:r>
        <w:rPr>
          <w:spacing w:val="-1"/>
          <w:sz w:val="36"/>
        </w:rPr>
        <w:t>重点工序均需编制专项施工方案，并严格执行施工方案的审批制度。施工时，严格</w:t>
      </w:r>
      <w:r>
        <w:rPr>
          <w:sz w:val="36"/>
        </w:rPr>
        <w:t>按审批的施工方案执行；</w:t>
      </w:r>
    </w:p>
    <w:p>
      <w:pPr>
        <w:pStyle w:val="ListParagraph"/>
        <w:numPr>
          <w:ilvl w:val="0"/>
          <w:numId w:val="27"/>
        </w:numPr>
        <w:tabs>
          <w:tab w:val="left" w:pos="1477"/>
        </w:tabs>
        <w:spacing w:before="2" w:after="0" w:line="364" w:lineRule="auto"/>
        <w:ind w:left="215" w:right="882" w:firstLine="720"/>
        <w:jc w:val="left"/>
        <w:rPr>
          <w:sz w:val="36"/>
        </w:rPr>
      </w:pPr>
      <w:r>
        <w:rPr>
          <w:spacing w:val="-1"/>
          <w:sz w:val="36"/>
        </w:rPr>
        <w:t xml:space="preserve">协调好各方面的关系，积极与各有关部门联系，取得场地地下管线的第一手资料， </w:t>
      </w:r>
      <w:r>
        <w:rPr>
          <w:sz w:val="36"/>
        </w:rPr>
        <w:t>在施工前仔细进行地下管线的探查工作，并在管线位置上设置明显的标志，在施工中采取各种措施保护好各种地下管线。</w:t>
      </w:r>
    </w:p>
    <w:p>
      <w:pPr>
        <w:pStyle w:val="ListParagraph"/>
        <w:numPr>
          <w:ilvl w:val="0"/>
          <w:numId w:val="27"/>
        </w:numPr>
        <w:tabs>
          <w:tab w:val="left" w:pos="1477"/>
        </w:tabs>
        <w:spacing w:before="4" w:after="0" w:line="364" w:lineRule="auto"/>
        <w:ind w:left="215" w:right="882" w:firstLine="720"/>
        <w:jc w:val="left"/>
        <w:rPr>
          <w:sz w:val="36"/>
        </w:rPr>
      </w:pPr>
      <w:r>
        <w:rPr>
          <w:spacing w:val="-1"/>
          <w:sz w:val="36"/>
        </w:rPr>
        <w:t>切实做好现场安全文明施工工作。成立现场安全文明施工小组，施工前做好各种宣</w:t>
      </w:r>
      <w:r>
        <w:rPr>
          <w:sz w:val="36"/>
        </w:rPr>
        <w:t>传和教育工作，制定安全文明施工和环境保护责任制度，施工中加强公司对项目部文明施工的监控力度，切实将施工对周边环境的影响降到最低。</w:t>
      </w:r>
    </w:p>
    <w:p>
      <w:pPr>
        <w:pStyle w:val="BodyText"/>
        <w:spacing w:before="2" w:line="364" w:lineRule="auto"/>
        <w:ind w:left="935" w:right="871" w:firstLine="3"/>
      </w:pPr>
      <w:r>
        <w:rPr>
          <w:b/>
        </w:rPr>
        <w:t>3、</w:t>
      </w:r>
      <w:r>
        <w:t>基于以上特点和对策，本工程顶管工艺采用的泥水平衡式顶管，它具有以下优点： (1)本工程选用的是一种具有破碎能力的泥水平衡的顶管机，切削下来的泥土在泥土仓</w:t>
      </w:r>
    </w:p>
    <w:p>
      <w:pPr>
        <w:spacing w:after="0" w:line="364" w:lineRule="auto"/>
        <w:sectPr>
          <w:pgSz w:w="17860" w:h="25260"/>
          <w:pgMar w:top="1000" w:right="800" w:bottom="280" w:left="1740" w:header="708" w:footer="708"/>
          <w:pgNumType w:start="19"/>
          <w:cols w:space="708"/>
        </w:sectPr>
      </w:pPr>
    </w:p>
    <w:p>
      <w:pPr>
        <w:spacing w:before="28"/>
        <w:ind w:left="0" w:right="686" w:firstLine="0"/>
        <w:jc w:val="center"/>
        <w:rPr>
          <w:rFonts w:ascii="幼圆" w:eastAsia="幼圆" w:hint="eastAsia"/>
          <w:sz w:val="27"/>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3"/>
        <w:rPr>
          <w:rFonts w:ascii="幼圆"/>
          <w:sz w:val="21"/>
        </w:rPr>
      </w:pPr>
    </w:p>
    <w:p>
      <w:pPr>
        <w:pStyle w:val="BodyText"/>
        <w:spacing w:line="364" w:lineRule="auto"/>
        <w:ind w:left="215" w:right="849"/>
      </w:pPr>
      <w:r>
        <w:t>内形成塑性体，以平衡土压力，而在泥水仓内建立高于地下水压力 10～20KPa 的泥水、泥浆，以平衡地下水压力。通过把进水添加粘土等成份的比重调整到一定范围内，即使挖掘面是砂的土质，也可形成一层结实的不透水泥膜，同时平衡地下水压力和土压力。</w:t>
      </w:r>
    </w:p>
    <w:p>
      <w:pPr>
        <w:spacing w:before="3"/>
        <w:ind w:left="215" w:right="0" w:firstLine="0"/>
        <w:jc w:val="left"/>
        <w:rPr>
          <w:b/>
          <w:sz w:val="36"/>
        </w:rPr>
      </w:pPr>
      <w:r>
        <w:rPr>
          <w:b/>
          <w:sz w:val="36"/>
        </w:rPr>
        <w:t>二、顶管机械设备</w:t>
      </w:r>
    </w:p>
    <w:p>
      <w:pPr>
        <w:pStyle w:val="BodyText"/>
        <w:spacing w:before="241"/>
        <w:ind w:left="921"/>
      </w:pPr>
      <w:r>
        <w:t>1、主要设备参数：</w:t>
      </w:r>
    </w:p>
    <w:p>
      <w:pPr>
        <w:pStyle w:val="BodyText"/>
        <w:spacing w:before="241" w:line="364" w:lineRule="auto"/>
        <w:ind w:left="215" w:right="1060" w:firstLine="720"/>
      </w:pPr>
      <w:r>
        <w:rPr>
          <w:spacing w:val="-4"/>
        </w:rPr>
        <w:t xml:space="preserve">本工程顶管使用的主要设备是镇江宏宇机电设备有限公司 </w:t>
      </w:r>
      <w:r>
        <w:t>NPD1200</w:t>
      </w:r>
      <w:r>
        <w:rPr>
          <w:spacing w:val="-14"/>
        </w:rPr>
        <w:t xml:space="preserve"> 型泥水平衡偏压破</w:t>
      </w:r>
      <w:r>
        <w:t>碎型顶管机。主要参数如下：</w:t>
      </w:r>
    </w:p>
    <w:p>
      <w:pPr>
        <w:pStyle w:val="ListParagraph"/>
        <w:numPr>
          <w:ilvl w:val="0"/>
          <w:numId w:val="26"/>
        </w:numPr>
        <w:tabs>
          <w:tab w:val="left" w:pos="1837"/>
        </w:tabs>
        <w:spacing w:before="1" w:after="0" w:line="240" w:lineRule="auto"/>
        <w:ind w:left="1836" w:right="0" w:hanging="902"/>
        <w:jc w:val="left"/>
        <w:rPr>
          <w:sz w:val="36"/>
        </w:rPr>
      </w:pPr>
      <w:r>
        <w:rPr>
          <w:sz w:val="36"/>
        </w:rPr>
        <w:t>顶进速度：10-150mm/min</w:t>
      </w:r>
    </w:p>
    <w:p>
      <w:pPr>
        <w:pStyle w:val="ListParagraph"/>
        <w:numPr>
          <w:ilvl w:val="0"/>
          <w:numId w:val="26"/>
        </w:numPr>
        <w:tabs>
          <w:tab w:val="left" w:pos="1837"/>
          <w:tab w:val="left" w:pos="7056"/>
          <w:tab w:val="left" w:pos="7416"/>
        </w:tabs>
        <w:spacing w:before="241" w:after="0" w:line="364" w:lineRule="auto"/>
        <w:ind w:left="935" w:right="5650" w:firstLine="0"/>
        <w:jc w:val="left"/>
        <w:rPr>
          <w:sz w:val="36"/>
        </w:rPr>
      </w:pPr>
      <w:r>
        <w:rPr>
          <w:sz w:val="36"/>
        </w:rPr>
        <w:t>切削刀盘：转速：5.0r/pm</w:t>
        <w:tab/>
        <w:tab/>
        <w:t>转矩</w:t>
      </w:r>
      <w:r>
        <w:rPr>
          <w:spacing w:val="-3"/>
          <w:sz w:val="36"/>
        </w:rPr>
        <w:t>：22kN/m</w:t>
      </w:r>
      <w:r>
        <w:rPr>
          <w:spacing w:val="-3"/>
          <w:position w:val="3"/>
          <w:sz w:val="18"/>
        </w:rPr>
        <w:t xml:space="preserve">2 </w:t>
      </w:r>
      <w:r>
        <w:rPr>
          <w:sz w:val="36"/>
        </w:rPr>
        <w:t>对抗土压：≤50T/m2</w:t>
        <w:tab/>
        <w:t>电机功率：30kw</w:t>
      </w:r>
    </w:p>
    <w:p>
      <w:pPr>
        <w:pStyle w:val="ListParagraph"/>
        <w:numPr>
          <w:ilvl w:val="0"/>
          <w:numId w:val="26"/>
        </w:numPr>
        <w:tabs>
          <w:tab w:val="left" w:pos="1837"/>
        </w:tabs>
        <w:spacing w:before="3" w:after="0" w:line="240" w:lineRule="auto"/>
        <w:ind w:left="1836" w:right="0" w:hanging="902"/>
        <w:jc w:val="left"/>
        <w:rPr>
          <w:sz w:val="36"/>
        </w:rPr>
      </w:pPr>
      <w:r>
        <w:rPr>
          <w:sz w:val="36"/>
        </w:rPr>
        <w:t>纠偏系统:</w:t>
      </w:r>
    </w:p>
    <w:p>
      <w:pPr>
        <w:pStyle w:val="BodyText"/>
        <w:spacing w:before="11"/>
        <w:rPr>
          <w:sz w:val="14"/>
        </w:rPr>
      </w:pPr>
    </w:p>
    <w:p>
      <w:pPr>
        <w:pStyle w:val="BodyText"/>
        <w:tabs>
          <w:tab w:val="left" w:pos="7146"/>
        </w:tabs>
        <w:spacing w:before="50"/>
        <w:ind w:left="935"/>
        <w:rPr>
          <w:sz w:val="18"/>
        </w:rPr>
      </w:pPr>
      <w:r>
        <w:t>纠偏油缸推力：200kN/m</w:t>
      </w:r>
      <w:r>
        <w:rPr>
          <w:position w:val="3"/>
          <w:sz w:val="18"/>
        </w:rPr>
        <w:t>2</w:t>
        <w:tab/>
      </w:r>
      <w:r>
        <w:t>纠偏油缸拉力：150kN/m</w:t>
      </w:r>
      <w:r>
        <w:rPr>
          <w:position w:val="3"/>
          <w:sz w:val="18"/>
        </w:rPr>
        <w:t>2</w:t>
      </w:r>
    </w:p>
    <w:p>
      <w:pPr>
        <w:pStyle w:val="BodyText"/>
        <w:spacing w:before="12"/>
        <w:rPr>
          <w:sz w:val="14"/>
        </w:rPr>
      </w:pPr>
    </w:p>
    <w:p>
      <w:pPr>
        <w:pStyle w:val="BodyText"/>
        <w:tabs>
          <w:tab w:val="left" w:pos="7056"/>
        </w:tabs>
        <w:spacing w:before="49"/>
        <w:ind w:left="935"/>
      </w:pPr>
      <w:r>
        <w:t>纠偏油缸数量：4</w:t>
        <w:tab/>
        <w:t>纠偏角度：(上下、左右)2.5°油压：21Mpa</w:t>
      </w:r>
    </w:p>
    <w:p>
      <w:pPr>
        <w:pStyle w:val="BodyText"/>
        <w:tabs>
          <w:tab w:val="left" w:pos="7056"/>
        </w:tabs>
        <w:spacing w:before="241"/>
        <w:ind w:left="935"/>
      </w:pPr>
      <w:r>
        <w:t>排量：1.5L/min</w:t>
        <w:tab/>
        <w:t>电机功率：0.75kw</w:t>
      </w:r>
    </w:p>
    <w:p>
      <w:pPr>
        <w:pStyle w:val="ListParagraph"/>
        <w:numPr>
          <w:ilvl w:val="0"/>
          <w:numId w:val="26"/>
        </w:numPr>
        <w:tabs>
          <w:tab w:val="left" w:pos="1837"/>
        </w:tabs>
        <w:spacing w:before="241" w:after="0" w:line="240" w:lineRule="auto"/>
        <w:ind w:left="1836" w:right="0" w:hanging="902"/>
        <w:jc w:val="left"/>
        <w:rPr>
          <w:sz w:val="36"/>
        </w:rPr>
      </w:pPr>
      <w:r>
        <w:rPr>
          <w:sz w:val="36"/>
        </w:rPr>
        <w:t>进排浆管道直径：Φ75mm</w:t>
      </w:r>
    </w:p>
    <w:p>
      <w:pPr>
        <w:pStyle w:val="BodyText"/>
        <w:spacing w:before="241"/>
        <w:ind w:left="935"/>
      </w:pPr>
      <w:r>
        <w:t>（5）外型尺寸：Φ1500*3000（外径×长)mm</w:t>
      </w:r>
    </w:p>
    <w:p>
      <w:pPr>
        <w:pStyle w:val="ListParagraph"/>
        <w:numPr>
          <w:ilvl w:val="0"/>
          <w:numId w:val="25"/>
        </w:numPr>
        <w:tabs>
          <w:tab w:val="left" w:pos="1837"/>
        </w:tabs>
        <w:spacing w:before="241" w:after="0" w:line="240" w:lineRule="auto"/>
        <w:ind w:left="1836" w:right="0" w:hanging="902"/>
        <w:jc w:val="left"/>
        <w:rPr>
          <w:sz w:val="36"/>
        </w:rPr>
      </w:pPr>
      <w:r>
        <w:rPr>
          <w:spacing w:val="-18"/>
          <w:sz w:val="36"/>
        </w:rPr>
        <w:t xml:space="preserve">重量：约 </w:t>
      </w:r>
      <w:r>
        <w:rPr>
          <w:sz w:val="36"/>
        </w:rPr>
        <w:t>2.5T</w:t>
      </w:r>
    </w:p>
    <w:p>
      <w:pPr>
        <w:pStyle w:val="ListParagraph"/>
        <w:numPr>
          <w:ilvl w:val="0"/>
          <w:numId w:val="25"/>
        </w:numPr>
        <w:tabs>
          <w:tab w:val="left" w:pos="1837"/>
        </w:tabs>
        <w:spacing w:before="241" w:after="0" w:line="240" w:lineRule="auto"/>
        <w:ind w:left="1836" w:right="0" w:hanging="902"/>
        <w:jc w:val="both"/>
        <w:rPr>
          <w:sz w:val="36"/>
        </w:rPr>
      </w:pPr>
      <w:r>
        <w:rPr>
          <w:spacing w:val="-18"/>
          <w:sz w:val="36"/>
        </w:rPr>
        <w:t xml:space="preserve">液压油为 </w:t>
      </w:r>
      <w:r>
        <w:rPr>
          <w:sz w:val="36"/>
        </w:rPr>
        <w:t>68#抗磨液压油。</w:t>
      </w:r>
    </w:p>
    <w:p>
      <w:pPr>
        <w:pStyle w:val="ListParagraph"/>
        <w:numPr>
          <w:ilvl w:val="0"/>
          <w:numId w:val="25"/>
        </w:numPr>
        <w:tabs>
          <w:tab w:val="left" w:pos="1837"/>
        </w:tabs>
        <w:spacing w:before="241" w:after="0" w:line="364" w:lineRule="auto"/>
        <w:ind w:left="935" w:right="11682" w:firstLine="0"/>
        <w:jc w:val="both"/>
        <w:rPr>
          <w:sz w:val="36"/>
        </w:rPr>
      </w:pPr>
      <w:r>
        <w:rPr>
          <w:spacing w:val="-4"/>
          <w:sz w:val="36"/>
        </w:rPr>
        <w:t xml:space="preserve">泥水系统： </w:t>
      </w:r>
      <w:r>
        <w:rPr>
          <w:sz w:val="36"/>
        </w:rPr>
        <w:t>排泥泵</w:t>
      </w:r>
      <w:r>
        <w:rPr>
          <w:spacing w:val="-4"/>
          <w:sz w:val="36"/>
        </w:rPr>
        <w:t>（</w:t>
      </w:r>
      <w:r>
        <w:rPr>
          <w:spacing w:val="-3"/>
          <w:sz w:val="36"/>
        </w:rPr>
        <w:t>KW</w:t>
      </w:r>
      <w:r>
        <w:rPr>
          <w:spacing w:val="-183"/>
          <w:sz w:val="36"/>
        </w:rPr>
        <w:t>）</w:t>
      </w:r>
      <w:r>
        <w:rPr>
          <w:spacing w:val="-3"/>
          <w:sz w:val="36"/>
        </w:rPr>
        <w:t>：22</w:t>
      </w:r>
      <w:r>
        <w:rPr>
          <w:sz w:val="36"/>
        </w:rPr>
        <w:t>送泥泵</w:t>
      </w:r>
      <w:r>
        <w:rPr>
          <w:spacing w:val="-4"/>
          <w:sz w:val="36"/>
        </w:rPr>
        <w:t>（</w:t>
      </w:r>
      <w:r>
        <w:rPr>
          <w:spacing w:val="-3"/>
          <w:sz w:val="36"/>
        </w:rPr>
        <w:t>KW</w:t>
      </w:r>
      <w:r>
        <w:rPr>
          <w:spacing w:val="-183"/>
          <w:sz w:val="36"/>
        </w:rPr>
        <w:t>）</w:t>
      </w:r>
      <w:r>
        <w:rPr>
          <w:spacing w:val="-3"/>
          <w:sz w:val="36"/>
        </w:rPr>
        <w:t>：15</w:t>
      </w:r>
    </w:p>
    <w:p>
      <w:pPr>
        <w:pStyle w:val="ListParagraph"/>
        <w:numPr>
          <w:ilvl w:val="0"/>
          <w:numId w:val="25"/>
        </w:numPr>
        <w:tabs>
          <w:tab w:val="left" w:pos="1837"/>
        </w:tabs>
        <w:spacing w:before="2" w:after="0" w:line="429" w:lineRule="auto"/>
        <w:ind w:left="215" w:right="8261" w:firstLine="720"/>
        <w:jc w:val="both"/>
        <w:rPr>
          <w:b/>
          <w:sz w:val="36"/>
        </w:rPr>
      </w:pPr>
      <w:r>
        <w:rPr>
          <w:spacing w:val="-13"/>
          <w:sz w:val="36"/>
        </w:rPr>
        <w:t xml:space="preserve">测量系统：用 </w:t>
      </w:r>
      <w:r>
        <w:rPr>
          <w:sz w:val="36"/>
        </w:rPr>
        <w:t>J2</w:t>
      </w:r>
      <w:r>
        <w:rPr>
          <w:spacing w:val="-15"/>
          <w:sz w:val="36"/>
        </w:rPr>
        <w:t xml:space="preserve"> 激光经纬仪导向</w:t>
      </w:r>
      <w:r>
        <w:rPr>
          <w:b/>
          <w:sz w:val="36"/>
        </w:rPr>
        <w:t>三、泥水平衡式顶管施工形象</w:t>
      </w:r>
    </w:p>
    <w:p>
      <w:pPr>
        <w:pStyle w:val="BodyText"/>
        <w:spacing w:line="383" w:lineRule="exact"/>
        <w:ind w:left="845"/>
      </w:pPr>
      <w:r>
        <w:t>微型掘进机被主顶油缸向前推进，掘进机头进入止水圈，穿过土层到达接收井，电动机</w:t>
      </w:r>
    </w:p>
    <w:p>
      <w:pPr>
        <w:pStyle w:val="BodyText"/>
        <w:spacing w:before="292" w:line="388" w:lineRule="auto"/>
        <w:ind w:left="215" w:right="1063"/>
        <w:jc w:val="both"/>
      </w:pPr>
      <w:r>
        <w:t>提供能量，转动切削刀盘，通过切削刀盘进入土层。挖掘的土质，石块等在转动的切削刀盘内被粉碎，然后进入泥水舱，在那里与泥浆混合，最后通过泥浆系统的排泥管由排泥泵输送至地面上。在挖掘过程中，采用复杂的土压平衡装置来维持水土平衡，以至始终处于主动与被动土压之间，达到消除地面的沉降和隆起的效果。掘进机完全进入土层以后，电缆、泥浆管被拆除，吊下第一节顶进管，它被推到掘进机的尾套处，与掘进头连接管顶进以后，挖掘终止、液压慢慢收回，另一节管道又吊入井内，套在第一节管道后方，连接在</w:t>
      </w:r>
    </w:p>
    <w:p>
      <w:pPr>
        <w:spacing w:after="0" w:line="388" w:lineRule="auto"/>
        <w:jc w:val="both"/>
        <w:sectPr>
          <w:pgSz w:w="17860" w:h="25260"/>
          <w:pgMar w:top="1000" w:right="800" w:bottom="280" w:left="1740" w:header="708" w:footer="708"/>
          <w:pgNumType w:start="20"/>
          <w:cols w:space="708"/>
        </w:sectPr>
      </w:pPr>
    </w:p>
    <w:p>
      <w:pPr>
        <w:spacing w:before="28"/>
        <w:ind w:left="0" w:right="686" w:firstLine="0"/>
        <w:jc w:val="center"/>
        <w:rPr>
          <w:rFonts w:ascii="幼圆" w:eastAsia="幼圆" w:hint="eastAsia"/>
          <w:sz w:val="27"/>
        </w:rPr>
      </w:pPr>
      <w:r>
        <w:pict>
          <v:group id="_x0000_s1041" style="width:893pt;height:1248pt;margin-top:0;margin-left:0;mso-position-horizontal-relative:page;mso-position-vertical-relative:page;position:absolute;z-index:-251643904" coordorigin="0,0" coordsize="17860,24960">
            <v:shape id="_x0000_s1042" type="#_x0000_t75" style="width:17860;height:24960;position:absolute" stroked="f">
              <v:imagedata r:id="rId13" o:title=""/>
            </v:shape>
            <v:shape id="_x0000_s1043" type="#_x0000_t75" style="width:13856;height:9999;left:1956;position:absolute;top:7228" stroked="f">
              <v:imagedata r:id="rId14" o:title=""/>
            </v:shape>
          </v:group>
        </w:pict>
      </w:r>
      <w:r>
        <w:rPr>
          <w:rFonts w:ascii="幼圆" w:eastAsia="幼圆" w:hint="eastAsia"/>
          <w:sz w:val="27"/>
        </w:rPr>
        <w:t>实用文档</w:t>
      </w:r>
    </w:p>
    <w:p>
      <w:pPr>
        <w:pStyle w:val="BodyText"/>
        <w:spacing w:before="10"/>
        <w:rPr>
          <w:rFonts w:ascii="幼圆"/>
          <w:sz w:val="30"/>
        </w:rPr>
      </w:pPr>
    </w:p>
    <w:p>
      <w:pPr>
        <w:pStyle w:val="BodyText"/>
        <w:spacing w:line="388" w:lineRule="auto"/>
        <w:ind w:left="215" w:right="1063"/>
      </w:pPr>
      <w:r>
        <w:t>一起，重新顶进，这个过程不断重复，直到所有管道被顶入土层完毕，完成一条永久性的地下管道。</w:t>
      </w:r>
    </w:p>
    <w:p>
      <w:pPr>
        <w:pStyle w:val="BodyText"/>
        <w:spacing w:before="7" w:line="391" w:lineRule="auto"/>
        <w:ind w:left="215" w:right="993" w:firstLine="788"/>
        <w:jc w:val="both"/>
      </w:pPr>
      <w:r>
        <w:t>掘进机在掘进过程中，采用了激光导向控制系统。位于工作后方的激光经纬仪发出激光束，调整好所需的标高及方向位置后，对准掘进机内的定位光靶上，激光靶的影像被捕捉到机内摄像机的影像内，并输送到挖掘系统的电脑显示屏内。操作者可以根据需要开启位于掘进机内置式油缸进行伸缩，为达到纠偏的目的，调整切削部分头部上下左右高度。在整个掘进过程中，甚至可以获得控制整个管道水平、垂直向30cm内的偏离精度。</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50"/>
        </w:rPr>
      </w:pPr>
    </w:p>
    <w:p>
      <w:pPr>
        <w:pStyle w:val="BodyText"/>
        <w:ind w:left="4255"/>
      </w:pPr>
      <w:r>
        <w:t>泥水平衡式工具头顶管施工形象示意图</w:t>
      </w:r>
    </w:p>
    <w:p>
      <w:pPr>
        <w:pStyle w:val="BodyText"/>
        <w:spacing w:before="126" w:line="364" w:lineRule="auto"/>
        <w:ind w:left="215" w:right="703" w:firstLine="784"/>
      </w:pPr>
      <w:r>
        <w:t xml:space="preserve">当工作井完成以后，经调试完毕的液压系统，顶管掘进机便通过运输至工地，并安装就位至导轨上，微型掘进设备还包括，操纵室和遥控台、液压动力站、后方主顶、泥水循 </w:t>
      </w:r>
      <w:r>
        <w:rPr>
          <w:spacing w:val="-1"/>
        </w:rPr>
        <w:t xml:space="preserve">环装置，激光定位装置，减摩剂搅拌注入装置，泥水处理装置；其他辅助装置包括起重机， </w:t>
      </w:r>
      <w:r>
        <w:t>发电机、卡车、电焊机等。</w:t>
      </w:r>
    </w:p>
    <w:p>
      <w:pPr>
        <w:spacing w:before="5"/>
        <w:ind w:left="215" w:right="0" w:firstLine="0"/>
        <w:jc w:val="left"/>
        <w:rPr>
          <w:b/>
          <w:sz w:val="36"/>
        </w:rPr>
      </w:pPr>
      <w:r>
        <w:rPr>
          <w:b/>
          <w:sz w:val="36"/>
        </w:rPr>
        <w:t>四、泥水平衡式顶管突出的优点：</w:t>
      </w:r>
    </w:p>
    <w:p>
      <w:pPr>
        <w:pStyle w:val="BodyText"/>
        <w:spacing w:before="240" w:line="364" w:lineRule="auto"/>
        <w:ind w:left="215" w:right="817" w:firstLine="784"/>
      </w:pPr>
      <w:r>
        <w:t>1、适用的土质范围比较广，如在地下水压力很高，以及变化范围很大的条件下，它都适用。</w:t>
      </w:r>
    </w:p>
    <w:p>
      <w:pPr>
        <w:pStyle w:val="BodyText"/>
        <w:spacing w:before="2" w:line="364" w:lineRule="auto"/>
        <w:ind w:left="215" w:right="817" w:firstLine="784"/>
      </w:pPr>
      <w:r>
        <w:t>2、可有效地保持挖掘面的稳定，对所顶管子周围的土体扰动比较小，因而由顶管引起的地面沉降较小。</w:t>
      </w:r>
    </w:p>
    <w:p>
      <w:pPr>
        <w:pStyle w:val="BodyText"/>
        <w:spacing w:before="2"/>
        <w:ind w:left="1000"/>
      </w:pPr>
      <w:r>
        <w:t>3、与其他类型的顶管比较，泥水顶管施工时的总推力比较小，尤其在粘土层这种表现</w:t>
      </w:r>
    </w:p>
    <w:p>
      <w:pPr>
        <w:spacing w:after="0"/>
        <w:sectPr>
          <w:pgSz w:w="17860" w:h="25260"/>
          <w:pgMar w:top="1000" w:right="800" w:bottom="280" w:left="1740" w:header="708" w:footer="708"/>
          <w:pgNumType w:start="21"/>
          <w:cols w:space="708"/>
        </w:sectPr>
      </w:pPr>
    </w:p>
    <w:p>
      <w:pPr>
        <w:spacing w:before="48"/>
        <w:ind w:left="0" w:right="686" w:firstLine="0"/>
        <w:jc w:val="center"/>
        <w:rPr>
          <w:rFonts w:ascii="宋体" w:eastAsia="宋体" w:hint="eastAsia"/>
          <w:sz w:val="27"/>
        </w:rPr>
      </w:pPr>
      <w:r>
        <w:pict>
          <v:group id="_x0000_s1044" style="width:893pt;height:1248pt;margin-top:0;margin-left:0;mso-position-horizontal-relative:page;mso-position-vertical-relative:page;position:absolute;z-index:-251642880" coordorigin="0,0" coordsize="17860,24960">
            <v:shape id="_x0000_s1045" type="#_x0000_t75" style="width:17860;height:24960;position:absolute" stroked="f">
              <v:imagedata r:id="rId5" o:title=""/>
            </v:shape>
            <v:shape id="_x0000_s1046" type="#_x0000_t75" style="width:9459;height:15278;left:3821;position:absolute;top:5160" stroked="f">
              <v:imagedata r:id="rId15" o:title=""/>
            </v:shape>
          </v:group>
        </w:pict>
      </w:r>
      <w:r>
        <w:rPr>
          <w:rFonts w:ascii="宋体" w:eastAsia="宋体" w:hint="eastAsia"/>
          <w:sz w:val="27"/>
        </w:rPr>
        <w:t>实用文档</w:t>
      </w:r>
    </w:p>
    <w:p>
      <w:pPr>
        <w:pStyle w:val="BodyText"/>
        <w:spacing w:before="3"/>
        <w:rPr>
          <w:rFonts w:ascii="宋体"/>
          <w:sz w:val="21"/>
        </w:rPr>
      </w:pPr>
    </w:p>
    <w:p>
      <w:pPr>
        <w:pStyle w:val="BodyText"/>
        <w:ind w:left="215"/>
      </w:pPr>
      <w:r>
        <w:t>得更为突出，所以特别适用于长距离顶管。</w:t>
      </w:r>
    </w:p>
    <w:p>
      <w:pPr>
        <w:pStyle w:val="BodyText"/>
        <w:spacing w:before="241" w:line="364" w:lineRule="auto"/>
        <w:ind w:left="215" w:right="817" w:firstLine="784"/>
      </w:pPr>
      <w:r>
        <w:t>4、工作坑内的作业环境较好，作业比较安全，由于它采用泥水管道，输送弃土，不存在吊土，搬运等危险的作业。</w:t>
      </w:r>
    </w:p>
    <w:p>
      <w:pPr>
        <w:spacing w:before="2" w:line="364" w:lineRule="auto"/>
        <w:ind w:left="215" w:right="6577" w:firstLine="784"/>
        <w:jc w:val="left"/>
        <w:rPr>
          <w:b/>
          <w:sz w:val="36"/>
        </w:rPr>
      </w:pPr>
      <w:r>
        <w:rPr>
          <w:sz w:val="36"/>
        </w:rPr>
        <w:t>5、泥水输送弃土为连续作业，因此进度比较快</w:t>
      </w:r>
      <w:r>
        <w:rPr>
          <w:color w:val="FF0000"/>
          <w:sz w:val="36"/>
        </w:rPr>
        <w:t>。</w:t>
      </w:r>
      <w:r>
        <w:rPr>
          <w:b/>
          <w:sz w:val="36"/>
        </w:rPr>
        <w:t>五、施工工艺流程：</w:t>
      </w:r>
    </w:p>
    <w:p>
      <w:pPr>
        <w:pStyle w:val="BodyText"/>
        <w:spacing w:before="10"/>
        <w:rPr>
          <w:b/>
          <w:sz w:val="8"/>
        </w:rPr>
      </w:pPr>
    </w:p>
    <w:p>
      <w:pPr>
        <w:spacing w:before="63"/>
        <w:ind w:left="4942" w:right="0" w:firstLine="0"/>
        <w:jc w:val="left"/>
        <w:rPr>
          <w:rFonts w:ascii="宋体" w:eastAsia="宋体" w:hint="eastAsia"/>
          <w:sz w:val="31"/>
        </w:rPr>
      </w:pPr>
      <w:r>
        <w:rPr>
          <w:rFonts w:ascii="宋体" w:eastAsia="宋体" w:hint="eastAsia"/>
          <w:sz w:val="31"/>
        </w:rPr>
        <w:t>施工前期准备</w:t>
      </w:r>
    </w:p>
    <w:p>
      <w:pPr>
        <w:pStyle w:val="BodyText"/>
        <w:rPr>
          <w:rFonts w:ascii="宋体"/>
          <w:sz w:val="20"/>
        </w:rPr>
      </w:pPr>
    </w:p>
    <w:p>
      <w:pPr>
        <w:pStyle w:val="BodyText"/>
        <w:spacing w:before="4"/>
        <w:rPr>
          <w:rFonts w:ascii="宋体"/>
          <w:sz w:val="25"/>
        </w:rPr>
      </w:pPr>
    </w:p>
    <w:p>
      <w:pPr>
        <w:spacing w:before="62" w:line="612" w:lineRule="auto"/>
        <w:ind w:left="4496" w:right="8023" w:firstLine="288"/>
        <w:jc w:val="left"/>
        <w:rPr>
          <w:rFonts w:ascii="宋体" w:eastAsia="宋体" w:hint="eastAsia"/>
          <w:sz w:val="31"/>
        </w:rPr>
      </w:pPr>
      <w:r>
        <w:rPr>
          <w:rFonts w:ascii="宋体" w:eastAsia="宋体" w:hint="eastAsia"/>
          <w:sz w:val="31"/>
        </w:rPr>
        <w:t xml:space="preserve">测量放样、复核 </w:t>
      </w:r>
      <w:r>
        <w:rPr>
          <w:rFonts w:ascii="宋体" w:eastAsia="宋体" w:hint="eastAsia"/>
          <w:spacing w:val="-9"/>
          <w:sz w:val="31"/>
        </w:rPr>
        <w:t>工作井、接收井施工</w:t>
      </w:r>
    </w:p>
    <w:p>
      <w:pPr>
        <w:spacing w:before="0" w:line="393" w:lineRule="exact"/>
        <w:ind w:left="4154" w:right="0" w:firstLine="0"/>
        <w:jc w:val="left"/>
        <w:rPr>
          <w:rFonts w:ascii="宋体" w:eastAsia="宋体" w:hint="eastAsia"/>
          <w:sz w:val="31"/>
        </w:rPr>
      </w:pPr>
      <w:r>
        <w:rPr>
          <w:rFonts w:ascii="宋体" w:eastAsia="宋体" w:hint="eastAsia"/>
          <w:sz w:val="31"/>
        </w:rPr>
        <w:t>工作井上下设备安装准备</w:t>
      </w:r>
    </w:p>
    <w:p>
      <w:pPr>
        <w:pStyle w:val="BodyText"/>
        <w:rPr>
          <w:rFonts w:ascii="宋体"/>
          <w:sz w:val="20"/>
        </w:rPr>
      </w:pPr>
    </w:p>
    <w:p>
      <w:pPr>
        <w:pStyle w:val="BodyText"/>
        <w:spacing w:before="4"/>
        <w:rPr>
          <w:rFonts w:ascii="宋体"/>
          <w:sz w:val="25"/>
        </w:rPr>
      </w:pPr>
    </w:p>
    <w:p>
      <w:pPr>
        <w:spacing w:before="62"/>
        <w:ind w:left="3682" w:right="0" w:firstLine="0"/>
        <w:jc w:val="left"/>
        <w:rPr>
          <w:rFonts w:ascii="宋体" w:eastAsia="宋体" w:hint="eastAsia"/>
          <w:sz w:val="31"/>
        </w:rPr>
      </w:pPr>
      <w:r>
        <w:rPr>
          <w:rFonts w:ascii="宋体" w:eastAsia="宋体" w:hint="eastAsia"/>
          <w:sz w:val="31"/>
        </w:rPr>
        <w:t>工具头吊装下井、全套设备调试</w:t>
      </w:r>
    </w:p>
    <w:p>
      <w:pPr>
        <w:pStyle w:val="BodyText"/>
        <w:rPr>
          <w:rFonts w:ascii="宋体"/>
          <w:sz w:val="20"/>
        </w:rPr>
      </w:pPr>
    </w:p>
    <w:p>
      <w:pPr>
        <w:pStyle w:val="BodyText"/>
        <w:spacing w:before="7"/>
        <w:rPr>
          <w:rFonts w:ascii="宋体"/>
          <w:sz w:val="24"/>
        </w:rPr>
      </w:pPr>
    </w:p>
    <w:p>
      <w:pPr>
        <w:spacing w:before="62"/>
        <w:ind w:left="4896" w:right="0" w:firstLine="0"/>
        <w:jc w:val="left"/>
        <w:rPr>
          <w:rFonts w:ascii="宋体" w:eastAsia="宋体" w:hint="eastAsia"/>
          <w:sz w:val="31"/>
        </w:rPr>
      </w:pPr>
      <w:r>
        <w:rPr>
          <w:rFonts w:ascii="宋体" w:eastAsia="宋体" w:hint="eastAsia"/>
          <w:sz w:val="31"/>
        </w:rPr>
        <w:t>工具头穿墙顶进</w:t>
      </w:r>
    </w:p>
    <w:p>
      <w:pPr>
        <w:pStyle w:val="BodyText"/>
        <w:rPr>
          <w:rFonts w:ascii="宋体"/>
          <w:sz w:val="20"/>
        </w:rPr>
      </w:pPr>
    </w:p>
    <w:p>
      <w:pPr>
        <w:pStyle w:val="BodyText"/>
        <w:spacing w:before="4"/>
        <w:rPr>
          <w:rFonts w:ascii="宋体"/>
          <w:sz w:val="25"/>
        </w:rPr>
      </w:pPr>
    </w:p>
    <w:p>
      <w:pPr>
        <w:spacing w:before="63" w:line="636" w:lineRule="auto"/>
        <w:ind w:left="4849" w:right="7566" w:hanging="267"/>
        <w:jc w:val="left"/>
        <w:rPr>
          <w:rFonts w:ascii="宋体" w:eastAsia="宋体" w:hint="eastAsia"/>
          <w:sz w:val="31"/>
        </w:rPr>
      </w:pPr>
      <w:r>
        <w:rPr>
          <w:rFonts w:ascii="宋体" w:eastAsia="宋体" w:hint="eastAsia"/>
          <w:spacing w:val="-2"/>
          <w:sz w:val="31"/>
        </w:rPr>
        <w:t>后续吊放钢筋混凝土管</w:t>
      </w:r>
      <w:r>
        <w:rPr>
          <w:rFonts w:ascii="宋体" w:eastAsia="宋体" w:hint="eastAsia"/>
          <w:sz w:val="31"/>
        </w:rPr>
        <w:t>是否需加中继间</w:t>
      </w:r>
    </w:p>
    <w:p>
      <w:pPr>
        <w:tabs>
          <w:tab w:val="left" w:pos="5349"/>
        </w:tabs>
        <w:spacing w:before="0" w:line="384" w:lineRule="exact"/>
        <w:ind w:left="2623" w:right="0" w:firstLine="0"/>
        <w:jc w:val="left"/>
        <w:rPr>
          <w:rFonts w:ascii="宋体" w:eastAsia="宋体" w:hint="eastAsia"/>
          <w:sz w:val="31"/>
        </w:rPr>
      </w:pPr>
      <w:r>
        <w:rPr>
          <w:rFonts w:ascii="宋体" w:eastAsia="宋体" w:hint="eastAsia"/>
          <w:position w:val="2"/>
          <w:sz w:val="31"/>
        </w:rPr>
        <w:t>否</w:t>
        <w:tab/>
      </w:r>
      <w:r>
        <w:rPr>
          <w:rFonts w:ascii="宋体" w:eastAsia="宋体" w:hint="eastAsia"/>
          <w:sz w:val="31"/>
        </w:rPr>
        <w:t>加中继间</w:t>
      </w:r>
    </w:p>
    <w:p>
      <w:pPr>
        <w:pStyle w:val="BodyText"/>
        <w:rPr>
          <w:rFonts w:ascii="宋体"/>
          <w:sz w:val="32"/>
        </w:rPr>
      </w:pPr>
    </w:p>
    <w:p>
      <w:pPr>
        <w:tabs>
          <w:tab w:val="left" w:pos="8925"/>
        </w:tabs>
        <w:spacing w:before="251"/>
        <w:ind w:left="5324" w:right="0" w:firstLine="0"/>
        <w:jc w:val="left"/>
        <w:rPr>
          <w:rFonts w:ascii="宋体" w:eastAsia="宋体" w:hint="eastAsia"/>
          <w:sz w:val="31"/>
        </w:rPr>
      </w:pPr>
      <w:r>
        <w:rPr>
          <w:rFonts w:ascii="宋体" w:eastAsia="宋体" w:hint="eastAsia"/>
          <w:sz w:val="31"/>
        </w:rPr>
        <w:t>管道顶进</w:t>
        <w:tab/>
        <w:t>测量控制及纠偏</w:t>
      </w:r>
    </w:p>
    <w:p>
      <w:pPr>
        <w:pStyle w:val="BodyText"/>
        <w:rPr>
          <w:rFonts w:ascii="宋体"/>
          <w:sz w:val="20"/>
        </w:rPr>
      </w:pPr>
    </w:p>
    <w:p>
      <w:pPr>
        <w:pStyle w:val="BodyText"/>
        <w:spacing w:before="2"/>
        <w:rPr>
          <w:rFonts w:ascii="宋体"/>
          <w:sz w:val="26"/>
        </w:rPr>
      </w:pPr>
    </w:p>
    <w:p>
      <w:pPr>
        <w:tabs>
          <w:tab w:val="left" w:pos="8881"/>
        </w:tabs>
        <w:spacing w:before="67" w:line="631" w:lineRule="auto"/>
        <w:ind w:left="5090" w:right="4851" w:firstLine="259"/>
        <w:jc w:val="left"/>
        <w:rPr>
          <w:rFonts w:ascii="宋体" w:eastAsia="宋体" w:hint="eastAsia"/>
          <w:sz w:val="31"/>
        </w:rPr>
      </w:pPr>
      <w:r>
        <w:rPr>
          <w:rFonts w:ascii="宋体" w:eastAsia="宋体" w:hint="eastAsia"/>
          <w:position w:val="1"/>
          <w:sz w:val="31"/>
        </w:rPr>
        <w:t>管道排泥</w:t>
        <w:tab/>
      </w:r>
      <w:r>
        <w:rPr>
          <w:rFonts w:ascii="宋体" w:eastAsia="宋体" w:hint="eastAsia"/>
          <w:sz w:val="31"/>
        </w:rPr>
        <w:t>废泥浆外</w:t>
      </w:r>
      <w:r>
        <w:rPr>
          <w:rFonts w:ascii="宋体" w:eastAsia="宋体" w:hint="eastAsia"/>
          <w:spacing w:val="-17"/>
          <w:sz w:val="31"/>
        </w:rPr>
        <w:t>运</w:t>
      </w:r>
      <w:r>
        <w:rPr>
          <w:rFonts w:ascii="宋体" w:eastAsia="宋体" w:hint="eastAsia"/>
          <w:sz w:val="31"/>
        </w:rPr>
        <w:t>下一管节吊放就位</w:t>
      </w:r>
    </w:p>
    <w:p>
      <w:pPr>
        <w:spacing w:before="0" w:line="621" w:lineRule="auto"/>
        <w:ind w:left="4446" w:right="7703" w:firstLine="0"/>
        <w:jc w:val="center"/>
        <w:rPr>
          <w:rFonts w:ascii="宋体" w:eastAsia="宋体" w:hint="eastAsia"/>
          <w:sz w:val="31"/>
        </w:rPr>
      </w:pPr>
      <w:r>
        <w:rPr>
          <w:rFonts w:ascii="宋体" w:eastAsia="宋体" w:hint="eastAsia"/>
          <w:sz w:val="31"/>
        </w:rPr>
        <w:t>管道贯通、回收工具头闭水试验</w:t>
      </w:r>
    </w:p>
    <w:p>
      <w:pPr>
        <w:spacing w:before="30"/>
        <w:ind w:left="4942" w:right="0" w:firstLine="0"/>
        <w:jc w:val="left"/>
        <w:rPr>
          <w:rFonts w:ascii="宋体" w:eastAsia="宋体" w:hint="eastAsia"/>
          <w:sz w:val="31"/>
        </w:rPr>
      </w:pPr>
      <w:r>
        <w:rPr>
          <w:rFonts w:ascii="宋体" w:eastAsia="宋体" w:hint="eastAsia"/>
          <w:sz w:val="31"/>
        </w:rPr>
        <w:t>竣工验收、清场</w:t>
      </w:r>
    </w:p>
    <w:p>
      <w:pPr>
        <w:pStyle w:val="BodyText"/>
        <w:rPr>
          <w:rFonts w:ascii="宋体"/>
          <w:sz w:val="20"/>
        </w:rPr>
      </w:pPr>
    </w:p>
    <w:p>
      <w:pPr>
        <w:pStyle w:val="BodyText"/>
        <w:rPr>
          <w:rFonts w:ascii="宋体"/>
          <w:sz w:val="20"/>
        </w:rPr>
      </w:pPr>
    </w:p>
    <w:p>
      <w:pPr>
        <w:pStyle w:val="BodyText"/>
        <w:rPr>
          <w:rFonts w:ascii="宋体"/>
          <w:sz w:val="24"/>
        </w:rPr>
      </w:pPr>
    </w:p>
    <w:p>
      <w:pPr>
        <w:pStyle w:val="BodyText"/>
        <w:spacing w:before="50"/>
        <w:ind w:right="1363"/>
        <w:jc w:val="center"/>
        <w:rPr>
          <w:rFonts w:ascii="宋体" w:eastAsia="宋体" w:hint="eastAsia"/>
        </w:rPr>
      </w:pPr>
      <w:r>
        <w:rPr>
          <w:rFonts w:ascii="宋体" w:eastAsia="宋体" w:hint="eastAsia"/>
        </w:rPr>
        <w:t>顶管施工工艺流程</w:t>
      </w:r>
    </w:p>
    <w:p>
      <w:pPr>
        <w:pStyle w:val="BodyText"/>
        <w:rPr>
          <w:rFonts w:ascii="宋体"/>
        </w:rPr>
      </w:pPr>
    </w:p>
    <w:p>
      <w:pPr>
        <w:pStyle w:val="BodyText"/>
        <w:spacing w:before="3"/>
        <w:rPr>
          <w:rFonts w:ascii="宋体"/>
          <w:sz w:val="39"/>
        </w:rPr>
      </w:pPr>
    </w:p>
    <w:p>
      <w:pPr>
        <w:spacing w:before="0"/>
        <w:ind w:left="215" w:right="0" w:firstLine="0"/>
        <w:jc w:val="left"/>
        <w:rPr>
          <w:b/>
          <w:sz w:val="36"/>
        </w:rPr>
      </w:pPr>
      <w:r>
        <w:rPr>
          <w:b/>
          <w:sz w:val="36"/>
        </w:rPr>
        <w:t>六、准备工作和顶力计算、最大顶距确定</w:t>
      </w:r>
    </w:p>
    <w:p>
      <w:pPr>
        <w:spacing w:after="0"/>
        <w:jc w:val="left"/>
        <w:rPr>
          <w:sz w:val="36"/>
        </w:rPr>
        <w:sectPr>
          <w:pgSz w:w="17860" w:h="25260"/>
          <w:pgMar w:top="980" w:right="800" w:bottom="280" w:left="1740" w:header="708" w:footer="708"/>
          <w:pgNumType w:start="22"/>
          <w:cols w:space="708"/>
        </w:sectPr>
      </w:pPr>
    </w:p>
    <w:p>
      <w:pPr>
        <w:spacing w:before="28"/>
        <w:ind w:left="0" w:right="686" w:firstLine="0"/>
        <w:jc w:val="center"/>
        <w:rPr>
          <w:rFonts w:ascii="幼圆" w:eastAsia="幼圆" w:hint="eastAsia"/>
          <w:sz w:val="27"/>
        </w:rPr>
      </w:pPr>
      <w:r>
        <w:pict>
          <v:group id="_x0000_s1047" style="width:893pt;height:1248pt;margin-top:0;margin-left:0;mso-position-horizontal-relative:page;mso-position-vertical-relative:page;position:absolute;z-index:-251641856" coordorigin="0,0" coordsize="17860,24960">
            <v:shape id="_x0000_s1048" type="#_x0000_t75" style="width:17860;height:24960;position:absolute" stroked="f">
              <v:imagedata r:id="rId5" o:title=""/>
            </v:shape>
            <v:shape id="_x0000_s1049" type="#_x0000_t75" style="width:5313;height:855;left:6397;position:absolute;top:18399" stroked="f">
              <v:imagedata r:id="rId16" o:title=""/>
            </v:shape>
          </v:group>
        </w:pict>
      </w:r>
      <w:r>
        <w:rPr>
          <w:rFonts w:ascii="幼圆" w:eastAsia="幼圆" w:hint="eastAsia"/>
          <w:sz w:val="27"/>
        </w:rPr>
        <w:t>实用文档</w:t>
      </w:r>
    </w:p>
    <w:p>
      <w:pPr>
        <w:pStyle w:val="BodyText"/>
        <w:spacing w:before="153" w:line="364" w:lineRule="auto"/>
        <w:ind w:left="215" w:right="703" w:firstLine="727"/>
      </w:pPr>
      <w:r>
        <w:t>本工程顶管单元长度根据设计图纸的井室位置、地面运输和开挖工作坑的条件、顶管需要的顶力、后背与管口可能承受的顶力等因素确定单元长度。本工程土质参数基本相同， 顶力计算时取一个最大管径和最大单元长度进行计算。</w:t>
      </w:r>
    </w:p>
    <w:p>
      <w:pPr>
        <w:pStyle w:val="BodyText"/>
        <w:spacing w:line="461" w:lineRule="exact"/>
        <w:ind w:left="935"/>
      </w:pPr>
      <w:r>
        <w:t>1、施工前准备工作</w:t>
      </w:r>
    </w:p>
    <w:p>
      <w:pPr>
        <w:pStyle w:val="ListParagraph"/>
        <w:numPr>
          <w:ilvl w:val="0"/>
          <w:numId w:val="24"/>
        </w:numPr>
        <w:tabs>
          <w:tab w:val="left" w:pos="1837"/>
        </w:tabs>
        <w:spacing w:before="237" w:after="0" w:line="364" w:lineRule="auto"/>
        <w:ind w:left="215" w:right="882" w:firstLine="720"/>
        <w:jc w:val="left"/>
        <w:rPr>
          <w:sz w:val="36"/>
        </w:rPr>
      </w:pPr>
      <w:r>
        <w:rPr>
          <w:spacing w:val="-1"/>
          <w:sz w:val="36"/>
        </w:rPr>
        <w:t>在顶管顶进施工前，按要求进行施工用电，用水，通道，排水及照明等设备的安</w:t>
      </w:r>
      <w:r>
        <w:rPr>
          <w:spacing w:val="-8"/>
          <w:sz w:val="36"/>
        </w:rPr>
        <w:t xml:space="preserve">装。施工用电每台套采用 </w:t>
      </w:r>
      <w:r>
        <w:rPr>
          <w:sz w:val="36"/>
        </w:rPr>
        <w:t>120KW</w:t>
      </w:r>
      <w:r>
        <w:rPr>
          <w:spacing w:val="-10"/>
          <w:sz w:val="36"/>
        </w:rPr>
        <w:t xml:space="preserve"> 的发电机组。施工用水与当地水务部门联系就近市政给水管网接入工地临时用水，并沿线布置供水线路、连通各施工点</w:t>
      </w:r>
    </w:p>
    <w:p>
      <w:pPr>
        <w:pStyle w:val="ListParagraph"/>
        <w:numPr>
          <w:ilvl w:val="0"/>
          <w:numId w:val="24"/>
        </w:numPr>
        <w:tabs>
          <w:tab w:val="left" w:pos="1837"/>
        </w:tabs>
        <w:spacing w:before="0" w:after="0" w:line="362" w:lineRule="auto"/>
        <w:ind w:left="215" w:right="882" w:firstLine="720"/>
        <w:jc w:val="left"/>
        <w:rPr>
          <w:sz w:val="36"/>
        </w:rPr>
      </w:pPr>
      <w:r>
        <w:rPr>
          <w:spacing w:val="-1"/>
          <w:sz w:val="36"/>
        </w:rPr>
        <w:t>施工材料，设备及机具必须备齐，以满足本工程的施工要求。管节等准备要有足</w:t>
      </w:r>
      <w:r>
        <w:rPr>
          <w:sz w:val="36"/>
        </w:rPr>
        <w:t>够的余量(30～40m)。</w:t>
      </w:r>
    </w:p>
    <w:p>
      <w:pPr>
        <w:pStyle w:val="ListParagraph"/>
        <w:numPr>
          <w:ilvl w:val="0"/>
          <w:numId w:val="24"/>
        </w:numPr>
        <w:tabs>
          <w:tab w:val="left" w:pos="1837"/>
        </w:tabs>
        <w:spacing w:before="7" w:after="0" w:line="240" w:lineRule="auto"/>
        <w:ind w:left="1836" w:right="0" w:hanging="902"/>
        <w:jc w:val="left"/>
        <w:rPr>
          <w:sz w:val="36"/>
        </w:rPr>
      </w:pPr>
      <w:r>
        <w:rPr>
          <w:sz w:val="36"/>
        </w:rPr>
        <w:t>井上，井下建立测量控制网，并经复核报验监理认可。</w:t>
      </w:r>
    </w:p>
    <w:p>
      <w:pPr>
        <w:pStyle w:val="BodyText"/>
        <w:spacing w:before="238"/>
        <w:ind w:left="921"/>
      </w:pPr>
      <w:r>
        <w:t>2、井下准备工作及井内布置</w:t>
      </w:r>
    </w:p>
    <w:p>
      <w:pPr>
        <w:pStyle w:val="BodyText"/>
        <w:spacing w:before="240" w:line="364" w:lineRule="auto"/>
        <w:ind w:left="215" w:right="1063" w:firstLine="720"/>
        <w:jc w:val="both"/>
      </w:pPr>
      <w:r>
        <w:t>工作井井内布置主要是后靠背、导轨、主顶油缸、油泵动力站、钢制扶梯等。顶管基座为钢结构预制构件，顶管基座位置按管道设计轴线准确进行放样，安装时按照测量放样的基线，吊入井下就位安装固定。基座上的导轨按照顶管设计轴线并按实测洞门中心居中放置，并设置支撑加固，保证基座稳定不变形。</w:t>
      </w:r>
    </w:p>
    <w:p>
      <w:pPr>
        <w:pStyle w:val="BodyText"/>
        <w:spacing w:line="458" w:lineRule="exact"/>
        <w:ind w:left="921"/>
      </w:pPr>
      <w:r>
        <w:t>3、技术交底，岗位培训</w:t>
      </w:r>
    </w:p>
    <w:p>
      <w:pPr>
        <w:pStyle w:val="BodyText"/>
        <w:spacing w:before="242" w:line="362" w:lineRule="auto"/>
        <w:ind w:left="215" w:right="1063" w:firstLine="720"/>
      </w:pPr>
      <w:r>
        <w:t>在顶管施工前，对参加施工的全体人员分阶段进行详细的技术交底，对各技术工种进行岗位培训，经考核合格后，才能上岗。</w:t>
      </w:r>
    </w:p>
    <w:p>
      <w:pPr>
        <w:pStyle w:val="BodyText"/>
        <w:spacing w:before="7"/>
        <w:ind w:left="921"/>
      </w:pPr>
      <w:r>
        <w:t>4、顶力的计算</w:t>
      </w:r>
    </w:p>
    <w:p>
      <w:pPr>
        <w:pStyle w:val="BodyText"/>
        <w:spacing w:before="10"/>
        <w:rPr>
          <w:sz w:val="27"/>
        </w:rPr>
      </w:pPr>
    </w:p>
    <w:p>
      <w:pPr>
        <w:pStyle w:val="ListParagraph"/>
        <w:numPr>
          <w:ilvl w:val="0"/>
          <w:numId w:val="23"/>
        </w:numPr>
        <w:tabs>
          <w:tab w:val="left" w:pos="1837"/>
        </w:tabs>
        <w:spacing w:before="0" w:after="0" w:line="240" w:lineRule="auto"/>
        <w:ind w:left="1836" w:right="0" w:hanging="902"/>
        <w:jc w:val="left"/>
        <w:rPr>
          <w:sz w:val="36"/>
        </w:rPr>
      </w:pPr>
      <w:r>
        <w:rPr>
          <w:sz w:val="36"/>
        </w:rPr>
        <w:t>顶进参数计算</w:t>
      </w:r>
    </w:p>
    <w:p>
      <w:pPr>
        <w:pStyle w:val="BodyText"/>
        <w:spacing w:before="241" w:line="364" w:lineRule="auto"/>
        <w:ind w:left="215" w:right="1063" w:firstLine="720"/>
        <w:jc w:val="both"/>
      </w:pPr>
      <w:r>
        <w:t>顶管过程是一个复杂的力学过程，它涉及材料力学、岩土力学、流体力学、弹塑性力学等诸多学科。但顶管计算的根本问题是要估计顶管的顶力。顶管的顶力就是顶管过程管道受的阻力，包括工具头正面泥水压力、管壁摩擦阻力。</w:t>
      </w:r>
    </w:p>
    <w:p>
      <w:pPr>
        <w:pStyle w:val="BodyText"/>
        <w:spacing w:before="3"/>
        <w:ind w:left="215"/>
        <w:jc w:val="both"/>
      </w:pPr>
      <w:r>
        <w:t>根据《给水排水管道工程施工及验收规范》（GB 50268-2008）要求，顶进阻力按下式计算：</w:t>
      </w:r>
    </w:p>
    <w:p>
      <w:pPr>
        <w:pStyle w:val="BodyText"/>
      </w:pPr>
    </w:p>
    <w:p>
      <w:pPr>
        <w:pStyle w:val="BodyText"/>
      </w:pPr>
    </w:p>
    <w:p>
      <w:pPr>
        <w:pStyle w:val="BodyText"/>
        <w:spacing w:before="255"/>
        <w:ind w:left="852"/>
      </w:pPr>
      <w:r>
        <w:t>式中：</w:t>
      </w:r>
    </w:p>
    <w:p>
      <w:pPr>
        <w:pStyle w:val="BodyText"/>
        <w:spacing w:before="9"/>
        <w:rPr>
          <w:sz w:val="22"/>
        </w:rPr>
      </w:pPr>
    </w:p>
    <w:tbl>
      <w:tblPr>
        <w:tblStyle w:val="TableNormal2"/>
        <w:tblW w:w="0" w:type="auto"/>
        <w:jc w:val="left"/>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0"/>
        <w:gridCol w:w="900"/>
        <w:gridCol w:w="12266"/>
      </w:tblGrid>
      <w:tr>
        <w:tblPrEx>
          <w:tblW w:w="0" w:type="auto"/>
          <w:jc w:val="left"/>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500" w:type="dxa"/>
          </w:tcPr>
          <w:p>
            <w:pPr>
              <w:pStyle w:val="TableParagraph"/>
              <w:spacing w:line="411" w:lineRule="exact"/>
              <w:ind w:left="50"/>
              <w:rPr>
                <w:sz w:val="36"/>
              </w:rPr>
            </w:pPr>
            <w:r>
              <w:rPr>
                <w:sz w:val="36"/>
              </w:rPr>
              <w:t>Fp</w:t>
            </w:r>
          </w:p>
        </w:tc>
        <w:tc>
          <w:tcPr>
            <w:tcW w:w="900" w:type="dxa"/>
          </w:tcPr>
          <w:p>
            <w:pPr>
              <w:pStyle w:val="TableParagraph"/>
              <w:spacing w:line="411" w:lineRule="exact"/>
              <w:ind w:left="70" w:right="70"/>
              <w:jc w:val="center"/>
              <w:rPr>
                <w:sz w:val="36"/>
              </w:rPr>
            </w:pPr>
            <w:r>
              <w:rPr>
                <w:sz w:val="36"/>
              </w:rPr>
              <w:t>——</w:t>
            </w:r>
          </w:p>
        </w:tc>
        <w:tc>
          <w:tcPr>
            <w:tcW w:w="12266" w:type="dxa"/>
          </w:tcPr>
          <w:p>
            <w:pPr>
              <w:pStyle w:val="TableParagraph"/>
              <w:spacing w:line="411" w:lineRule="exact"/>
              <w:ind w:left="89"/>
              <w:rPr>
                <w:sz w:val="36"/>
              </w:rPr>
            </w:pPr>
            <w:r>
              <w:rPr>
                <w:sz w:val="36"/>
              </w:rPr>
              <w:t>顶进阻力(kN)；</w:t>
            </w:r>
          </w:p>
        </w:tc>
      </w:tr>
      <w:tr>
        <w:tblPrEx>
          <w:tblW w:w="0" w:type="auto"/>
          <w:jc w:val="left"/>
          <w:tblInd w:w="810" w:type="dxa"/>
          <w:tblLayout w:type="fixed"/>
          <w:tblCellMar>
            <w:top w:w="0" w:type="dxa"/>
            <w:left w:w="0" w:type="dxa"/>
            <w:bottom w:w="0" w:type="dxa"/>
            <w:right w:w="0" w:type="dxa"/>
          </w:tblCellMar>
          <w:tblLook w:val="01E0"/>
        </w:tblPrEx>
        <w:trPr>
          <w:trHeight w:val="701"/>
          <w:jc w:val="left"/>
        </w:trPr>
        <w:tc>
          <w:tcPr>
            <w:tcW w:w="500" w:type="dxa"/>
          </w:tcPr>
          <w:p>
            <w:pPr>
              <w:pStyle w:val="TableParagraph"/>
              <w:spacing w:before="120"/>
              <w:ind w:left="50"/>
              <w:rPr>
                <w:sz w:val="36"/>
              </w:rPr>
            </w:pPr>
            <w:r>
              <w:rPr>
                <w:sz w:val="36"/>
              </w:rPr>
              <w:t>D0</w:t>
            </w:r>
          </w:p>
        </w:tc>
        <w:tc>
          <w:tcPr>
            <w:tcW w:w="900" w:type="dxa"/>
          </w:tcPr>
          <w:p>
            <w:pPr>
              <w:pStyle w:val="TableParagraph"/>
              <w:spacing w:before="120"/>
              <w:ind w:left="70" w:right="70"/>
              <w:jc w:val="center"/>
              <w:rPr>
                <w:sz w:val="36"/>
              </w:rPr>
            </w:pPr>
            <w:r>
              <w:rPr>
                <w:sz w:val="36"/>
              </w:rPr>
              <w:t>——</w:t>
            </w:r>
          </w:p>
        </w:tc>
        <w:tc>
          <w:tcPr>
            <w:tcW w:w="12266" w:type="dxa"/>
          </w:tcPr>
          <w:p>
            <w:pPr>
              <w:pStyle w:val="TableParagraph"/>
              <w:spacing w:before="120"/>
              <w:ind w:left="89"/>
              <w:rPr>
                <w:sz w:val="36"/>
              </w:rPr>
            </w:pPr>
            <w:r>
              <w:rPr>
                <w:sz w:val="36"/>
              </w:rPr>
              <w:t>管道外径(m)；1.440m；</w:t>
            </w:r>
          </w:p>
        </w:tc>
      </w:tr>
      <w:tr>
        <w:tblPrEx>
          <w:tblW w:w="0" w:type="auto"/>
          <w:jc w:val="left"/>
          <w:tblInd w:w="810" w:type="dxa"/>
          <w:tblLayout w:type="fixed"/>
          <w:tblCellMar>
            <w:top w:w="0" w:type="dxa"/>
            <w:left w:w="0" w:type="dxa"/>
            <w:bottom w:w="0" w:type="dxa"/>
            <w:right w:w="0" w:type="dxa"/>
          </w:tblCellMar>
          <w:tblLook w:val="01E0"/>
        </w:tblPrEx>
        <w:trPr>
          <w:trHeight w:val="701"/>
          <w:jc w:val="left"/>
        </w:trPr>
        <w:tc>
          <w:tcPr>
            <w:tcW w:w="500" w:type="dxa"/>
          </w:tcPr>
          <w:p>
            <w:pPr>
              <w:pStyle w:val="TableParagraph"/>
              <w:spacing w:before="120"/>
              <w:ind w:left="50"/>
              <w:rPr>
                <w:sz w:val="36"/>
              </w:rPr>
            </w:pPr>
            <w:r>
              <w:rPr>
                <w:sz w:val="36"/>
              </w:rPr>
              <w:t>L</w:t>
            </w:r>
          </w:p>
        </w:tc>
        <w:tc>
          <w:tcPr>
            <w:tcW w:w="900" w:type="dxa"/>
          </w:tcPr>
          <w:p>
            <w:pPr>
              <w:pStyle w:val="TableParagraph"/>
              <w:spacing w:before="120"/>
              <w:ind w:left="70" w:right="70"/>
              <w:jc w:val="center"/>
              <w:rPr>
                <w:sz w:val="36"/>
              </w:rPr>
            </w:pPr>
            <w:r>
              <w:rPr>
                <w:sz w:val="36"/>
              </w:rPr>
              <w:t>——</w:t>
            </w:r>
          </w:p>
        </w:tc>
        <w:tc>
          <w:tcPr>
            <w:tcW w:w="12266" w:type="dxa"/>
          </w:tcPr>
          <w:p>
            <w:pPr>
              <w:pStyle w:val="TableParagraph"/>
              <w:spacing w:before="120"/>
              <w:ind w:left="89"/>
              <w:rPr>
                <w:sz w:val="36"/>
              </w:rPr>
            </w:pPr>
            <w:r>
              <w:rPr>
                <w:sz w:val="36"/>
              </w:rPr>
              <w:t>管道顶进最短施工长度(m)，本工程中为 144m；</w:t>
            </w:r>
          </w:p>
        </w:tc>
      </w:tr>
      <w:tr>
        <w:tblPrEx>
          <w:tblW w:w="0" w:type="auto"/>
          <w:jc w:val="left"/>
          <w:tblInd w:w="810" w:type="dxa"/>
          <w:tblLayout w:type="fixed"/>
          <w:tblCellMar>
            <w:top w:w="0" w:type="dxa"/>
            <w:left w:w="0" w:type="dxa"/>
            <w:bottom w:w="0" w:type="dxa"/>
            <w:right w:w="0" w:type="dxa"/>
          </w:tblCellMar>
          <w:tblLook w:val="01E0"/>
        </w:tblPrEx>
        <w:trPr>
          <w:trHeight w:val="530"/>
          <w:jc w:val="left"/>
        </w:trPr>
        <w:tc>
          <w:tcPr>
            <w:tcW w:w="500" w:type="dxa"/>
          </w:tcPr>
          <w:p>
            <w:pPr>
              <w:pStyle w:val="TableParagraph"/>
              <w:spacing w:before="120" w:line="391" w:lineRule="exact"/>
              <w:ind w:left="50"/>
              <w:rPr>
                <w:sz w:val="36"/>
              </w:rPr>
            </w:pPr>
            <w:r>
              <w:rPr>
                <w:sz w:val="36"/>
              </w:rPr>
              <w:t>fk</w:t>
            </w:r>
          </w:p>
        </w:tc>
        <w:tc>
          <w:tcPr>
            <w:tcW w:w="900" w:type="dxa"/>
          </w:tcPr>
          <w:p>
            <w:pPr>
              <w:pStyle w:val="TableParagraph"/>
              <w:spacing w:before="120" w:line="391" w:lineRule="exact"/>
              <w:ind w:left="70" w:right="70"/>
              <w:jc w:val="center"/>
              <w:rPr>
                <w:sz w:val="36"/>
              </w:rPr>
            </w:pPr>
            <w:r>
              <w:rPr>
                <w:sz w:val="36"/>
              </w:rPr>
              <w:t>——</w:t>
            </w:r>
          </w:p>
        </w:tc>
        <w:tc>
          <w:tcPr>
            <w:tcW w:w="12266" w:type="dxa"/>
          </w:tcPr>
          <w:p>
            <w:pPr>
              <w:pStyle w:val="TableParagraph"/>
              <w:spacing w:before="120" w:line="391" w:lineRule="exact"/>
              <w:ind w:left="89"/>
              <w:rPr>
                <w:sz w:val="36"/>
              </w:rPr>
            </w:pPr>
            <w:r>
              <w:rPr>
                <w:sz w:val="36"/>
              </w:rPr>
              <w:t>管道外壁与土的单位面积平均摩阻力</w:t>
            </w:r>
            <w:r>
              <w:rPr>
                <w:spacing w:val="-8"/>
                <w:sz w:val="36"/>
              </w:rPr>
              <w:t>(kN／m2)</w:t>
            </w:r>
            <w:r>
              <w:rPr>
                <w:spacing w:val="-9"/>
                <w:sz w:val="36"/>
              </w:rPr>
              <w:t>，通过试验确定；对于采用触变</w:t>
            </w:r>
          </w:p>
        </w:tc>
      </w:tr>
    </w:tbl>
    <w:p>
      <w:pPr>
        <w:pStyle w:val="BodyText"/>
        <w:spacing w:before="291"/>
        <w:ind w:left="215"/>
        <w:jc w:val="both"/>
      </w:pPr>
      <w:r>
        <w:t>泥浆减阻技术正常顶进时，本工程顶管地质为粉质粘土，采用注浆减阻，为 4.0 kN／m2；</w:t>
      </w:r>
    </w:p>
    <w:p>
      <w:pPr>
        <w:spacing w:after="0"/>
        <w:jc w:val="both"/>
        <w:sectPr>
          <w:pgSz w:w="17860" w:h="25260"/>
          <w:pgMar w:top="1000" w:right="800" w:bottom="280" w:left="1740" w:header="708" w:footer="708"/>
          <w:pgNumType w:start="23"/>
          <w:cols w:space="708"/>
        </w:sectPr>
      </w:pPr>
    </w:p>
    <w:p>
      <w:pPr>
        <w:spacing w:before="28"/>
        <w:ind w:left="0" w:right="686" w:firstLine="0"/>
        <w:jc w:val="center"/>
        <w:rPr>
          <w:rFonts w:ascii="幼圆" w:eastAsia="幼圆" w:hint="eastAsia"/>
          <w:sz w:val="27"/>
        </w:rPr>
      </w:pPr>
      <w:r>
        <w:pict>
          <v:group id="_x0000_s1050" style="width:893pt;height:1248pt;margin-top:0;margin-left:0;mso-position-horizontal-relative:page;mso-position-vertical-relative:page;position:absolute;z-index:-251640832" coordorigin="0,0" coordsize="17860,24960">
            <v:shape id="_x0000_s1051" type="#_x0000_t75" style="width:17860;height:24960;position:absolute" stroked="f">
              <v:imagedata r:id="rId5" o:title=""/>
            </v:shape>
            <v:shape id="_x0000_s1052" type="#_x0000_t75" style="width:2070;height:428;left:12312;position:absolute;top:1754" stroked="f">
              <v:imagedata r:id="rId17" o:title=""/>
            </v:shape>
          </v:group>
        </w:pict>
      </w:r>
      <w:r>
        <w:rPr>
          <w:rFonts w:ascii="幼圆" w:eastAsia="幼圆" w:hint="eastAsia"/>
          <w:sz w:val="27"/>
        </w:rPr>
        <w:t>实用文档</w:t>
      </w:r>
    </w:p>
    <w:p>
      <w:pPr>
        <w:pStyle w:val="BodyText"/>
        <w:spacing w:before="2"/>
        <w:rPr>
          <w:rFonts w:ascii="幼圆"/>
          <w:sz w:val="29"/>
        </w:rPr>
      </w:pPr>
    </w:p>
    <w:p>
      <w:pPr>
        <w:pStyle w:val="BodyText"/>
        <w:tabs>
          <w:tab w:val="left" w:pos="12644"/>
        </w:tabs>
        <w:spacing w:before="49"/>
        <w:ind w:left="852"/>
      </w:pPr>
      <w:r>
        <w:t>NF</w:t>
      </w:r>
      <w:r>
        <w:rPr>
          <w:spacing w:val="-1"/>
        </w:rPr>
        <w:t xml:space="preserve"> </w:t>
      </w:r>
      <w:r>
        <w:t>—— 顶管机的迎面阻力(kN)，本工程采用泥水平衡顶管，</w:t>
        <w:tab/>
        <w:t>。</w:t>
      </w:r>
    </w:p>
    <w:p>
      <w:pPr>
        <w:pStyle w:val="BodyText"/>
        <w:spacing w:before="6"/>
        <w:rPr>
          <w:sz w:val="21"/>
        </w:rPr>
      </w:pPr>
    </w:p>
    <w:p>
      <w:pPr>
        <w:pStyle w:val="BodyText"/>
        <w:spacing w:before="49"/>
        <w:ind w:left="852"/>
      </w:pPr>
      <w:r>
        <w:t>Dg —— 顶管机外径（m）</w:t>
      </w:r>
    </w:p>
    <w:p>
      <w:pPr>
        <w:pStyle w:val="BodyText"/>
        <w:spacing w:before="241"/>
        <w:ind w:left="852"/>
      </w:pPr>
      <w:r>
        <w:t>P</w:t>
      </w:r>
      <w:r>
        <w:rPr>
          <w:spacing w:val="-1"/>
        </w:rPr>
        <w:t xml:space="preserve"> —— 控制土压力</w:t>
      </w:r>
      <w:r>
        <w:t>（kPa</w:t>
      </w:r>
      <w:r>
        <w:rPr>
          <w:spacing w:val="-180"/>
        </w:rPr>
        <w:t>）</w:t>
      </w:r>
      <w:r>
        <w:rPr>
          <w:spacing w:val="-30"/>
        </w:rPr>
        <w:t xml:space="preserve">，取 </w:t>
      </w:r>
      <w:r>
        <w:t>400kPa。</w:t>
      </w:r>
    </w:p>
    <w:p>
      <w:pPr>
        <w:pStyle w:val="BodyText"/>
        <w:spacing w:before="241" w:line="364" w:lineRule="auto"/>
        <w:ind w:left="852" w:right="6904"/>
      </w:pPr>
      <w:r>
        <w:t>NF =（1.44×1.44×3.14）/4×400=651.11kN Fp =</w:t>
      </w:r>
      <w:r>
        <w:rPr>
          <w:spacing w:val="-16"/>
        </w:rPr>
        <w:t xml:space="preserve"> </w:t>
      </w:r>
      <w:r>
        <w:t>3.14×1.44×144×4.0+651.11=3255.55kN</w:t>
      </w:r>
    </w:p>
    <w:p>
      <w:pPr>
        <w:pStyle w:val="BodyText"/>
        <w:spacing w:before="2"/>
        <w:ind w:left="852"/>
      </w:pPr>
      <w:r>
        <w:t>Fp =3255.55k</w:t>
      </w:r>
      <w:r>
        <w:rPr>
          <w:spacing w:val="-1"/>
        </w:rPr>
        <w:t>N</w:t>
      </w:r>
      <w:r>
        <w:t>＞2600kN（工作井允许顶力</w:t>
      </w:r>
      <w:r>
        <w:rPr>
          <w:spacing w:val="-180"/>
        </w:rPr>
        <w:t>）</w:t>
      </w:r>
      <w:r>
        <w:t>，中间需要增加一个中继间</w:t>
      </w:r>
    </w:p>
    <w:p>
      <w:pPr>
        <w:pStyle w:val="ListParagraph"/>
        <w:numPr>
          <w:ilvl w:val="0"/>
          <w:numId w:val="28"/>
        </w:numPr>
        <w:tabs>
          <w:tab w:val="left" w:pos="1837"/>
        </w:tabs>
        <w:spacing w:before="241" w:after="0" w:line="240" w:lineRule="auto"/>
        <w:ind w:left="1836" w:right="0" w:hanging="902"/>
        <w:jc w:val="left"/>
        <w:rPr>
          <w:sz w:val="36"/>
        </w:rPr>
      </w:pPr>
      <w:r>
        <w:rPr>
          <w:sz w:val="36"/>
        </w:rPr>
        <w:t>顶管设计推力计算</w:t>
      </w:r>
    </w:p>
    <w:p>
      <w:pPr>
        <w:pStyle w:val="BodyText"/>
        <w:spacing w:before="240" w:line="364" w:lineRule="auto"/>
        <w:ind w:left="215" w:right="894" w:firstLine="720"/>
      </w:pPr>
      <w:r>
        <w:t>根据总推力、工作井所能承受的最大顶力及管材轴向允许推力比较后，取最小值作为油缸的总推力。各油缸有其独立的油路控制系统，可根据施工需要通过调整主顶装置的合</w:t>
      </w:r>
      <w:r>
        <w:rPr>
          <w:spacing w:val="-1"/>
        </w:rPr>
        <w:t xml:space="preserve">力中心来进行辅助纠偏。工作井设计顶力为 </w:t>
      </w:r>
      <w:r>
        <w:t>2600kN</w:t>
      </w:r>
      <w:r>
        <w:rPr>
          <w:spacing w:val="-1"/>
        </w:rPr>
        <w:t xml:space="preserve">。顶管管材采用 </w:t>
      </w:r>
      <w:r>
        <w:t>d1200Ⅲ</w:t>
      </w:r>
      <w:r>
        <w:rPr>
          <w:spacing w:val="-3"/>
        </w:rPr>
        <w:t>级钢筋混凝土</w:t>
      </w:r>
      <w:r>
        <w:t>钢承口管，按标准《顶进施工法用钢筋砼排水管》JC/T640-2010</w:t>
      </w:r>
      <w:r>
        <w:rPr>
          <w:spacing w:val="-39"/>
        </w:rPr>
        <w:t xml:space="preserve"> 附录 </w:t>
      </w:r>
      <w:r>
        <w:t>A</w:t>
      </w:r>
      <w:r>
        <w:rPr>
          <w:spacing w:val="-31"/>
        </w:rPr>
        <w:t xml:space="preserve"> 中查得 </w:t>
      </w:r>
      <w:r>
        <w:t>d1200</w:t>
      </w:r>
      <w:r>
        <w:rPr>
          <w:spacing w:val="-30"/>
        </w:rPr>
        <w:t xml:space="preserve"> 钢筋</w:t>
      </w:r>
      <w:r>
        <w:rPr>
          <w:spacing w:val="-7"/>
        </w:rPr>
        <w:t xml:space="preserve">混凝土钢承口管允许顶力为 </w:t>
      </w:r>
      <w:r>
        <w:t>2600kN。</w:t>
      </w:r>
    </w:p>
    <w:p>
      <w:pPr>
        <w:pStyle w:val="BodyText"/>
        <w:spacing w:before="6" w:line="364" w:lineRule="auto"/>
        <w:ind w:left="215" w:right="717" w:firstLine="720"/>
      </w:pPr>
      <w:r>
        <w:rPr>
          <w:spacing w:val="-23"/>
        </w:rPr>
        <w:t xml:space="preserve">总推力 </w:t>
      </w:r>
      <w:r>
        <w:t>3255.55kN＞</w:t>
      </w:r>
      <w:r>
        <w:rPr>
          <w:spacing w:val="-10"/>
        </w:rPr>
        <w:t xml:space="preserve">管材轴向允许推力 </w:t>
      </w:r>
      <w:r>
        <w:t>2600kN＞</w:t>
      </w:r>
      <w:r>
        <w:rPr>
          <w:spacing w:val="-8"/>
        </w:rPr>
        <w:t xml:space="preserve">工作井能承受最大顶力 </w:t>
      </w:r>
      <w:r>
        <w:rPr>
          <w:spacing w:val="-16"/>
        </w:rPr>
        <w:t>2600kN</w:t>
      </w:r>
      <w:r>
        <w:rPr>
          <w:spacing w:val="-9"/>
        </w:rPr>
        <w:t xml:space="preserve">，因此， </w:t>
      </w:r>
      <w:r>
        <w:rPr>
          <w:spacing w:val="-11"/>
        </w:rPr>
        <w:t xml:space="preserve">油缸允许总推力为 </w:t>
      </w:r>
      <w:r>
        <w:t>2600kN。</w:t>
      </w:r>
    </w:p>
    <w:p>
      <w:pPr>
        <w:pStyle w:val="BodyText"/>
        <w:spacing w:before="1" w:line="364" w:lineRule="auto"/>
        <w:ind w:left="215" w:right="889" w:firstLine="720"/>
      </w:pPr>
      <w:r>
        <w:rPr>
          <w:spacing w:val="-9"/>
        </w:rPr>
        <w:t xml:space="preserve">每只油缸顶力需控制在 </w:t>
      </w:r>
      <w:r>
        <w:t>650kN</w:t>
      </w:r>
      <w:r>
        <w:rPr>
          <w:spacing w:val="-17"/>
        </w:rPr>
        <w:t xml:space="preserve"> 以下，四只油缸最大可提供 </w:t>
      </w:r>
      <w:r>
        <w:t>2600kN</w:t>
      </w:r>
      <w:r>
        <w:rPr>
          <w:spacing w:val="-13"/>
        </w:rPr>
        <w:t xml:space="preserve"> 的推力。顶进时由于</w:t>
      </w:r>
      <w:r>
        <w:rPr>
          <w:spacing w:val="-23"/>
        </w:rPr>
        <w:t xml:space="preserve">总推力 </w:t>
      </w:r>
      <w:r>
        <w:t>Fp3255.55kN＞2600kN（工作井允许顶力）所以中间需要增加中继间。</w:t>
      </w:r>
    </w:p>
    <w:p>
      <w:pPr>
        <w:spacing w:before="316"/>
        <w:ind w:left="215" w:right="0" w:firstLine="0"/>
        <w:jc w:val="left"/>
        <w:rPr>
          <w:b/>
          <w:sz w:val="36"/>
        </w:rPr>
      </w:pPr>
      <w:r>
        <w:rPr>
          <w:b/>
          <w:sz w:val="36"/>
        </w:rPr>
        <w:t>七、后座墙</w:t>
      </w:r>
    </w:p>
    <w:p>
      <w:pPr>
        <w:pStyle w:val="BodyText"/>
        <w:spacing w:before="284" w:line="364" w:lineRule="auto"/>
        <w:ind w:left="215" w:right="1063" w:firstLine="720"/>
        <w:jc w:val="both"/>
      </w:pPr>
      <w:r>
        <w:t>后座墙是顶进管道时为千斤顶提供反作用力的一种结构，有时也称为后座、后背或者后背墙等。在施工中，要求后座墙必须保持稳定，一旦后座墙遭到破坏，顶进工程就要停顿。后座墙设计要通过详细计算，其重要程度不亚于顶进力的预测计算。</w:t>
      </w:r>
    </w:p>
    <w:p>
      <w:pPr>
        <w:pStyle w:val="BodyText"/>
        <w:spacing w:before="3" w:line="364" w:lineRule="auto"/>
        <w:ind w:left="215" w:right="883" w:firstLine="720"/>
      </w:pPr>
      <w:r>
        <w:t>1、后座墙主要有功能是在顶进过程自始至终地承担主顶工作站顶管前进时的后坐力。后座墙的最低强义应保证在设计顶进力的作用下不被破坏，要求其本身的压缩回弹量为最小，以利于充分发挥主顶工作站的顶进效率。在设计和安装后座墙时，应使其满足如下要求。</w:t>
      </w:r>
    </w:p>
    <w:p>
      <w:pPr>
        <w:pStyle w:val="ListParagraph"/>
        <w:numPr>
          <w:ilvl w:val="0"/>
          <w:numId w:val="22"/>
        </w:numPr>
        <w:tabs>
          <w:tab w:val="left" w:pos="1477"/>
        </w:tabs>
        <w:spacing w:before="4" w:after="0" w:line="240" w:lineRule="auto"/>
        <w:ind w:left="1476" w:right="0" w:hanging="542"/>
        <w:jc w:val="left"/>
        <w:rPr>
          <w:sz w:val="36"/>
        </w:rPr>
      </w:pPr>
      <w:r>
        <w:rPr>
          <w:sz w:val="36"/>
        </w:rPr>
        <w:t>要有充分的强度</w:t>
      </w:r>
    </w:p>
    <w:p>
      <w:pPr>
        <w:pStyle w:val="BodyText"/>
        <w:spacing w:before="241"/>
        <w:ind w:left="935"/>
      </w:pPr>
      <w:r>
        <w:t>在顶管施工中能承受主顶工作站千斤顶的最大反作用力而不至破坏。</w:t>
      </w:r>
    </w:p>
    <w:p>
      <w:pPr>
        <w:pStyle w:val="ListParagraph"/>
        <w:numPr>
          <w:ilvl w:val="0"/>
          <w:numId w:val="22"/>
        </w:numPr>
        <w:tabs>
          <w:tab w:val="left" w:pos="1477"/>
        </w:tabs>
        <w:spacing w:before="241" w:after="0" w:line="240" w:lineRule="auto"/>
        <w:ind w:left="1476" w:right="0" w:hanging="542"/>
        <w:jc w:val="left"/>
        <w:rPr>
          <w:sz w:val="36"/>
        </w:rPr>
      </w:pPr>
      <w:r>
        <w:rPr>
          <w:sz w:val="36"/>
        </w:rPr>
        <w:t>要有足够的刚度</w:t>
      </w:r>
    </w:p>
    <w:p>
      <w:pPr>
        <w:pStyle w:val="BodyText"/>
        <w:spacing w:before="240" w:line="364" w:lineRule="auto"/>
        <w:ind w:left="215" w:right="703" w:firstLine="720"/>
      </w:pPr>
      <w:r>
        <w:rPr>
          <w:spacing w:val="-1"/>
        </w:rPr>
        <w:t>当受到主顶工作站的反作用力时，后座墙材料受压缩而产生变形，卸荷后要恢复原状。</w:t>
      </w:r>
      <w:r>
        <w:t>如压缩回弹量大，会导致大量行程消耗在后座墙压缩变形土，从而大在降低千斤顶的有效 冲程，使顶进效率降低。故后座墙必须具有足够的刚度。</w:t>
      </w:r>
    </w:p>
    <w:p>
      <w:pPr>
        <w:spacing w:after="0" w:line="364" w:lineRule="auto"/>
        <w:sectPr>
          <w:pgSz w:w="17860" w:h="25260"/>
          <w:pgMar w:top="1000" w:right="800" w:bottom="280" w:left="1740" w:header="708" w:footer="708"/>
          <w:pgNumType w:start="24"/>
          <w:cols w:space="708"/>
        </w:sectPr>
      </w:pPr>
    </w:p>
    <w:p>
      <w:pPr>
        <w:pStyle w:val="BodyText"/>
        <w:spacing w:before="5"/>
        <w:rPr>
          <w:sz w:val="50"/>
        </w:rPr>
      </w:pPr>
    </w:p>
    <w:p>
      <w:pPr>
        <w:pStyle w:val="ListParagraph"/>
        <w:numPr>
          <w:ilvl w:val="0"/>
          <w:numId w:val="22"/>
        </w:numPr>
        <w:tabs>
          <w:tab w:val="left" w:pos="1477"/>
        </w:tabs>
        <w:spacing w:before="0" w:after="0" w:line="240" w:lineRule="auto"/>
        <w:ind w:left="1476" w:right="0" w:hanging="542"/>
        <w:jc w:val="left"/>
        <w:rPr>
          <w:sz w:val="36"/>
        </w:rPr>
      </w:pPr>
      <w:r>
        <w:rPr>
          <w:sz w:val="36"/>
        </w:rPr>
        <w:t>后座墙表面要平直</w:t>
      </w:r>
    </w:p>
    <w:p>
      <w:pPr>
        <w:spacing w:before="28"/>
        <w:ind w:left="935" w:right="0" w:firstLine="0"/>
        <w:jc w:val="left"/>
        <w:rPr>
          <w:rFonts w:ascii="幼圆" w:eastAsia="幼圆" w:hint="eastAsia"/>
          <w:sz w:val="27"/>
        </w:rPr>
      </w:pPr>
      <w:r>
        <w:br w:type="column"/>
      </w:r>
      <w:r>
        <w:rPr>
          <w:rFonts w:ascii="幼圆" w:eastAsia="幼圆" w:hint="eastAsia"/>
          <w:sz w:val="27"/>
        </w:rPr>
        <w:t>实用文档</w:t>
      </w:r>
    </w:p>
    <w:p>
      <w:pPr>
        <w:spacing w:after="0"/>
        <w:jc w:val="left"/>
        <w:rPr>
          <w:rFonts w:ascii="幼圆" w:eastAsia="幼圆" w:hint="eastAsia"/>
          <w:sz w:val="27"/>
        </w:rPr>
        <w:sectPr>
          <w:pgSz w:w="17860" w:h="25260"/>
          <w:pgMar w:top="1000" w:right="800" w:bottom="280" w:left="1740" w:header="708" w:footer="708"/>
          <w:pgNumType w:start="25"/>
          <w:cols w:num="2" w:space="708" w:equalWidth="0">
            <w:col w:w="4396" w:space="1444"/>
            <w:col w:w="9480" w:space="0"/>
          </w:cols>
        </w:sectPr>
      </w:pPr>
    </w:p>
    <w:p>
      <w:pPr>
        <w:pStyle w:val="BodyText"/>
        <w:rPr>
          <w:rFonts w:ascii="幼圆"/>
          <w:sz w:val="15"/>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p>
      <w:pPr>
        <w:pStyle w:val="BodyText"/>
        <w:spacing w:before="49" w:line="364" w:lineRule="auto"/>
        <w:ind w:left="215" w:right="1063" w:firstLine="720"/>
      </w:pPr>
      <w:r>
        <w:t>后座墙表面应平直，并垂直于顶进管道的轴线，以免产生偏心受压，使顶力损失和发生质量、安全事故。</w:t>
      </w:r>
    </w:p>
    <w:p>
      <w:pPr>
        <w:pStyle w:val="ListParagraph"/>
        <w:numPr>
          <w:ilvl w:val="0"/>
          <w:numId w:val="22"/>
        </w:numPr>
        <w:tabs>
          <w:tab w:val="left" w:pos="1477"/>
        </w:tabs>
        <w:spacing w:before="2" w:after="0" w:line="240" w:lineRule="auto"/>
        <w:ind w:left="1476" w:right="0" w:hanging="542"/>
        <w:jc w:val="left"/>
        <w:rPr>
          <w:sz w:val="36"/>
        </w:rPr>
      </w:pPr>
      <w:r>
        <w:rPr>
          <w:sz w:val="36"/>
        </w:rPr>
        <w:t>材质要均匀</w:t>
      </w:r>
    </w:p>
    <w:p>
      <w:pPr>
        <w:pStyle w:val="BodyText"/>
        <w:spacing w:before="241" w:line="364" w:lineRule="auto"/>
        <w:ind w:left="215" w:right="1063" w:firstLine="720"/>
      </w:pPr>
      <w:r>
        <w:t>后座墙材料的材质要均匀一致，以免承受较大的后从力时造成后座墙材料压缩不匀， 出现倾斜现象。</w:t>
      </w:r>
    </w:p>
    <w:p>
      <w:pPr>
        <w:pStyle w:val="ListParagraph"/>
        <w:numPr>
          <w:ilvl w:val="0"/>
          <w:numId w:val="22"/>
        </w:numPr>
        <w:tabs>
          <w:tab w:val="left" w:pos="1477"/>
        </w:tabs>
        <w:spacing w:before="2" w:after="0" w:line="240" w:lineRule="auto"/>
        <w:ind w:left="1476" w:right="0" w:hanging="542"/>
        <w:jc w:val="left"/>
        <w:rPr>
          <w:sz w:val="36"/>
        </w:rPr>
      </w:pPr>
      <w:r>
        <w:rPr>
          <w:sz w:val="36"/>
        </w:rPr>
        <w:t>结构简单、装拆方便</w:t>
      </w:r>
    </w:p>
    <w:p>
      <w:pPr>
        <w:pStyle w:val="BodyText"/>
        <w:spacing w:before="240"/>
        <w:ind w:left="935"/>
      </w:pPr>
      <w:r>
        <w:t>装配式或临时性后座墙都要采用普通材料、装拆方便。</w:t>
      </w:r>
    </w:p>
    <w:p>
      <w:pPr>
        <w:pStyle w:val="ListParagraph"/>
        <w:numPr>
          <w:ilvl w:val="0"/>
          <w:numId w:val="22"/>
        </w:numPr>
        <w:tabs>
          <w:tab w:val="left" w:pos="1477"/>
        </w:tabs>
        <w:spacing w:before="241" w:after="0" w:line="240" w:lineRule="auto"/>
        <w:ind w:left="1476" w:right="0" w:hanging="542"/>
        <w:jc w:val="left"/>
        <w:rPr>
          <w:sz w:val="36"/>
        </w:rPr>
      </w:pPr>
      <w:r>
        <w:rPr>
          <w:sz w:val="36"/>
        </w:rPr>
        <w:t>后座墙的强度及其影响因素:</w:t>
      </w:r>
    </w:p>
    <w:p>
      <w:pPr>
        <w:pStyle w:val="BodyText"/>
        <w:spacing w:before="242" w:line="364" w:lineRule="auto"/>
        <w:ind w:left="215" w:right="1063" w:firstLine="720"/>
        <w:jc w:val="both"/>
      </w:pPr>
      <w:r>
        <w:t>后座墙的强度取决于千斤顶在顶进过程中施加给后座墙的最大后从力，后从力的大小与最大顶力相等。影响顶力的因素甚多，可分为客观因素及主观因素两类。客观因素包括管材种类、管径大小、顶距长短、覆土厚度、土的种类、地下水位、管节重量等；主观因素包括操作误差、顶进方法、中途停工与否、是否采用润滑剂等。</w:t>
      </w:r>
    </w:p>
    <w:p>
      <w:pPr>
        <w:pStyle w:val="BodyText"/>
        <w:spacing w:before="3"/>
        <w:ind w:left="935"/>
      </w:pPr>
      <w:r>
        <w:t>①顶进误差</w:t>
      </w:r>
    </w:p>
    <w:p>
      <w:pPr>
        <w:pStyle w:val="BodyText"/>
        <w:spacing w:before="241" w:line="364" w:lineRule="auto"/>
        <w:ind w:left="215" w:right="1063" w:firstLine="720"/>
        <w:jc w:val="both"/>
      </w:pPr>
      <w:r>
        <w:t>在顶进过程中，由于土质、设备的操作等原因，导致管子的方向或高程出与偏差，这种偏差称为顶进误差，简称误差。这种误差将导致顶力增加。技术熟练的工人应既能采取措施防止误差的出现，又能及时发现误差的趋势而加以校正，使误差发展不致过大，并保持在容许范围以内，顶力即使增加也不显著。否则，当误差出现时，校正易操之过急而造成管线上出现折线段、错口等现象，从而导致顶力不断增加，使后座墙遭到破坏。</w:t>
      </w:r>
    </w:p>
    <w:p>
      <w:pPr>
        <w:pStyle w:val="BodyText"/>
        <w:spacing w:before="5"/>
        <w:ind w:left="935"/>
      </w:pPr>
      <w:r>
        <w:t>②中途停工</w:t>
      </w:r>
    </w:p>
    <w:p>
      <w:pPr>
        <w:pStyle w:val="BodyText"/>
        <w:spacing w:before="241" w:line="364" w:lineRule="auto"/>
        <w:ind w:left="215" w:right="1063" w:firstLine="720"/>
        <w:jc w:val="both"/>
      </w:pPr>
      <w:r>
        <w:t>顶进作业一开始，中途就不能停顿。如果停止一段时间后再顶进，其起始顶力要大大超过停工前的顶力。这主要是由于停工时间过长，使管顶土层坍落的缘故。在地下水位以下顶进时，因停顶而使液化的粉细砂将管周围包裹起来，顶力也会大大增加，如果顶力增加至后座墙的设计强度，此时就不能再顶进，必须对后座墙进行加固后方可再顶进。</w:t>
      </w:r>
    </w:p>
    <w:p>
      <w:pPr>
        <w:pStyle w:val="BodyText"/>
        <w:spacing w:before="4" w:line="364" w:lineRule="auto"/>
        <w:ind w:left="215" w:right="1063" w:firstLine="720"/>
      </w:pPr>
      <w:r>
        <w:t>另外，在顶进过程是否采用注浆润滑措施，对顶力的影响甚大。如采用注浆润滑，施工中的顶进阻力将减小很多。</w:t>
      </w:r>
    </w:p>
    <w:p>
      <w:pPr>
        <w:pStyle w:val="BodyText"/>
        <w:spacing w:before="2" w:line="364" w:lineRule="auto"/>
        <w:ind w:left="215" w:right="1063" w:firstLine="720"/>
        <w:jc w:val="both"/>
      </w:pPr>
      <w:r>
        <w:t>由于主观因素对顶力的影响是人在操作过程中造成的，或者是事先未预计到的情况， 所以对主观因素的影响不能事先计算，只能在施工过程中加强管理，防患于未然，以其不使顶力增加。因此，在计算所得顶力的基础上，适当增加安全系数，作为防止主观因素影响的储备力量，并严格遵守操作规程，就能保证后座墙在设计强度以内，不致受超负荷顶力的影响而导致破坏。</w:t>
      </w:r>
    </w:p>
    <w:p>
      <w:pPr>
        <w:spacing w:after="0" w:line="364" w:lineRule="auto"/>
        <w:jc w:val="both"/>
        <w:sectPr>
          <w:type w:val="continuous"/>
          <w:pgSz w:w="17860" w:h="25260"/>
          <w:pgMar w:top="1000" w:right="800" w:bottom="280" w:left="1740" w:header="708" w:footer="708"/>
          <w:pgNumType w:start="26"/>
          <w:cols w:space="708"/>
        </w:sectPr>
      </w:pPr>
    </w:p>
    <w:p>
      <w:pPr>
        <w:pStyle w:val="BodyText"/>
        <w:spacing w:before="5"/>
        <w:rPr>
          <w:sz w:val="50"/>
        </w:rPr>
      </w:pPr>
    </w:p>
    <w:p>
      <w:pPr>
        <w:pStyle w:val="BodyText"/>
        <w:ind w:left="935"/>
      </w:pPr>
      <w:r>
        <w:t>3、后座墙的刚度要求</w:t>
      </w:r>
    </w:p>
    <w:p>
      <w:pPr>
        <w:spacing w:before="28"/>
        <w:ind w:left="935" w:right="0" w:firstLine="0"/>
        <w:jc w:val="left"/>
        <w:rPr>
          <w:rFonts w:ascii="幼圆" w:eastAsia="幼圆" w:hint="eastAsia"/>
          <w:sz w:val="27"/>
        </w:rPr>
      </w:pPr>
      <w:r>
        <w:br w:type="column"/>
      </w:r>
      <w:r>
        <w:rPr>
          <w:rFonts w:ascii="幼圆" w:eastAsia="幼圆" w:hint="eastAsia"/>
          <w:sz w:val="27"/>
        </w:rPr>
        <w:t>实用文档</w:t>
      </w:r>
    </w:p>
    <w:p>
      <w:pPr>
        <w:spacing w:after="0"/>
        <w:jc w:val="left"/>
        <w:rPr>
          <w:rFonts w:ascii="幼圆" w:eastAsia="幼圆" w:hint="eastAsia"/>
          <w:sz w:val="27"/>
        </w:rPr>
        <w:sectPr>
          <w:pgSz w:w="17860" w:h="25260"/>
          <w:pgMar w:top="1000" w:right="800" w:bottom="280" w:left="1740" w:header="708" w:footer="708"/>
          <w:pgNumType w:start="27"/>
          <w:cols w:num="2" w:space="708" w:equalWidth="0">
            <w:col w:w="4396" w:space="1444"/>
            <w:col w:w="9480" w:space="0"/>
          </w:cols>
        </w:sectPr>
      </w:pPr>
    </w:p>
    <w:p>
      <w:pPr>
        <w:pStyle w:val="BodyText"/>
        <w:rPr>
          <w:rFonts w:ascii="幼圆"/>
          <w:sz w:val="15"/>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p>
      <w:pPr>
        <w:pStyle w:val="BodyText"/>
        <w:spacing w:before="49" w:line="364" w:lineRule="auto"/>
        <w:ind w:left="215" w:right="789" w:firstLine="720"/>
      </w:pPr>
      <w:r>
        <w:t>顶管时要求后后座墙具有充分的刚度，以避免往复回弹，消耗能量。要保证受最大顶力时不变形，或只有少量残余变形，后座墙应尽量采用弹性小的材料。如果后座墙弹性过大，顶进的后从力先压缩后座墙，直到后座墙被压紧而不能再压缩时顶力才向前发挥作用使管段前进，千斤顶卸荷，后从力解除后，后座墙虽然有残余变形但不大，甚至可以恢复到未受荷载的状态，可是下一次顶进时，仍要先压缩后座墙，因而每次顶进都要浪费一段</w:t>
      </w:r>
      <w:r>
        <w:rPr>
          <w:spacing w:val="-4"/>
        </w:rPr>
        <w:t xml:space="preserve">千斤顶行程于压缩后座墙。用短行程千斤顶，行程一般为 </w:t>
      </w:r>
      <w:r>
        <w:t>200mm，</w:t>
      </w:r>
      <w:r>
        <w:rPr>
          <w:spacing w:val="-10"/>
        </w:rPr>
        <w:t xml:space="preserve">而后座墙压缩量为 </w:t>
      </w:r>
      <w:r>
        <w:t>20～ 30mm，</w:t>
      </w:r>
      <w:r>
        <w:rPr>
          <w:spacing w:val="-4"/>
        </w:rPr>
        <w:t xml:space="preserve">这样就可使千斤顶行程在顶管前进时的利用率只有 </w:t>
      </w:r>
      <w:r>
        <w:t>70%～80%，</w:t>
      </w:r>
      <w:r>
        <w:rPr>
          <w:spacing w:val="-23"/>
        </w:rPr>
        <w:t xml:space="preserve">每顶进 </w:t>
      </w:r>
      <w:r>
        <w:t>2m</w:t>
      </w:r>
      <w:r>
        <w:rPr>
          <w:spacing w:val="-19"/>
        </w:rPr>
        <w:t xml:space="preserve"> 长的管节， </w:t>
      </w:r>
      <w:r>
        <w:rPr>
          <w:spacing w:val="-46"/>
        </w:rPr>
        <w:t xml:space="preserve">需 </w:t>
      </w:r>
      <w:r>
        <w:t>12～14</w:t>
      </w:r>
      <w:r>
        <w:rPr>
          <w:spacing w:val="-10"/>
        </w:rPr>
        <w:t xml:space="preserve"> 个行程。若再考虑到传力工具的压缩，需要的行程数还要增加。所以，要提高顶进效率，除采用长行程的千斤顶外，还应设法增加后座墙的刚度。</w:t>
      </w:r>
    </w:p>
    <w:p>
      <w:pPr>
        <w:pStyle w:val="BodyText"/>
        <w:spacing w:before="9"/>
        <w:ind w:left="935"/>
      </w:pPr>
      <w:r>
        <w:t>4、后座墙的形式和类别</w:t>
      </w:r>
    </w:p>
    <w:p>
      <w:pPr>
        <w:pStyle w:val="BodyText"/>
        <w:spacing w:before="241"/>
        <w:ind w:left="935"/>
      </w:pPr>
      <w:r>
        <w:t>后座墙形式虽然多种多样，但就其使用条件来讲，基本上有以下三种：</w:t>
      </w:r>
    </w:p>
    <w:p>
      <w:pPr>
        <w:pStyle w:val="ListParagraph"/>
        <w:numPr>
          <w:ilvl w:val="0"/>
          <w:numId w:val="21"/>
        </w:numPr>
        <w:tabs>
          <w:tab w:val="left" w:pos="1837"/>
        </w:tabs>
        <w:spacing w:before="241" w:after="0" w:line="240" w:lineRule="auto"/>
        <w:ind w:left="1836" w:right="0" w:hanging="902"/>
        <w:jc w:val="left"/>
        <w:rPr>
          <w:sz w:val="36"/>
        </w:rPr>
      </w:pPr>
      <w:r>
        <w:rPr>
          <w:sz w:val="36"/>
        </w:rPr>
        <w:t>覆土较薄或穿过高填方路基的顶管，无土抗力可利用时修建的人工后座墙；</w:t>
      </w:r>
    </w:p>
    <w:p>
      <w:pPr>
        <w:pStyle w:val="ListParagraph"/>
        <w:numPr>
          <w:ilvl w:val="0"/>
          <w:numId w:val="21"/>
        </w:numPr>
        <w:tabs>
          <w:tab w:val="left" w:pos="1837"/>
        </w:tabs>
        <w:spacing w:before="240" w:after="0" w:line="240" w:lineRule="auto"/>
        <w:ind w:left="1836" w:right="0" w:hanging="902"/>
        <w:jc w:val="left"/>
        <w:rPr>
          <w:sz w:val="36"/>
        </w:rPr>
      </w:pPr>
      <w:r>
        <w:rPr>
          <w:sz w:val="36"/>
        </w:rPr>
        <w:t>覆土较厚时可以充分利用土抗力的天然后座墙；</w:t>
      </w:r>
    </w:p>
    <w:p>
      <w:pPr>
        <w:pStyle w:val="ListParagraph"/>
        <w:numPr>
          <w:ilvl w:val="0"/>
          <w:numId w:val="21"/>
        </w:numPr>
        <w:tabs>
          <w:tab w:val="left" w:pos="1837"/>
        </w:tabs>
        <w:spacing w:before="241" w:after="0" w:line="240" w:lineRule="auto"/>
        <w:ind w:left="1836" w:right="0" w:hanging="902"/>
        <w:jc w:val="left"/>
        <w:rPr>
          <w:sz w:val="36"/>
        </w:rPr>
      </w:pPr>
      <w:r>
        <w:rPr>
          <w:sz w:val="36"/>
        </w:rPr>
        <w:t>在混凝土或钢筋混凝土竖井内建筑的现浇钢筋混凝土后座墙。</w:t>
      </w:r>
    </w:p>
    <w:p>
      <w:pPr>
        <w:pStyle w:val="BodyText"/>
        <w:spacing w:before="241"/>
        <w:ind w:left="935"/>
      </w:pPr>
      <w:r>
        <w:t>GB50286—97 规范中对装配式后座墙作出了如下规定：</w:t>
      </w:r>
    </w:p>
    <w:p>
      <w:pPr>
        <w:pStyle w:val="BodyText"/>
        <w:spacing w:before="241" w:line="364" w:lineRule="auto"/>
        <w:ind w:left="215" w:right="1063" w:firstLine="720"/>
      </w:pPr>
      <w:r>
        <w:t>①装配式后座墙宜采用方木、型钢或钢板等组装，组装后的后座墙庆有足够的强度和刚度；</w:t>
      </w:r>
    </w:p>
    <w:p>
      <w:pPr>
        <w:pStyle w:val="BodyText"/>
        <w:spacing w:before="2"/>
        <w:ind w:left="935"/>
      </w:pPr>
      <w:r>
        <w:t>②后座墙土体壁面应平整，并与管道顶进方向垂直；</w:t>
      </w:r>
    </w:p>
    <w:p>
      <w:pPr>
        <w:pStyle w:val="BodyText"/>
        <w:spacing w:before="241"/>
        <w:ind w:left="935"/>
      </w:pPr>
      <w:r>
        <w:t>③装配式后座墙的底端宜在工作坑底以下（</w:t>
      </w:r>
      <w:r>
        <w:rPr>
          <w:spacing w:val="-18"/>
        </w:rPr>
        <w:t xml:space="preserve">不宜小于 </w:t>
      </w:r>
      <w:r>
        <w:t>50cm</w:t>
      </w:r>
      <w:r>
        <w:rPr>
          <w:spacing w:val="-180"/>
        </w:rPr>
        <w:t>）</w:t>
      </w:r>
      <w:r>
        <w:t>；</w:t>
      </w:r>
    </w:p>
    <w:p>
      <w:pPr>
        <w:pStyle w:val="BodyText"/>
        <w:spacing w:before="241"/>
        <w:ind w:left="935"/>
      </w:pPr>
      <w:r>
        <w:t>④后座墙土体壁面应与后座墙贴紧，有间隔时应采用砂石料填塞密实；</w:t>
      </w:r>
    </w:p>
    <w:p>
      <w:pPr>
        <w:pStyle w:val="BodyText"/>
        <w:spacing w:before="240" w:line="364" w:lineRule="auto"/>
        <w:ind w:left="935" w:right="1063"/>
      </w:pPr>
      <w:r>
        <w:t>⑤组装后座墙的构件在同层内的规格应一致，各层之间的接触应紧贴，并层层固定。顶管工作坑及装配式后座墙的墙面应与管道轴线垂直，其施工允许偏差应符合表 9-3</w:t>
      </w:r>
    </w:p>
    <w:p>
      <w:pPr>
        <w:pStyle w:val="BodyText"/>
        <w:spacing w:before="2"/>
        <w:ind w:left="215"/>
      </w:pPr>
      <w:r>
        <w:t>中的规定。</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tabs>
          <w:tab w:val="left" w:pos="8137"/>
        </w:tabs>
        <w:spacing w:before="302"/>
        <w:ind w:left="35"/>
        <w:jc w:val="center"/>
      </w:pPr>
      <w:r>
        <w:t>工作坑及装配式后座墙的施工允许偏差（mm）</w:t>
        <w:tab/>
        <w:t>表</w:t>
      </w:r>
      <w:r>
        <w:rPr>
          <w:spacing w:val="-90"/>
        </w:rPr>
        <w:t xml:space="preserve"> </w:t>
      </w:r>
      <w:r>
        <w:t>2</w:t>
      </w:r>
    </w:p>
    <w:p>
      <w:pPr>
        <w:spacing w:after="0"/>
        <w:jc w:val="center"/>
        <w:sectPr>
          <w:type w:val="continuous"/>
          <w:pgSz w:w="17860" w:h="25260"/>
          <w:pgMar w:top="1000" w:right="800" w:bottom="280" w:left="1740" w:header="708" w:footer="708"/>
          <w:pgNumType w:start="28"/>
          <w:cols w:space="708"/>
        </w:sectPr>
      </w:pPr>
    </w:p>
    <w:p>
      <w:pPr>
        <w:spacing w:before="28"/>
        <w:ind w:left="0" w:right="686" w:firstLine="0"/>
        <w:jc w:val="center"/>
        <w:rPr>
          <w:rFonts w:ascii="幼圆" w:eastAsia="幼圆" w:hint="eastAsia"/>
          <w:sz w:val="27"/>
        </w:rPr>
      </w:pPr>
      <w:r>
        <w:rPr>
          <w:rFonts w:ascii="幼圆" w:eastAsia="幼圆" w:hint="eastAsia"/>
          <w:sz w:val="27"/>
        </w:rPr>
        <w:t>实用文档</w:t>
      </w:r>
    </w:p>
    <w:p>
      <w:pPr>
        <w:pStyle w:val="BodyText"/>
        <w:rPr>
          <w:rFonts w:ascii="幼圆"/>
          <w:sz w:val="21"/>
        </w:rPr>
      </w:pPr>
    </w:p>
    <w:p>
      <w:pPr>
        <w:pStyle w:val="BodyText"/>
        <w:tabs>
          <w:tab w:val="left" w:pos="4320"/>
          <w:tab w:val="left" w:pos="7370"/>
        </w:tabs>
        <w:spacing w:before="50"/>
        <w:ind w:right="604"/>
        <w:jc w:val="center"/>
      </w:pPr>
      <w:r>
        <w:t>项</w:t>
        <w:tab/>
        <w:t>目</w:t>
        <w:tab/>
        <w:t>允许偏差</w:t>
      </w:r>
    </w:p>
    <w:p>
      <w:pPr>
        <w:pStyle w:val="BodyText"/>
        <w:spacing w:before="8"/>
        <w:rPr>
          <w:sz w:val="16"/>
        </w:rPr>
      </w:pPr>
    </w:p>
    <w:p>
      <w:pPr>
        <w:spacing w:after="0"/>
        <w:rPr>
          <w:sz w:val="16"/>
        </w:rPr>
        <w:sectPr>
          <w:pgSz w:w="17860" w:h="25260"/>
          <w:pgMar w:top="1000" w:right="800" w:bottom="280" w:left="1740" w:header="708" w:footer="708"/>
          <w:pgNumType w:start="29"/>
          <w:cols w:space="708"/>
        </w:sectPr>
      </w:pPr>
    </w:p>
    <w:p>
      <w:pPr>
        <w:pStyle w:val="BodyText"/>
        <w:spacing w:before="12"/>
        <w:rPr>
          <w:sz w:val="31"/>
        </w:rPr>
      </w:pPr>
    </w:p>
    <w:p>
      <w:pPr>
        <w:pStyle w:val="BodyText"/>
        <w:ind w:left="2321"/>
        <w:jc w:val="center"/>
      </w:pPr>
      <w:r>
        <w:t>工作坑每侧</w:t>
      </w:r>
    </w:p>
    <w:p>
      <w:pPr>
        <w:pStyle w:val="BodyText"/>
      </w:pPr>
    </w:p>
    <w:p>
      <w:pPr>
        <w:pStyle w:val="BodyText"/>
        <w:spacing w:before="3"/>
        <w:rPr>
          <w:sz w:val="41"/>
        </w:rPr>
      </w:pPr>
    </w:p>
    <w:p>
      <w:pPr>
        <w:pStyle w:val="BodyText"/>
        <w:ind w:left="2321"/>
        <w:jc w:val="center"/>
      </w:pPr>
      <w:r>
        <w:rPr>
          <w:spacing w:val="-4"/>
        </w:rPr>
        <w:t>装配式后座墙</w:t>
      </w:r>
    </w:p>
    <w:p>
      <w:pPr>
        <w:pStyle w:val="BodyText"/>
        <w:spacing w:before="49" w:line="376" w:lineRule="auto"/>
        <w:ind w:left="2066" w:right="358" w:firstLine="180"/>
        <w:jc w:val="both"/>
      </w:pPr>
      <w:r>
        <w:br w:type="column"/>
      </w:r>
      <w:r>
        <w:t>宽度长 度 垂直度</w:t>
      </w:r>
    </w:p>
    <w:p>
      <w:pPr>
        <w:pStyle w:val="BodyText"/>
        <w:spacing w:before="2"/>
        <w:ind w:left="1706"/>
      </w:pPr>
      <w:r>
        <w:t>水平扭转度</w:t>
      </w:r>
    </w:p>
    <w:p>
      <w:pPr>
        <w:pStyle w:val="BodyText"/>
        <w:spacing w:before="12"/>
        <w:rPr>
          <w:sz w:val="31"/>
        </w:rPr>
      </w:pPr>
      <w:r>
        <w:br w:type="column"/>
      </w:r>
    </w:p>
    <w:p>
      <w:pPr>
        <w:pStyle w:val="BodyText"/>
        <w:ind w:left="1334" w:right="2637"/>
        <w:jc w:val="center"/>
      </w:pPr>
      <w:r>
        <w:t>不小于施工设计规定</w:t>
      </w:r>
    </w:p>
    <w:p>
      <w:pPr>
        <w:pStyle w:val="BodyText"/>
        <w:spacing w:before="9"/>
        <w:rPr>
          <w:sz w:val="45"/>
        </w:rPr>
      </w:pPr>
    </w:p>
    <w:p>
      <w:pPr>
        <w:pStyle w:val="BodyText"/>
        <w:spacing w:before="1"/>
        <w:ind w:left="1334" w:right="2626"/>
        <w:jc w:val="center"/>
        <w:rPr>
          <w:sz w:val="38"/>
        </w:rPr>
      </w:pPr>
      <w:r>
        <w:t>0.1%</w:t>
      </w:r>
      <w:r>
        <w:rPr>
          <w:position w:val="2"/>
          <w:sz w:val="38"/>
        </w:rPr>
        <w:t>H</w:t>
      </w:r>
    </w:p>
    <w:p>
      <w:pPr>
        <w:pStyle w:val="BodyText"/>
        <w:spacing w:before="226"/>
        <w:ind w:left="1334" w:right="2626"/>
        <w:jc w:val="center"/>
        <w:rPr>
          <w:sz w:val="38"/>
        </w:rPr>
      </w:pPr>
      <w:r>
        <w:t>0.1%</w:t>
      </w:r>
      <w:r>
        <w:rPr>
          <w:position w:val="2"/>
          <w:sz w:val="38"/>
        </w:rPr>
        <w:t>L</w:t>
      </w:r>
    </w:p>
    <w:p>
      <w:pPr>
        <w:spacing w:after="0"/>
        <w:jc w:val="center"/>
        <w:rPr>
          <w:sz w:val="38"/>
        </w:rPr>
        <w:sectPr>
          <w:type w:val="continuous"/>
          <w:pgSz w:w="17860" w:h="25260"/>
          <w:pgMar w:top="1000" w:right="800" w:bottom="280" w:left="1740" w:header="708" w:footer="708"/>
          <w:pgNumType w:start="30"/>
          <w:cols w:num="3" w:space="708" w:equalWidth="0">
            <w:col w:w="4482" w:space="40"/>
            <w:col w:w="3507" w:space="39"/>
            <w:col w:w="7252" w:space="0"/>
          </w:cols>
        </w:sectPr>
      </w:pPr>
    </w:p>
    <w:p>
      <w:pPr>
        <w:pStyle w:val="BodyText"/>
        <w:spacing w:before="3"/>
        <w:rPr>
          <w:sz w:val="18"/>
        </w:rPr>
      </w:pPr>
      <w:r>
        <w:pict>
          <v:group id="_x0000_s1053" style="width:893pt;height:1248pt;margin-top:0;margin-left:0;mso-position-horizontal-relative:page;mso-position-vertical-relative:page;position:absolute;z-index:-251637760" coordorigin="0,0" coordsize="17860,24960">
            <v:shape id="_x0000_s1054" type="#_x0000_t75" style="width:17860;height:24960;position:absolute" stroked="f">
              <v:imagedata r:id="rId11" o:title=""/>
            </v:shape>
            <v:shape id="_x0000_s1055" type="#_x0000_t75" style="width:14340;height:3720;left:1900;position:absolute;top:1520" stroked="f">
              <v:imagedata r:id="rId18" o:title=""/>
            </v:shape>
          </v:group>
        </w:pict>
      </w:r>
    </w:p>
    <w:p>
      <w:pPr>
        <w:pStyle w:val="BodyText"/>
        <w:spacing w:before="50"/>
        <w:ind w:right="7721"/>
        <w:jc w:val="right"/>
      </w:pPr>
      <w:r>
        <w:t>注：H——装配式后座墙的高度（mm</w:t>
      </w:r>
      <w:r>
        <w:rPr>
          <w:spacing w:val="-180"/>
        </w:rPr>
        <w:t>）</w:t>
      </w:r>
      <w:r>
        <w:t>；</w:t>
      </w:r>
    </w:p>
    <w:p>
      <w:pPr>
        <w:pStyle w:val="BodyText"/>
        <w:spacing w:before="241"/>
        <w:ind w:right="7721"/>
        <w:jc w:val="right"/>
      </w:pPr>
      <w:r>
        <w:t>L——装配式后座墙的长度（mm</w:t>
      </w:r>
      <w:r>
        <w:rPr>
          <w:spacing w:val="-180"/>
        </w:rPr>
        <w:t>）</w:t>
      </w:r>
      <w:r>
        <w:t>。</w:t>
      </w:r>
    </w:p>
    <w:p>
      <w:pPr>
        <w:pStyle w:val="BodyText"/>
        <w:spacing w:before="2"/>
        <w:rPr>
          <w:sz w:val="43"/>
        </w:rPr>
      </w:pPr>
    </w:p>
    <w:p>
      <w:pPr>
        <w:spacing w:before="1"/>
        <w:ind w:left="215" w:right="0" w:firstLine="0"/>
        <w:jc w:val="left"/>
        <w:rPr>
          <w:b/>
          <w:sz w:val="36"/>
        </w:rPr>
      </w:pPr>
      <w:r>
        <w:rPr>
          <w:b/>
          <w:sz w:val="36"/>
        </w:rPr>
        <w:t>八、泥水系统、水压控制、注浆量的计算</w:t>
      </w:r>
    </w:p>
    <w:p>
      <w:pPr>
        <w:pStyle w:val="BodyText"/>
        <w:spacing w:before="284"/>
        <w:ind w:left="921"/>
      </w:pPr>
      <w:r>
        <w:t>1、泥水系统</w:t>
      </w:r>
    </w:p>
    <w:p>
      <w:pPr>
        <w:pStyle w:val="BodyText"/>
        <w:spacing w:before="241" w:line="364" w:lineRule="auto"/>
        <w:ind w:left="215" w:right="703" w:firstLine="720"/>
      </w:pPr>
      <w:r>
        <w:t xml:space="preserve">泥浆系统有二个作用：送走被挖掘的渣土和平衡地下水。泥浆系统是由密封的管道组 成，通过机头循环，形成泥浆混合物，由排泥管送走，最后沉淀在地面上的泥浆池内，泥 浆通过众多的排泥泵被排出。再由进水泵进水送入机头，排泥由变速的排泥泵进行控制。 机坑旁通装置可控制进排泥浆的速度、方向，以防止泥渣堵塞管道，淤积现场。当挖粘土 </w:t>
      </w:r>
      <w:r>
        <w:rPr>
          <w:spacing w:val="-1"/>
        </w:rPr>
        <w:t xml:space="preserve">时，可能使普通粘土，有一定的粘合度，可以直接将泥浆排入泥浆池内，但是当挖沙土时， </w:t>
      </w:r>
      <w:r>
        <w:t>泥浆中必须添加一定的粘合剂（诸如膨润土等）</w:t>
      </w:r>
      <w:r>
        <w:rPr>
          <w:spacing w:val="-1"/>
        </w:rPr>
        <w:t>以增加泥浆粘度，以达到排渣的最终目的。</w:t>
      </w:r>
      <w:r>
        <w:t>夹带泥砂的泥浆，可通过振动筛、循环沉淀器、干燥器等，处理分离渣质，泥浆被再用， 渣质被积累后处理。处理渣土用翻斗车，泥浆用罐车运出场区，堆置于郊外，处理时注意 不得污染路面等环境。</w:t>
      </w:r>
    </w:p>
    <w:p>
      <w:pPr>
        <w:pStyle w:val="BodyText"/>
        <w:spacing w:before="9" w:line="364" w:lineRule="auto"/>
        <w:ind w:left="215" w:right="1063" w:firstLine="720"/>
        <w:jc w:val="both"/>
      </w:pPr>
      <w:r>
        <w:t>进排泥水系统起着第二个作用：在有地下水存在的地方，掘进机表面的压力可以降低到小于水中的压力。这样避免了抽地下水的需要。进排泥水系统中的压力感应器可测出地下水的压力。机内泥水循环系统，电磁阀，旁通装置及载水阀可以起到调节水压的作用。机内电磁阀和旁通系统，可以阻止水压的变化，保持水压，在加管道时，不至于减小机头的水压，保证内部压力平衡。</w:t>
      </w:r>
    </w:p>
    <w:p>
      <w:pPr>
        <w:pStyle w:val="BodyText"/>
        <w:spacing w:line="348" w:lineRule="exact"/>
        <w:ind w:left="921"/>
      </w:pPr>
      <w:r>
        <w:t>2、注浆量的计算</w:t>
      </w:r>
    </w:p>
    <w:p>
      <w:pPr>
        <w:pStyle w:val="ListParagraph"/>
        <w:numPr>
          <w:ilvl w:val="0"/>
          <w:numId w:val="29"/>
        </w:numPr>
        <w:tabs>
          <w:tab w:val="left" w:pos="1837"/>
        </w:tabs>
        <w:spacing w:before="241" w:after="0" w:line="240" w:lineRule="auto"/>
        <w:ind w:left="1836" w:right="0" w:hanging="902"/>
        <w:jc w:val="left"/>
        <w:rPr>
          <w:sz w:val="36"/>
        </w:rPr>
      </w:pPr>
      <w:r>
        <w:rPr>
          <w:sz w:val="36"/>
        </w:rPr>
        <w:t>注浆量计算</w:t>
      </w:r>
    </w:p>
    <w:p>
      <w:pPr>
        <w:pStyle w:val="BodyText"/>
        <w:spacing w:before="9"/>
        <w:rPr>
          <w:sz w:val="38"/>
        </w:rPr>
      </w:pPr>
    </w:p>
    <w:p>
      <w:pPr>
        <w:pStyle w:val="BodyText"/>
        <w:ind w:left="935"/>
      </w:pPr>
      <w:r>
        <w:t>本工程每1米注浆量计算如下：</w:t>
      </w:r>
    </w:p>
    <w:p>
      <w:pPr>
        <w:pStyle w:val="BodyText"/>
        <w:spacing w:before="10"/>
        <w:rPr>
          <w:sz w:val="29"/>
        </w:rPr>
      </w:pPr>
    </w:p>
    <w:p>
      <w:pPr>
        <w:pStyle w:val="BodyText"/>
        <w:ind w:left="935"/>
      </w:pPr>
      <w:r>
        <w:t>V＝πDwtL＝3.14×1.5×0.015×1＝0.071m3</w:t>
      </w:r>
    </w:p>
    <w:p>
      <w:pPr>
        <w:pStyle w:val="BodyText"/>
        <w:spacing w:before="5"/>
        <w:rPr>
          <w:sz w:val="29"/>
        </w:rPr>
      </w:pPr>
    </w:p>
    <w:p>
      <w:pPr>
        <w:pStyle w:val="BodyText"/>
        <w:spacing w:before="1"/>
        <w:ind w:left="935"/>
      </w:pPr>
      <w:r>
        <w:t>①按照地质条件。一般压浆量为计算的150％～200％，本工程在粉质粘土顶进，按照</w:t>
      </w:r>
    </w:p>
    <w:p>
      <w:pPr>
        <w:pStyle w:val="BodyText"/>
        <w:spacing w:before="240"/>
        <w:ind w:left="215"/>
      </w:pPr>
      <w:r>
        <w:t>160％进行注浆量控制。</w:t>
      </w:r>
    </w:p>
    <w:p>
      <w:pPr>
        <w:spacing w:after="0"/>
        <w:sectPr>
          <w:type w:val="continuous"/>
          <w:pgSz w:w="17860" w:h="25260"/>
          <w:pgMar w:top="1000" w:right="800" w:bottom="280" w:left="1740" w:header="708" w:footer="708"/>
          <w:pgNumType w:start="31"/>
          <w:cols w:space="708"/>
        </w:sectPr>
      </w:pPr>
    </w:p>
    <w:p>
      <w:pPr>
        <w:spacing w:before="28"/>
        <w:ind w:left="0" w:right="686" w:firstLine="0"/>
        <w:jc w:val="center"/>
        <w:rPr>
          <w:rFonts w:ascii="幼圆" w:eastAsia="幼圆" w:hint="eastAsia"/>
          <w:sz w:val="27"/>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3"/>
        <w:rPr>
          <w:rFonts w:ascii="幼圆"/>
          <w:sz w:val="21"/>
        </w:rPr>
      </w:pPr>
    </w:p>
    <w:p>
      <w:pPr>
        <w:pStyle w:val="BodyText"/>
        <w:spacing w:line="364" w:lineRule="auto"/>
        <w:ind w:left="215" w:right="1063" w:firstLine="720"/>
        <w:jc w:val="both"/>
      </w:pPr>
      <w:r>
        <w:t>②为防止路面沉陷和地上、地下构筑物不受扰动，顶管结束后，应及时对管体四周的缝隙充填水泥浆，使其密实坚固，填充水泥所用设备与触变泥浆设备相同。逐孔注浆，水泥浆液需搅拌均匀，无结块，无杂物，注浆结束后，要及时清理注浆设备，以防堵塞。</w:t>
      </w:r>
    </w:p>
    <w:p>
      <w:pPr>
        <w:pStyle w:val="BodyText"/>
        <w:spacing w:before="143" w:line="364" w:lineRule="auto"/>
        <w:ind w:left="215" w:right="1060" w:firstLine="720"/>
      </w:pPr>
      <w:r>
        <w:t>③注浆压力根据管道深度H和土的天然重度γ而定，经验为2～3γH，本工程注浆压力为0.2～0.3MPa。</w:t>
      </w:r>
    </w:p>
    <w:p>
      <w:pPr>
        <w:pStyle w:val="BodyText"/>
        <w:spacing w:before="143" w:line="364" w:lineRule="auto"/>
        <w:ind w:left="215" w:right="1061" w:firstLine="720"/>
        <w:jc w:val="both"/>
      </w:pPr>
      <w:r>
        <w:t>④压浆填充材料：在管顶间隙较小管段，采用管内注浆，压浆材料为水泥粉煤灰浆， 配比为，水泥：粉煤灰＝1：3；在管顶间隙较大管段，采用管内注浆和地面注浆相结合， 压浆材料为水泥粉煤灰砂浆，配比为，水泥：粉煤灰：细砂＝1：1：4。</w:t>
      </w:r>
    </w:p>
    <w:p>
      <w:pPr>
        <w:pStyle w:val="BodyText"/>
        <w:spacing w:before="140" w:line="364" w:lineRule="auto"/>
        <w:ind w:left="215" w:right="1061" w:firstLine="720"/>
      </w:pPr>
      <w:r>
        <w:t>⑤管内注浆布孔方式：沿管线纵向每3m设一处压浆孔。布孔方式宜采用左上方、右上方、左上方的顺序。地面注浆布孔方式：沿管道上方每4～6m打孔至管顶空腔。</w:t>
      </w:r>
    </w:p>
    <w:p>
      <w:pPr>
        <w:pStyle w:val="BodyText"/>
        <w:spacing w:before="142" w:line="364" w:lineRule="auto"/>
        <w:ind w:left="215" w:right="1063" w:firstLine="720"/>
        <w:jc w:val="both"/>
      </w:pPr>
      <w:r>
        <w:rPr>
          <w:spacing w:val="-1"/>
        </w:rPr>
        <w:t xml:space="preserve">⑥注浆顺序：每段注浆从第一孔开始，直注至下一孔出浆，依次注完。每段注浆后， </w:t>
      </w:r>
      <w:r>
        <w:t>静止6～8</w:t>
      </w:r>
      <w:r>
        <w:rPr>
          <w:spacing w:val="-1"/>
        </w:rPr>
        <w:t>小时后进行第二次注浆。第二次注浆压力不变，直至压不进为止。地面管内注浆</w:t>
      </w:r>
      <w:r>
        <w:t>均采用两次注浆方式。采用地面管内注浆管段，宜先从地面压浆，再进行管内注浆。</w:t>
      </w:r>
    </w:p>
    <w:p>
      <w:pPr>
        <w:pStyle w:val="BodyText"/>
        <w:spacing w:before="143" w:line="364" w:lineRule="auto"/>
        <w:ind w:left="215" w:right="717" w:firstLine="720"/>
      </w:pPr>
      <w:r>
        <w:rPr>
          <w:spacing w:val="-24"/>
        </w:rPr>
        <w:t>⑦注浆操作要求：地面注浆孔采用冲击式钻机，机械冲钻孔，孔深</w:t>
      </w:r>
      <w:r>
        <w:t>5～6</w:t>
      </w:r>
      <w:r>
        <w:rPr>
          <w:spacing w:val="-36"/>
        </w:rPr>
        <w:t>米，孔径</w:t>
      </w:r>
      <w:r>
        <w:t>φ100mm， 安装注浆花管后的外侧埋灌细砂。注浆采用机械搅拌水泥浆，电动注浆泵压力灌注，逐孔灌注，直至全部孔位注满。经测试后必要时进行第二次补浆，以保证加固的可靠性。</w:t>
      </w:r>
    </w:p>
    <w:p>
      <w:pPr>
        <w:pStyle w:val="BodyText"/>
        <w:spacing w:before="144"/>
        <w:ind w:left="935"/>
      </w:pPr>
      <w:r>
        <w:t>对松散砂砾层及回填土层，顶进中需用水泥浆液进行土壤加固。</w:t>
      </w:r>
    </w:p>
    <w:p>
      <w:pPr>
        <w:pStyle w:val="BodyText"/>
        <w:spacing w:before="259" w:line="364" w:lineRule="auto"/>
        <w:ind w:left="215" w:right="1060" w:firstLine="720"/>
      </w:pPr>
      <w:r>
        <w:rPr>
          <w:spacing w:val="-7"/>
        </w:rPr>
        <w:t xml:space="preserve">根据本工程特点，初步设计每 </w:t>
      </w:r>
      <w:r>
        <w:t>4</w:t>
      </w:r>
      <w:r>
        <w:rPr>
          <w:spacing w:val="-30"/>
        </w:rPr>
        <w:t xml:space="preserve"> 节管</w:t>
      </w:r>
      <w:r>
        <w:t>（</w:t>
      </w:r>
      <w:r>
        <w:rPr>
          <w:spacing w:val="-30"/>
        </w:rPr>
        <w:t xml:space="preserve">每节 </w:t>
      </w:r>
      <w:r>
        <w:t>2</w:t>
      </w:r>
      <w:r>
        <w:rPr>
          <w:spacing w:val="-30"/>
        </w:rPr>
        <w:t xml:space="preserve"> 米长</w:t>
      </w:r>
      <w:r>
        <w:t>）</w:t>
      </w:r>
      <w:r>
        <w:rPr>
          <w:spacing w:val="-30"/>
        </w:rPr>
        <w:t xml:space="preserve">布设 </w:t>
      </w:r>
      <w:r>
        <w:t>1</w:t>
      </w:r>
      <w:r>
        <w:rPr>
          <w:spacing w:val="-11"/>
        </w:rPr>
        <w:t xml:space="preserve"> 节注浆管，依次调整注浆</w:t>
      </w:r>
      <w:r>
        <w:t>孔的位置，确保每个方向都能注浆润滑。</w:t>
      </w:r>
    </w:p>
    <w:p>
      <w:pPr>
        <w:spacing w:before="0" w:line="364" w:lineRule="auto"/>
        <w:ind w:left="215" w:right="1024" w:firstLine="723"/>
        <w:jc w:val="left"/>
        <w:rPr>
          <w:sz w:val="36"/>
        </w:rPr>
      </w:pPr>
      <w:r>
        <w:rPr>
          <w:b/>
          <w:spacing w:val="-5"/>
          <w:sz w:val="36"/>
        </w:rPr>
        <w:t xml:space="preserve">总注浆量应不小于管外环形空间体积的 </w:t>
      </w:r>
      <w:r>
        <w:rPr>
          <w:b/>
          <w:sz w:val="36"/>
        </w:rPr>
        <w:t>2</w:t>
      </w:r>
      <w:r>
        <w:rPr>
          <w:b/>
          <w:spacing w:val="-47"/>
          <w:sz w:val="36"/>
        </w:rPr>
        <w:t xml:space="preserve"> 倍</w:t>
      </w:r>
      <w:r>
        <w:rPr>
          <w:spacing w:val="-1"/>
          <w:sz w:val="36"/>
        </w:rPr>
        <w:t>，考虑到泥浆的漏失，必须经常性地连续</w:t>
      </w:r>
      <w:r>
        <w:rPr>
          <w:sz w:val="36"/>
        </w:rPr>
        <w:t>补浆，确保泥浆套的完整。</w:t>
      </w:r>
    </w:p>
    <w:p>
      <w:pPr>
        <w:pStyle w:val="ListParagraph"/>
        <w:numPr>
          <w:ilvl w:val="0"/>
          <w:numId w:val="20"/>
        </w:numPr>
        <w:tabs>
          <w:tab w:val="left" w:pos="1837"/>
        </w:tabs>
        <w:spacing w:before="0" w:after="0" w:line="459" w:lineRule="exact"/>
        <w:ind w:left="1836" w:right="0" w:hanging="902"/>
        <w:jc w:val="left"/>
        <w:rPr>
          <w:sz w:val="36"/>
        </w:rPr>
      </w:pPr>
      <w:r>
        <w:rPr>
          <w:sz w:val="36"/>
        </w:rPr>
        <w:t>浆减磨要点：</w:t>
      </w:r>
    </w:p>
    <w:p>
      <w:pPr>
        <w:pStyle w:val="BodyText"/>
        <w:spacing w:before="239" w:line="364" w:lineRule="auto"/>
        <w:ind w:left="215" w:right="1063" w:firstLine="720"/>
      </w:pPr>
      <w:r>
        <w:t>①选择优质的触变泥浆材料，对膨润土取样测试。主要指标为造浆率、失水量和动塑比。</w:t>
      </w:r>
    </w:p>
    <w:p>
      <w:pPr>
        <w:pStyle w:val="BodyText"/>
        <w:spacing w:line="460" w:lineRule="exact"/>
        <w:ind w:left="935"/>
      </w:pPr>
      <w:r>
        <w:t>②在管子上预埋压浆孔，压浆孔的设置要有利于浆套的形成。</w:t>
      </w:r>
    </w:p>
    <w:p>
      <w:pPr>
        <w:pStyle w:val="BodyText"/>
        <w:spacing w:before="240" w:line="362" w:lineRule="auto"/>
        <w:ind w:left="215" w:right="1063" w:firstLine="720"/>
      </w:pPr>
      <w:r>
        <w:t>③膨润土的贮藏及浆液配制、搅拌、膨胀时间，听取供应商的建议但都必须按照规范进行，使用前必须先进行试验。</w:t>
      </w:r>
    </w:p>
    <w:p>
      <w:pPr>
        <w:pStyle w:val="BodyText"/>
        <w:spacing w:before="8" w:line="362" w:lineRule="auto"/>
        <w:ind w:left="215" w:right="1063" w:firstLine="720"/>
      </w:pPr>
      <w:r>
        <w:t>④压浆方式要以同步注浆为主，补浆为辅。在顶进过程中，要经常检查各推进段的桨液形成情况。</w:t>
      </w:r>
    </w:p>
    <w:p>
      <w:pPr>
        <w:pStyle w:val="BodyText"/>
        <w:spacing w:before="7"/>
        <w:ind w:left="935"/>
      </w:pPr>
      <w:r>
        <w:t>⑤注浆设备和管路要可靠，具有足够的耐压和良好的密封性能。在注浆孔中设置一个</w:t>
      </w:r>
    </w:p>
    <w:p>
      <w:pPr>
        <w:spacing w:after="0"/>
        <w:sectPr>
          <w:pgSz w:w="17860" w:h="25260"/>
          <w:pgMar w:top="1000" w:right="800" w:bottom="280" w:left="1740" w:header="708" w:footer="708"/>
          <w:pgNumType w:start="32"/>
          <w:cols w:space="708"/>
        </w:sectPr>
      </w:pPr>
    </w:p>
    <w:p>
      <w:pPr>
        <w:spacing w:before="28"/>
        <w:ind w:left="0" w:right="686" w:firstLine="0"/>
        <w:jc w:val="center"/>
        <w:rPr>
          <w:rFonts w:ascii="幼圆" w:eastAsia="幼圆" w:hint="eastAsia"/>
          <w:sz w:val="27"/>
        </w:rPr>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r>
        <w:rPr>
          <w:rFonts w:ascii="幼圆" w:eastAsia="幼圆" w:hint="eastAsia"/>
          <w:sz w:val="27"/>
        </w:rPr>
        <w:t>实用文档</w:t>
      </w:r>
    </w:p>
    <w:p>
      <w:pPr>
        <w:pStyle w:val="BodyText"/>
        <w:spacing w:before="153"/>
        <w:ind w:left="215"/>
      </w:pPr>
      <w:r>
        <w:t>单向阀，使浆液管外的土不能倒灌而堵塞注浆孔，从而影响这浆效果。</w:t>
      </w:r>
    </w:p>
    <w:p>
      <w:pPr>
        <w:pStyle w:val="BodyText"/>
        <w:spacing w:before="241"/>
        <w:ind w:left="935"/>
      </w:pPr>
      <w:r>
        <w:t>⑥注浆工艺由专人负责，质量员定期检查。</w:t>
      </w:r>
    </w:p>
    <w:p>
      <w:pPr>
        <w:pStyle w:val="BodyText"/>
        <w:spacing w:before="237"/>
        <w:ind w:left="935"/>
      </w:pPr>
      <w:r>
        <w:t>⑦注浆泵选择脉动小的螺杆泵，流量与顶进速度相应配。</w:t>
      </w:r>
    </w:p>
    <w:p>
      <w:pPr>
        <w:pStyle w:val="BodyText"/>
        <w:spacing w:before="241" w:line="362" w:lineRule="auto"/>
        <w:ind w:left="215" w:right="894" w:firstLine="720"/>
      </w:pPr>
      <w:r>
        <w:rPr>
          <w:spacing w:val="-4"/>
        </w:rPr>
        <w:t xml:space="preserve">⑧由于顶管线路长，为使全程注浆压力不致相差过大，在中间还将每隔 </w:t>
      </w:r>
      <w:r>
        <w:t>400m</w:t>
      </w:r>
      <w:r>
        <w:rPr>
          <w:spacing w:val="-22"/>
        </w:rPr>
        <w:t xml:space="preserve"> 增设压浆</w:t>
      </w:r>
      <w:r>
        <w:t>泵以增大压力。</w:t>
      </w:r>
    </w:p>
    <w:p>
      <w:pPr>
        <w:pStyle w:val="BodyText"/>
        <w:spacing w:before="8"/>
        <w:ind w:left="935"/>
      </w:pPr>
      <w:r>
        <w:t>3、泥浆置换与封孔</w:t>
      </w:r>
    </w:p>
    <w:p>
      <w:pPr>
        <w:pStyle w:val="ListParagraph"/>
        <w:numPr>
          <w:ilvl w:val="0"/>
          <w:numId w:val="19"/>
        </w:numPr>
        <w:tabs>
          <w:tab w:val="left" w:pos="1837"/>
        </w:tabs>
        <w:spacing w:before="237" w:after="0" w:line="240" w:lineRule="auto"/>
        <w:ind w:left="1836" w:right="0" w:hanging="902"/>
        <w:jc w:val="left"/>
        <w:rPr>
          <w:sz w:val="36"/>
        </w:rPr>
      </w:pPr>
      <w:r>
        <w:rPr>
          <w:sz w:val="36"/>
        </w:rPr>
        <w:t>泥浆置换</w:t>
      </w:r>
    </w:p>
    <w:p>
      <w:pPr>
        <w:pStyle w:val="BodyText"/>
        <w:spacing w:before="241" w:line="364" w:lineRule="auto"/>
        <w:ind w:left="215" w:right="1063" w:firstLine="720"/>
        <w:jc w:val="both"/>
      </w:pPr>
      <w:r>
        <w:t>泥浆置换即在单段顶管完成后及时采用水硬性材料置换管道外壁原注膨润土泥浆，使管道外壁形成强度较大的浆壁，能承受上覆土压力的作用，避免管壁的坍塌；另外，掺入膨胀剂具有补偿收缩性能的水泥浆还能降低原注泥浆的收缩，从而减少沉降发生；本顶管施工置换泥浆是由高钙粉煤灰、水泥和石膏拌制的高掺量粉煤灰水泥浆。</w:t>
      </w:r>
    </w:p>
    <w:p>
      <w:pPr>
        <w:pStyle w:val="BodyText"/>
        <w:spacing w:line="364" w:lineRule="auto"/>
        <w:ind w:left="215" w:right="898" w:firstLine="720"/>
      </w:pPr>
      <w:r>
        <w:rPr>
          <w:spacing w:val="-8"/>
        </w:rPr>
        <w:t xml:space="preserve">①高钙粉煤灰除二氧化硅和氧化铝外，一般含有 </w:t>
      </w:r>
      <w:r>
        <w:t>10%</w:t>
      </w:r>
      <w:r>
        <w:rPr>
          <w:spacing w:val="-8"/>
        </w:rPr>
        <w:t>以上的氧化钙，本身具有一定的水</w:t>
      </w:r>
      <w:r>
        <w:rPr>
          <w:spacing w:val="-5"/>
        </w:rPr>
        <w:t xml:space="preserve">硬性；同时，粉煤灰的容重仅为水泥的 </w:t>
      </w:r>
      <w:r>
        <w:t>2/3</w:t>
      </w:r>
      <w:r>
        <w:rPr>
          <w:spacing w:val="-10"/>
        </w:rPr>
        <w:t xml:space="preserve"> 左右，而且粒形好，其“滚珠”效应能对水泥颗粒起到一定的物理分散作用，使其分布更加均匀；</w:t>
      </w:r>
    </w:p>
    <w:p>
      <w:pPr>
        <w:pStyle w:val="BodyText"/>
        <w:spacing w:line="364" w:lineRule="auto"/>
        <w:ind w:left="215" w:right="880" w:firstLine="720"/>
      </w:pPr>
      <w:r>
        <w:t>②置换泥浆的配比为:粉煤灰:水泥:石膏=87.5:10:2.5。含有高掺量粉煤灰的置换水泥浆水化速度低，且在石膏缓凝作用下，制备完成的置换泥浆塌落度经时损失小，具有良好的可注入性能，满足置换要求。同时，后期强度高、增长快，满足沉降控制要求。</w:t>
      </w:r>
    </w:p>
    <w:p>
      <w:pPr>
        <w:pStyle w:val="BodyText"/>
        <w:spacing w:line="364" w:lineRule="auto"/>
        <w:ind w:left="215" w:right="1063" w:firstLine="720"/>
        <w:jc w:val="both"/>
      </w:pPr>
      <w:r>
        <w:t>③置换原理：每二节混凝土管编为一组，分为注浆孔与排浆孔。将注浆泵清洗干净， 带阀门的吸浆管放入灰浆池内；开启注浆泵，打开第一组注浆孔进行注浆；当第一组排浆孔冒出灰浆后关闭阀门，再打开第二组；以此类推，直到全线完成，再关闭所有阀门，保压三十分钟，保压压力 1MPa。</w:t>
      </w:r>
    </w:p>
    <w:p>
      <w:pPr>
        <w:pStyle w:val="BodyText"/>
        <w:spacing w:line="364" w:lineRule="auto"/>
        <w:ind w:left="215" w:right="1063" w:firstLine="720"/>
      </w:pPr>
      <w:r>
        <w:t>泥浆置换完成后，拆除主通道浆管和管节内弧形浆管就地清晰，以免浆液凝固堵塞影响后期使用。</w:t>
      </w:r>
    </w:p>
    <w:p>
      <w:pPr>
        <w:pStyle w:val="ListParagraph"/>
        <w:numPr>
          <w:ilvl w:val="0"/>
          <w:numId w:val="19"/>
        </w:numPr>
        <w:tabs>
          <w:tab w:val="left" w:pos="1837"/>
        </w:tabs>
        <w:spacing w:before="0" w:after="0" w:line="459" w:lineRule="exact"/>
        <w:ind w:left="1836" w:right="0" w:hanging="902"/>
        <w:jc w:val="left"/>
        <w:rPr>
          <w:sz w:val="36"/>
        </w:rPr>
      </w:pPr>
      <w:r>
        <w:rPr>
          <w:sz w:val="36"/>
        </w:rPr>
        <w:t>封孔</w:t>
      </w:r>
    </w:p>
    <w:p>
      <w:pPr>
        <w:pStyle w:val="BodyText"/>
        <w:spacing w:before="230"/>
        <w:ind w:left="935"/>
      </w:pPr>
      <w:r>
        <w:t>泥浆置换完毕后进行注浆孔封孔处理</w:t>
      </w:r>
    </w:p>
    <w:p>
      <w:pPr>
        <w:pStyle w:val="BodyText"/>
        <w:spacing w:before="237" w:line="364" w:lineRule="auto"/>
        <w:ind w:left="215" w:right="883" w:firstLine="720"/>
      </w:pPr>
      <w:r>
        <w:t>①清除注浆孔管壁外侧的置换水泥浆，清除范围为：注浆孔周圈 5cm，管壁垂向深度1.5cm。将注浆孔和管壁清洗干净，不得破坏保护层，待监理工程师验收合格后方可注入沥青。</w:t>
      </w:r>
    </w:p>
    <w:p>
      <w:pPr>
        <w:pStyle w:val="BodyText"/>
        <w:spacing w:line="460" w:lineRule="exact"/>
        <w:ind w:left="935"/>
      </w:pPr>
      <w:r>
        <w:t>②注入热沥青：沥青充满清除范围及管壁开孔，宜采取压注工具及排气措施。</w:t>
      </w:r>
    </w:p>
    <w:p>
      <w:pPr>
        <w:pStyle w:val="BodyText"/>
        <w:spacing w:before="237" w:line="364" w:lineRule="auto"/>
        <w:ind w:left="215" w:right="1063" w:firstLine="720"/>
      </w:pPr>
      <w:r>
        <w:t>③待沥青在自重状态下失去流动性时立即将配套的不锈钢螺栓拧入，利用螺杆推力将塑性沥青压出管壁。螺杆应突出内、外壁各 2mm。</w:t>
      </w:r>
    </w:p>
    <w:p>
      <w:pPr>
        <w:spacing w:after="0" w:line="364" w:lineRule="auto"/>
        <w:sectPr>
          <w:pgSz w:w="17860" w:h="25260"/>
          <w:pgMar w:top="1000" w:right="800" w:bottom="280" w:left="1740" w:header="708" w:footer="708"/>
          <w:pgNumType w:start="33"/>
          <w:cols w:space="708"/>
        </w:sectPr>
      </w:pPr>
    </w:p>
    <w:p>
      <w:pPr>
        <w:spacing w:before="28"/>
        <w:ind w:left="0" w:right="686" w:firstLine="0"/>
        <w:jc w:val="center"/>
        <w:rPr>
          <w:rFonts w:ascii="幼圆" w:eastAsia="幼圆" w:hint="eastAsia"/>
          <w:sz w:val="27"/>
        </w:rPr>
      </w:pPr>
      <w:r>
        <w:rPr>
          <w:rFonts w:ascii="幼圆" w:eastAsia="幼圆" w:hint="eastAsia"/>
          <w:sz w:val="27"/>
        </w:rPr>
        <w:t>实用文档</w:t>
      </w:r>
    </w:p>
    <w:p>
      <w:pPr>
        <w:spacing w:before="153" w:line="364" w:lineRule="auto"/>
        <w:ind w:left="215" w:right="6823" w:firstLine="720"/>
        <w:jc w:val="left"/>
        <w:rPr>
          <w:b/>
          <w:sz w:val="36"/>
        </w:rPr>
      </w:pPr>
      <w:r>
        <w:rPr>
          <w:sz w:val="36"/>
        </w:rPr>
        <w:t>④将不锈钢螺杆外露部分刷涂沥青防锈、防腐。</w:t>
      </w:r>
      <w:r>
        <w:rPr>
          <w:b/>
          <w:sz w:val="36"/>
        </w:rPr>
        <w:t>九、中继间设置</w:t>
      </w:r>
    </w:p>
    <w:p>
      <w:pPr>
        <w:pStyle w:val="BodyText"/>
        <w:spacing w:before="118"/>
        <w:ind w:left="921"/>
      </w:pPr>
      <w:r>
        <w:t>1、中继间原理</w:t>
      </w:r>
    </w:p>
    <w:p>
      <w:pPr>
        <w:pStyle w:val="BodyText"/>
        <w:spacing w:before="240" w:line="364" w:lineRule="auto"/>
        <w:ind w:left="215" w:right="1063" w:firstLine="720"/>
        <w:jc w:val="both"/>
      </w:pPr>
      <w:r>
        <w:t>当顶进阻力即顶管掘进迎面阻力和管壁周围摩擦阻力之和超过主千斤顶的允许总顶力或管节容许的极限压力或工作井后背极限反推力，无法一次达到顶进距离要求时，应采用中继接力顶进技术，实行分段使实施每段管道的顶力降低到允许顶力范围内。</w:t>
      </w:r>
    </w:p>
    <w:p>
      <w:pPr>
        <w:pStyle w:val="BodyText"/>
        <w:spacing w:before="3" w:line="364" w:lineRule="auto"/>
        <w:ind w:left="215" w:right="1063" w:firstLine="720"/>
        <w:jc w:val="both"/>
      </w:pPr>
      <w:r>
        <w:t>采用中继接力时，将管道分层数段，在段与段之间设置中继间，中继油缸工作时，后面的管段成为前方管段的受力后座，承受中继千斤顶反力将前方管段顶进。中继间按顶进方向依次启动，起到管道分段顶进，减小每段顶力的目的。</w:t>
      </w:r>
    </w:p>
    <w:p>
      <w:pPr>
        <w:pStyle w:val="BodyText"/>
        <w:spacing w:before="4"/>
        <w:ind w:left="921"/>
      </w:pPr>
      <w:r>
        <w:t>2、中继间设计</w:t>
      </w:r>
    </w:p>
    <w:p>
      <w:pPr>
        <w:pStyle w:val="BodyText"/>
        <w:spacing w:before="240" w:line="364" w:lineRule="auto"/>
        <w:ind w:left="215" w:right="673" w:firstLine="720"/>
      </w:pPr>
      <w:r>
        <w:t>本工程顶进部分检查井段最大距离达到 203.5m，需要设置中继间，采取接力顶进。中继间按 50%顶力进行设置。中继间主要由壳体（钢板制）与千斤顶组成，千斤顶分布固定在壳体上，安装独立的电、油路系统，壳体结构强度应符合实际顶力要求。周边千斤顶分布应下半部间距小，上班不间距大，中继间与前后管的连接缝不得大于 1.0cm，具体组成如下：</w:t>
      </w:r>
    </w:p>
    <w:p>
      <w:pPr>
        <w:pStyle w:val="ListParagraph"/>
        <w:numPr>
          <w:ilvl w:val="0"/>
          <w:numId w:val="18"/>
        </w:numPr>
        <w:tabs>
          <w:tab w:val="left" w:pos="1837"/>
        </w:tabs>
        <w:spacing w:before="4" w:after="0" w:line="240" w:lineRule="auto"/>
        <w:ind w:left="1836" w:right="0" w:hanging="902"/>
        <w:jc w:val="left"/>
        <w:rPr>
          <w:sz w:val="36"/>
        </w:rPr>
      </w:pPr>
      <w:r>
        <w:rPr>
          <w:spacing w:val="-6"/>
          <w:sz w:val="36"/>
        </w:rPr>
        <w:t xml:space="preserve">短冲程千斤顶组，本顶管采用冲程为 </w:t>
      </w:r>
      <w:r>
        <w:rPr>
          <w:sz w:val="36"/>
        </w:rPr>
        <w:t>20cm</w:t>
      </w:r>
      <w:r>
        <w:rPr>
          <w:spacing w:val="-10"/>
          <w:sz w:val="36"/>
        </w:rPr>
        <w:t xml:space="preserve"> 的千斤顶组，性能要求一致；</w:t>
      </w:r>
    </w:p>
    <w:p>
      <w:pPr>
        <w:pStyle w:val="ListParagraph"/>
        <w:numPr>
          <w:ilvl w:val="0"/>
          <w:numId w:val="18"/>
        </w:numPr>
        <w:tabs>
          <w:tab w:val="left" w:pos="1837"/>
        </w:tabs>
        <w:spacing w:before="241" w:after="0" w:line="240" w:lineRule="auto"/>
        <w:ind w:left="1836" w:right="0" w:hanging="902"/>
        <w:jc w:val="left"/>
        <w:rPr>
          <w:sz w:val="36"/>
        </w:rPr>
      </w:pPr>
      <w:r>
        <w:rPr>
          <w:sz w:val="36"/>
        </w:rPr>
        <w:t>独立的液压、电路与操作系统；</w:t>
      </w:r>
    </w:p>
    <w:p>
      <w:pPr>
        <w:pStyle w:val="ListParagraph"/>
        <w:numPr>
          <w:ilvl w:val="0"/>
          <w:numId w:val="18"/>
        </w:numPr>
        <w:tabs>
          <w:tab w:val="left" w:pos="1837"/>
        </w:tabs>
        <w:spacing w:before="241" w:after="0" w:line="364" w:lineRule="auto"/>
        <w:ind w:left="215" w:right="882" w:firstLine="720"/>
        <w:jc w:val="left"/>
        <w:rPr>
          <w:sz w:val="36"/>
        </w:rPr>
      </w:pPr>
      <w:r>
        <w:rPr>
          <w:spacing w:val="-1"/>
          <w:sz w:val="36"/>
        </w:rPr>
        <w:t>钢板制壳体和千斤顶紧固件、止水密封圈。由于中继间使用特性，其启动伸缩次</w:t>
      </w:r>
      <w:r>
        <w:rPr>
          <w:sz w:val="36"/>
        </w:rPr>
        <w:t>数很多，密封圈极易磨损失效而发生漏水、漏砂等现象，给工程带来严重的后果，甚至发生安全施工。</w:t>
      </w:r>
    </w:p>
    <w:p>
      <w:pPr>
        <w:pStyle w:val="BodyText"/>
        <w:spacing w:before="3" w:line="364" w:lineRule="auto"/>
        <w:ind w:left="215" w:right="850" w:firstLine="720"/>
      </w:pPr>
      <w:r>
        <w:t>本次顶管中继间采用二道密封圈，在两道密封圈之间设置 4 只可以压住润滑油脂的油嘴，通过油脂润滑作用减轻密封圈的磨损；同时，设置 4 只注浆孔，进行同步注浆。</w:t>
      </w:r>
    </w:p>
    <w:p>
      <w:pPr>
        <w:pStyle w:val="BodyText"/>
        <w:spacing w:line="344" w:lineRule="exact"/>
        <w:ind w:right="686"/>
        <w:jc w:val="center"/>
      </w:pPr>
      <w:r>
        <w:t>中继间布置表</w:t>
      </w:r>
    </w:p>
    <w:p>
      <w:pPr>
        <w:spacing w:after="0" w:line="344" w:lineRule="exact"/>
        <w:jc w:val="center"/>
        <w:sectPr>
          <w:pgSz w:w="17860" w:h="25260"/>
          <w:pgMar w:top="1000" w:right="800" w:bottom="280" w:left="1740" w:header="708" w:footer="708"/>
          <w:pgNumType w:start="34"/>
          <w:cols w:space="708"/>
        </w:sectPr>
      </w:pPr>
    </w:p>
    <w:p>
      <w:pPr>
        <w:tabs>
          <w:tab w:val="left" w:pos="1572"/>
          <w:tab w:val="left" w:pos="3908"/>
        </w:tabs>
        <w:spacing w:before="97"/>
        <w:ind w:left="150" w:right="0" w:firstLine="0"/>
        <w:jc w:val="left"/>
        <w:rPr>
          <w:sz w:val="31"/>
        </w:rPr>
      </w:pPr>
      <w:r>
        <w:pict>
          <v:shape id="_x0000_s1056" type="#_x0000_t202" style="width:659.45pt;height:195.35pt;margin-top:27.08pt;margin-left:92.04pt;mso-position-horizontal-relative:page;position:absolute;z-index:251681792"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1"/>
                    <w:gridCol w:w="2354"/>
                    <w:gridCol w:w="2474"/>
                    <w:gridCol w:w="2821"/>
                    <w:gridCol w:w="3479"/>
                    <w:gridCol w:w="134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9"/>
                      <w:jc w:val="left"/>
                    </w:trPr>
                    <w:tc>
                      <w:tcPr>
                        <w:tcW w:w="721" w:type="dxa"/>
                      </w:tcPr>
                      <w:p>
                        <w:pPr>
                          <w:pStyle w:val="TableParagraph"/>
                          <w:spacing w:line="359" w:lineRule="exact"/>
                          <w:ind w:left="50"/>
                          <w:rPr>
                            <w:sz w:val="31"/>
                          </w:rPr>
                        </w:pPr>
                        <w:r>
                          <w:rPr>
                            <w:w w:val="102"/>
                            <w:sz w:val="31"/>
                          </w:rPr>
                          <w:t>号</w:t>
                        </w:r>
                      </w:p>
                    </w:tc>
                    <w:tc>
                      <w:tcPr>
                        <w:tcW w:w="2354" w:type="dxa"/>
                      </w:tcPr>
                      <w:p>
                        <w:pPr>
                          <w:pStyle w:val="TableParagraph"/>
                          <w:rPr>
                            <w:rFonts w:ascii="Times New Roman"/>
                            <w:sz w:val="32"/>
                          </w:rPr>
                        </w:pPr>
                      </w:p>
                    </w:tc>
                    <w:tc>
                      <w:tcPr>
                        <w:tcW w:w="2474" w:type="dxa"/>
                      </w:tcPr>
                      <w:p>
                        <w:pPr>
                          <w:pStyle w:val="TableParagraph"/>
                          <w:spacing w:line="359" w:lineRule="exact"/>
                          <w:ind w:left="566" w:right="938"/>
                          <w:jc w:val="center"/>
                          <w:rPr>
                            <w:sz w:val="31"/>
                          </w:rPr>
                        </w:pPr>
                        <w:r>
                          <w:rPr>
                            <w:sz w:val="31"/>
                          </w:rPr>
                          <w:t>（mm）</w:t>
                        </w:r>
                      </w:p>
                    </w:tc>
                    <w:tc>
                      <w:tcPr>
                        <w:tcW w:w="2821" w:type="dxa"/>
                      </w:tcPr>
                      <w:p>
                        <w:pPr>
                          <w:pStyle w:val="TableParagraph"/>
                          <w:spacing w:line="359" w:lineRule="exact"/>
                          <w:ind w:left="939" w:right="1067"/>
                          <w:jc w:val="center"/>
                          <w:rPr>
                            <w:sz w:val="31"/>
                          </w:rPr>
                        </w:pPr>
                        <w:r>
                          <w:rPr>
                            <w:sz w:val="31"/>
                          </w:rPr>
                          <w:t>(m)</w:t>
                        </w:r>
                      </w:p>
                    </w:tc>
                    <w:tc>
                      <w:tcPr>
                        <w:tcW w:w="4819" w:type="dxa"/>
                        <w:gridSpan w:val="2"/>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569"/>
                      <w:jc w:val="left"/>
                    </w:trPr>
                    <w:tc>
                      <w:tcPr>
                        <w:tcW w:w="721" w:type="dxa"/>
                      </w:tcPr>
                      <w:p>
                        <w:pPr>
                          <w:pStyle w:val="TableParagraph"/>
                          <w:spacing w:before="65"/>
                          <w:ind w:left="118"/>
                          <w:rPr>
                            <w:sz w:val="31"/>
                          </w:rPr>
                        </w:pPr>
                        <w:r>
                          <w:rPr>
                            <w:w w:val="102"/>
                            <w:sz w:val="31"/>
                          </w:rPr>
                          <w:t>1</w:t>
                        </w:r>
                      </w:p>
                    </w:tc>
                    <w:tc>
                      <w:tcPr>
                        <w:tcW w:w="2354" w:type="dxa"/>
                      </w:tcPr>
                      <w:p>
                        <w:pPr>
                          <w:pStyle w:val="TableParagraph"/>
                          <w:spacing w:before="65"/>
                          <w:ind w:left="351" w:right="567"/>
                          <w:jc w:val="center"/>
                          <w:rPr>
                            <w:sz w:val="31"/>
                          </w:rPr>
                        </w:pPr>
                        <w:r>
                          <w:rPr>
                            <w:sz w:val="31"/>
                          </w:rPr>
                          <w:t>DA7~DA6</w:t>
                        </w:r>
                      </w:p>
                    </w:tc>
                    <w:tc>
                      <w:tcPr>
                        <w:tcW w:w="2474" w:type="dxa"/>
                      </w:tcPr>
                      <w:p>
                        <w:pPr>
                          <w:pStyle w:val="TableParagraph"/>
                          <w:spacing w:before="65"/>
                          <w:ind w:left="565" w:right="938"/>
                          <w:jc w:val="center"/>
                          <w:rPr>
                            <w:sz w:val="31"/>
                          </w:rPr>
                        </w:pPr>
                        <w:r>
                          <w:rPr>
                            <w:sz w:val="31"/>
                          </w:rPr>
                          <w:t>d1200</w:t>
                        </w:r>
                      </w:p>
                    </w:tc>
                    <w:tc>
                      <w:tcPr>
                        <w:tcW w:w="2821" w:type="dxa"/>
                      </w:tcPr>
                      <w:p>
                        <w:pPr>
                          <w:pStyle w:val="TableParagraph"/>
                          <w:spacing w:before="65"/>
                          <w:ind w:left="939" w:right="1067"/>
                          <w:jc w:val="center"/>
                          <w:rPr>
                            <w:sz w:val="31"/>
                          </w:rPr>
                        </w:pPr>
                        <w:r>
                          <w:rPr>
                            <w:sz w:val="31"/>
                          </w:rPr>
                          <w:t>203.5</w:t>
                        </w:r>
                      </w:p>
                    </w:tc>
                    <w:tc>
                      <w:tcPr>
                        <w:tcW w:w="3479" w:type="dxa"/>
                      </w:tcPr>
                      <w:p>
                        <w:pPr>
                          <w:pStyle w:val="TableParagraph"/>
                          <w:spacing w:before="65"/>
                          <w:ind w:left="1076" w:right="1123"/>
                          <w:jc w:val="center"/>
                          <w:rPr>
                            <w:sz w:val="31"/>
                          </w:rPr>
                        </w:pPr>
                        <w:r>
                          <w:rPr>
                            <w:sz w:val="31"/>
                          </w:rPr>
                          <w:t>粉质粘土</w:t>
                        </w:r>
                      </w:p>
                    </w:tc>
                    <w:tc>
                      <w:tcPr>
                        <w:tcW w:w="1340" w:type="dxa"/>
                      </w:tcPr>
                      <w:p>
                        <w:pPr>
                          <w:pStyle w:val="TableParagraph"/>
                          <w:spacing w:before="65"/>
                          <w:ind w:right="48"/>
                          <w:jc w:val="right"/>
                          <w:rPr>
                            <w:sz w:val="31"/>
                          </w:rPr>
                        </w:pPr>
                        <w:r>
                          <w:rPr>
                            <w:w w:val="102"/>
                            <w:sz w:val="31"/>
                          </w:rPr>
                          <w:t>1</w:t>
                        </w:r>
                      </w:p>
                    </w:tc>
                  </w:tr>
                  <w:tr>
                    <w:tblPrEx>
                      <w:tblW w:w="0" w:type="auto"/>
                      <w:jc w:val="left"/>
                      <w:tblInd w:w="7" w:type="dxa"/>
                      <w:tblLayout w:type="fixed"/>
                      <w:tblCellMar>
                        <w:top w:w="0" w:type="dxa"/>
                        <w:left w:w="0" w:type="dxa"/>
                        <w:bottom w:w="0" w:type="dxa"/>
                        <w:right w:w="0" w:type="dxa"/>
                      </w:tblCellMar>
                      <w:tblLook w:val="01E0"/>
                    </w:tblPrEx>
                    <w:trPr>
                      <w:trHeight w:val="614"/>
                      <w:jc w:val="left"/>
                    </w:trPr>
                    <w:tc>
                      <w:tcPr>
                        <w:tcW w:w="721" w:type="dxa"/>
                      </w:tcPr>
                      <w:p>
                        <w:pPr>
                          <w:pStyle w:val="TableParagraph"/>
                          <w:spacing w:before="112"/>
                          <w:ind w:left="118"/>
                          <w:rPr>
                            <w:sz w:val="31"/>
                          </w:rPr>
                        </w:pPr>
                        <w:r>
                          <w:rPr>
                            <w:w w:val="102"/>
                            <w:sz w:val="31"/>
                          </w:rPr>
                          <w:t>2</w:t>
                        </w:r>
                      </w:p>
                    </w:tc>
                    <w:tc>
                      <w:tcPr>
                        <w:tcW w:w="2354" w:type="dxa"/>
                      </w:tcPr>
                      <w:p>
                        <w:pPr>
                          <w:pStyle w:val="TableParagraph"/>
                          <w:spacing w:before="112"/>
                          <w:ind w:left="351" w:right="567"/>
                          <w:jc w:val="center"/>
                          <w:rPr>
                            <w:sz w:val="31"/>
                          </w:rPr>
                        </w:pPr>
                        <w:r>
                          <w:rPr>
                            <w:sz w:val="31"/>
                          </w:rPr>
                          <w:t>DA7~DA8</w:t>
                        </w:r>
                      </w:p>
                    </w:tc>
                    <w:tc>
                      <w:tcPr>
                        <w:tcW w:w="2474" w:type="dxa"/>
                      </w:tcPr>
                      <w:p>
                        <w:pPr>
                          <w:pStyle w:val="TableParagraph"/>
                          <w:spacing w:before="112"/>
                          <w:ind w:left="565" w:right="938"/>
                          <w:jc w:val="center"/>
                          <w:rPr>
                            <w:sz w:val="31"/>
                          </w:rPr>
                        </w:pPr>
                        <w:r>
                          <w:rPr>
                            <w:sz w:val="31"/>
                          </w:rPr>
                          <w:t>d1200</w:t>
                        </w:r>
                      </w:p>
                    </w:tc>
                    <w:tc>
                      <w:tcPr>
                        <w:tcW w:w="2821" w:type="dxa"/>
                      </w:tcPr>
                      <w:p>
                        <w:pPr>
                          <w:pStyle w:val="TableParagraph"/>
                          <w:spacing w:before="112"/>
                          <w:ind w:left="939" w:right="1067"/>
                          <w:jc w:val="center"/>
                          <w:rPr>
                            <w:sz w:val="31"/>
                          </w:rPr>
                        </w:pPr>
                        <w:r>
                          <w:rPr>
                            <w:sz w:val="31"/>
                          </w:rPr>
                          <w:t>181</w:t>
                        </w:r>
                      </w:p>
                    </w:tc>
                    <w:tc>
                      <w:tcPr>
                        <w:tcW w:w="3479" w:type="dxa"/>
                      </w:tcPr>
                      <w:p>
                        <w:pPr>
                          <w:pStyle w:val="TableParagraph"/>
                          <w:spacing w:before="112"/>
                          <w:ind w:left="1076" w:right="1123"/>
                          <w:jc w:val="center"/>
                          <w:rPr>
                            <w:sz w:val="31"/>
                          </w:rPr>
                        </w:pPr>
                        <w:r>
                          <w:rPr>
                            <w:sz w:val="31"/>
                          </w:rPr>
                          <w:t>粉质粘土</w:t>
                        </w:r>
                      </w:p>
                    </w:tc>
                    <w:tc>
                      <w:tcPr>
                        <w:tcW w:w="1340" w:type="dxa"/>
                      </w:tcPr>
                      <w:p>
                        <w:pPr>
                          <w:pStyle w:val="TableParagraph"/>
                          <w:spacing w:before="112"/>
                          <w:ind w:right="48"/>
                          <w:jc w:val="right"/>
                          <w:rPr>
                            <w:sz w:val="31"/>
                          </w:rPr>
                        </w:pPr>
                        <w:r>
                          <w:rPr>
                            <w:w w:val="102"/>
                            <w:sz w:val="31"/>
                          </w:rPr>
                          <w:t>1</w:t>
                        </w:r>
                      </w:p>
                    </w:tc>
                  </w:tr>
                  <w:tr>
                    <w:tblPrEx>
                      <w:tblW w:w="0" w:type="auto"/>
                      <w:jc w:val="left"/>
                      <w:tblInd w:w="7" w:type="dxa"/>
                      <w:tblLayout w:type="fixed"/>
                      <w:tblCellMar>
                        <w:top w:w="0" w:type="dxa"/>
                        <w:left w:w="0" w:type="dxa"/>
                        <w:bottom w:w="0" w:type="dxa"/>
                        <w:right w:w="0" w:type="dxa"/>
                      </w:tblCellMar>
                      <w:tblLook w:val="01E0"/>
                    </w:tblPrEx>
                    <w:trPr>
                      <w:trHeight w:val="612"/>
                      <w:jc w:val="left"/>
                    </w:trPr>
                    <w:tc>
                      <w:tcPr>
                        <w:tcW w:w="721" w:type="dxa"/>
                      </w:tcPr>
                      <w:p>
                        <w:pPr>
                          <w:pStyle w:val="TableParagraph"/>
                          <w:spacing w:before="110"/>
                          <w:ind w:left="118"/>
                          <w:rPr>
                            <w:sz w:val="31"/>
                          </w:rPr>
                        </w:pPr>
                        <w:r>
                          <w:rPr>
                            <w:w w:val="102"/>
                            <w:sz w:val="31"/>
                          </w:rPr>
                          <w:t>3</w:t>
                        </w:r>
                      </w:p>
                    </w:tc>
                    <w:tc>
                      <w:tcPr>
                        <w:tcW w:w="2354" w:type="dxa"/>
                      </w:tcPr>
                      <w:p>
                        <w:pPr>
                          <w:pStyle w:val="TableParagraph"/>
                          <w:spacing w:before="110"/>
                          <w:ind w:left="351" w:right="567"/>
                          <w:jc w:val="center"/>
                          <w:rPr>
                            <w:sz w:val="31"/>
                          </w:rPr>
                        </w:pPr>
                        <w:r>
                          <w:rPr>
                            <w:sz w:val="31"/>
                          </w:rPr>
                          <w:t>DA9~DA8</w:t>
                        </w:r>
                      </w:p>
                    </w:tc>
                    <w:tc>
                      <w:tcPr>
                        <w:tcW w:w="2474" w:type="dxa"/>
                      </w:tcPr>
                      <w:p>
                        <w:pPr>
                          <w:pStyle w:val="TableParagraph"/>
                          <w:spacing w:before="110"/>
                          <w:ind w:left="565" w:right="938"/>
                          <w:jc w:val="center"/>
                          <w:rPr>
                            <w:sz w:val="31"/>
                          </w:rPr>
                        </w:pPr>
                        <w:r>
                          <w:rPr>
                            <w:sz w:val="31"/>
                          </w:rPr>
                          <w:t>d1200</w:t>
                        </w:r>
                      </w:p>
                    </w:tc>
                    <w:tc>
                      <w:tcPr>
                        <w:tcW w:w="2821" w:type="dxa"/>
                      </w:tcPr>
                      <w:p>
                        <w:pPr>
                          <w:pStyle w:val="TableParagraph"/>
                          <w:spacing w:before="110"/>
                          <w:ind w:left="939" w:right="1067"/>
                          <w:jc w:val="center"/>
                          <w:rPr>
                            <w:sz w:val="31"/>
                          </w:rPr>
                        </w:pPr>
                        <w:r>
                          <w:rPr>
                            <w:sz w:val="31"/>
                          </w:rPr>
                          <w:t>144</w:t>
                        </w:r>
                      </w:p>
                    </w:tc>
                    <w:tc>
                      <w:tcPr>
                        <w:tcW w:w="3479" w:type="dxa"/>
                      </w:tcPr>
                      <w:p>
                        <w:pPr>
                          <w:pStyle w:val="TableParagraph"/>
                          <w:spacing w:before="110"/>
                          <w:ind w:left="1076" w:right="1123"/>
                          <w:jc w:val="center"/>
                          <w:rPr>
                            <w:sz w:val="31"/>
                          </w:rPr>
                        </w:pPr>
                        <w:r>
                          <w:rPr>
                            <w:sz w:val="31"/>
                          </w:rPr>
                          <w:t>粉质粘土</w:t>
                        </w:r>
                      </w:p>
                    </w:tc>
                    <w:tc>
                      <w:tcPr>
                        <w:tcW w:w="1340" w:type="dxa"/>
                      </w:tcPr>
                      <w:p>
                        <w:pPr>
                          <w:pStyle w:val="TableParagraph"/>
                          <w:spacing w:before="110"/>
                          <w:ind w:right="48"/>
                          <w:jc w:val="right"/>
                          <w:rPr>
                            <w:sz w:val="31"/>
                          </w:rPr>
                        </w:pPr>
                        <w:r>
                          <w:rPr>
                            <w:w w:val="102"/>
                            <w:sz w:val="31"/>
                          </w:rPr>
                          <w:t>1</w:t>
                        </w:r>
                      </w:p>
                    </w:tc>
                  </w:tr>
                  <w:tr>
                    <w:tblPrEx>
                      <w:tblW w:w="0" w:type="auto"/>
                      <w:jc w:val="left"/>
                      <w:tblInd w:w="7" w:type="dxa"/>
                      <w:tblLayout w:type="fixed"/>
                      <w:tblCellMar>
                        <w:top w:w="0" w:type="dxa"/>
                        <w:left w:w="0" w:type="dxa"/>
                        <w:bottom w:w="0" w:type="dxa"/>
                        <w:right w:w="0" w:type="dxa"/>
                      </w:tblCellMar>
                      <w:tblLook w:val="01E0"/>
                    </w:tblPrEx>
                    <w:trPr>
                      <w:trHeight w:val="613"/>
                      <w:jc w:val="left"/>
                    </w:trPr>
                    <w:tc>
                      <w:tcPr>
                        <w:tcW w:w="721" w:type="dxa"/>
                      </w:tcPr>
                      <w:p>
                        <w:pPr>
                          <w:pStyle w:val="TableParagraph"/>
                          <w:spacing w:before="110"/>
                          <w:ind w:left="118"/>
                          <w:rPr>
                            <w:sz w:val="31"/>
                          </w:rPr>
                        </w:pPr>
                        <w:r>
                          <w:rPr>
                            <w:w w:val="102"/>
                            <w:sz w:val="31"/>
                          </w:rPr>
                          <w:t>4</w:t>
                        </w:r>
                      </w:p>
                    </w:tc>
                    <w:tc>
                      <w:tcPr>
                        <w:tcW w:w="2354" w:type="dxa"/>
                      </w:tcPr>
                      <w:p>
                        <w:pPr>
                          <w:pStyle w:val="TableParagraph"/>
                          <w:spacing w:before="110"/>
                          <w:ind w:left="351" w:right="567"/>
                          <w:jc w:val="center"/>
                          <w:rPr>
                            <w:sz w:val="31"/>
                          </w:rPr>
                        </w:pPr>
                        <w:r>
                          <w:rPr>
                            <w:sz w:val="31"/>
                          </w:rPr>
                          <w:t>DA9~DA10</w:t>
                        </w:r>
                      </w:p>
                    </w:tc>
                    <w:tc>
                      <w:tcPr>
                        <w:tcW w:w="2474" w:type="dxa"/>
                      </w:tcPr>
                      <w:p>
                        <w:pPr>
                          <w:pStyle w:val="TableParagraph"/>
                          <w:spacing w:before="110"/>
                          <w:ind w:left="565" w:right="938"/>
                          <w:jc w:val="center"/>
                          <w:rPr>
                            <w:sz w:val="31"/>
                          </w:rPr>
                        </w:pPr>
                        <w:r>
                          <w:rPr>
                            <w:sz w:val="31"/>
                          </w:rPr>
                          <w:t>d1200</w:t>
                        </w:r>
                      </w:p>
                    </w:tc>
                    <w:tc>
                      <w:tcPr>
                        <w:tcW w:w="2821" w:type="dxa"/>
                      </w:tcPr>
                      <w:p>
                        <w:pPr>
                          <w:pStyle w:val="TableParagraph"/>
                          <w:spacing w:before="110"/>
                          <w:ind w:left="939" w:right="1067"/>
                          <w:jc w:val="center"/>
                          <w:rPr>
                            <w:sz w:val="31"/>
                          </w:rPr>
                        </w:pPr>
                        <w:r>
                          <w:rPr>
                            <w:sz w:val="31"/>
                          </w:rPr>
                          <w:t>150</w:t>
                        </w:r>
                      </w:p>
                    </w:tc>
                    <w:tc>
                      <w:tcPr>
                        <w:tcW w:w="3479" w:type="dxa"/>
                      </w:tcPr>
                      <w:p>
                        <w:pPr>
                          <w:pStyle w:val="TableParagraph"/>
                          <w:spacing w:before="110"/>
                          <w:ind w:left="1076" w:right="1123"/>
                          <w:jc w:val="center"/>
                          <w:rPr>
                            <w:sz w:val="31"/>
                          </w:rPr>
                        </w:pPr>
                        <w:r>
                          <w:rPr>
                            <w:sz w:val="31"/>
                          </w:rPr>
                          <w:t>粉质粘土</w:t>
                        </w:r>
                      </w:p>
                    </w:tc>
                    <w:tc>
                      <w:tcPr>
                        <w:tcW w:w="1340" w:type="dxa"/>
                      </w:tcPr>
                      <w:p>
                        <w:pPr>
                          <w:pStyle w:val="TableParagraph"/>
                          <w:spacing w:before="110"/>
                          <w:ind w:right="48"/>
                          <w:jc w:val="right"/>
                          <w:rPr>
                            <w:sz w:val="31"/>
                          </w:rPr>
                        </w:pPr>
                        <w:r>
                          <w:rPr>
                            <w:w w:val="102"/>
                            <w:sz w:val="31"/>
                          </w:rPr>
                          <w:t>1</w:t>
                        </w:r>
                      </w:p>
                    </w:tc>
                  </w:tr>
                  <w:tr>
                    <w:tblPrEx>
                      <w:tblW w:w="0" w:type="auto"/>
                      <w:jc w:val="left"/>
                      <w:tblInd w:w="7" w:type="dxa"/>
                      <w:tblLayout w:type="fixed"/>
                      <w:tblCellMar>
                        <w:top w:w="0" w:type="dxa"/>
                        <w:left w:w="0" w:type="dxa"/>
                        <w:bottom w:w="0" w:type="dxa"/>
                        <w:right w:w="0" w:type="dxa"/>
                      </w:tblCellMar>
                      <w:tblLook w:val="01E0"/>
                    </w:tblPrEx>
                    <w:trPr>
                      <w:trHeight w:val="613"/>
                      <w:jc w:val="left"/>
                    </w:trPr>
                    <w:tc>
                      <w:tcPr>
                        <w:tcW w:w="721" w:type="dxa"/>
                      </w:tcPr>
                      <w:p>
                        <w:pPr>
                          <w:pStyle w:val="TableParagraph"/>
                          <w:spacing w:before="111"/>
                          <w:ind w:left="118"/>
                          <w:rPr>
                            <w:sz w:val="31"/>
                          </w:rPr>
                        </w:pPr>
                        <w:r>
                          <w:rPr>
                            <w:w w:val="102"/>
                            <w:sz w:val="31"/>
                          </w:rPr>
                          <w:t>5</w:t>
                        </w:r>
                      </w:p>
                    </w:tc>
                    <w:tc>
                      <w:tcPr>
                        <w:tcW w:w="2354" w:type="dxa"/>
                      </w:tcPr>
                      <w:p>
                        <w:pPr>
                          <w:pStyle w:val="TableParagraph"/>
                          <w:spacing w:before="111"/>
                          <w:ind w:left="351" w:right="567"/>
                          <w:jc w:val="center"/>
                          <w:rPr>
                            <w:sz w:val="31"/>
                          </w:rPr>
                        </w:pPr>
                        <w:r>
                          <w:rPr>
                            <w:sz w:val="31"/>
                          </w:rPr>
                          <w:t>DA11~DA10</w:t>
                        </w:r>
                      </w:p>
                    </w:tc>
                    <w:tc>
                      <w:tcPr>
                        <w:tcW w:w="2474" w:type="dxa"/>
                      </w:tcPr>
                      <w:p>
                        <w:pPr>
                          <w:pStyle w:val="TableParagraph"/>
                          <w:spacing w:before="111"/>
                          <w:ind w:left="565" w:right="938"/>
                          <w:jc w:val="center"/>
                          <w:rPr>
                            <w:sz w:val="31"/>
                          </w:rPr>
                        </w:pPr>
                        <w:r>
                          <w:rPr>
                            <w:sz w:val="31"/>
                          </w:rPr>
                          <w:t>d1200</w:t>
                        </w:r>
                      </w:p>
                    </w:tc>
                    <w:tc>
                      <w:tcPr>
                        <w:tcW w:w="2821" w:type="dxa"/>
                      </w:tcPr>
                      <w:p>
                        <w:pPr>
                          <w:pStyle w:val="TableParagraph"/>
                          <w:spacing w:before="111"/>
                          <w:ind w:left="939" w:right="1067"/>
                          <w:jc w:val="center"/>
                          <w:rPr>
                            <w:sz w:val="31"/>
                          </w:rPr>
                        </w:pPr>
                        <w:r>
                          <w:rPr>
                            <w:sz w:val="31"/>
                          </w:rPr>
                          <w:t>150</w:t>
                        </w:r>
                      </w:p>
                    </w:tc>
                    <w:tc>
                      <w:tcPr>
                        <w:tcW w:w="3479" w:type="dxa"/>
                      </w:tcPr>
                      <w:p>
                        <w:pPr>
                          <w:pStyle w:val="TableParagraph"/>
                          <w:spacing w:before="111"/>
                          <w:ind w:left="1075" w:right="1123"/>
                          <w:jc w:val="center"/>
                          <w:rPr>
                            <w:sz w:val="31"/>
                          </w:rPr>
                        </w:pPr>
                        <w:r>
                          <w:rPr>
                            <w:sz w:val="31"/>
                          </w:rPr>
                          <w:t>粘土</w:t>
                        </w:r>
                      </w:p>
                    </w:tc>
                    <w:tc>
                      <w:tcPr>
                        <w:tcW w:w="1340" w:type="dxa"/>
                      </w:tcPr>
                      <w:p>
                        <w:pPr>
                          <w:pStyle w:val="TableParagraph"/>
                          <w:spacing w:before="111"/>
                          <w:ind w:right="48"/>
                          <w:jc w:val="right"/>
                          <w:rPr>
                            <w:sz w:val="31"/>
                          </w:rPr>
                        </w:pPr>
                        <w:r>
                          <w:rPr>
                            <w:w w:val="102"/>
                            <w:sz w:val="31"/>
                          </w:rPr>
                          <w:t>1</w:t>
                        </w:r>
                      </w:p>
                    </w:tc>
                  </w:tr>
                  <w:tr>
                    <w:tblPrEx>
                      <w:tblW w:w="0" w:type="auto"/>
                      <w:jc w:val="left"/>
                      <w:tblInd w:w="7" w:type="dxa"/>
                      <w:tblLayout w:type="fixed"/>
                      <w:tblCellMar>
                        <w:top w:w="0" w:type="dxa"/>
                        <w:left w:w="0" w:type="dxa"/>
                        <w:bottom w:w="0" w:type="dxa"/>
                        <w:right w:w="0" w:type="dxa"/>
                      </w:tblCellMar>
                      <w:tblLook w:val="01E0"/>
                    </w:tblPrEx>
                    <w:trPr>
                      <w:trHeight w:val="464"/>
                      <w:jc w:val="left"/>
                    </w:trPr>
                    <w:tc>
                      <w:tcPr>
                        <w:tcW w:w="721" w:type="dxa"/>
                      </w:tcPr>
                      <w:p>
                        <w:pPr>
                          <w:pStyle w:val="TableParagraph"/>
                          <w:spacing w:before="110" w:line="335" w:lineRule="exact"/>
                          <w:ind w:left="118"/>
                          <w:rPr>
                            <w:sz w:val="31"/>
                          </w:rPr>
                        </w:pPr>
                        <w:r>
                          <w:rPr>
                            <w:w w:val="102"/>
                            <w:sz w:val="31"/>
                          </w:rPr>
                          <w:t>6</w:t>
                        </w:r>
                      </w:p>
                    </w:tc>
                    <w:tc>
                      <w:tcPr>
                        <w:tcW w:w="2354" w:type="dxa"/>
                      </w:tcPr>
                      <w:p>
                        <w:pPr>
                          <w:pStyle w:val="TableParagraph"/>
                          <w:spacing w:before="110" w:line="335" w:lineRule="exact"/>
                          <w:ind w:left="351" w:right="567"/>
                          <w:jc w:val="center"/>
                          <w:rPr>
                            <w:sz w:val="31"/>
                          </w:rPr>
                        </w:pPr>
                        <w:r>
                          <w:rPr>
                            <w:sz w:val="31"/>
                          </w:rPr>
                          <w:t>DA11~DA12</w:t>
                        </w:r>
                      </w:p>
                    </w:tc>
                    <w:tc>
                      <w:tcPr>
                        <w:tcW w:w="2474" w:type="dxa"/>
                      </w:tcPr>
                      <w:p>
                        <w:pPr>
                          <w:pStyle w:val="TableParagraph"/>
                          <w:spacing w:before="110" w:line="335" w:lineRule="exact"/>
                          <w:ind w:left="565" w:right="938"/>
                          <w:jc w:val="center"/>
                          <w:rPr>
                            <w:sz w:val="31"/>
                          </w:rPr>
                        </w:pPr>
                        <w:r>
                          <w:rPr>
                            <w:sz w:val="31"/>
                          </w:rPr>
                          <w:t>d1200</w:t>
                        </w:r>
                      </w:p>
                    </w:tc>
                    <w:tc>
                      <w:tcPr>
                        <w:tcW w:w="2821" w:type="dxa"/>
                      </w:tcPr>
                      <w:p>
                        <w:pPr>
                          <w:pStyle w:val="TableParagraph"/>
                          <w:spacing w:before="110" w:line="335" w:lineRule="exact"/>
                          <w:ind w:left="939" w:right="1067"/>
                          <w:jc w:val="center"/>
                          <w:rPr>
                            <w:sz w:val="31"/>
                          </w:rPr>
                        </w:pPr>
                        <w:r>
                          <w:rPr>
                            <w:sz w:val="31"/>
                          </w:rPr>
                          <w:t>152</w:t>
                        </w:r>
                      </w:p>
                    </w:tc>
                    <w:tc>
                      <w:tcPr>
                        <w:tcW w:w="3479" w:type="dxa"/>
                      </w:tcPr>
                      <w:p>
                        <w:pPr>
                          <w:pStyle w:val="TableParagraph"/>
                          <w:spacing w:before="110" w:line="335" w:lineRule="exact"/>
                          <w:ind w:left="1076" w:right="1123"/>
                          <w:jc w:val="center"/>
                          <w:rPr>
                            <w:sz w:val="31"/>
                          </w:rPr>
                        </w:pPr>
                        <w:r>
                          <w:rPr>
                            <w:sz w:val="31"/>
                          </w:rPr>
                          <w:t>粉质粘土</w:t>
                        </w:r>
                      </w:p>
                    </w:tc>
                    <w:tc>
                      <w:tcPr>
                        <w:tcW w:w="1340" w:type="dxa"/>
                      </w:tcPr>
                      <w:p>
                        <w:pPr>
                          <w:pStyle w:val="TableParagraph"/>
                          <w:spacing w:before="110" w:line="335" w:lineRule="exact"/>
                          <w:ind w:right="48"/>
                          <w:jc w:val="right"/>
                          <w:rPr>
                            <w:sz w:val="31"/>
                          </w:rPr>
                        </w:pPr>
                        <w:r>
                          <w:rPr>
                            <w:w w:val="102"/>
                            <w:sz w:val="31"/>
                          </w:rPr>
                          <w:t>1</w:t>
                        </w:r>
                      </w:p>
                    </w:tc>
                  </w:tr>
                </w:tbl>
                <w:p>
                  <w:pPr>
                    <w:pStyle w:val="BodyText"/>
                  </w:pPr>
                </w:p>
              </w:txbxContent>
            </v:textbox>
          </v:shape>
        </w:pict>
      </w:r>
      <w:r>
        <w:rPr>
          <w:sz w:val="31"/>
        </w:rPr>
        <w:t>序</w:t>
        <w:tab/>
      </w:r>
      <w:r>
        <w:rPr>
          <w:position w:val="-19"/>
          <w:sz w:val="31"/>
        </w:rPr>
        <w:t>管段</w:t>
        <w:tab/>
      </w:r>
      <w:r>
        <w:rPr>
          <w:sz w:val="31"/>
        </w:rPr>
        <w:t>直径</w:t>
      </w:r>
    </w:p>
    <w:p>
      <w:pPr>
        <w:spacing w:before="97"/>
        <w:ind w:left="150" w:right="0" w:firstLine="0"/>
        <w:jc w:val="left"/>
        <w:rPr>
          <w:sz w:val="31"/>
        </w:rPr>
      </w:pPr>
      <w:r>
        <w:br w:type="column"/>
      </w:r>
      <w:r>
        <w:rPr>
          <w:sz w:val="31"/>
        </w:rPr>
        <w:t>顶管长度</w:t>
      </w:r>
    </w:p>
    <w:p>
      <w:pPr>
        <w:pStyle w:val="BodyText"/>
        <w:spacing w:before="4"/>
        <w:rPr>
          <w:sz w:val="23"/>
        </w:rPr>
      </w:pPr>
      <w:r>
        <w:br w:type="column"/>
      </w:r>
    </w:p>
    <w:p>
      <w:pPr>
        <w:spacing w:before="0"/>
        <w:ind w:left="150" w:right="0" w:firstLine="0"/>
        <w:jc w:val="left"/>
        <w:rPr>
          <w:sz w:val="31"/>
        </w:rPr>
      </w:pPr>
      <w:r>
        <w:rPr>
          <w:sz w:val="31"/>
        </w:rPr>
        <w:t>管底地质层</w:t>
      </w:r>
    </w:p>
    <w:p>
      <w:pPr>
        <w:pStyle w:val="BodyText"/>
        <w:spacing w:before="4"/>
        <w:rPr>
          <w:sz w:val="23"/>
        </w:rPr>
      </w:pPr>
      <w:r>
        <w:br w:type="column"/>
      </w:r>
    </w:p>
    <w:p>
      <w:pPr>
        <w:spacing w:before="0"/>
        <w:ind w:left="150" w:right="0" w:firstLine="0"/>
        <w:jc w:val="left"/>
        <w:rPr>
          <w:sz w:val="31"/>
        </w:rPr>
      </w:pPr>
      <w:r>
        <w:rPr>
          <w:sz w:val="31"/>
        </w:rPr>
        <w:t>设中继间数量</w:t>
      </w:r>
    </w:p>
    <w:p>
      <w:pPr>
        <w:spacing w:after="0"/>
        <w:jc w:val="left"/>
        <w:rPr>
          <w:sz w:val="31"/>
        </w:rPr>
        <w:sectPr>
          <w:type w:val="continuous"/>
          <w:pgSz w:w="17860" w:h="25260"/>
          <w:pgMar w:top="1000" w:right="800" w:bottom="280" w:left="1740" w:header="708" w:footer="708"/>
          <w:pgNumType w:start="35"/>
          <w:cols w:num="4" w:space="708" w:equalWidth="0">
            <w:col w:w="4583" w:space="1628"/>
            <w:col w:w="1459" w:space="1573"/>
            <w:col w:w="1775" w:space="1047"/>
            <w:col w:w="3255" w:space="0"/>
          </w:cols>
        </w:sectPr>
      </w:pPr>
    </w:p>
    <w:p>
      <w:pPr>
        <w:pStyle w:val="BodyText"/>
        <w:rPr>
          <w:sz w:val="20"/>
        </w:rPr>
      </w:pPr>
      <w:r>
        <w:pict>
          <v:group id="_x0000_s1057" style="width:893pt;height:1248pt;margin-top:0;margin-left:0;mso-position-horizontal-relative:page;mso-position-vertical-relative:page;position:absolute;z-index:-251633664" coordorigin="0,0" coordsize="17860,24960">
            <v:shape id="_x0000_s1058" type="#_x0000_t75" style="width:17860;height:24960;position:absolute" stroked="f">
              <v:imagedata r:id="rId5" o:title=""/>
            </v:shape>
            <v:shape id="_x0000_s1059" type="#_x0000_t75" style="width:14740;height:4580;left:1700;position:absolute;top:16760" stroked="f">
              <v:imagedata r:id="rId19"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9"/>
        </w:rPr>
      </w:pPr>
    </w:p>
    <w:p>
      <w:pPr>
        <w:pStyle w:val="ListParagraph"/>
        <w:numPr>
          <w:ilvl w:val="0"/>
          <w:numId w:val="18"/>
        </w:numPr>
        <w:tabs>
          <w:tab w:val="left" w:pos="1837"/>
        </w:tabs>
        <w:spacing w:before="49" w:after="0" w:line="240" w:lineRule="auto"/>
        <w:ind w:left="1836" w:right="0" w:hanging="902"/>
        <w:jc w:val="left"/>
        <w:rPr>
          <w:sz w:val="36"/>
        </w:rPr>
      </w:pPr>
      <w:r>
        <w:rPr>
          <w:sz w:val="36"/>
        </w:rPr>
        <w:t>承压法兰片</w:t>
      </w:r>
    </w:p>
    <w:p>
      <w:pPr>
        <w:pStyle w:val="BodyText"/>
        <w:spacing w:before="241" w:line="364" w:lineRule="auto"/>
        <w:ind w:left="215" w:right="1063" w:firstLine="720"/>
      </w:pPr>
      <w:r>
        <w:t>中继间安装前应检查各部件，确认正常后方可安装；安装完毕应通过试运转检验合格后方可使用。</w:t>
      </w:r>
    </w:p>
    <w:p>
      <w:pPr>
        <w:spacing w:after="0" w:line="364" w:lineRule="auto"/>
        <w:sectPr>
          <w:type w:val="continuous"/>
          <w:pgSz w:w="17860" w:h="25260"/>
          <w:pgMar w:top="1000" w:right="800" w:bottom="280" w:left="1740" w:header="708" w:footer="708"/>
          <w:pgNumType w:start="36"/>
          <w:cols w:space="708"/>
        </w:sectPr>
      </w:pPr>
    </w:p>
    <w:p>
      <w:pPr>
        <w:pStyle w:val="BodyText"/>
        <w:spacing w:before="1"/>
        <w:rPr>
          <w:sz w:val="41"/>
        </w:rPr>
      </w:pPr>
    </w:p>
    <w:p>
      <w:pPr>
        <w:spacing w:before="1"/>
        <w:ind w:left="215" w:right="0" w:firstLine="0"/>
        <w:jc w:val="left"/>
        <w:rPr>
          <w:b/>
          <w:sz w:val="36"/>
        </w:rPr>
      </w:pPr>
      <w:r>
        <w:rPr>
          <w:b/>
          <w:sz w:val="36"/>
        </w:rPr>
        <w:t>十、进出洞口的措施</w:t>
      </w:r>
    </w:p>
    <w:p>
      <w:pPr>
        <w:spacing w:before="28"/>
        <w:ind w:left="215" w:right="0" w:firstLine="0"/>
        <w:jc w:val="left"/>
        <w:rPr>
          <w:rFonts w:ascii="幼圆" w:eastAsia="幼圆" w:hint="eastAsia"/>
          <w:sz w:val="27"/>
        </w:rPr>
      </w:pPr>
      <w:r>
        <w:br w:type="column"/>
      </w:r>
      <w:r>
        <w:rPr>
          <w:rFonts w:ascii="幼圆" w:eastAsia="幼圆" w:hint="eastAsia"/>
          <w:sz w:val="27"/>
        </w:rPr>
        <w:t>实用文档</w:t>
      </w:r>
    </w:p>
    <w:p>
      <w:pPr>
        <w:spacing w:after="0"/>
        <w:jc w:val="left"/>
        <w:rPr>
          <w:rFonts w:ascii="幼圆" w:eastAsia="幼圆" w:hint="eastAsia"/>
          <w:sz w:val="27"/>
        </w:rPr>
        <w:sectPr>
          <w:pgSz w:w="17860" w:h="25260"/>
          <w:pgMar w:top="1000" w:right="800" w:bottom="280" w:left="1740" w:header="708" w:footer="708"/>
          <w:pgNumType w:start="37"/>
          <w:cols w:num="2" w:space="708" w:equalWidth="0">
            <w:col w:w="3496" w:space="3064"/>
            <w:col w:w="8760" w:space="0"/>
          </w:cols>
        </w:sectPr>
      </w:pPr>
    </w:p>
    <w:p>
      <w:pPr>
        <w:pStyle w:val="BodyText"/>
        <w:spacing w:before="3"/>
        <w:rPr>
          <w:rFonts w:ascii="幼圆"/>
          <w:sz w:val="24"/>
        </w:rPr>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p>
      <w:pPr>
        <w:pStyle w:val="BodyText"/>
        <w:spacing w:before="49" w:line="364" w:lineRule="auto"/>
        <w:ind w:left="215" w:right="1063" w:firstLine="720"/>
        <w:jc w:val="both"/>
      </w:pPr>
      <w:r>
        <w:t>顶管和微型隧道施工中的进出洞口作业是一项很重要的工作，施工中应充分考虑到它的安全性和可靠性。尤其是从工作坑中的出洞开始顶管，如果出洞安全、可靠又顺利，那么可以说顶管施工已成功了一半。许多顶管工程就是失败在进出洞口这两个环节上。</w:t>
      </w:r>
    </w:p>
    <w:p>
      <w:pPr>
        <w:pStyle w:val="BodyText"/>
        <w:spacing w:before="3" w:line="364" w:lineRule="auto"/>
        <w:ind w:left="215" w:right="1063" w:firstLine="720"/>
        <w:jc w:val="both"/>
      </w:pPr>
      <w:r>
        <w:t>顶进前，为防止洞口处的水土沿工具管外壁与洞门的间隙涌入工作井，在工作井内洞口处安装一道环形橡胶止水圈。在顶进施工过程中又可防止减摩浆从此处流失，保证泥浆套的完整，以达到减小顶进阻力的效果。</w:t>
      </w:r>
    </w:p>
    <w:p>
      <w:pPr>
        <w:pStyle w:val="BodyText"/>
        <w:spacing w:before="3" w:line="364" w:lineRule="auto"/>
        <w:ind w:left="215" w:right="1063" w:firstLine="720"/>
      </w:pPr>
      <w:r>
        <w:t>工程技术人员、施工人员应了解施工现场情况和熟悉洞门附近的地质情况。分析可能出现洞口漏泥、水情况，井内布置一台排污泵，并制定相应的措施。</w:t>
      </w:r>
    </w:p>
    <w:p>
      <w:pPr>
        <w:pStyle w:val="BodyText"/>
        <w:spacing w:before="2" w:line="364" w:lineRule="auto"/>
        <w:ind w:left="215" w:right="1063" w:firstLine="720"/>
        <w:jc w:val="both"/>
      </w:pPr>
      <w:r>
        <w:t>在机头进洞时因土体是流沙，地下水位高，土体松软，地基承载力差，虽然经过地基处理，但为了机头顶进安全，机头不下沉，还应有机头加固措施。机头进洞时将机头与后面的五节管用拉杆连接起来，使之成为一个整体，并在导轨上用两个手拉葫芦间隔一米拉紧，从而使机头沿着导轨方向顺利顶进。</w:t>
      </w:r>
    </w:p>
    <w:p>
      <w:pPr>
        <w:pStyle w:val="BodyText"/>
        <w:spacing w:before="4" w:line="364" w:lineRule="auto"/>
        <w:ind w:left="215" w:right="1063" w:firstLine="720"/>
      </w:pPr>
      <w:r>
        <w:rPr>
          <w:spacing w:val="-1"/>
        </w:rPr>
        <w:t>掘进机头顶进到位后，吊放第一管节，拼接完毕，然后在工具管后管节内安装工具管</w:t>
      </w:r>
      <w:r>
        <w:t>辅助设备。</w:t>
      </w:r>
    </w:p>
    <w:p>
      <w:pPr>
        <w:pStyle w:val="BodyText"/>
        <w:spacing w:line="344" w:lineRule="exact"/>
        <w:ind w:left="215"/>
      </w:pPr>
      <w:r>
        <w:t>1、管节运输</w:t>
      </w:r>
    </w:p>
    <w:p>
      <w:pPr>
        <w:pStyle w:val="BodyText"/>
        <w:spacing w:before="238" w:line="364" w:lineRule="auto"/>
        <w:ind w:left="215" w:right="1061" w:firstLine="720"/>
      </w:pPr>
      <w:r>
        <w:rPr>
          <w:spacing w:val="-6"/>
        </w:rPr>
        <w:t xml:space="preserve">根据本工程施工场地情况，管节由 </w:t>
      </w:r>
      <w:r>
        <w:t>16T</w:t>
      </w:r>
      <w:r>
        <w:rPr>
          <w:spacing w:val="-11"/>
        </w:rPr>
        <w:t xml:space="preserve"> 吊车卸到指定位置后，再由吊车将地面管节吊</w:t>
      </w:r>
      <w:r>
        <w:t>运至井下。</w:t>
      </w:r>
    </w:p>
    <w:p>
      <w:pPr>
        <w:pStyle w:val="BodyText"/>
        <w:spacing w:line="459" w:lineRule="exact"/>
        <w:ind w:left="215"/>
      </w:pPr>
      <w:r>
        <w:t>2、管节顶进</w:t>
      </w:r>
    </w:p>
    <w:p>
      <w:pPr>
        <w:pStyle w:val="BodyText"/>
        <w:spacing w:before="240" w:line="364" w:lineRule="auto"/>
        <w:ind w:left="215" w:right="1063" w:firstLine="720"/>
        <w:jc w:val="both"/>
      </w:pPr>
      <w:r>
        <w:t>顶管管节采购成品管，对成品管生产制造厂家制造管子的资质和能力进行考查。生产过程中派专人检验，检验质量必须在外观质量、尺寸及允许偏差都检验合格后方可送至工地。运至工地后根据标书要求进行抽验，合格后才能送至工作面使用。</w:t>
      </w:r>
    </w:p>
    <w:p>
      <w:pPr>
        <w:pStyle w:val="BodyText"/>
        <w:spacing w:line="364" w:lineRule="auto"/>
        <w:ind w:left="215" w:right="717" w:firstLine="720"/>
      </w:pPr>
      <w:r>
        <w:t xml:space="preserve">掘进机头进洞后的轴线方向与姿态的正确与否，对以后管节的顶进将起关键的作用， </w:t>
      </w:r>
      <w:r>
        <w:rPr>
          <w:spacing w:val="-8"/>
        </w:rPr>
        <w:t xml:space="preserve">因此在顶进时，机头与前 </w:t>
      </w:r>
      <w:r>
        <w:t>5</w:t>
      </w:r>
      <w:r>
        <w:rPr>
          <w:spacing w:val="-15"/>
        </w:rPr>
        <w:t xml:space="preserve"> 节管子应连在一起，用拉杆将前 </w:t>
      </w:r>
      <w:r>
        <w:t>5</w:t>
      </w:r>
      <w:r>
        <w:rPr>
          <w:spacing w:val="-10"/>
        </w:rPr>
        <w:t xml:space="preserve"> 节管子与机头固定，防止机头重量大而下沉。实现管节按顶进设计轴线顶进，做好顶进轴线偏差的控制和纠偏量的控制是关键。根据控制台显示屏激光点及时调节纠偏油缸，使其能持续控制在轴线范围内。</w:t>
      </w:r>
      <w:r>
        <w:rPr>
          <w:spacing w:val="-11"/>
        </w:rPr>
        <w:t>要严格按实际情况和操作规程进行，勤出报表、勤纠偏，每项纠偏角度应保持</w:t>
      </w:r>
      <w:r>
        <w:rPr>
          <w:spacing w:val="-3"/>
        </w:rPr>
        <w:t xml:space="preserve">10′～20′， </w:t>
      </w:r>
      <w:r>
        <w:rPr>
          <w:spacing w:val="-19"/>
        </w:rPr>
        <w:t xml:space="preserve">不得大于 </w:t>
      </w:r>
      <w:r>
        <w:t>1°。严格控制机头大幅度纠偏造成顶进困难、管节碎裂。在穿越河道时，应放慢顶速，并严格控制注浆压力，防止贯通河床。</w:t>
      </w:r>
    </w:p>
    <w:p>
      <w:pPr>
        <w:pStyle w:val="BodyText"/>
        <w:spacing w:line="458" w:lineRule="exact"/>
        <w:ind w:left="215"/>
      </w:pPr>
      <w:r>
        <w:t>3、顶管顶进与地层形变控制</w:t>
      </w:r>
    </w:p>
    <w:p>
      <w:pPr>
        <w:pStyle w:val="BodyText"/>
        <w:spacing w:before="237"/>
        <w:ind w:left="935"/>
      </w:pPr>
      <w:r>
        <w:t>顶管引起地层形变的主要因素有：掘进机头开挖面引起的地层损失，机头纠偏引起的</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https://d.book118.com/085243312042011113</w:t>
        </w:r>
      </w:hyperlink>
    </w:p>
    <w:p>
      <w:pPr>
        <w:spacing w:after="0"/>
      </w:pPr>
    </w:p>
    <w:sectPr>
      <w:type w:val="continuous"/>
      <w:pgSz w:w="17860" w:h="25260"/>
      <w:pgMar w:top="1000" w:right="800" w:bottom="280" w:left="1740" w:header="708" w:footer="708"/>
      <w:pgNumType w:start="3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28E96"/>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1">
    <w:nsid w:val="03709469"/>
    <w:multiLevelType w:val="hybridMultilevel"/>
    <w:tmpl w:val="00000000"/>
    <w:lvl w:ilvl="0">
      <w:start w:val="6"/>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2">
    <w:nsid w:val="09853370"/>
    <w:multiLevelType w:val="hybridMultilevel"/>
    <w:tmpl w:val="00000000"/>
    <w:lvl w:ilvl="0">
      <w:start w:val="1"/>
      <w:numFmt w:val="decimal"/>
      <w:lvlText w:val="%1）"/>
      <w:lvlJc w:val="left"/>
      <w:pPr>
        <w:ind w:left="1476" w:hanging="541"/>
        <w:jc w:val="left"/>
      </w:pPr>
      <w:rPr>
        <w:rFonts w:ascii="楷体" w:eastAsia="楷体" w:hAnsi="楷体" w:cs="楷体" w:hint="default"/>
        <w:spacing w:val="-180"/>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247" w:hanging="541"/>
      </w:pPr>
      <w:rPr>
        <w:rFonts w:hint="default"/>
      </w:rPr>
    </w:lvl>
    <w:lvl w:ilvl="3">
      <w:start w:val="0"/>
      <w:numFmt w:val="bullet"/>
      <w:lvlText w:val="•"/>
      <w:lvlJc w:val="left"/>
      <w:pPr>
        <w:ind w:left="5631" w:hanging="541"/>
      </w:pPr>
      <w:rPr>
        <w:rFonts w:hint="default"/>
      </w:rPr>
    </w:lvl>
    <w:lvl w:ilvl="4">
      <w:start w:val="0"/>
      <w:numFmt w:val="bullet"/>
      <w:lvlText w:val="•"/>
      <w:lvlJc w:val="left"/>
      <w:pPr>
        <w:ind w:left="7015" w:hanging="541"/>
      </w:pPr>
      <w:rPr>
        <w:rFonts w:hint="default"/>
      </w:rPr>
    </w:lvl>
    <w:lvl w:ilvl="5">
      <w:start w:val="0"/>
      <w:numFmt w:val="bullet"/>
      <w:lvlText w:val="•"/>
      <w:lvlJc w:val="left"/>
      <w:pPr>
        <w:ind w:left="8399" w:hanging="541"/>
      </w:pPr>
      <w:rPr>
        <w:rFonts w:hint="default"/>
      </w:rPr>
    </w:lvl>
    <w:lvl w:ilvl="6">
      <w:start w:val="0"/>
      <w:numFmt w:val="bullet"/>
      <w:lvlText w:val="•"/>
      <w:lvlJc w:val="left"/>
      <w:pPr>
        <w:ind w:left="9783" w:hanging="541"/>
      </w:pPr>
      <w:rPr>
        <w:rFonts w:hint="default"/>
      </w:rPr>
    </w:lvl>
    <w:lvl w:ilvl="7">
      <w:start w:val="0"/>
      <w:numFmt w:val="bullet"/>
      <w:lvlText w:val="•"/>
      <w:lvlJc w:val="left"/>
      <w:pPr>
        <w:ind w:left="11167" w:hanging="541"/>
      </w:pPr>
      <w:rPr>
        <w:rFonts w:hint="default"/>
      </w:rPr>
    </w:lvl>
    <w:lvl w:ilvl="8">
      <w:start w:val="0"/>
      <w:numFmt w:val="bullet"/>
      <w:lvlText w:val="•"/>
      <w:lvlJc w:val="left"/>
      <w:pPr>
        <w:ind w:left="12551" w:hanging="541"/>
      </w:pPr>
      <w:rPr>
        <w:rFonts w:hint="default"/>
      </w:rPr>
    </w:lvl>
  </w:abstractNum>
  <w:abstractNum w:abstractNumId="3">
    <w:nsid w:val="0DF712B4"/>
    <w:multiLevelType w:val="hybridMultilevel"/>
    <w:tmpl w:val="00000000"/>
    <w:lvl w:ilvl="0">
      <w:start w:val="1"/>
      <w:numFmt w:val="decimal"/>
      <w:lvlText w:val="（%1）"/>
      <w:lvlJc w:val="left"/>
      <w:pPr>
        <w:ind w:left="215" w:hanging="901"/>
        <w:jc w:val="left"/>
      </w:pPr>
      <w:rPr>
        <w:rFonts w:ascii="楷体" w:eastAsia="楷体" w:hAnsi="楷体" w:cs="楷体" w:hint="default"/>
        <w:spacing w:val="-65"/>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4">
    <w:nsid w:val="0ED572EB"/>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5">
    <w:nsid w:val="0F03BC4C"/>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6">
    <w:nsid w:val="107A64AE"/>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7">
    <w:nsid w:val="19604B25"/>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8">
    <w:nsid w:val="1A94515A"/>
    <w:multiLevelType w:val="hybridMultilevel"/>
    <w:tmpl w:val="00000000"/>
    <w:lvl w:ilvl="0">
      <w:start w:val="1"/>
      <w:numFmt w:val="decimal"/>
      <w:lvlText w:val="(%1)"/>
      <w:lvlJc w:val="left"/>
      <w:pPr>
        <w:ind w:left="1476" w:hanging="541"/>
        <w:jc w:val="left"/>
      </w:pPr>
      <w:rPr>
        <w:rFonts w:ascii="楷体" w:eastAsia="楷体" w:hAnsi="楷体" w:cs="楷体" w:hint="default"/>
        <w:spacing w:val="-1"/>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247" w:hanging="541"/>
      </w:pPr>
      <w:rPr>
        <w:rFonts w:hint="default"/>
      </w:rPr>
    </w:lvl>
    <w:lvl w:ilvl="3">
      <w:start w:val="0"/>
      <w:numFmt w:val="bullet"/>
      <w:lvlText w:val="•"/>
      <w:lvlJc w:val="left"/>
      <w:pPr>
        <w:ind w:left="5631" w:hanging="541"/>
      </w:pPr>
      <w:rPr>
        <w:rFonts w:hint="default"/>
      </w:rPr>
    </w:lvl>
    <w:lvl w:ilvl="4">
      <w:start w:val="0"/>
      <w:numFmt w:val="bullet"/>
      <w:lvlText w:val="•"/>
      <w:lvlJc w:val="left"/>
      <w:pPr>
        <w:ind w:left="7015" w:hanging="541"/>
      </w:pPr>
      <w:rPr>
        <w:rFonts w:hint="default"/>
      </w:rPr>
    </w:lvl>
    <w:lvl w:ilvl="5">
      <w:start w:val="0"/>
      <w:numFmt w:val="bullet"/>
      <w:lvlText w:val="•"/>
      <w:lvlJc w:val="left"/>
      <w:pPr>
        <w:ind w:left="8399" w:hanging="541"/>
      </w:pPr>
      <w:rPr>
        <w:rFonts w:hint="default"/>
      </w:rPr>
    </w:lvl>
    <w:lvl w:ilvl="6">
      <w:start w:val="0"/>
      <w:numFmt w:val="bullet"/>
      <w:lvlText w:val="•"/>
      <w:lvlJc w:val="left"/>
      <w:pPr>
        <w:ind w:left="9783" w:hanging="541"/>
      </w:pPr>
      <w:rPr>
        <w:rFonts w:hint="default"/>
      </w:rPr>
    </w:lvl>
    <w:lvl w:ilvl="7">
      <w:start w:val="0"/>
      <w:numFmt w:val="bullet"/>
      <w:lvlText w:val="•"/>
      <w:lvlJc w:val="left"/>
      <w:pPr>
        <w:ind w:left="11167" w:hanging="541"/>
      </w:pPr>
      <w:rPr>
        <w:rFonts w:hint="default"/>
      </w:rPr>
    </w:lvl>
    <w:lvl w:ilvl="8">
      <w:start w:val="0"/>
      <w:numFmt w:val="bullet"/>
      <w:lvlText w:val="•"/>
      <w:lvlJc w:val="left"/>
      <w:pPr>
        <w:ind w:left="12551" w:hanging="541"/>
      </w:pPr>
      <w:rPr>
        <w:rFonts w:hint="default"/>
      </w:rPr>
    </w:lvl>
  </w:abstractNum>
  <w:abstractNum w:abstractNumId="9">
    <w:nsid w:val="1C6279D9"/>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10">
    <w:nsid w:val="1D311E7B"/>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11">
    <w:nsid w:val="2947ACE5"/>
    <w:multiLevelType w:val="hybridMultilevel"/>
    <w:tmpl w:val="00000000"/>
    <w:lvl w:ilvl="0">
      <w:start w:val="1"/>
      <w:numFmt w:val="decimal"/>
      <w:lvlText w:val="（%1）"/>
      <w:lvlJc w:val="left"/>
      <w:pPr>
        <w:ind w:left="215" w:hanging="901"/>
        <w:jc w:val="left"/>
      </w:pPr>
      <w:rPr>
        <w:rFonts w:ascii="楷体" w:eastAsia="楷体" w:hAnsi="楷体" w:cs="楷体" w:hint="default"/>
        <w:spacing w:val="-65"/>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12">
    <w:nsid w:val="2CCBB32D"/>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13">
    <w:nsid w:val="2E1DA5EC"/>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14">
    <w:nsid w:val="32028E18"/>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15">
    <w:nsid w:val="375123FA"/>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16">
    <w:nsid w:val="38B68A16"/>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17">
    <w:nsid w:val="4079F98C"/>
    <w:multiLevelType w:val="hybridMultilevel"/>
    <w:tmpl w:val="00000000"/>
    <w:lvl w:ilvl="0">
      <w:start w:val="1"/>
      <w:numFmt w:val="decimal"/>
      <w:lvlText w:val="(%1)"/>
      <w:lvlJc w:val="left"/>
      <w:pPr>
        <w:ind w:left="1476" w:hanging="541"/>
        <w:jc w:val="left"/>
      </w:pPr>
      <w:rPr>
        <w:rFonts w:ascii="楷体" w:eastAsia="楷体" w:hAnsi="楷体" w:cs="楷体" w:hint="default"/>
        <w:spacing w:val="-1"/>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247" w:hanging="541"/>
      </w:pPr>
      <w:rPr>
        <w:rFonts w:hint="default"/>
      </w:rPr>
    </w:lvl>
    <w:lvl w:ilvl="3">
      <w:start w:val="0"/>
      <w:numFmt w:val="bullet"/>
      <w:lvlText w:val="•"/>
      <w:lvlJc w:val="left"/>
      <w:pPr>
        <w:ind w:left="5631" w:hanging="541"/>
      </w:pPr>
      <w:rPr>
        <w:rFonts w:hint="default"/>
      </w:rPr>
    </w:lvl>
    <w:lvl w:ilvl="4">
      <w:start w:val="0"/>
      <w:numFmt w:val="bullet"/>
      <w:lvlText w:val="•"/>
      <w:lvlJc w:val="left"/>
      <w:pPr>
        <w:ind w:left="7015" w:hanging="541"/>
      </w:pPr>
      <w:rPr>
        <w:rFonts w:hint="default"/>
      </w:rPr>
    </w:lvl>
    <w:lvl w:ilvl="5">
      <w:start w:val="0"/>
      <w:numFmt w:val="bullet"/>
      <w:lvlText w:val="•"/>
      <w:lvlJc w:val="left"/>
      <w:pPr>
        <w:ind w:left="8399" w:hanging="541"/>
      </w:pPr>
      <w:rPr>
        <w:rFonts w:hint="default"/>
      </w:rPr>
    </w:lvl>
    <w:lvl w:ilvl="6">
      <w:start w:val="0"/>
      <w:numFmt w:val="bullet"/>
      <w:lvlText w:val="•"/>
      <w:lvlJc w:val="left"/>
      <w:pPr>
        <w:ind w:left="9783" w:hanging="541"/>
      </w:pPr>
      <w:rPr>
        <w:rFonts w:hint="default"/>
      </w:rPr>
    </w:lvl>
    <w:lvl w:ilvl="7">
      <w:start w:val="0"/>
      <w:numFmt w:val="bullet"/>
      <w:lvlText w:val="•"/>
      <w:lvlJc w:val="left"/>
      <w:pPr>
        <w:ind w:left="11167" w:hanging="541"/>
      </w:pPr>
      <w:rPr>
        <w:rFonts w:hint="default"/>
      </w:rPr>
    </w:lvl>
    <w:lvl w:ilvl="8">
      <w:start w:val="0"/>
      <w:numFmt w:val="bullet"/>
      <w:lvlText w:val="•"/>
      <w:lvlJc w:val="left"/>
      <w:pPr>
        <w:ind w:left="12551" w:hanging="541"/>
      </w:pPr>
      <w:rPr>
        <w:rFonts w:hint="default"/>
      </w:rPr>
    </w:lvl>
  </w:abstractNum>
  <w:abstractNum w:abstractNumId="18">
    <w:nsid w:val="482D48C9"/>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19">
    <w:nsid w:val="55201A66"/>
    <w:multiLevelType w:val="hybridMultilevel"/>
    <w:tmpl w:val="00000000"/>
    <w:lvl w:ilvl="0">
      <w:start w:val="1"/>
      <w:numFmt w:val="decimal"/>
      <w:lvlText w:val="(%1)"/>
      <w:lvlJc w:val="left"/>
      <w:pPr>
        <w:ind w:left="215" w:hanging="551"/>
        <w:jc w:val="left"/>
      </w:pPr>
      <w:rPr>
        <w:rFonts w:ascii="楷体" w:eastAsia="楷体" w:hAnsi="楷体" w:cs="楷体" w:hint="default"/>
        <w:w w:val="100"/>
        <w:sz w:val="34"/>
        <w:szCs w:val="34"/>
      </w:rPr>
    </w:lvl>
    <w:lvl w:ilvl="1">
      <w:start w:val="0"/>
      <w:numFmt w:val="bullet"/>
      <w:lvlText w:val="•"/>
      <w:lvlJc w:val="left"/>
      <w:pPr>
        <w:ind w:left="1729" w:hanging="551"/>
      </w:pPr>
      <w:rPr>
        <w:rFonts w:hint="default"/>
      </w:rPr>
    </w:lvl>
    <w:lvl w:ilvl="2">
      <w:start w:val="0"/>
      <w:numFmt w:val="bullet"/>
      <w:lvlText w:val="•"/>
      <w:lvlJc w:val="left"/>
      <w:pPr>
        <w:ind w:left="3239" w:hanging="551"/>
      </w:pPr>
      <w:rPr>
        <w:rFonts w:hint="default"/>
      </w:rPr>
    </w:lvl>
    <w:lvl w:ilvl="3">
      <w:start w:val="0"/>
      <w:numFmt w:val="bullet"/>
      <w:lvlText w:val="•"/>
      <w:lvlJc w:val="left"/>
      <w:pPr>
        <w:ind w:left="4749" w:hanging="551"/>
      </w:pPr>
      <w:rPr>
        <w:rFonts w:hint="default"/>
      </w:rPr>
    </w:lvl>
    <w:lvl w:ilvl="4">
      <w:start w:val="0"/>
      <w:numFmt w:val="bullet"/>
      <w:lvlText w:val="•"/>
      <w:lvlJc w:val="left"/>
      <w:pPr>
        <w:ind w:left="6259" w:hanging="551"/>
      </w:pPr>
      <w:rPr>
        <w:rFonts w:hint="default"/>
      </w:rPr>
    </w:lvl>
    <w:lvl w:ilvl="5">
      <w:start w:val="0"/>
      <w:numFmt w:val="bullet"/>
      <w:lvlText w:val="•"/>
      <w:lvlJc w:val="left"/>
      <w:pPr>
        <w:ind w:left="7769" w:hanging="551"/>
      </w:pPr>
      <w:rPr>
        <w:rFonts w:hint="default"/>
      </w:rPr>
    </w:lvl>
    <w:lvl w:ilvl="6">
      <w:start w:val="0"/>
      <w:numFmt w:val="bullet"/>
      <w:lvlText w:val="•"/>
      <w:lvlJc w:val="left"/>
      <w:pPr>
        <w:ind w:left="9279" w:hanging="551"/>
      </w:pPr>
      <w:rPr>
        <w:rFonts w:hint="default"/>
      </w:rPr>
    </w:lvl>
    <w:lvl w:ilvl="7">
      <w:start w:val="0"/>
      <w:numFmt w:val="bullet"/>
      <w:lvlText w:val="•"/>
      <w:lvlJc w:val="left"/>
      <w:pPr>
        <w:ind w:left="10789" w:hanging="551"/>
      </w:pPr>
      <w:rPr>
        <w:rFonts w:hint="default"/>
      </w:rPr>
    </w:lvl>
    <w:lvl w:ilvl="8">
      <w:start w:val="0"/>
      <w:numFmt w:val="bullet"/>
      <w:lvlText w:val="•"/>
      <w:lvlJc w:val="left"/>
      <w:pPr>
        <w:ind w:left="12299" w:hanging="551"/>
      </w:pPr>
      <w:rPr>
        <w:rFonts w:hint="default"/>
      </w:rPr>
    </w:lvl>
  </w:abstractNum>
  <w:abstractNum w:abstractNumId="20">
    <w:nsid w:val="57099617"/>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21">
    <w:nsid w:val="5C3C45D8"/>
    <w:multiLevelType w:val="hybridMultilevel"/>
    <w:tmpl w:val="00000000"/>
    <w:lvl w:ilvl="0">
      <w:start w:val="1"/>
      <w:numFmt w:val="decimal"/>
      <w:lvlText w:val="(%1)"/>
      <w:lvlJc w:val="left"/>
      <w:pPr>
        <w:ind w:left="215" w:hanging="541"/>
        <w:jc w:val="left"/>
      </w:pPr>
      <w:rPr>
        <w:rFonts w:ascii="楷体" w:eastAsia="楷体" w:hAnsi="楷体" w:cs="楷体" w:hint="default"/>
        <w:spacing w:val="-1"/>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239" w:hanging="541"/>
      </w:pPr>
      <w:rPr>
        <w:rFonts w:hint="default"/>
      </w:rPr>
    </w:lvl>
    <w:lvl w:ilvl="3">
      <w:start w:val="0"/>
      <w:numFmt w:val="bullet"/>
      <w:lvlText w:val="•"/>
      <w:lvlJc w:val="left"/>
      <w:pPr>
        <w:ind w:left="4749" w:hanging="541"/>
      </w:pPr>
      <w:rPr>
        <w:rFonts w:hint="default"/>
      </w:rPr>
    </w:lvl>
    <w:lvl w:ilvl="4">
      <w:start w:val="0"/>
      <w:numFmt w:val="bullet"/>
      <w:lvlText w:val="•"/>
      <w:lvlJc w:val="left"/>
      <w:pPr>
        <w:ind w:left="6259" w:hanging="541"/>
      </w:pPr>
      <w:rPr>
        <w:rFonts w:hint="default"/>
      </w:rPr>
    </w:lvl>
    <w:lvl w:ilvl="5">
      <w:start w:val="0"/>
      <w:numFmt w:val="bullet"/>
      <w:lvlText w:val="•"/>
      <w:lvlJc w:val="left"/>
      <w:pPr>
        <w:ind w:left="7769" w:hanging="541"/>
      </w:pPr>
      <w:rPr>
        <w:rFonts w:hint="default"/>
      </w:rPr>
    </w:lvl>
    <w:lvl w:ilvl="6">
      <w:start w:val="0"/>
      <w:numFmt w:val="bullet"/>
      <w:lvlText w:val="•"/>
      <w:lvlJc w:val="left"/>
      <w:pPr>
        <w:ind w:left="9279" w:hanging="541"/>
      </w:pPr>
      <w:rPr>
        <w:rFonts w:hint="default"/>
      </w:rPr>
    </w:lvl>
    <w:lvl w:ilvl="7">
      <w:start w:val="0"/>
      <w:numFmt w:val="bullet"/>
      <w:lvlText w:val="•"/>
      <w:lvlJc w:val="left"/>
      <w:pPr>
        <w:ind w:left="10789" w:hanging="541"/>
      </w:pPr>
      <w:rPr>
        <w:rFonts w:hint="default"/>
      </w:rPr>
    </w:lvl>
    <w:lvl w:ilvl="8">
      <w:start w:val="0"/>
      <w:numFmt w:val="bullet"/>
      <w:lvlText w:val="•"/>
      <w:lvlJc w:val="left"/>
      <w:pPr>
        <w:ind w:left="12299" w:hanging="541"/>
      </w:pPr>
      <w:rPr>
        <w:rFonts w:hint="default"/>
      </w:rPr>
    </w:lvl>
  </w:abstractNum>
  <w:abstractNum w:abstractNumId="22">
    <w:nsid w:val="648AA111"/>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23">
    <w:nsid w:val="65CC4D07"/>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24">
    <w:nsid w:val="6EDD14CB"/>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25">
    <w:nsid w:val="73D579D1"/>
    <w:multiLevelType w:val="hybridMultilevel"/>
    <w:tmpl w:val="00000000"/>
    <w:lvl w:ilvl="0">
      <w:start w:val="1"/>
      <w:numFmt w:val="decimal"/>
      <w:lvlText w:val="（%1）"/>
      <w:lvlJc w:val="left"/>
      <w:pPr>
        <w:ind w:left="1836" w:hanging="901"/>
        <w:jc w:val="left"/>
      </w:pPr>
      <w:rPr>
        <w:rFonts w:ascii="楷体" w:eastAsia="楷体" w:hAnsi="楷体" w:cs="楷体" w:hint="default"/>
        <w:spacing w:val="-1"/>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535" w:hanging="901"/>
      </w:pPr>
      <w:rPr>
        <w:rFonts w:hint="default"/>
      </w:rPr>
    </w:lvl>
    <w:lvl w:ilvl="3">
      <w:start w:val="0"/>
      <w:numFmt w:val="bullet"/>
      <w:lvlText w:val="•"/>
      <w:lvlJc w:val="left"/>
      <w:pPr>
        <w:ind w:left="5883" w:hanging="901"/>
      </w:pPr>
      <w:rPr>
        <w:rFonts w:hint="default"/>
      </w:rPr>
    </w:lvl>
    <w:lvl w:ilvl="4">
      <w:start w:val="0"/>
      <w:numFmt w:val="bullet"/>
      <w:lvlText w:val="•"/>
      <w:lvlJc w:val="left"/>
      <w:pPr>
        <w:ind w:left="7231" w:hanging="901"/>
      </w:pPr>
      <w:rPr>
        <w:rFonts w:hint="default"/>
      </w:rPr>
    </w:lvl>
    <w:lvl w:ilvl="5">
      <w:start w:val="0"/>
      <w:numFmt w:val="bullet"/>
      <w:lvlText w:val="•"/>
      <w:lvlJc w:val="left"/>
      <w:pPr>
        <w:ind w:left="8579" w:hanging="901"/>
      </w:pPr>
      <w:rPr>
        <w:rFonts w:hint="default"/>
      </w:rPr>
    </w:lvl>
    <w:lvl w:ilvl="6">
      <w:start w:val="0"/>
      <w:numFmt w:val="bullet"/>
      <w:lvlText w:val="•"/>
      <w:lvlJc w:val="left"/>
      <w:pPr>
        <w:ind w:left="9927" w:hanging="901"/>
      </w:pPr>
      <w:rPr>
        <w:rFonts w:hint="default"/>
      </w:rPr>
    </w:lvl>
    <w:lvl w:ilvl="7">
      <w:start w:val="0"/>
      <w:numFmt w:val="bullet"/>
      <w:lvlText w:val="•"/>
      <w:lvlJc w:val="left"/>
      <w:pPr>
        <w:ind w:left="11275" w:hanging="901"/>
      </w:pPr>
      <w:rPr>
        <w:rFonts w:hint="default"/>
      </w:rPr>
    </w:lvl>
    <w:lvl w:ilvl="8">
      <w:start w:val="0"/>
      <w:numFmt w:val="bullet"/>
      <w:lvlText w:val="•"/>
      <w:lvlJc w:val="left"/>
      <w:pPr>
        <w:ind w:left="12623" w:hanging="901"/>
      </w:pPr>
      <w:rPr>
        <w:rFonts w:hint="default"/>
      </w:rPr>
    </w:lvl>
  </w:abstractNum>
  <w:abstractNum w:abstractNumId="26">
    <w:nsid w:val="7490F7CA"/>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27">
    <w:nsid w:val="7C72CC16"/>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abstractNum w:abstractNumId="28">
    <w:nsid w:val="7DF8D06A"/>
    <w:multiLevelType w:val="hybridMultilevel"/>
    <w:tmpl w:val="00000000"/>
    <w:lvl w:ilvl="0">
      <w:start w:val="1"/>
      <w:numFmt w:val="decimal"/>
      <w:lvlText w:val="（%1）"/>
      <w:lvlJc w:val="left"/>
      <w:pPr>
        <w:ind w:left="215" w:hanging="901"/>
        <w:jc w:val="left"/>
      </w:pPr>
      <w:rPr>
        <w:rFonts w:ascii="楷体" w:eastAsia="楷体" w:hAnsi="楷体" w:cs="楷体" w:hint="default"/>
        <w:spacing w:val="-1"/>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239" w:hanging="901"/>
      </w:pPr>
      <w:rPr>
        <w:rFonts w:hint="default"/>
      </w:rPr>
    </w:lvl>
    <w:lvl w:ilvl="3">
      <w:start w:val="0"/>
      <w:numFmt w:val="bullet"/>
      <w:lvlText w:val="•"/>
      <w:lvlJc w:val="left"/>
      <w:pPr>
        <w:ind w:left="4749" w:hanging="901"/>
      </w:pPr>
      <w:rPr>
        <w:rFonts w:hint="default"/>
      </w:rPr>
    </w:lvl>
    <w:lvl w:ilvl="4">
      <w:start w:val="0"/>
      <w:numFmt w:val="bullet"/>
      <w:lvlText w:val="•"/>
      <w:lvlJc w:val="left"/>
      <w:pPr>
        <w:ind w:left="6259" w:hanging="901"/>
      </w:pPr>
      <w:rPr>
        <w:rFonts w:hint="default"/>
      </w:rPr>
    </w:lvl>
    <w:lvl w:ilvl="5">
      <w:start w:val="0"/>
      <w:numFmt w:val="bullet"/>
      <w:lvlText w:val="•"/>
      <w:lvlJc w:val="left"/>
      <w:pPr>
        <w:ind w:left="776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789" w:hanging="901"/>
      </w:pPr>
      <w:rPr>
        <w:rFonts w:hint="default"/>
      </w:rPr>
    </w:lvl>
    <w:lvl w:ilvl="8">
      <w:start w:val="0"/>
      <w:numFmt w:val="bullet"/>
      <w:lvlText w:val="•"/>
      <w:lvlJc w:val="left"/>
      <w:pPr>
        <w:ind w:left="12299" w:hanging="901"/>
      </w:pPr>
      <w:rPr>
        <w:rFonts w:hint="default"/>
      </w:rPr>
    </w:lvl>
  </w:abstractNum>
  <w:num w:numId="1">
    <w:abstractNumId w:val="21"/>
  </w:num>
  <w:num w:numId="2">
    <w:abstractNumId w:val="13"/>
  </w:num>
  <w:num w:numId="3">
    <w:abstractNumId w:val="27"/>
  </w:num>
  <w:num w:numId="4">
    <w:abstractNumId w:val="10"/>
  </w:num>
  <w:num w:numId="5">
    <w:abstractNumId w:val="2"/>
  </w:num>
  <w:num w:numId="6">
    <w:abstractNumId w:val="0"/>
  </w:num>
  <w:num w:numId="7">
    <w:abstractNumId w:val="6"/>
  </w:num>
  <w:num w:numId="8">
    <w:abstractNumId w:val="7"/>
  </w:num>
  <w:num w:numId="9">
    <w:abstractNumId w:val="3"/>
  </w:num>
  <w:num w:numId="10">
    <w:abstractNumId w:val="25"/>
  </w:num>
  <w:num w:numId="11">
    <w:abstractNumId w:val="28"/>
  </w:num>
  <w:num w:numId="12">
    <w:abstractNumId w:val="14"/>
  </w:num>
  <w:num w:numId="13">
    <w:abstractNumId w:val="12"/>
  </w:num>
  <w:num w:numId="14">
    <w:abstractNumId w:val="24"/>
  </w:num>
  <w:num w:numId="15">
    <w:abstractNumId w:val="18"/>
  </w:num>
  <w:num w:numId="16">
    <w:abstractNumId w:val="11"/>
  </w:num>
  <w:num w:numId="17">
    <w:abstractNumId w:val="17"/>
  </w:num>
  <w:num w:numId="18">
    <w:abstractNumId w:val="5"/>
  </w:num>
  <w:num w:numId="19">
    <w:abstractNumId w:val="22"/>
  </w:num>
  <w:num w:numId="20">
    <w:abstractNumId w:val="23"/>
  </w:num>
  <w:num w:numId="21">
    <w:abstractNumId w:val="16"/>
  </w:num>
  <w:num w:numId="22">
    <w:abstractNumId w:val="8"/>
  </w:num>
  <w:num w:numId="23">
    <w:abstractNumId w:val="20"/>
  </w:num>
  <w:num w:numId="24">
    <w:abstractNumId w:val="26"/>
  </w:num>
  <w:num w:numId="25">
    <w:abstractNumId w:val="1"/>
  </w:num>
  <w:num w:numId="26">
    <w:abstractNumId w:val="9"/>
  </w:num>
  <w:num w:numId="27">
    <w:abstractNumId w:val="19"/>
  </w:num>
  <w:num w:numId="28">
    <w:abstractNumId w:val="15"/>
  </w:num>
  <w:num w:numId="2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ind w:right="695"/>
      <w:jc w:val="center"/>
      <w:outlineLvl w:val="0"/>
    </w:pPr>
    <w:rPr>
      <w:rFonts w:ascii="楷体" w:eastAsia="楷体" w:hAnsi="楷体" w:cs="楷体"/>
      <w:b/>
      <w:bCs/>
      <w:sz w:val="45"/>
      <w:szCs w:val="45"/>
    </w:rPr>
  </w:style>
  <w:style w:type="paragraph" w:styleId="Heading2">
    <w:name w:val="heading 2"/>
    <w:basedOn w:val="Normal"/>
    <w:uiPriority w:val="1"/>
    <w:qFormat/>
    <w:pPr>
      <w:ind w:left="215"/>
      <w:outlineLvl w:val="1"/>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18"/>
      <w:ind w:left="215"/>
    </w:pPr>
    <w:rPr>
      <w:rFonts w:ascii="楷体" w:eastAsia="楷体" w:hAnsi="楷体" w:cs="楷体"/>
      <w:b/>
      <w:bCs/>
      <w:sz w:val="30"/>
      <w:szCs w:val="30"/>
    </w:rPr>
  </w:style>
  <w:style w:type="paragraph" w:styleId="TOC2">
    <w:name w:val="toc 2"/>
    <w:basedOn w:val="Normal"/>
    <w:uiPriority w:val="1"/>
    <w:qFormat/>
    <w:pPr>
      <w:spacing w:before="318"/>
      <w:ind w:left="975"/>
    </w:pPr>
    <w:rPr>
      <w:rFonts w:ascii="楷体" w:eastAsia="楷体" w:hAnsi="楷体" w:cs="楷体"/>
      <w:b/>
      <w:bCs/>
      <w:sz w:val="30"/>
      <w:szCs w:val="30"/>
    </w:rPr>
  </w:style>
  <w:style w:type="paragraph" w:styleId="BodyText">
    <w:name w:val="Body Text"/>
    <w:basedOn w:val="Normal"/>
    <w:uiPriority w:val="1"/>
    <w:qFormat/>
    <w:rPr>
      <w:rFonts w:ascii="楷体" w:eastAsia="楷体" w:hAnsi="楷体" w:cs="楷体"/>
      <w:sz w:val="36"/>
      <w:szCs w:val="36"/>
    </w:rPr>
  </w:style>
  <w:style w:type="paragraph" w:styleId="ListParagraph">
    <w:name w:val="List Paragraph"/>
    <w:basedOn w:val="Normal"/>
    <w:uiPriority w:val="1"/>
    <w:qFormat/>
    <w:pPr>
      <w:spacing w:before="241"/>
      <w:ind w:left="215" w:firstLine="720"/>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yperlink" Target="https://d.book118.com/085243312042011113"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2024-02-03T16:06:23Z</dcterms:created>
  <dcterms:modified xsi:type="dcterms:W3CDTF">2024-02-03T16:06:23Z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2024-02-03T00:00:00Z</vt:filetime>
  </property>
</Properties>
</file>