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pStyle w:val="Title"/>
      </w:pPr>
      <w:r>
        <w:rPr>
          <w:color w:val="70AD47"/>
          <w:spacing w:val="-1"/>
        </w:rPr>
        <w:t>膀胱功能障碍患者的生活质量影响因素分析</w:t>
      </w:r>
    </w:p>
    <w:p>
      <w:pPr>
        <w:pStyle w:val="BodyText"/>
        <w:rPr>
          <w:rFonts w:ascii="Microsoft JhengHei"/>
          <w:b/>
          <w:sz w:val="20"/>
        </w:rPr>
      </w:pPr>
    </w:p>
    <w:p>
      <w:pPr>
        <w:pStyle w:val="BodyText"/>
        <w:rPr>
          <w:rFonts w:ascii="Microsoft JhengHei"/>
          <w:b/>
          <w:sz w:val="20"/>
        </w:rPr>
      </w:pPr>
    </w:p>
    <w:p>
      <w:pPr>
        <w:pStyle w:val="BodyText"/>
        <w:rPr>
          <w:rFonts w:ascii="Microsoft JhengHei"/>
          <w:b/>
          <w:sz w:val="20"/>
        </w:rPr>
      </w:pPr>
    </w:p>
    <w:p>
      <w:pPr>
        <w:pStyle w:val="BodyText"/>
        <w:rPr>
          <w:rFonts w:ascii="Microsoft JhengHei"/>
          <w:b/>
          <w:sz w:val="20"/>
        </w:rPr>
      </w:pPr>
    </w:p>
    <w:p>
      <w:pPr>
        <w:pStyle w:val="BodyText"/>
        <w:spacing w:before="11"/>
        <w:rPr>
          <w:rFonts w:ascii="Microsoft JhengHei"/>
          <w:b/>
          <w:sz w:val="11"/>
        </w:rPr>
      </w:pPr>
      <w: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3313176</wp:posOffset>
            </wp:positionH>
            <wp:positionV relativeFrom="paragraph">
              <wp:posOffset>151156</wp:posOffset>
            </wp:positionV>
            <wp:extent cx="935516" cy="398145"/>
            <wp:effectExtent l="0" t="0" r="0" b="0"/>
            <wp:wrapTopAndBottom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xmlns:r="http://schemas.openxmlformats.org/officeDocument/2006/relationships"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5516" cy="3981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1"/>
        <w:rPr>
          <w:rFonts w:ascii="Microsoft JhengHei"/>
          <w:b/>
          <w:sz w:val="14"/>
        </w:rPr>
      </w:pPr>
    </w:p>
    <w:sdt>
      <w:sdtPr>
        <w:id w:val="1904569308"/>
        <w:docPartObj>
          <w:docPartGallery w:val="Table of Contents"/>
          <w:docPartUnique/>
        </w:docPartObj>
      </w:sdtPr>
      <w:sdtContent>
        <w:p>
          <w:pPr>
            <w:pStyle w:val="TOC1"/>
            <w:tabs>
              <w:tab w:val="left" w:pos="1589"/>
              <w:tab w:val="right" w:leader="dot" w:pos="8415"/>
            </w:tabs>
            <w:spacing w:before="77"/>
            <w:rPr>
              <w:rFonts w:ascii="Times New Roman" w:eastAsia="Times New Roman"/>
            </w:rPr>
          </w:pPr>
          <w:r>
            <w:fldChar w:fldCharType="begin"/>
          </w:r>
          <w:r>
            <w:instrText xml:space="preserve">TOC \o "1-1" \h \z \u </w:instrText>
          </w:r>
          <w:r>
            <w:fldChar w:fldCharType="separate"/>
          </w:r>
          <w:hyperlink w:anchor="_bookmark0" w:history="1">
            <w:r>
              <w:t>第一部</w:t>
            </w:r>
            <w:r>
              <w:rPr>
                <w:spacing w:val="-10"/>
              </w:rPr>
              <w:t>分</w:t>
            </w:r>
            <w:r>
              <w:tab/>
              <w:t>膀胱功能障碍概</w:t>
            </w:r>
            <w:r>
              <w:rPr>
                <w:spacing w:val="-10"/>
              </w:rPr>
              <w:t>述</w:t>
            </w:r>
            <w:r>
              <w:rPr>
                <w:rFonts w:ascii="Times New Roman" w:eastAsia="Times New Roman"/>
              </w:rPr>
              <w:tab/>
            </w:r>
            <w:r>
              <w:rPr>
                <w:rFonts w:ascii="Times New Roman" w:eastAsia="Times New Roman"/>
                <w:spacing w:val="-10"/>
              </w:rPr>
              <w:t>2</w:t>
            </w:r>
          </w:hyperlink>
        </w:p>
        <w:p>
          <w:pPr>
            <w:pStyle w:val="TOC1"/>
            <w:tabs>
              <w:tab w:val="left" w:pos="1589"/>
              <w:tab w:val="right" w:leader="dot" w:pos="8415"/>
            </w:tabs>
            <w:rPr>
              <w:rFonts w:ascii="Times New Roman" w:eastAsia="Times New Roman"/>
            </w:rPr>
          </w:pPr>
          <w:hyperlink w:anchor="_TOC_250006" w:history="1">
            <w:r>
              <w:t>第二部</w:t>
            </w:r>
            <w:r>
              <w:rPr>
                <w:spacing w:val="-10"/>
              </w:rPr>
              <w:t>分</w:t>
            </w:r>
            <w:r>
              <w:tab/>
              <w:t>病因及分类分</w:t>
            </w:r>
            <w:r>
              <w:rPr>
                <w:spacing w:val="-10"/>
              </w:rPr>
              <w:t>析</w:t>
            </w:r>
            <w:r>
              <w:rPr>
                <w:rFonts w:ascii="Times New Roman" w:eastAsia="Times New Roman"/>
              </w:rPr>
              <w:tab/>
            </w:r>
            <w:r>
              <w:rPr>
                <w:rFonts w:ascii="Times New Roman" w:eastAsia="Times New Roman"/>
                <w:spacing w:val="-10"/>
              </w:rPr>
              <w:t>4</w:t>
            </w:r>
          </w:hyperlink>
        </w:p>
        <w:p>
          <w:pPr>
            <w:pStyle w:val="TOC1"/>
            <w:tabs>
              <w:tab w:val="left" w:pos="1589"/>
              <w:tab w:val="right" w:leader="dot" w:pos="8415"/>
            </w:tabs>
            <w:rPr>
              <w:rFonts w:ascii="Times New Roman" w:eastAsia="Times New Roman"/>
            </w:rPr>
          </w:pPr>
          <w:hyperlink w:anchor="_TOC_250005" w:history="1">
            <w:r>
              <w:t>第三部</w:t>
            </w:r>
            <w:r>
              <w:rPr>
                <w:spacing w:val="-10"/>
              </w:rPr>
              <w:t>分</w:t>
            </w:r>
            <w:r>
              <w:tab/>
              <w:t>生活质量评估工具介</w:t>
            </w:r>
            <w:r>
              <w:rPr>
                <w:spacing w:val="-10"/>
              </w:rPr>
              <w:t>绍</w:t>
            </w:r>
            <w:r>
              <w:rPr>
                <w:rFonts w:ascii="Times New Roman" w:eastAsia="Times New Roman"/>
              </w:rPr>
              <w:tab/>
            </w:r>
            <w:r>
              <w:rPr>
                <w:rFonts w:ascii="Times New Roman" w:eastAsia="Times New Roman"/>
                <w:spacing w:val="-10"/>
              </w:rPr>
              <w:t>7</w:t>
            </w:r>
          </w:hyperlink>
        </w:p>
        <w:p>
          <w:pPr>
            <w:pStyle w:val="TOC1"/>
            <w:tabs>
              <w:tab w:val="left" w:pos="1589"/>
              <w:tab w:val="right" w:leader="dot" w:pos="8415"/>
            </w:tabs>
            <w:rPr>
              <w:rFonts w:ascii="Times New Roman" w:eastAsia="Times New Roman"/>
            </w:rPr>
          </w:pPr>
          <w:hyperlink w:anchor="_TOC_250004" w:history="1">
            <w:r>
              <w:t>第四部</w:t>
            </w:r>
            <w:r>
              <w:rPr>
                <w:spacing w:val="-10"/>
              </w:rPr>
              <w:t>分</w:t>
            </w:r>
            <w:r>
              <w:tab/>
              <w:t>患者一般资料调</w:t>
            </w:r>
            <w:r>
              <w:rPr>
                <w:spacing w:val="-10"/>
              </w:rPr>
              <w:t>查</w:t>
            </w:r>
            <w:r>
              <w:rPr>
                <w:rFonts w:ascii="Times New Roman" w:eastAsia="Times New Roman"/>
              </w:rPr>
              <w:tab/>
            </w:r>
            <w:r>
              <w:rPr>
                <w:rFonts w:ascii="Times New Roman" w:eastAsia="Times New Roman"/>
                <w:spacing w:val="-5"/>
              </w:rPr>
              <w:t>10</w:t>
            </w:r>
          </w:hyperlink>
        </w:p>
        <w:p>
          <w:pPr>
            <w:pStyle w:val="TOC1"/>
            <w:tabs>
              <w:tab w:val="left" w:pos="1589"/>
              <w:tab w:val="right" w:leader="dot" w:pos="8415"/>
            </w:tabs>
            <w:rPr>
              <w:rFonts w:ascii="Times New Roman" w:eastAsia="Times New Roman"/>
            </w:rPr>
          </w:pPr>
          <w:hyperlink w:anchor="_TOC_250003" w:history="1">
            <w:r>
              <w:t>第五部</w:t>
            </w:r>
            <w:r>
              <w:rPr>
                <w:spacing w:val="-10"/>
              </w:rPr>
              <w:t>分</w:t>
            </w:r>
            <w:r>
              <w:tab/>
              <w:t>膀胱功能障碍程度与生活质量关</w:t>
            </w:r>
            <w:r>
              <w:rPr>
                <w:spacing w:val="-10"/>
              </w:rPr>
              <w:t>系</w:t>
            </w:r>
            <w:r>
              <w:rPr>
                <w:rFonts w:ascii="Times New Roman" w:eastAsia="Times New Roman"/>
              </w:rPr>
              <w:tab/>
            </w:r>
            <w:r>
              <w:rPr>
                <w:rFonts w:ascii="Times New Roman" w:eastAsia="Times New Roman"/>
                <w:spacing w:val="-5"/>
              </w:rPr>
              <w:t>14</w:t>
            </w:r>
          </w:hyperlink>
        </w:p>
        <w:p>
          <w:pPr>
            <w:pStyle w:val="TOC1"/>
            <w:tabs>
              <w:tab w:val="left" w:pos="1589"/>
              <w:tab w:val="right" w:leader="dot" w:pos="8415"/>
            </w:tabs>
            <w:rPr>
              <w:rFonts w:ascii="Times New Roman" w:eastAsia="Times New Roman"/>
            </w:rPr>
          </w:pPr>
          <w:hyperlink w:anchor="_TOC_250002" w:history="1">
            <w:r>
              <w:t>第六部</w:t>
            </w:r>
            <w:r>
              <w:rPr>
                <w:spacing w:val="-10"/>
              </w:rPr>
              <w:t>分</w:t>
            </w:r>
            <w:r>
              <w:tab/>
              <w:t>年龄、性别等因素对生活质量影</w:t>
            </w:r>
            <w:r>
              <w:rPr>
                <w:spacing w:val="-10"/>
              </w:rPr>
              <w:t>响</w:t>
            </w:r>
            <w:r>
              <w:rPr>
                <w:rFonts w:ascii="Times New Roman" w:eastAsia="Times New Roman"/>
              </w:rPr>
              <w:tab/>
            </w:r>
            <w:r>
              <w:rPr>
                <w:rFonts w:ascii="Times New Roman" w:eastAsia="Times New Roman"/>
                <w:spacing w:val="-5"/>
              </w:rPr>
              <w:t>17</w:t>
            </w:r>
          </w:hyperlink>
        </w:p>
        <w:p>
          <w:pPr>
            <w:pStyle w:val="TOC1"/>
            <w:tabs>
              <w:tab w:val="left" w:pos="1589"/>
              <w:tab w:val="right" w:leader="dot" w:pos="8415"/>
            </w:tabs>
            <w:spacing w:before="354"/>
            <w:rPr>
              <w:rFonts w:ascii="Times New Roman" w:eastAsia="Times New Roman"/>
            </w:rPr>
          </w:pPr>
          <w:hyperlink w:anchor="_TOC_250001" w:history="1">
            <w:r>
              <w:t>第七部</w:t>
            </w:r>
            <w:r>
              <w:rPr>
                <w:spacing w:val="-10"/>
              </w:rPr>
              <w:t>分</w:t>
            </w:r>
            <w:r>
              <w:tab/>
              <w:t>治疗方法与生活质量改</w:t>
            </w:r>
            <w:r>
              <w:rPr>
                <w:spacing w:val="-10"/>
              </w:rPr>
              <w:t>善</w:t>
            </w:r>
            <w:r>
              <w:rPr>
                <w:rFonts w:ascii="Times New Roman" w:eastAsia="Times New Roman"/>
              </w:rPr>
              <w:tab/>
            </w:r>
            <w:r>
              <w:rPr>
                <w:rFonts w:ascii="Times New Roman" w:eastAsia="Times New Roman"/>
                <w:spacing w:val="-5"/>
              </w:rPr>
              <w:t>20</w:t>
            </w:r>
          </w:hyperlink>
        </w:p>
        <w:p>
          <w:pPr>
            <w:pStyle w:val="TOC1"/>
            <w:tabs>
              <w:tab w:val="left" w:pos="1589"/>
              <w:tab w:val="right" w:leader="dot" w:pos="8415"/>
            </w:tabs>
            <w:rPr>
              <w:rFonts w:ascii="Times New Roman" w:eastAsia="Times New Roman"/>
            </w:rPr>
          </w:pPr>
          <w:hyperlink w:anchor="_TOC_250000" w:history="1">
            <w:r>
              <w:t>第八部</w:t>
            </w:r>
            <w:r>
              <w:rPr>
                <w:spacing w:val="-10"/>
              </w:rPr>
              <w:t>分</w:t>
            </w:r>
            <w:r>
              <w:tab/>
              <w:t>提高膀胱功能障碍患者生活质量的策</w:t>
            </w:r>
            <w:r>
              <w:rPr>
                <w:spacing w:val="-10"/>
              </w:rPr>
              <w:t>略</w:t>
            </w:r>
            <w:r>
              <w:rPr>
                <w:rFonts w:ascii="Times New Roman" w:eastAsia="Times New Roman"/>
              </w:rPr>
              <w:tab/>
            </w:r>
            <w:r>
              <w:rPr>
                <w:rFonts w:ascii="Times New Roman" w:eastAsia="Times New Roman"/>
                <w:spacing w:val="-5"/>
              </w:rPr>
              <w:t>23</w:t>
            </w:r>
          </w:hyperlink>
        </w:p>
        <w:p>
          <w:r>
            <w:fldChar w:fldCharType="end"/>
          </w:r>
        </w:p>
      </w:sdtContent>
    </w:sdt>
    <w:p>
      <w:pPr>
        <w:spacing w:after="0"/>
        <w:sectPr>
          <w:footerReference w:type="default" r:id="rId5"/>
          <w:type w:val="continuous"/>
          <w:pgSz w:w="11910" w:h="16840"/>
          <w:pgMar w:top="1480" w:right="1420" w:bottom="1380" w:left="1680" w:header="0" w:footer="1198"/>
          <w:pgNumType w:start="1"/>
          <w:cols w:space="708"/>
        </w:sectPr>
      </w:pPr>
    </w:p>
    <w:p>
      <w:pPr>
        <w:pStyle w:val="Heading1"/>
        <w:tabs>
          <w:tab w:val="left" w:pos="1725"/>
        </w:tabs>
        <w:spacing w:before="0" w:line="514" w:lineRule="exact"/>
      </w:pPr>
      <w:bookmarkStart w:id="0" w:name="_bookmark0"/>
      <w:bookmarkEnd w:id="0"/>
      <w:r>
        <w:t>第</w:t>
      </w:r>
      <w:r>
        <w:t>一</w:t>
      </w:r>
      <w:r>
        <w:t>部</w:t>
      </w:r>
      <w:r>
        <w:rPr>
          <w:spacing w:val="-10"/>
        </w:rPr>
        <w:t>分</w:t>
      </w:r>
      <w:r>
        <w:tab/>
        <w:t>膀</w:t>
      </w:r>
      <w:r>
        <w:t>胱</w:t>
      </w:r>
      <w:r>
        <w:t>功</w:t>
      </w:r>
      <w:r>
        <w:t>能</w:t>
      </w:r>
      <w:r>
        <w:t>障</w:t>
      </w:r>
      <w:r>
        <w:t>碍</w:t>
      </w:r>
      <w:r>
        <w:t>概</w:t>
      </w:r>
      <w:r>
        <w:rPr>
          <w:spacing w:val="-10"/>
        </w:rPr>
        <w:t>述</w:t>
      </w:r>
    </w:p>
    <w:p>
      <w:pPr>
        <w:pStyle w:val="BodyText"/>
        <w:spacing w:before="15" w:after="1"/>
        <w:rPr>
          <w:rFonts w:ascii="Microsoft JhengHei"/>
          <w:b/>
          <w:sz w:val="15"/>
        </w:rPr>
      </w:pPr>
    </w:p>
    <w:tbl>
      <w:tblPr>
        <w:tblStyle w:val="TableNormal0"/>
        <w:tblW w:w="0" w:type="auto"/>
        <w:jc w:val="left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69"/>
        <w:gridCol w:w="5527"/>
      </w:tblGrid>
      <w:tr>
        <w:tblPrEx>
          <w:tblW w:w="0" w:type="auto"/>
          <w:jc w:val="left"/>
          <w:tblInd w:w="13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12"/>
          <w:jc w:val="left"/>
        </w:trPr>
        <w:tc>
          <w:tcPr>
            <w:tcW w:w="2769" w:type="dxa"/>
          </w:tcPr>
          <w:p>
            <w:pPr>
              <w:pStyle w:val="TableParagraph"/>
              <w:spacing w:before="23"/>
              <w:ind w:left="108"/>
              <w:rPr>
                <w:sz w:val="21"/>
              </w:rPr>
            </w:pPr>
            <w:r>
              <w:rPr>
                <w:spacing w:val="-4"/>
                <w:sz w:val="21"/>
              </w:rPr>
              <w:t>关键词</w:t>
            </w:r>
          </w:p>
        </w:tc>
        <w:tc>
          <w:tcPr>
            <w:tcW w:w="5527" w:type="dxa"/>
          </w:tcPr>
          <w:p>
            <w:pPr>
              <w:pStyle w:val="TableParagraph"/>
              <w:spacing w:before="23"/>
              <w:rPr>
                <w:sz w:val="21"/>
              </w:rPr>
            </w:pPr>
            <w:r>
              <w:rPr>
                <w:spacing w:val="-3"/>
                <w:sz w:val="21"/>
              </w:rPr>
              <w:t>关键要点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1871"/>
          <w:jc w:val="left"/>
        </w:trPr>
        <w:tc>
          <w:tcPr>
            <w:tcW w:w="2769" w:type="dxa"/>
          </w:tcPr>
          <w:p>
            <w:pPr>
              <w:pStyle w:val="TableParagraph"/>
              <w:spacing w:before="23"/>
              <w:ind w:left="108"/>
              <w:rPr>
                <w:sz w:val="21"/>
              </w:rPr>
            </w:pPr>
            <w:r>
              <w:rPr>
                <w:spacing w:val="-1"/>
                <w:sz w:val="21"/>
              </w:rPr>
              <w:t>膀胱功能障碍的定义与分类</w:t>
            </w:r>
          </w:p>
        </w:tc>
        <w:tc>
          <w:tcPr>
            <w:tcW w:w="5527" w:type="dxa"/>
          </w:tcPr>
          <w:p>
            <w:pPr>
              <w:pStyle w:val="TableParagraph"/>
              <w:spacing w:before="4"/>
              <w:ind w:left="0"/>
              <w:rPr>
                <w:rFonts w:ascii="Microsoft JhengHei"/>
                <w:b/>
                <w:sz w:val="18"/>
              </w:rPr>
            </w:pPr>
          </w:p>
          <w:p>
            <w:pPr>
              <w:pStyle w:val="TableParagraph"/>
              <w:numPr>
                <w:ilvl w:val="0"/>
                <w:numId w:val="61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膀胱功能障碍是一种临床综合症，指尿液储存和排泄过</w:t>
            </w:r>
            <w:r>
              <w:rPr>
                <w:spacing w:val="-2"/>
                <w:sz w:val="21"/>
              </w:rPr>
              <w:t>程中出现的各种异常情况。</w:t>
            </w:r>
          </w:p>
          <w:p>
            <w:pPr>
              <w:pStyle w:val="TableParagraph"/>
              <w:numPr>
                <w:ilvl w:val="0"/>
                <w:numId w:val="61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分类方法多样，可根据病因、临床表现、病理生理机制</w:t>
            </w:r>
            <w:r>
              <w:rPr>
                <w:spacing w:val="-2"/>
                <w:sz w:val="21"/>
              </w:rPr>
              <w:t>等进行区分，如神经源性膀胱、非神经源性膀胱等。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2496"/>
          <w:jc w:val="left"/>
        </w:trPr>
        <w:tc>
          <w:tcPr>
            <w:tcW w:w="2769" w:type="dxa"/>
          </w:tcPr>
          <w:p>
            <w:pPr>
              <w:pStyle w:val="TableParagraph"/>
              <w:spacing w:before="23" w:line="278" w:lineRule="auto"/>
              <w:ind w:left="108" w:right="96"/>
              <w:rPr>
                <w:sz w:val="21"/>
              </w:rPr>
            </w:pPr>
            <w:r>
              <w:rPr>
                <w:spacing w:val="-2"/>
                <w:sz w:val="21"/>
              </w:rPr>
              <w:t>膀胱功能障碍的流行病学特</w:t>
            </w:r>
            <w:r>
              <w:rPr>
                <w:spacing w:val="-10"/>
                <w:sz w:val="21"/>
              </w:rPr>
              <w:t>点</w:t>
            </w:r>
          </w:p>
        </w:tc>
        <w:tc>
          <w:tcPr>
            <w:tcW w:w="5527" w:type="dxa"/>
          </w:tcPr>
          <w:p>
            <w:pPr>
              <w:pStyle w:val="TableParagraph"/>
              <w:spacing w:before="4"/>
              <w:ind w:left="0"/>
              <w:rPr>
                <w:rFonts w:ascii="Microsoft JhengHei"/>
                <w:b/>
                <w:sz w:val="18"/>
              </w:rPr>
            </w:pPr>
          </w:p>
          <w:p>
            <w:pPr>
              <w:pStyle w:val="TableParagraph"/>
              <w:numPr>
                <w:ilvl w:val="0"/>
                <w:numId w:val="60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全球范围内，膀胱功能障碍的患病率较高，老年人群尤</w:t>
            </w:r>
            <w:r>
              <w:rPr>
                <w:spacing w:val="-4"/>
                <w:sz w:val="21"/>
              </w:rPr>
              <w:t>为常见。</w:t>
            </w:r>
          </w:p>
          <w:p>
            <w:pPr>
              <w:pStyle w:val="TableParagraph"/>
              <w:numPr>
                <w:ilvl w:val="0"/>
                <w:numId w:val="60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女性的患病率通常高于男性，可能与解剖结构、激素水</w:t>
            </w:r>
            <w:r>
              <w:rPr>
                <w:spacing w:val="-2"/>
                <w:sz w:val="21"/>
              </w:rPr>
              <w:t>平等因素有关。</w:t>
            </w:r>
          </w:p>
          <w:p>
            <w:pPr>
              <w:pStyle w:val="TableParagraph"/>
              <w:numPr>
                <w:ilvl w:val="0"/>
                <w:numId w:val="60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随着人口老龄化趋势的发展，膀胱功能障碍的发病呈现</w:t>
            </w:r>
            <w:r>
              <w:rPr>
                <w:spacing w:val="-2"/>
                <w:sz w:val="21"/>
              </w:rPr>
              <w:t>出上升态势。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2184"/>
          <w:jc w:val="left"/>
        </w:trPr>
        <w:tc>
          <w:tcPr>
            <w:tcW w:w="2769" w:type="dxa"/>
          </w:tcPr>
          <w:p>
            <w:pPr>
              <w:pStyle w:val="TableParagraph"/>
              <w:spacing w:before="23" w:line="278" w:lineRule="auto"/>
              <w:ind w:left="108" w:right="96"/>
              <w:rPr>
                <w:sz w:val="21"/>
              </w:rPr>
            </w:pPr>
            <w:r>
              <w:rPr>
                <w:spacing w:val="-2"/>
                <w:sz w:val="21"/>
              </w:rPr>
              <w:t>膀胱功能障碍的病理生理机</w:t>
            </w:r>
            <w:r>
              <w:rPr>
                <w:spacing w:val="-10"/>
                <w:sz w:val="21"/>
              </w:rPr>
              <w:t>制</w:t>
            </w:r>
          </w:p>
        </w:tc>
        <w:tc>
          <w:tcPr>
            <w:tcW w:w="5527" w:type="dxa"/>
          </w:tcPr>
          <w:p>
            <w:pPr>
              <w:pStyle w:val="TableParagraph"/>
              <w:spacing w:before="4"/>
              <w:ind w:left="0"/>
              <w:rPr>
                <w:rFonts w:ascii="Microsoft JhengHei"/>
                <w:b/>
                <w:sz w:val="18"/>
              </w:rPr>
            </w:pPr>
          </w:p>
          <w:p>
            <w:pPr>
              <w:pStyle w:val="TableParagraph"/>
              <w:numPr>
                <w:ilvl w:val="0"/>
                <w:numId w:val="59"/>
              </w:numPr>
              <w:tabs>
                <w:tab w:val="left" w:pos="371"/>
              </w:tabs>
              <w:spacing w:before="0" w:after="0" w:line="240" w:lineRule="auto"/>
              <w:ind w:left="370" w:right="0" w:hanging="264"/>
              <w:jc w:val="left"/>
              <w:rPr>
                <w:sz w:val="21"/>
              </w:rPr>
            </w:pPr>
            <w:r>
              <w:rPr>
                <w:spacing w:val="-1"/>
                <w:sz w:val="21"/>
              </w:rPr>
              <w:t>膀胱功能障碍涉及复杂的神经调节和肌肉收缩过程。</w:t>
            </w:r>
          </w:p>
          <w:p>
            <w:pPr>
              <w:pStyle w:val="TableParagraph"/>
              <w:numPr>
                <w:ilvl w:val="0"/>
                <w:numId w:val="59"/>
              </w:numPr>
              <w:tabs>
                <w:tab w:val="left" w:pos="371"/>
              </w:tabs>
              <w:spacing w:before="43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病理生理机制包括神经传递障碍、膀胱肌纤维重塑以及</w:t>
            </w:r>
            <w:r>
              <w:rPr>
                <w:spacing w:val="-2"/>
                <w:sz w:val="21"/>
              </w:rPr>
              <w:t>炎症反应等多个方面。</w:t>
            </w:r>
          </w:p>
          <w:p>
            <w:pPr>
              <w:pStyle w:val="TableParagraph"/>
              <w:numPr>
                <w:ilvl w:val="0"/>
                <w:numId w:val="59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个体差异较大，不同类型的膀胱功能障碍可能存在不同</w:t>
            </w:r>
            <w:r>
              <w:rPr>
                <w:spacing w:val="-2"/>
                <w:sz w:val="21"/>
              </w:rPr>
              <w:t>的病理生理改变。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2495"/>
          <w:jc w:val="left"/>
        </w:trPr>
        <w:tc>
          <w:tcPr>
            <w:tcW w:w="2769" w:type="dxa"/>
          </w:tcPr>
          <w:p>
            <w:pPr>
              <w:pStyle w:val="TableParagraph"/>
              <w:spacing w:before="23"/>
              <w:ind w:left="108"/>
              <w:rPr>
                <w:sz w:val="21"/>
              </w:rPr>
            </w:pPr>
            <w:r>
              <w:rPr>
                <w:spacing w:val="-1"/>
                <w:sz w:val="21"/>
              </w:rPr>
              <w:t>膀胱功能障碍的症状与诊断</w:t>
            </w:r>
          </w:p>
        </w:tc>
        <w:tc>
          <w:tcPr>
            <w:tcW w:w="5527" w:type="dxa"/>
          </w:tcPr>
          <w:p>
            <w:pPr>
              <w:pStyle w:val="TableParagraph"/>
              <w:spacing w:before="4"/>
              <w:ind w:left="0"/>
              <w:rPr>
                <w:rFonts w:ascii="Microsoft JhengHei"/>
                <w:b/>
                <w:sz w:val="18"/>
              </w:rPr>
            </w:pPr>
          </w:p>
          <w:p>
            <w:pPr>
              <w:pStyle w:val="TableParagraph"/>
              <w:numPr>
                <w:ilvl w:val="0"/>
                <w:numId w:val="58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主要症状包括尿频、尿急、尿痛、尿失禁等，严重影响</w:t>
            </w:r>
            <w:r>
              <w:rPr>
                <w:spacing w:val="-2"/>
                <w:sz w:val="21"/>
              </w:rPr>
              <w:t>患者生活质量。</w:t>
            </w:r>
          </w:p>
          <w:p>
            <w:pPr>
              <w:pStyle w:val="TableParagraph"/>
              <w:numPr>
                <w:ilvl w:val="0"/>
                <w:numId w:val="58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诊断膀胱功能障碍需要结合病史、体格检查、实验室检</w:t>
            </w:r>
            <w:r>
              <w:rPr>
                <w:spacing w:val="-2"/>
                <w:sz w:val="21"/>
              </w:rPr>
              <w:t>查及影像学评估等多个方面。</w:t>
            </w:r>
          </w:p>
          <w:p>
            <w:pPr>
              <w:pStyle w:val="TableParagraph"/>
              <w:numPr>
                <w:ilvl w:val="0"/>
                <w:numId w:val="58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目前已有多种标准化的诊断工具和量表用于辅助评估膀</w:t>
            </w:r>
            <w:r>
              <w:rPr>
                <w:spacing w:val="-2"/>
                <w:sz w:val="21"/>
              </w:rPr>
              <w:t>胱功能障碍。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2495"/>
          <w:jc w:val="left"/>
        </w:trPr>
        <w:tc>
          <w:tcPr>
            <w:tcW w:w="2769" w:type="dxa"/>
          </w:tcPr>
          <w:p>
            <w:pPr>
              <w:pStyle w:val="TableParagraph"/>
              <w:spacing w:before="23"/>
              <w:ind w:left="108"/>
              <w:rPr>
                <w:sz w:val="21"/>
              </w:rPr>
            </w:pPr>
            <w:r>
              <w:rPr>
                <w:spacing w:val="-1"/>
                <w:sz w:val="21"/>
              </w:rPr>
              <w:t>膀胱功能障碍的治疗策略</w:t>
            </w:r>
          </w:p>
        </w:tc>
        <w:tc>
          <w:tcPr>
            <w:tcW w:w="5527" w:type="dxa"/>
          </w:tcPr>
          <w:p>
            <w:pPr>
              <w:pStyle w:val="TableParagraph"/>
              <w:spacing w:before="4"/>
              <w:ind w:left="0"/>
              <w:rPr>
                <w:rFonts w:ascii="Microsoft JhengHei"/>
                <w:b/>
                <w:sz w:val="18"/>
              </w:rPr>
            </w:pPr>
          </w:p>
          <w:p>
            <w:pPr>
              <w:pStyle w:val="TableParagraph"/>
              <w:numPr>
                <w:ilvl w:val="0"/>
                <w:numId w:val="57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治疗目标为改善症状、恢复正常膀胱功能并提高生活质</w:t>
            </w:r>
            <w:r>
              <w:rPr>
                <w:spacing w:val="-6"/>
                <w:sz w:val="21"/>
              </w:rPr>
              <w:t>量。</w:t>
            </w:r>
          </w:p>
          <w:p>
            <w:pPr>
              <w:pStyle w:val="TableParagraph"/>
              <w:numPr>
                <w:ilvl w:val="0"/>
                <w:numId w:val="57"/>
              </w:numPr>
              <w:tabs>
                <w:tab w:val="left" w:pos="371"/>
              </w:tabs>
              <w:spacing w:before="0" w:after="0" w:line="278" w:lineRule="auto"/>
              <w:ind w:left="107" w:right="-15" w:firstLine="0"/>
              <w:jc w:val="left"/>
              <w:rPr>
                <w:sz w:val="21"/>
              </w:rPr>
            </w:pPr>
            <w:r>
              <w:rPr>
                <w:spacing w:val="-4"/>
                <w:sz w:val="21"/>
              </w:rPr>
              <w:t>治疗手段多样，包括药物治疗、行为疗法、手术干预等，</w:t>
            </w:r>
            <w:r>
              <w:rPr>
                <w:spacing w:val="-2"/>
                <w:sz w:val="21"/>
              </w:rPr>
              <w:t>需根据具体情况选择合适方案。</w:t>
            </w:r>
          </w:p>
          <w:p>
            <w:pPr>
              <w:pStyle w:val="TableParagraph"/>
              <w:numPr>
                <w:ilvl w:val="0"/>
                <w:numId w:val="57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在治疗过程中强调个体化原则，关注患者的心理和社会</w:t>
            </w:r>
            <w:r>
              <w:rPr>
                <w:spacing w:val="-4"/>
                <w:sz w:val="21"/>
              </w:rPr>
              <w:t>需求。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935"/>
          <w:jc w:val="left"/>
        </w:trPr>
        <w:tc>
          <w:tcPr>
            <w:tcW w:w="2769" w:type="dxa"/>
          </w:tcPr>
          <w:p>
            <w:pPr>
              <w:pStyle w:val="TableParagraph"/>
              <w:spacing w:before="23"/>
              <w:ind w:left="108"/>
              <w:rPr>
                <w:sz w:val="21"/>
              </w:rPr>
            </w:pPr>
            <w:r>
              <w:rPr>
                <w:spacing w:val="-1"/>
                <w:sz w:val="21"/>
              </w:rPr>
              <w:t>膀胱功能障碍的研究进展</w:t>
            </w:r>
          </w:p>
        </w:tc>
        <w:tc>
          <w:tcPr>
            <w:tcW w:w="5527" w:type="dxa"/>
          </w:tcPr>
          <w:p>
            <w:pPr>
              <w:pStyle w:val="TableParagraph"/>
              <w:spacing w:before="18"/>
              <w:ind w:left="0"/>
              <w:rPr>
                <w:rFonts w:ascii="Microsoft JhengHei"/>
                <w:b/>
                <w:sz w:val="15"/>
              </w:rPr>
            </w:pPr>
          </w:p>
          <w:p>
            <w:pPr>
              <w:pStyle w:val="TableParagraph"/>
              <w:numPr>
                <w:ilvl w:val="0"/>
                <w:numId w:val="56"/>
              </w:numPr>
              <w:tabs>
                <w:tab w:val="left" w:pos="371"/>
              </w:tabs>
              <w:spacing w:before="0" w:after="0" w:line="310" w:lineRule="atLeast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近年来，对膀胱功能障碍的病因、病理生理机制及治疗</w:t>
            </w:r>
            <w:r>
              <w:rPr>
                <w:spacing w:val="-2"/>
                <w:sz w:val="21"/>
              </w:rPr>
              <w:t>方法等方面的研究取得了一定进展。</w:t>
            </w:r>
          </w:p>
        </w:tc>
      </w:tr>
    </w:tbl>
    <w:p>
      <w:pPr>
        <w:spacing w:after="0" w:line="310" w:lineRule="atLeast"/>
        <w:jc w:val="left"/>
        <w:rPr>
          <w:sz w:val="21"/>
        </w:rPr>
        <w:sectPr>
          <w:footerReference w:type="default" r:id="rId6"/>
          <w:pgSz w:w="11910" w:h="16840"/>
          <w:pgMar w:top="1500" w:right="1420" w:bottom="1380" w:left="1680" w:header="0" w:footer="1198"/>
          <w:pgNumType w:start="2"/>
          <w:cols w:space="708"/>
        </w:sectPr>
      </w:pPr>
    </w:p>
    <w:tbl>
      <w:tblPr>
        <w:tblStyle w:val="TableNormal1"/>
        <w:tblW w:w="0" w:type="auto"/>
        <w:jc w:val="left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69"/>
        <w:gridCol w:w="5527"/>
      </w:tblGrid>
      <w:tr>
        <w:tblPrEx>
          <w:tblW w:w="0" w:type="auto"/>
          <w:jc w:val="left"/>
          <w:tblInd w:w="13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1248"/>
          <w:jc w:val="left"/>
        </w:trPr>
        <w:tc>
          <w:tcPr>
            <w:tcW w:w="2769" w:type="dxa"/>
          </w:tcPr>
          <w:p>
            <w:pPr>
              <w:pStyle w:val="TableParagraph"/>
              <w:ind w:left="0"/>
              <w:rPr>
                <w:rFonts w:ascii="Times New Roman"/>
                <w:sz w:val="26"/>
              </w:rPr>
            </w:pPr>
          </w:p>
        </w:tc>
        <w:tc>
          <w:tcPr>
            <w:tcW w:w="5527" w:type="dxa"/>
          </w:tcPr>
          <w:p>
            <w:pPr>
              <w:pStyle w:val="TableParagraph"/>
              <w:numPr>
                <w:ilvl w:val="0"/>
                <w:numId w:val="55"/>
              </w:numPr>
              <w:tabs>
                <w:tab w:val="left" w:pos="371"/>
              </w:tabs>
              <w:spacing w:before="23" w:after="0" w:line="278" w:lineRule="auto"/>
              <w:ind w:left="107" w:right="-58" w:firstLine="0"/>
              <w:jc w:val="left"/>
              <w:rPr>
                <w:sz w:val="21"/>
              </w:rPr>
            </w:pPr>
            <w:r>
              <w:rPr>
                <w:sz w:val="21"/>
              </w:rPr>
              <w:t>靶向神经信号传导通路、基因调控以及细胞治疗等领域</w:t>
            </w:r>
            <w:r>
              <w:rPr>
                <w:spacing w:val="-1"/>
                <w:sz w:val="21"/>
              </w:rPr>
              <w:t>的新技术和新方法逐渐被探索应用于膀胱功能障碍的治疗。</w:t>
            </w:r>
          </w:p>
          <w:p>
            <w:pPr>
              <w:pStyle w:val="TableParagraph"/>
              <w:numPr>
                <w:ilvl w:val="0"/>
                <w:numId w:val="55"/>
              </w:numPr>
              <w:tabs>
                <w:tab w:val="left" w:pos="371"/>
              </w:tabs>
              <w:spacing w:before="0" w:after="0" w:line="269" w:lineRule="exact"/>
              <w:ind w:left="370" w:right="0" w:hanging="264"/>
              <w:jc w:val="left"/>
              <w:rPr>
                <w:sz w:val="21"/>
              </w:rPr>
            </w:pPr>
            <w:r>
              <w:rPr>
                <w:spacing w:val="-1"/>
                <w:sz w:val="21"/>
              </w:rPr>
              <w:t>多学科交叉研究成为该领域的前沿发展趋势，有助于推</w:t>
            </w:r>
          </w:p>
          <w:p>
            <w:pPr>
              <w:pStyle w:val="TableParagraph"/>
              <w:spacing w:before="43"/>
              <w:rPr>
                <w:sz w:val="21"/>
              </w:rPr>
            </w:pPr>
            <w:r>
              <w:rPr>
                <w:spacing w:val="-1"/>
                <w:sz w:val="21"/>
              </w:rPr>
              <w:t>动膀胱功能障碍诊治的进步。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11"/>
          <w:jc w:val="left"/>
        </w:trPr>
        <w:tc>
          <w:tcPr>
            <w:tcW w:w="2769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5527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</w:tr>
    </w:tbl>
    <w:p>
      <w:pPr>
        <w:pStyle w:val="BodyText"/>
        <w:spacing w:before="5"/>
        <w:rPr>
          <w:rFonts w:ascii="Microsoft JhengHei"/>
          <w:b/>
          <w:sz w:val="5"/>
        </w:rPr>
      </w:pPr>
    </w:p>
    <w:p>
      <w:pPr>
        <w:pStyle w:val="BodyText"/>
        <w:spacing w:before="61" w:line="417" w:lineRule="auto"/>
        <w:ind w:left="120" w:right="378" w:firstLine="560"/>
      </w:pPr>
      <w:r>
        <w:rPr>
          <w:spacing w:val="-2"/>
        </w:rPr>
        <w:t>膀胱功能障碍是指因多种原因导致的膀胱排尿和储存尿液的功</w:t>
      </w:r>
      <w:r>
        <w:rPr>
          <w:spacing w:val="-2"/>
        </w:rPr>
        <w:t>能受损。其临床表现多样，包括尿频、尿急、尿痛、尿失禁等。</w:t>
      </w:r>
    </w:p>
    <w:p>
      <w:pPr>
        <w:pStyle w:val="BodyText"/>
      </w:pPr>
    </w:p>
    <w:p>
      <w:pPr>
        <w:pStyle w:val="BodyText"/>
        <w:spacing w:before="8"/>
        <w:rPr>
          <w:sz w:val="20"/>
        </w:rPr>
      </w:pPr>
    </w:p>
    <w:p>
      <w:pPr>
        <w:pStyle w:val="BodyText"/>
        <w:spacing w:line="417" w:lineRule="auto"/>
        <w:ind w:left="120" w:right="378"/>
        <w:jc w:val="both"/>
      </w:pPr>
      <w:r>
        <w:rPr>
          <w:spacing w:val="-7"/>
        </w:rPr>
        <w:t>膀胱功能障碍的发病率在全球范围内较高，其中女性和老年人群更为</w:t>
      </w:r>
      <w:r>
        <w:rPr>
          <w:spacing w:val="-5"/>
        </w:rPr>
        <w:t xml:space="preserve">常见。据统计，全球约有 </w:t>
      </w:r>
      <w:r>
        <w:rPr>
          <w:spacing w:val="-4"/>
        </w:rPr>
        <w:t>40%的成年人存在不同程度的膀胱功能障碍</w:t>
      </w:r>
      <w:r>
        <w:rPr>
          <w:spacing w:val="-3"/>
        </w:rPr>
        <w:t xml:space="preserve">症状，而老年人群中该比例更是高达 </w:t>
      </w:r>
      <w:r>
        <w:t>60%-70%。</w:t>
      </w:r>
    </w:p>
    <w:p>
      <w:pPr>
        <w:pStyle w:val="BodyText"/>
      </w:pPr>
    </w:p>
    <w:p>
      <w:pPr>
        <w:pStyle w:val="BodyText"/>
        <w:spacing w:before="8"/>
        <w:rPr>
          <w:sz w:val="20"/>
        </w:rPr>
      </w:pPr>
    </w:p>
    <w:p>
      <w:pPr>
        <w:pStyle w:val="BodyText"/>
        <w:spacing w:line="417" w:lineRule="auto"/>
        <w:ind w:left="120" w:right="378"/>
        <w:jc w:val="both"/>
      </w:pPr>
      <w:r>
        <w:rPr>
          <w:spacing w:val="-4"/>
        </w:rPr>
        <w:t>膀胱功能障碍的发生与多种因素有关，如年龄、性别、生理状况（</w:t>
      </w:r>
      <w:r>
        <w:rPr>
          <w:spacing w:val="-4"/>
        </w:rPr>
        <w:t>如</w:t>
      </w:r>
      <w:r>
        <w:rPr>
          <w:spacing w:val="-2"/>
        </w:rPr>
        <w:t>妊娠、产后</w:t>
      </w:r>
      <w:r>
        <w:rPr>
          <w:spacing w:val="-139"/>
        </w:rPr>
        <w:t>）</w:t>
      </w:r>
      <w:r>
        <w:rPr>
          <w:spacing w:val="-2"/>
        </w:rPr>
        <w:t>、遗传因素、疾病状态（如神经系统疾病、糖尿病、前</w:t>
      </w:r>
      <w:r>
        <w:rPr>
          <w:spacing w:val="-4"/>
        </w:rPr>
        <w:t>列腺增生等）以及药物使用等。其中，神经系统疾病是引起膀胱功能</w:t>
      </w:r>
      <w:r>
        <w:rPr>
          <w:spacing w:val="-2"/>
        </w:rPr>
        <w:t>障碍的主要原因之一，如脊髓损伤、帕金森病、多发性硬化症等。</w:t>
      </w:r>
    </w:p>
    <w:p>
      <w:pPr>
        <w:pStyle w:val="BodyText"/>
      </w:pPr>
    </w:p>
    <w:p>
      <w:pPr>
        <w:pStyle w:val="BodyText"/>
        <w:spacing w:before="8"/>
        <w:rPr>
          <w:sz w:val="20"/>
        </w:rPr>
      </w:pPr>
    </w:p>
    <w:p>
      <w:pPr>
        <w:pStyle w:val="BodyText"/>
        <w:spacing w:before="1" w:line="417" w:lineRule="auto"/>
        <w:ind w:left="120" w:right="145"/>
      </w:pPr>
      <w:r>
        <w:rPr>
          <w:spacing w:val="-9"/>
        </w:rPr>
        <w:t>膀胱功能障碍对患者的生活质量造成严重影响。除了身体上的不适外，</w:t>
      </w:r>
      <w:r>
        <w:rPr>
          <w:spacing w:val="-2"/>
        </w:rPr>
        <w:t>还可能导致心理问题和社会交往困难等问题。因此，对膀胱功能障碍</w:t>
      </w:r>
      <w:r>
        <w:rPr>
          <w:spacing w:val="-2"/>
        </w:rPr>
        <w:t>进行及时有效的诊断和治疗具有重要意义。</w:t>
      </w:r>
    </w:p>
    <w:p>
      <w:pPr>
        <w:pStyle w:val="BodyText"/>
      </w:pPr>
    </w:p>
    <w:p>
      <w:pPr>
        <w:pStyle w:val="BodyText"/>
        <w:spacing w:before="8"/>
        <w:rPr>
          <w:sz w:val="20"/>
        </w:rPr>
      </w:pPr>
    </w:p>
    <w:p>
      <w:pPr>
        <w:pStyle w:val="BodyText"/>
        <w:spacing w:line="417" w:lineRule="auto"/>
        <w:ind w:left="120" w:right="378"/>
        <w:jc w:val="both"/>
      </w:pPr>
      <w:r>
        <w:rPr>
          <w:spacing w:val="-4"/>
        </w:rPr>
        <w:t>目前，膀胱功能障碍的治疗方法主要包括药物治疗、物理治疗、手术</w:t>
      </w:r>
      <w:r>
        <w:rPr>
          <w:spacing w:val="-4"/>
        </w:rPr>
        <w:t>治疗以及生活方式调整等。选择何种治疗方法需根据患者的病因、病</w:t>
      </w:r>
      <w:r>
        <w:rPr>
          <w:spacing w:val="-2"/>
        </w:rPr>
        <w:t>情及个体差异等因素综合考虑。</w:t>
      </w:r>
    </w:p>
    <w:p>
      <w:pPr>
        <w:spacing w:after="0" w:line="417" w:lineRule="auto"/>
        <w:jc w:val="both"/>
        <w:sectPr>
          <w:footerReference w:type="default" r:id="rId7"/>
          <w:type w:val="continuous"/>
          <w:pgSz w:w="11910" w:h="16840"/>
          <w:pgMar w:top="1400" w:right="1420" w:bottom="1380" w:left="1680" w:header="0" w:footer="1198"/>
          <w:pgNumType w:start="3"/>
          <w:cols w:space="708"/>
        </w:sectPr>
      </w:pPr>
    </w:p>
    <w:p>
      <w:pPr>
        <w:pStyle w:val="BodyText"/>
        <w:spacing w:before="37" w:line="417" w:lineRule="auto"/>
        <w:ind w:left="120" w:right="378"/>
        <w:jc w:val="both"/>
      </w:pPr>
      <w:r>
        <w:rPr>
          <w:spacing w:val="-4"/>
        </w:rPr>
        <w:t>在日常生活中，预防膀胱功能障碍的方法主要有：保持良好的生活习</w:t>
      </w:r>
      <w:r>
        <w:rPr>
          <w:spacing w:val="-4"/>
        </w:rPr>
        <w:t>惯，如定时定量饮水、避免憋尿、不熬夜；积极治疗相关疾病，如控</w:t>
      </w:r>
      <w:r>
        <w:rPr>
          <w:spacing w:val="-4"/>
        </w:rPr>
        <w:t>制血糖、减轻体重等；合理用药，避免长期大量使用可能影响膀胱功</w:t>
      </w:r>
      <w:r>
        <w:rPr>
          <w:spacing w:val="-2"/>
        </w:rPr>
        <w:t>能的药物；加强锻炼，提高身体素质。</w:t>
      </w:r>
    </w:p>
    <w:p>
      <w:pPr>
        <w:pStyle w:val="BodyText"/>
      </w:pPr>
    </w:p>
    <w:p>
      <w:pPr>
        <w:pStyle w:val="BodyText"/>
        <w:spacing w:before="7"/>
        <w:rPr>
          <w:sz w:val="20"/>
        </w:rPr>
      </w:pPr>
    </w:p>
    <w:p>
      <w:pPr>
        <w:pStyle w:val="BodyText"/>
        <w:spacing w:before="1" w:line="417" w:lineRule="auto"/>
        <w:ind w:left="120" w:right="98"/>
      </w:pPr>
      <w:r>
        <w:rPr>
          <w:spacing w:val="-2"/>
        </w:rPr>
        <w:t>总之，膀胱功能障碍是一种常见的泌尿系统疾病，其发病因素复杂，</w:t>
      </w:r>
      <w:r>
        <w:rPr>
          <w:spacing w:val="-2"/>
        </w:rPr>
        <w:t>临床表现多样，对患者的生活质量影响较大。因此，需要通过综合性</w:t>
      </w:r>
      <w:r>
        <w:rPr>
          <w:spacing w:val="-2"/>
        </w:rPr>
        <w:t xml:space="preserve"> </w:t>
      </w:r>
      <w:r>
        <w:rPr>
          <w:spacing w:val="-2"/>
        </w:rPr>
        <w:t>的评估和治疗策略，以达到改善症状、提高生活质量的目的。</w:t>
      </w:r>
    </w:p>
    <w:p>
      <w:pPr>
        <w:pStyle w:val="BodyText"/>
      </w:pPr>
    </w:p>
    <w:p>
      <w:pPr>
        <w:pStyle w:val="Heading1"/>
        <w:tabs>
          <w:tab w:val="left" w:pos="1725"/>
        </w:tabs>
      </w:pPr>
      <w:bookmarkStart w:id="1" w:name="_TOC_250006"/>
      <w:r>
        <w:t>第</w:t>
      </w:r>
      <w:r>
        <w:t>二</w:t>
      </w:r>
      <w:r>
        <w:t>部</w:t>
      </w:r>
      <w:r>
        <w:rPr>
          <w:spacing w:val="-10"/>
        </w:rPr>
        <w:t>分</w:t>
      </w:r>
      <w:r>
        <w:tab/>
        <w:t>病</w:t>
      </w:r>
      <w:r>
        <w:t>因</w:t>
      </w:r>
      <w:r>
        <w:t>及</w:t>
      </w:r>
      <w:r>
        <w:t>分</w:t>
      </w:r>
      <w:r>
        <w:t>类</w:t>
      </w:r>
      <w:r>
        <w:t>分</w:t>
      </w:r>
      <w:bookmarkEnd w:id="1"/>
      <w:r>
        <w:rPr>
          <w:spacing w:val="-10"/>
        </w:rPr>
        <w:t>析</w:t>
      </w:r>
    </w:p>
    <w:p>
      <w:pPr>
        <w:pStyle w:val="BodyText"/>
        <w:spacing w:before="16"/>
        <w:rPr>
          <w:rFonts w:ascii="Microsoft JhengHei"/>
          <w:b/>
          <w:sz w:val="15"/>
        </w:rPr>
      </w:pPr>
    </w:p>
    <w:tbl>
      <w:tblPr>
        <w:tblStyle w:val="TableNormal2"/>
        <w:tblW w:w="0" w:type="auto"/>
        <w:jc w:val="left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69"/>
        <w:gridCol w:w="5527"/>
      </w:tblGrid>
      <w:tr>
        <w:tblPrEx>
          <w:tblW w:w="0" w:type="auto"/>
          <w:jc w:val="left"/>
          <w:tblInd w:w="13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12"/>
          <w:jc w:val="left"/>
        </w:trPr>
        <w:tc>
          <w:tcPr>
            <w:tcW w:w="2769" w:type="dxa"/>
          </w:tcPr>
          <w:p>
            <w:pPr>
              <w:pStyle w:val="TableParagraph"/>
              <w:spacing w:before="23"/>
              <w:ind w:left="108"/>
              <w:rPr>
                <w:sz w:val="21"/>
              </w:rPr>
            </w:pPr>
            <w:r>
              <w:rPr>
                <w:spacing w:val="-4"/>
                <w:sz w:val="21"/>
              </w:rPr>
              <w:t>关键词</w:t>
            </w:r>
          </w:p>
        </w:tc>
        <w:tc>
          <w:tcPr>
            <w:tcW w:w="5527" w:type="dxa"/>
          </w:tcPr>
          <w:p>
            <w:pPr>
              <w:pStyle w:val="TableParagraph"/>
              <w:spacing w:before="23"/>
              <w:rPr>
                <w:sz w:val="21"/>
              </w:rPr>
            </w:pPr>
            <w:r>
              <w:rPr>
                <w:spacing w:val="-3"/>
                <w:sz w:val="21"/>
              </w:rPr>
              <w:t>关键要点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1559"/>
          <w:jc w:val="left"/>
        </w:trPr>
        <w:tc>
          <w:tcPr>
            <w:tcW w:w="2769" w:type="dxa"/>
          </w:tcPr>
          <w:p>
            <w:pPr>
              <w:pStyle w:val="TableParagraph"/>
              <w:spacing w:before="23"/>
              <w:ind w:left="108"/>
              <w:rPr>
                <w:sz w:val="21"/>
              </w:rPr>
            </w:pPr>
            <w:r>
              <w:rPr>
                <w:spacing w:val="-2"/>
                <w:sz w:val="21"/>
              </w:rPr>
              <w:t>神经源性膀胱</w:t>
            </w:r>
          </w:p>
        </w:tc>
        <w:tc>
          <w:tcPr>
            <w:tcW w:w="5527" w:type="dxa"/>
          </w:tcPr>
          <w:p>
            <w:pPr>
              <w:pStyle w:val="TableParagraph"/>
              <w:spacing w:before="4"/>
              <w:ind w:left="0"/>
              <w:rPr>
                <w:rFonts w:ascii="Microsoft JhengHei"/>
                <w:b/>
                <w:sz w:val="18"/>
              </w:rPr>
            </w:pPr>
          </w:p>
          <w:p>
            <w:pPr>
              <w:pStyle w:val="TableParagraph"/>
              <w:numPr>
                <w:ilvl w:val="0"/>
                <w:numId w:val="54"/>
              </w:numPr>
              <w:tabs>
                <w:tab w:val="left" w:pos="371"/>
              </w:tabs>
              <w:spacing w:before="0" w:after="0" w:line="240" w:lineRule="auto"/>
              <w:ind w:left="370" w:right="0" w:hanging="264"/>
              <w:jc w:val="left"/>
              <w:rPr>
                <w:sz w:val="21"/>
              </w:rPr>
            </w:pPr>
            <w:r>
              <w:rPr>
                <w:spacing w:val="-1"/>
                <w:sz w:val="21"/>
              </w:rPr>
              <w:t>中枢或外周神经系统损伤导致的膀胱功能障碍。</w:t>
            </w:r>
          </w:p>
          <w:p>
            <w:pPr>
              <w:pStyle w:val="TableParagraph"/>
              <w:numPr>
                <w:ilvl w:val="0"/>
                <w:numId w:val="54"/>
              </w:numPr>
              <w:tabs>
                <w:tab w:val="left" w:pos="371"/>
              </w:tabs>
              <w:spacing w:before="43" w:after="0" w:line="240" w:lineRule="auto"/>
              <w:ind w:left="370" w:right="0" w:hanging="264"/>
              <w:jc w:val="left"/>
              <w:rPr>
                <w:sz w:val="21"/>
              </w:rPr>
            </w:pPr>
            <w:r>
              <w:rPr>
                <w:spacing w:val="-1"/>
                <w:sz w:val="21"/>
              </w:rPr>
              <w:t>病因包括脊髓损伤、脑卒中、帕金森病等。</w:t>
            </w:r>
          </w:p>
          <w:p>
            <w:pPr>
              <w:pStyle w:val="TableParagraph"/>
              <w:numPr>
                <w:ilvl w:val="0"/>
                <w:numId w:val="54"/>
              </w:numPr>
              <w:tabs>
                <w:tab w:val="left" w:pos="371"/>
              </w:tabs>
              <w:spacing w:before="43" w:after="0" w:line="240" w:lineRule="auto"/>
              <w:ind w:left="370" w:right="0" w:hanging="264"/>
              <w:jc w:val="left"/>
              <w:rPr>
                <w:sz w:val="21"/>
              </w:rPr>
            </w:pPr>
            <w:r>
              <w:rPr>
                <w:spacing w:val="-1"/>
                <w:sz w:val="21"/>
              </w:rPr>
              <w:t>需要综合评估患者的病情并制定个体化治疗方案。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2183"/>
          <w:jc w:val="left"/>
        </w:trPr>
        <w:tc>
          <w:tcPr>
            <w:tcW w:w="2769" w:type="dxa"/>
          </w:tcPr>
          <w:p>
            <w:pPr>
              <w:pStyle w:val="TableParagraph"/>
              <w:spacing w:before="23"/>
              <w:ind w:left="108"/>
              <w:rPr>
                <w:sz w:val="21"/>
              </w:rPr>
            </w:pPr>
            <w:r>
              <w:rPr>
                <w:spacing w:val="-1"/>
                <w:sz w:val="21"/>
              </w:rPr>
              <w:t>药物诱导的膀胱功能障碍</w:t>
            </w:r>
          </w:p>
        </w:tc>
        <w:tc>
          <w:tcPr>
            <w:tcW w:w="5527" w:type="dxa"/>
          </w:tcPr>
          <w:p>
            <w:pPr>
              <w:pStyle w:val="TableParagraph"/>
              <w:spacing w:before="4"/>
              <w:ind w:left="0"/>
              <w:rPr>
                <w:rFonts w:ascii="Microsoft JhengHei"/>
                <w:b/>
                <w:sz w:val="18"/>
              </w:rPr>
            </w:pPr>
          </w:p>
          <w:p>
            <w:pPr>
              <w:pStyle w:val="TableParagraph"/>
              <w:numPr>
                <w:ilvl w:val="0"/>
                <w:numId w:val="53"/>
              </w:numPr>
              <w:tabs>
                <w:tab w:val="left" w:pos="371"/>
              </w:tabs>
              <w:spacing w:before="0" w:after="0" w:line="240" w:lineRule="auto"/>
              <w:ind w:left="370" w:right="0" w:hanging="264"/>
              <w:jc w:val="left"/>
              <w:rPr>
                <w:sz w:val="21"/>
              </w:rPr>
            </w:pPr>
            <w:r>
              <w:rPr>
                <w:spacing w:val="-1"/>
                <w:sz w:val="21"/>
              </w:rPr>
              <w:t>某些药物如抗抑郁药、利尿剂可能影响膀胱功能。</w:t>
            </w:r>
          </w:p>
          <w:p>
            <w:pPr>
              <w:pStyle w:val="TableParagraph"/>
              <w:numPr>
                <w:ilvl w:val="0"/>
                <w:numId w:val="53"/>
              </w:numPr>
              <w:tabs>
                <w:tab w:val="left" w:pos="371"/>
              </w:tabs>
              <w:spacing w:before="43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临床应关注患者的用药史，并考虑调整药物剂量或更换</w:t>
            </w:r>
            <w:r>
              <w:rPr>
                <w:spacing w:val="-2"/>
                <w:sz w:val="21"/>
              </w:rPr>
              <w:t>其他药物。</w:t>
            </w:r>
          </w:p>
          <w:p>
            <w:pPr>
              <w:pStyle w:val="TableParagraph"/>
              <w:numPr>
                <w:ilvl w:val="0"/>
                <w:numId w:val="53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对于药物引起的膀胱功能障碍，停药或换药后症状通常</w:t>
            </w:r>
            <w:r>
              <w:rPr>
                <w:spacing w:val="-4"/>
                <w:sz w:val="21"/>
              </w:rPr>
              <w:t>可改善。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2184"/>
          <w:jc w:val="left"/>
        </w:trPr>
        <w:tc>
          <w:tcPr>
            <w:tcW w:w="2769" w:type="dxa"/>
          </w:tcPr>
          <w:p>
            <w:pPr>
              <w:pStyle w:val="TableParagraph"/>
              <w:spacing w:before="23"/>
              <w:ind w:left="108"/>
              <w:rPr>
                <w:sz w:val="21"/>
              </w:rPr>
            </w:pPr>
            <w:r>
              <w:rPr>
                <w:spacing w:val="-2"/>
                <w:sz w:val="21"/>
              </w:rPr>
              <w:t>年龄与性别因素</w:t>
            </w:r>
          </w:p>
        </w:tc>
        <w:tc>
          <w:tcPr>
            <w:tcW w:w="5527" w:type="dxa"/>
          </w:tcPr>
          <w:p>
            <w:pPr>
              <w:pStyle w:val="TableParagraph"/>
              <w:spacing w:before="4"/>
              <w:ind w:left="0"/>
              <w:rPr>
                <w:rFonts w:ascii="Microsoft JhengHei"/>
                <w:b/>
                <w:sz w:val="18"/>
              </w:rPr>
            </w:pPr>
          </w:p>
          <w:p>
            <w:pPr>
              <w:pStyle w:val="TableParagraph"/>
              <w:numPr>
                <w:ilvl w:val="0"/>
                <w:numId w:val="52"/>
              </w:numPr>
              <w:tabs>
                <w:tab w:val="left" w:pos="371"/>
              </w:tabs>
              <w:spacing w:before="0" w:after="0" w:line="240" w:lineRule="auto"/>
              <w:ind w:left="370" w:right="0" w:hanging="264"/>
              <w:jc w:val="left"/>
              <w:rPr>
                <w:sz w:val="21"/>
              </w:rPr>
            </w:pPr>
            <w:r>
              <w:rPr>
                <w:spacing w:val="-1"/>
                <w:sz w:val="21"/>
              </w:rPr>
              <w:t>膀胱功能随年龄增长而逐渐减退，老年人发病率较高。</w:t>
            </w:r>
          </w:p>
          <w:p>
            <w:pPr>
              <w:pStyle w:val="TableParagraph"/>
              <w:numPr>
                <w:ilvl w:val="0"/>
                <w:numId w:val="52"/>
              </w:numPr>
              <w:tabs>
                <w:tab w:val="left" w:pos="371"/>
              </w:tabs>
              <w:spacing w:before="43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女性患者由于解剖结构特点，更容易出现尿路感染和膀</w:t>
            </w:r>
            <w:r>
              <w:rPr>
                <w:spacing w:val="-2"/>
                <w:sz w:val="21"/>
              </w:rPr>
              <w:t>胱功能障碍。</w:t>
            </w:r>
          </w:p>
          <w:p>
            <w:pPr>
              <w:pStyle w:val="TableParagraph"/>
              <w:numPr>
                <w:ilvl w:val="0"/>
                <w:numId w:val="52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不同年龄段和性别的患者在诊断和治疗策略上需有所差</w:t>
            </w:r>
            <w:r>
              <w:rPr>
                <w:spacing w:val="-6"/>
                <w:sz w:val="21"/>
              </w:rPr>
              <w:t>异。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935"/>
          <w:jc w:val="left"/>
        </w:trPr>
        <w:tc>
          <w:tcPr>
            <w:tcW w:w="2769" w:type="dxa"/>
          </w:tcPr>
          <w:p>
            <w:pPr>
              <w:pStyle w:val="TableParagraph"/>
              <w:spacing w:before="23"/>
              <w:ind w:left="108"/>
              <w:rPr>
                <w:sz w:val="21"/>
              </w:rPr>
            </w:pPr>
            <w:r>
              <w:rPr>
                <w:spacing w:val="-2"/>
                <w:sz w:val="21"/>
              </w:rPr>
              <w:t>泌尿系统结构异常</w:t>
            </w:r>
          </w:p>
        </w:tc>
        <w:tc>
          <w:tcPr>
            <w:tcW w:w="5527" w:type="dxa"/>
          </w:tcPr>
          <w:p>
            <w:pPr>
              <w:pStyle w:val="TableParagraph"/>
              <w:spacing w:before="18"/>
              <w:ind w:left="0"/>
              <w:rPr>
                <w:rFonts w:ascii="Microsoft JhengHei"/>
                <w:b/>
                <w:sz w:val="15"/>
              </w:rPr>
            </w:pPr>
          </w:p>
          <w:p>
            <w:pPr>
              <w:pStyle w:val="TableParagraph"/>
              <w:numPr>
                <w:ilvl w:val="0"/>
                <w:numId w:val="51"/>
              </w:numPr>
              <w:tabs>
                <w:tab w:val="left" w:pos="371"/>
              </w:tabs>
              <w:spacing w:before="0" w:after="0" w:line="310" w:lineRule="atLeast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泌尿系统的先天性畸形或者后天疾病可能导致膀胱功能</w:t>
            </w:r>
            <w:r>
              <w:rPr>
                <w:spacing w:val="-4"/>
                <w:sz w:val="21"/>
              </w:rPr>
              <w:t>障碍。</w:t>
            </w:r>
          </w:p>
        </w:tc>
      </w:tr>
    </w:tbl>
    <w:p>
      <w:pPr>
        <w:spacing w:after="0" w:line="310" w:lineRule="atLeast"/>
        <w:jc w:val="left"/>
        <w:rPr>
          <w:sz w:val="21"/>
        </w:rPr>
        <w:sectPr>
          <w:footerReference w:type="default" r:id="rId8"/>
          <w:pgSz w:w="11910" w:h="16840"/>
          <w:pgMar w:top="1520" w:right="1420" w:bottom="1380" w:left="1680" w:header="0" w:footer="1198"/>
          <w:pgNumType w:start="4"/>
          <w:cols w:space="708"/>
        </w:sectPr>
      </w:pPr>
    </w:p>
    <w:tbl>
      <w:tblPr>
        <w:tblStyle w:val="TableNormal3"/>
        <w:tblW w:w="0" w:type="auto"/>
        <w:jc w:val="left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69"/>
        <w:gridCol w:w="5527"/>
      </w:tblGrid>
      <w:tr>
        <w:tblPrEx>
          <w:tblW w:w="0" w:type="auto"/>
          <w:jc w:val="left"/>
          <w:tblInd w:w="13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1560"/>
          <w:jc w:val="left"/>
        </w:trPr>
        <w:tc>
          <w:tcPr>
            <w:tcW w:w="2769" w:type="dxa"/>
          </w:tcPr>
          <w:p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5527" w:type="dxa"/>
          </w:tcPr>
          <w:p>
            <w:pPr>
              <w:pStyle w:val="TableParagraph"/>
              <w:numPr>
                <w:ilvl w:val="0"/>
                <w:numId w:val="50"/>
              </w:numPr>
              <w:tabs>
                <w:tab w:val="left" w:pos="371"/>
              </w:tabs>
              <w:spacing w:before="23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如肾积水、膀胱憩室、尿道狭窄等，需要手术干预以恢</w:t>
            </w:r>
            <w:r>
              <w:rPr>
                <w:spacing w:val="-2"/>
                <w:sz w:val="21"/>
              </w:rPr>
              <w:t>复膀胱功能。</w:t>
            </w:r>
          </w:p>
          <w:p>
            <w:pPr>
              <w:pStyle w:val="TableParagraph"/>
              <w:numPr>
                <w:ilvl w:val="0"/>
                <w:numId w:val="50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结构异常引起的功能障碍需结合影像学检查进行准确诊</w:t>
            </w:r>
            <w:r>
              <w:rPr>
                <w:spacing w:val="-6"/>
                <w:sz w:val="21"/>
              </w:rPr>
              <w:t>断。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2183"/>
          <w:jc w:val="left"/>
        </w:trPr>
        <w:tc>
          <w:tcPr>
            <w:tcW w:w="2769" w:type="dxa"/>
          </w:tcPr>
          <w:p>
            <w:pPr>
              <w:pStyle w:val="TableParagraph"/>
              <w:spacing w:before="23"/>
              <w:ind w:left="108"/>
              <w:rPr>
                <w:sz w:val="21"/>
              </w:rPr>
            </w:pPr>
            <w:r>
              <w:rPr>
                <w:spacing w:val="-2"/>
                <w:sz w:val="21"/>
              </w:rPr>
              <w:t>炎症和感染性疾病</w:t>
            </w:r>
          </w:p>
        </w:tc>
        <w:tc>
          <w:tcPr>
            <w:tcW w:w="5527" w:type="dxa"/>
          </w:tcPr>
          <w:p>
            <w:pPr>
              <w:pStyle w:val="TableParagraph"/>
              <w:spacing w:before="4"/>
              <w:ind w:left="0"/>
              <w:rPr>
                <w:rFonts w:ascii="Microsoft JhengHei"/>
                <w:b/>
                <w:sz w:val="18"/>
              </w:rPr>
            </w:pPr>
          </w:p>
          <w:p>
            <w:pPr>
              <w:pStyle w:val="TableParagraph"/>
              <w:numPr>
                <w:ilvl w:val="0"/>
                <w:numId w:val="49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尿路感染、膀胱炎等炎症性疾病是引发膀胱功能障碍的</w:t>
            </w:r>
            <w:r>
              <w:rPr>
                <w:spacing w:val="-2"/>
                <w:sz w:val="21"/>
              </w:rPr>
              <w:t>常见病因。</w:t>
            </w:r>
          </w:p>
          <w:p>
            <w:pPr>
              <w:pStyle w:val="TableParagraph"/>
              <w:numPr>
                <w:ilvl w:val="0"/>
                <w:numId w:val="49"/>
              </w:numPr>
              <w:tabs>
                <w:tab w:val="left" w:pos="371"/>
              </w:tabs>
              <w:spacing w:before="0" w:after="0" w:line="269" w:lineRule="exact"/>
              <w:ind w:left="370" w:right="0" w:hanging="264"/>
              <w:jc w:val="left"/>
              <w:rPr>
                <w:sz w:val="21"/>
              </w:rPr>
            </w:pPr>
            <w:r>
              <w:rPr>
                <w:spacing w:val="-1"/>
                <w:sz w:val="21"/>
              </w:rPr>
              <w:t>及时抗生素治疗有助于控制炎症，改善膀胱功能。</w:t>
            </w:r>
          </w:p>
          <w:p>
            <w:pPr>
              <w:pStyle w:val="TableParagraph"/>
              <w:numPr>
                <w:ilvl w:val="0"/>
                <w:numId w:val="49"/>
              </w:numPr>
              <w:tabs>
                <w:tab w:val="left" w:pos="371"/>
              </w:tabs>
              <w:spacing w:before="43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长期反复的炎症可能造成膀胱组织纤维化，增加治疗难</w:t>
            </w:r>
            <w:r>
              <w:rPr>
                <w:spacing w:val="-6"/>
                <w:sz w:val="21"/>
              </w:rPr>
              <w:t>度。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1560"/>
          <w:jc w:val="left"/>
        </w:trPr>
        <w:tc>
          <w:tcPr>
            <w:tcW w:w="2769" w:type="dxa"/>
          </w:tcPr>
          <w:p>
            <w:pPr>
              <w:pStyle w:val="TableParagraph"/>
              <w:spacing w:before="23"/>
              <w:ind w:left="108"/>
              <w:rPr>
                <w:sz w:val="21"/>
              </w:rPr>
            </w:pPr>
            <w:r>
              <w:rPr>
                <w:spacing w:val="-2"/>
                <w:sz w:val="21"/>
              </w:rPr>
              <w:t>精神心理因素</w:t>
            </w:r>
          </w:p>
        </w:tc>
        <w:tc>
          <w:tcPr>
            <w:tcW w:w="5527" w:type="dxa"/>
          </w:tcPr>
          <w:p>
            <w:pPr>
              <w:pStyle w:val="TableParagraph"/>
              <w:spacing w:before="4"/>
              <w:ind w:left="0"/>
              <w:rPr>
                <w:rFonts w:ascii="Microsoft JhengHei"/>
                <w:b/>
                <w:sz w:val="18"/>
              </w:rPr>
            </w:pPr>
          </w:p>
          <w:p>
            <w:pPr>
              <w:pStyle w:val="TableParagraph"/>
              <w:numPr>
                <w:ilvl w:val="0"/>
                <w:numId w:val="48"/>
              </w:numPr>
              <w:tabs>
                <w:tab w:val="left" w:pos="371"/>
              </w:tabs>
              <w:spacing w:before="0" w:after="0" w:line="240" w:lineRule="auto"/>
              <w:ind w:left="370" w:right="-15" w:hanging="264"/>
              <w:jc w:val="left"/>
              <w:rPr>
                <w:sz w:val="21"/>
              </w:rPr>
            </w:pPr>
            <w:r>
              <w:rPr>
                <w:spacing w:val="-7"/>
                <w:sz w:val="21"/>
              </w:rPr>
              <w:t>心理压力、焦虑、抑郁等情绪状态可能会影响膀胱功能。</w:t>
            </w:r>
          </w:p>
          <w:p>
            <w:pPr>
              <w:pStyle w:val="TableParagraph"/>
              <w:numPr>
                <w:ilvl w:val="0"/>
                <w:numId w:val="48"/>
              </w:numPr>
              <w:tabs>
                <w:tab w:val="left" w:pos="371"/>
              </w:tabs>
              <w:spacing w:before="43" w:after="0" w:line="240" w:lineRule="auto"/>
              <w:ind w:left="370" w:right="0" w:hanging="264"/>
              <w:jc w:val="left"/>
              <w:rPr>
                <w:sz w:val="21"/>
              </w:rPr>
            </w:pPr>
            <w:r>
              <w:rPr>
                <w:spacing w:val="-1"/>
                <w:sz w:val="21"/>
              </w:rPr>
              <w:t>针对精神心理因素的干预措施有助于提高生活质量。</w:t>
            </w:r>
          </w:p>
          <w:p>
            <w:pPr>
              <w:pStyle w:val="TableParagraph"/>
              <w:numPr>
                <w:ilvl w:val="0"/>
                <w:numId w:val="48"/>
              </w:numPr>
              <w:tabs>
                <w:tab w:val="left" w:pos="371"/>
              </w:tabs>
              <w:spacing w:before="2" w:after="0" w:line="310" w:lineRule="atLeast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应充分重视精神心理因素在膀胱功能障碍中的作用，提</w:t>
            </w:r>
            <w:r>
              <w:rPr>
                <w:spacing w:val="-2"/>
                <w:sz w:val="21"/>
              </w:rPr>
              <w:t>供适当的心理支持。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12"/>
          <w:jc w:val="left"/>
        </w:trPr>
        <w:tc>
          <w:tcPr>
            <w:tcW w:w="2769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5527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</w:tr>
    </w:tbl>
    <w:p>
      <w:pPr>
        <w:pStyle w:val="BodyText"/>
        <w:spacing w:before="5"/>
        <w:rPr>
          <w:rFonts w:ascii="Microsoft JhengHei"/>
          <w:b/>
          <w:sz w:val="5"/>
        </w:rPr>
      </w:pPr>
    </w:p>
    <w:p>
      <w:pPr>
        <w:pStyle w:val="BodyText"/>
        <w:spacing w:before="61" w:line="417" w:lineRule="auto"/>
        <w:ind w:left="120" w:right="378" w:firstLine="560"/>
        <w:jc w:val="both"/>
      </w:pPr>
      <w:r>
        <w:rPr>
          <w:spacing w:val="-2"/>
        </w:rPr>
        <w:t>膀胱功能障碍（Bladder</w:t>
      </w:r>
      <w:r>
        <w:rPr>
          <w:spacing w:val="-25"/>
        </w:rPr>
        <w:t xml:space="preserve"> </w:t>
      </w:r>
      <w:r>
        <w:rPr>
          <w:spacing w:val="-2"/>
        </w:rPr>
        <w:t>Function</w:t>
      </w:r>
      <w:r>
        <w:rPr>
          <w:spacing w:val="-25"/>
        </w:rPr>
        <w:t xml:space="preserve"> </w:t>
      </w:r>
      <w:r>
        <w:rPr>
          <w:spacing w:val="-2"/>
        </w:rPr>
        <w:t>Disorder，BFD）是指由于神</w:t>
      </w:r>
      <w:r>
        <w:rPr>
          <w:spacing w:val="-4"/>
        </w:rPr>
        <w:t>经、肌肉和括约肌结构或功能异常导致的排尿困难。在临床上，病因</w:t>
      </w:r>
      <w:r>
        <w:rPr>
          <w:spacing w:val="-8"/>
        </w:rPr>
        <w:t>及分类分析对于识别患者的具体问题、制定个性化治疗方案以及改善</w:t>
      </w:r>
      <w:r>
        <w:rPr>
          <w:spacing w:val="-2"/>
        </w:rPr>
        <w:t>患者生活质量至关重要。</w:t>
      </w:r>
    </w:p>
    <w:p>
      <w:pPr>
        <w:pStyle w:val="BodyText"/>
      </w:pPr>
    </w:p>
    <w:p>
      <w:pPr>
        <w:pStyle w:val="BodyText"/>
        <w:spacing w:before="7"/>
        <w:rPr>
          <w:sz w:val="20"/>
        </w:rPr>
      </w:pPr>
    </w:p>
    <w:p>
      <w:pPr>
        <w:pStyle w:val="BodyText"/>
        <w:spacing w:before="1"/>
        <w:ind w:left="120"/>
      </w:pPr>
      <w:r>
        <w:rPr>
          <w:spacing w:val="-3"/>
        </w:rPr>
        <w:t>一、病因</w:t>
      </w:r>
    </w:p>
    <w:p>
      <w:pPr>
        <w:pStyle w:val="BodyText"/>
      </w:pPr>
    </w:p>
    <w:p>
      <w:pPr>
        <w:pStyle w:val="BodyText"/>
        <w:spacing w:before="5"/>
        <w:rPr>
          <w:sz w:val="41"/>
        </w:rPr>
      </w:pPr>
    </w:p>
    <w:p>
      <w:pPr>
        <w:pStyle w:val="ListParagraph"/>
        <w:numPr>
          <w:ilvl w:val="0"/>
          <w:numId w:val="47"/>
        </w:numPr>
        <w:tabs>
          <w:tab w:val="left" w:pos="542"/>
        </w:tabs>
        <w:spacing w:before="0" w:after="0" w:line="417" w:lineRule="auto"/>
        <w:ind w:left="120" w:right="378" w:firstLine="0"/>
        <w:jc w:val="left"/>
        <w:rPr>
          <w:sz w:val="28"/>
        </w:rPr>
      </w:pPr>
      <w:r>
        <w:rPr>
          <w:spacing w:val="-2"/>
          <w:sz w:val="28"/>
        </w:rPr>
        <w:t>神经源性因素：神经系统疾病如帕金森病、脊髓损伤、糖尿病神</w:t>
      </w:r>
      <w:r>
        <w:rPr>
          <w:spacing w:val="-2"/>
          <w:sz w:val="28"/>
        </w:rPr>
        <w:t>经病变等会导致支配膀胱的神经受到损害，从而影响膀胱功能。</w:t>
      </w:r>
    </w:p>
    <w:p>
      <w:pPr>
        <w:pStyle w:val="BodyText"/>
      </w:pPr>
    </w:p>
    <w:p>
      <w:pPr>
        <w:pStyle w:val="BodyText"/>
        <w:spacing w:before="8"/>
        <w:rPr>
          <w:sz w:val="20"/>
        </w:rPr>
      </w:pPr>
    </w:p>
    <w:p>
      <w:pPr>
        <w:pStyle w:val="ListParagraph"/>
        <w:numPr>
          <w:ilvl w:val="0"/>
          <w:numId w:val="47"/>
        </w:numPr>
        <w:tabs>
          <w:tab w:val="left" w:pos="542"/>
        </w:tabs>
        <w:spacing w:before="0" w:after="0" w:line="417" w:lineRule="auto"/>
        <w:ind w:left="120" w:right="378" w:firstLine="0"/>
        <w:jc w:val="left"/>
        <w:rPr>
          <w:sz w:val="28"/>
        </w:rPr>
      </w:pPr>
      <w:r>
        <w:rPr>
          <w:spacing w:val="-2"/>
          <w:sz w:val="28"/>
        </w:rPr>
        <w:t>肌肉源性因素：肌肉疾病如肌营养不良、重症肌无力等会影响膀</w:t>
      </w:r>
      <w:r>
        <w:rPr>
          <w:spacing w:val="-2"/>
          <w:sz w:val="28"/>
        </w:rPr>
        <w:t>胱肌肉的收缩能力，进而导致膀胱功能障碍。</w:t>
      </w:r>
    </w:p>
    <w:p>
      <w:pPr>
        <w:spacing w:after="0" w:line="417" w:lineRule="auto"/>
        <w:jc w:val="left"/>
        <w:rPr>
          <w:sz w:val="28"/>
        </w:rPr>
        <w:sectPr>
          <w:footerReference w:type="default" r:id="rId9"/>
          <w:type w:val="continuous"/>
          <w:pgSz w:w="11910" w:h="16840"/>
          <w:pgMar w:top="1400" w:right="1420" w:bottom="1380" w:left="1680" w:header="0" w:footer="1198"/>
          <w:pgNumType w:start="5"/>
          <w:cols w:space="708"/>
        </w:sectPr>
      </w:pPr>
    </w:p>
    <w:p>
      <w:pPr>
        <w:pStyle w:val="ListParagraph"/>
        <w:numPr>
          <w:ilvl w:val="0"/>
          <w:numId w:val="47"/>
        </w:numPr>
        <w:tabs>
          <w:tab w:val="left" w:pos="542"/>
        </w:tabs>
        <w:spacing w:before="37" w:after="0" w:line="417" w:lineRule="auto"/>
        <w:ind w:left="120" w:right="104" w:firstLine="0"/>
        <w:jc w:val="left"/>
        <w:rPr>
          <w:sz w:val="28"/>
        </w:rPr>
      </w:pPr>
      <w:r>
        <w:rPr>
          <w:spacing w:val="-2"/>
          <w:sz w:val="28"/>
        </w:rPr>
        <w:t>结构性因素：泌尿系统结构异常如膀胱结石、前列腺增生、膀胱</w:t>
      </w:r>
      <w:r>
        <w:rPr>
          <w:spacing w:val="40"/>
          <w:sz w:val="28"/>
        </w:rPr>
        <w:t xml:space="preserve"> </w:t>
      </w:r>
      <w:r>
        <w:rPr>
          <w:spacing w:val="-2"/>
          <w:sz w:val="28"/>
        </w:rPr>
        <w:t>肿瘤等会导致尿道梗阻或膀胱顺应性降低，影响膀胱的充盈和排尿。</w:t>
      </w:r>
    </w:p>
    <w:p>
      <w:pPr>
        <w:pStyle w:val="BodyText"/>
      </w:pPr>
    </w:p>
    <w:p>
      <w:pPr>
        <w:pStyle w:val="BodyText"/>
        <w:spacing w:before="8"/>
        <w:rPr>
          <w:sz w:val="20"/>
        </w:rPr>
      </w:pPr>
    </w:p>
    <w:p>
      <w:pPr>
        <w:pStyle w:val="ListParagraph"/>
        <w:numPr>
          <w:ilvl w:val="0"/>
          <w:numId w:val="47"/>
        </w:numPr>
        <w:tabs>
          <w:tab w:val="left" w:pos="542"/>
        </w:tabs>
        <w:spacing w:before="0" w:after="0" w:line="417" w:lineRule="auto"/>
        <w:ind w:left="120" w:right="378" w:firstLine="0"/>
        <w:jc w:val="left"/>
        <w:rPr>
          <w:sz w:val="28"/>
        </w:rPr>
      </w:pPr>
      <w:r>
        <w:rPr>
          <w:spacing w:val="-2"/>
          <w:sz w:val="28"/>
        </w:rPr>
        <w:t>药物因素：某些药物如镇静剂、抗抑郁药、利尿剂等会抑制膀胱</w:t>
      </w:r>
      <w:r>
        <w:rPr>
          <w:spacing w:val="-2"/>
          <w:sz w:val="28"/>
        </w:rPr>
        <w:t>的反射活动，引发膀胱功能障碍。</w:t>
      </w:r>
    </w:p>
    <w:p>
      <w:pPr>
        <w:pStyle w:val="BodyText"/>
      </w:pPr>
    </w:p>
    <w:p>
      <w:pPr>
        <w:pStyle w:val="BodyText"/>
        <w:spacing w:before="8"/>
        <w:rPr>
          <w:sz w:val="20"/>
        </w:rPr>
      </w:pPr>
    </w:p>
    <w:p>
      <w:pPr>
        <w:pStyle w:val="ListParagraph"/>
        <w:numPr>
          <w:ilvl w:val="0"/>
          <w:numId w:val="47"/>
        </w:numPr>
        <w:tabs>
          <w:tab w:val="left" w:pos="542"/>
        </w:tabs>
        <w:spacing w:before="1" w:after="0" w:line="417" w:lineRule="auto"/>
        <w:ind w:left="120" w:right="378" w:firstLine="0"/>
        <w:jc w:val="left"/>
        <w:rPr>
          <w:sz w:val="28"/>
        </w:rPr>
      </w:pPr>
      <w:r>
        <w:rPr>
          <w:spacing w:val="-2"/>
          <w:sz w:val="28"/>
        </w:rPr>
        <w:t>心理因素：焦虑、抑郁等心理状态可能影响中枢神经系统的调节</w:t>
      </w:r>
      <w:r>
        <w:rPr>
          <w:spacing w:val="-2"/>
          <w:sz w:val="28"/>
        </w:rPr>
        <w:t>功能，从而导致膀胱功能障碍。</w:t>
      </w:r>
    </w:p>
    <w:p>
      <w:pPr>
        <w:pStyle w:val="BodyText"/>
      </w:pPr>
    </w:p>
    <w:p>
      <w:pPr>
        <w:pStyle w:val="BodyText"/>
        <w:spacing w:before="8"/>
        <w:rPr>
          <w:sz w:val="20"/>
        </w:rPr>
      </w:pPr>
    </w:p>
    <w:p>
      <w:pPr>
        <w:pStyle w:val="BodyText"/>
        <w:ind w:left="120"/>
      </w:pPr>
      <w:r>
        <w:rPr>
          <w:spacing w:val="-3"/>
        </w:rPr>
        <w:t>二、分类</w:t>
      </w:r>
    </w:p>
    <w:p>
      <w:pPr>
        <w:pStyle w:val="BodyText"/>
      </w:pPr>
    </w:p>
    <w:p>
      <w:pPr>
        <w:pStyle w:val="BodyText"/>
        <w:spacing w:before="5"/>
        <w:rPr>
          <w:sz w:val="41"/>
        </w:rPr>
      </w:pPr>
    </w:p>
    <w:p>
      <w:pPr>
        <w:pStyle w:val="BodyText"/>
        <w:spacing w:line="417" w:lineRule="auto"/>
        <w:ind w:left="120" w:right="378"/>
      </w:pPr>
      <w:r>
        <w:rPr>
          <w:spacing w:val="-4"/>
        </w:rPr>
        <w:t>根据膀胱功能障碍的症状、病理生理特点和临床表现，可以将其分为</w:t>
      </w:r>
      <w:r>
        <w:rPr>
          <w:spacing w:val="-2"/>
        </w:rPr>
        <w:t>以下几种类型：</w:t>
      </w:r>
    </w:p>
    <w:p>
      <w:pPr>
        <w:pStyle w:val="BodyText"/>
      </w:pPr>
    </w:p>
    <w:p>
      <w:pPr>
        <w:pStyle w:val="BodyText"/>
        <w:spacing w:before="9"/>
        <w:rPr>
          <w:sz w:val="20"/>
        </w:rPr>
      </w:pPr>
    </w:p>
    <w:p>
      <w:pPr>
        <w:pStyle w:val="ListParagraph"/>
        <w:numPr>
          <w:ilvl w:val="0"/>
          <w:numId w:val="46"/>
        </w:numPr>
        <w:tabs>
          <w:tab w:val="left" w:pos="542"/>
        </w:tabs>
        <w:spacing w:before="0" w:after="0" w:line="417" w:lineRule="auto"/>
        <w:ind w:left="120" w:right="378" w:firstLine="0"/>
        <w:jc w:val="left"/>
        <w:rPr>
          <w:sz w:val="28"/>
        </w:rPr>
      </w:pPr>
      <w:r>
        <w:rPr>
          <w:spacing w:val="-2"/>
          <w:sz w:val="28"/>
        </w:rPr>
        <w:t>慢性尿失禁：表现为尿液不自主流出，通常与逼尿肌过度活动或</w:t>
      </w:r>
      <w:r>
        <w:rPr>
          <w:spacing w:val="-2"/>
          <w:sz w:val="28"/>
        </w:rPr>
        <w:t>括约肌协同失调有关。</w:t>
      </w:r>
    </w:p>
    <w:p>
      <w:pPr>
        <w:pStyle w:val="BodyText"/>
      </w:pPr>
    </w:p>
    <w:p>
      <w:pPr>
        <w:pStyle w:val="BodyText"/>
        <w:spacing w:before="8"/>
        <w:rPr>
          <w:sz w:val="20"/>
        </w:rPr>
      </w:pPr>
    </w:p>
    <w:p>
      <w:pPr>
        <w:pStyle w:val="ListParagraph"/>
        <w:numPr>
          <w:ilvl w:val="0"/>
          <w:numId w:val="46"/>
        </w:numPr>
        <w:tabs>
          <w:tab w:val="left" w:pos="542"/>
        </w:tabs>
        <w:spacing w:before="0" w:after="0" w:line="417" w:lineRule="auto"/>
        <w:ind w:left="120" w:right="378" w:firstLine="0"/>
        <w:jc w:val="left"/>
        <w:rPr>
          <w:sz w:val="28"/>
        </w:rPr>
      </w:pPr>
      <w:r>
        <w:rPr>
          <w:spacing w:val="-2"/>
          <w:sz w:val="28"/>
        </w:rPr>
        <w:t>急迫性尿失禁：突然强烈的尿意导致无法控制排尿，常见于神经</w:t>
      </w:r>
      <w:r>
        <w:rPr>
          <w:spacing w:val="-2"/>
          <w:sz w:val="28"/>
        </w:rPr>
        <w:t>源性膀胱和慢性膀胱炎患者。</w:t>
      </w:r>
    </w:p>
    <w:p>
      <w:pPr>
        <w:pStyle w:val="BodyText"/>
      </w:pPr>
    </w:p>
    <w:p>
      <w:pPr>
        <w:pStyle w:val="BodyText"/>
        <w:spacing w:before="9"/>
        <w:rPr>
          <w:sz w:val="20"/>
        </w:rPr>
      </w:pPr>
    </w:p>
    <w:p>
      <w:pPr>
        <w:pStyle w:val="ListParagraph"/>
        <w:numPr>
          <w:ilvl w:val="0"/>
          <w:numId w:val="46"/>
        </w:numPr>
        <w:tabs>
          <w:tab w:val="left" w:pos="542"/>
        </w:tabs>
        <w:spacing w:before="0" w:after="0" w:line="417" w:lineRule="auto"/>
        <w:ind w:left="120" w:right="378" w:firstLine="0"/>
        <w:jc w:val="left"/>
        <w:rPr>
          <w:sz w:val="28"/>
        </w:rPr>
      </w:pPr>
      <w:r>
        <w:rPr>
          <w:spacing w:val="-2"/>
          <w:sz w:val="28"/>
        </w:rPr>
        <w:t>压力性尿失禁：在咳嗽、打喷嚏、大笑或提重物时出现尿液不自</w:t>
      </w:r>
      <w:r>
        <w:rPr>
          <w:spacing w:val="-2"/>
          <w:sz w:val="28"/>
        </w:rPr>
        <w:t>主流出，主要是由于盆底肌肉松弛或者受损所造成。</w:t>
      </w:r>
    </w:p>
    <w:p>
      <w:pPr>
        <w:spacing w:after="0" w:line="417" w:lineRule="auto"/>
        <w:jc w:val="left"/>
        <w:rPr>
          <w:sz w:val="28"/>
        </w:rPr>
        <w:sectPr>
          <w:footerReference w:type="default" r:id="rId10"/>
          <w:pgSz w:w="11910" w:h="16840"/>
          <w:pgMar w:top="1520" w:right="1420" w:bottom="1380" w:left="1680" w:header="0" w:footer="1198"/>
          <w:pgNumType w:start="6"/>
          <w:cols w:space="708"/>
        </w:sectPr>
      </w:pPr>
    </w:p>
    <w:p>
      <w:pPr>
        <w:pStyle w:val="BodyText"/>
        <w:spacing w:before="8"/>
        <w:rPr>
          <w:sz w:val="15"/>
        </w:rPr>
      </w:pPr>
    </w:p>
    <w:p>
      <w:pPr>
        <w:pStyle w:val="ListParagraph"/>
        <w:numPr>
          <w:ilvl w:val="0"/>
          <w:numId w:val="46"/>
        </w:numPr>
        <w:tabs>
          <w:tab w:val="left" w:pos="542"/>
        </w:tabs>
        <w:spacing w:before="60" w:after="0" w:line="417" w:lineRule="auto"/>
        <w:ind w:left="120" w:right="378" w:firstLine="0"/>
        <w:jc w:val="left"/>
        <w:rPr>
          <w:sz w:val="28"/>
        </w:rPr>
      </w:pPr>
      <w:r>
        <w:rPr>
          <w:spacing w:val="-2"/>
          <w:sz w:val="28"/>
        </w:rPr>
        <w:t>充盈期膀胱症状：包括尿频、尿急、夜尿过多等症状，主要原因</w:t>
      </w:r>
      <w:r>
        <w:rPr>
          <w:spacing w:val="-2"/>
          <w:sz w:val="28"/>
        </w:rPr>
        <w:t>是膀胱储尿功能受损。</w:t>
      </w:r>
    </w:p>
    <w:p>
      <w:pPr>
        <w:pStyle w:val="BodyText"/>
      </w:pPr>
    </w:p>
    <w:p>
      <w:pPr>
        <w:pStyle w:val="BodyText"/>
        <w:spacing w:before="9"/>
        <w:rPr>
          <w:sz w:val="20"/>
        </w:rPr>
      </w:pPr>
    </w:p>
    <w:p>
      <w:pPr>
        <w:pStyle w:val="ListParagraph"/>
        <w:numPr>
          <w:ilvl w:val="0"/>
          <w:numId w:val="46"/>
        </w:numPr>
        <w:tabs>
          <w:tab w:val="left" w:pos="542"/>
        </w:tabs>
        <w:spacing w:before="0" w:after="0" w:line="417" w:lineRule="auto"/>
        <w:ind w:left="120" w:right="378" w:firstLine="0"/>
        <w:jc w:val="left"/>
        <w:rPr>
          <w:sz w:val="28"/>
        </w:rPr>
      </w:pPr>
      <w:r>
        <w:rPr>
          <w:spacing w:val="-2"/>
          <w:sz w:val="28"/>
        </w:rPr>
        <w:t>排尿障碍：如尿潴留或排尿困难，可能与尿道梗阻、括约肌功能</w:t>
      </w:r>
      <w:r>
        <w:rPr>
          <w:spacing w:val="-2"/>
          <w:sz w:val="28"/>
        </w:rPr>
        <w:t>障碍等因素有关。</w:t>
      </w:r>
    </w:p>
    <w:p>
      <w:pPr>
        <w:pStyle w:val="BodyText"/>
      </w:pPr>
    </w:p>
    <w:p>
      <w:pPr>
        <w:pStyle w:val="BodyText"/>
        <w:spacing w:before="8"/>
        <w:rPr>
          <w:sz w:val="20"/>
        </w:rPr>
      </w:pPr>
    </w:p>
    <w:p>
      <w:pPr>
        <w:pStyle w:val="BodyText"/>
        <w:spacing w:line="417" w:lineRule="auto"/>
        <w:ind w:left="120" w:right="98"/>
      </w:pPr>
      <w:r>
        <w:rPr>
          <w:spacing w:val="-2"/>
        </w:rPr>
        <w:t>综上所述，膀胱功能障碍的病因复杂多样，涉及神经、肌肉、结构、</w:t>
      </w:r>
      <w:r>
        <w:rPr>
          <w:spacing w:val="-11"/>
        </w:rPr>
        <w:t>药物和心理等多个方面。了解这些病因有助于我们更好地诊断和治疗</w:t>
      </w:r>
      <w:r>
        <w:rPr>
          <w:spacing w:val="-2"/>
        </w:rPr>
        <w:t xml:space="preserve"> </w:t>
      </w:r>
      <w:r>
        <w:rPr>
          <w:spacing w:val="-2"/>
        </w:rPr>
        <w:t>膀胱功能障碍，并且有助于提高患者的生活质量。</w:t>
      </w:r>
    </w:p>
    <w:p>
      <w:pPr>
        <w:pStyle w:val="BodyText"/>
      </w:pPr>
    </w:p>
    <w:p>
      <w:pPr>
        <w:pStyle w:val="Heading1"/>
        <w:tabs>
          <w:tab w:val="left" w:pos="1725"/>
        </w:tabs>
        <w:spacing w:before="238"/>
      </w:pPr>
      <w:bookmarkStart w:id="2" w:name="_TOC_250005"/>
      <w:r>
        <w:t>第</w:t>
      </w:r>
      <w:r>
        <w:t>三</w:t>
      </w:r>
      <w:r>
        <w:t>部</w:t>
      </w:r>
      <w:r>
        <w:rPr>
          <w:spacing w:val="-10"/>
        </w:rPr>
        <w:t>分</w:t>
      </w:r>
      <w:r>
        <w:tab/>
        <w:t>生</w:t>
      </w:r>
      <w:r>
        <w:t>活</w:t>
      </w:r>
      <w:r>
        <w:t>质</w:t>
      </w:r>
      <w:r>
        <w:t>量</w:t>
      </w:r>
      <w:r>
        <w:t>评</w:t>
      </w:r>
      <w:r>
        <w:t>估</w:t>
      </w:r>
      <w:r>
        <w:t>工</w:t>
      </w:r>
      <w:r>
        <w:t>具</w:t>
      </w:r>
      <w:r>
        <w:t>介</w:t>
      </w:r>
      <w:bookmarkEnd w:id="2"/>
      <w:r>
        <w:rPr>
          <w:spacing w:val="-10"/>
        </w:rPr>
        <w:t>绍</w:t>
      </w:r>
    </w:p>
    <w:p>
      <w:pPr>
        <w:pStyle w:val="BodyText"/>
        <w:spacing w:before="16"/>
        <w:rPr>
          <w:rFonts w:ascii="Microsoft JhengHei"/>
          <w:b/>
          <w:sz w:val="15"/>
        </w:rPr>
      </w:pPr>
    </w:p>
    <w:tbl>
      <w:tblPr>
        <w:tblStyle w:val="TableNormal4"/>
        <w:tblW w:w="0" w:type="auto"/>
        <w:jc w:val="left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67"/>
        <w:gridCol w:w="5529"/>
      </w:tblGrid>
      <w:tr>
        <w:tblPrEx>
          <w:tblW w:w="0" w:type="auto"/>
          <w:jc w:val="left"/>
          <w:tblInd w:w="13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12"/>
          <w:jc w:val="left"/>
        </w:trPr>
        <w:tc>
          <w:tcPr>
            <w:tcW w:w="2767" w:type="dxa"/>
          </w:tcPr>
          <w:p>
            <w:pPr>
              <w:pStyle w:val="TableParagraph"/>
              <w:spacing w:before="23"/>
              <w:ind w:left="108"/>
              <w:rPr>
                <w:sz w:val="21"/>
              </w:rPr>
            </w:pPr>
            <w:r>
              <w:rPr>
                <w:spacing w:val="-4"/>
                <w:sz w:val="21"/>
              </w:rPr>
              <w:t>关键词</w:t>
            </w:r>
          </w:p>
        </w:tc>
        <w:tc>
          <w:tcPr>
            <w:tcW w:w="5529" w:type="dxa"/>
          </w:tcPr>
          <w:p>
            <w:pPr>
              <w:pStyle w:val="TableParagraph"/>
              <w:spacing w:before="23"/>
              <w:ind w:left="108"/>
              <w:rPr>
                <w:sz w:val="21"/>
              </w:rPr>
            </w:pPr>
            <w:r>
              <w:rPr>
                <w:spacing w:val="-3"/>
                <w:sz w:val="21"/>
              </w:rPr>
              <w:t>关键要点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2496"/>
          <w:jc w:val="left"/>
        </w:trPr>
        <w:tc>
          <w:tcPr>
            <w:tcW w:w="2767" w:type="dxa"/>
          </w:tcPr>
          <w:p>
            <w:pPr>
              <w:pStyle w:val="TableParagraph"/>
              <w:spacing w:before="23" w:line="278" w:lineRule="auto"/>
              <w:ind w:left="108" w:right="96"/>
              <w:rPr>
                <w:sz w:val="21"/>
              </w:rPr>
            </w:pPr>
            <w:r>
              <w:rPr>
                <w:spacing w:val="-2"/>
                <w:sz w:val="21"/>
              </w:rPr>
              <w:t>膀胱功能障碍生活质量评估</w:t>
            </w:r>
            <w:r>
              <w:rPr>
                <w:spacing w:val="-6"/>
                <w:sz w:val="21"/>
              </w:rPr>
              <w:t>工具</w:t>
            </w:r>
          </w:p>
        </w:tc>
        <w:tc>
          <w:tcPr>
            <w:tcW w:w="5529" w:type="dxa"/>
          </w:tcPr>
          <w:p>
            <w:pPr>
              <w:pStyle w:val="TableParagraph"/>
              <w:spacing w:before="4"/>
              <w:ind w:left="0"/>
              <w:rPr>
                <w:rFonts w:ascii="Microsoft JhengHei"/>
                <w:b/>
                <w:sz w:val="18"/>
              </w:rPr>
            </w:pPr>
          </w:p>
          <w:p>
            <w:pPr>
              <w:pStyle w:val="TableParagraph"/>
              <w:numPr>
                <w:ilvl w:val="0"/>
                <w:numId w:val="45"/>
              </w:numPr>
              <w:tabs>
                <w:tab w:val="left" w:pos="371"/>
              </w:tabs>
              <w:spacing w:before="0" w:after="0" w:line="278" w:lineRule="auto"/>
              <w:ind w:left="108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工具类型：根据评估内容和目的的不同，可分为问卷调</w:t>
            </w:r>
            <w:r>
              <w:rPr>
                <w:spacing w:val="-2"/>
                <w:sz w:val="21"/>
              </w:rPr>
              <w:t>查法、临床评分法、生理指标测量等不同类型。</w:t>
            </w:r>
          </w:p>
          <w:p>
            <w:pPr>
              <w:pStyle w:val="TableParagraph"/>
              <w:numPr>
                <w:ilvl w:val="0"/>
                <w:numId w:val="45"/>
              </w:numPr>
              <w:tabs>
                <w:tab w:val="left" w:pos="371"/>
              </w:tabs>
              <w:spacing w:before="0" w:after="0" w:line="278" w:lineRule="auto"/>
              <w:ind w:left="108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评价维度：包括排尿症状、社会心理因素、身体功能等</w:t>
            </w:r>
            <w:r>
              <w:rPr>
                <w:spacing w:val="-2"/>
                <w:sz w:val="21"/>
              </w:rPr>
              <w:t>方面，全方位反映患者的生活质量。</w:t>
            </w:r>
          </w:p>
          <w:p>
            <w:pPr>
              <w:pStyle w:val="TableParagraph"/>
              <w:numPr>
                <w:ilvl w:val="0"/>
                <w:numId w:val="45"/>
              </w:numPr>
              <w:tabs>
                <w:tab w:val="left" w:pos="371"/>
              </w:tabs>
              <w:spacing w:before="0" w:after="0" w:line="278" w:lineRule="auto"/>
              <w:ind w:left="108" w:right="97" w:firstLine="0"/>
              <w:jc w:val="left"/>
              <w:rPr>
                <w:sz w:val="21"/>
              </w:rPr>
            </w:pPr>
            <w:r>
              <w:rPr>
                <w:spacing w:val="-17"/>
                <w:sz w:val="21"/>
              </w:rPr>
              <w:t>可靠性与效度：高质量的评估工具需具备良好的信度</w:t>
            </w:r>
            <w:r>
              <w:rPr>
                <w:spacing w:val="-2"/>
                <w:sz w:val="21"/>
              </w:rPr>
              <w:t>（</w:t>
            </w:r>
            <w:r>
              <w:rPr>
                <w:spacing w:val="-2"/>
                <w:sz w:val="21"/>
              </w:rPr>
              <w:t>一</w:t>
            </w:r>
            <w:r>
              <w:rPr>
                <w:spacing w:val="-2"/>
                <w:sz w:val="21"/>
              </w:rPr>
              <w:t>致性）和效度（真实性</w:t>
            </w:r>
            <w:r>
              <w:rPr>
                <w:spacing w:val="-105"/>
                <w:sz w:val="21"/>
              </w:rPr>
              <w:t>）</w:t>
            </w:r>
            <w:r>
              <w:rPr>
                <w:spacing w:val="-2"/>
                <w:sz w:val="21"/>
              </w:rPr>
              <w:t>，以确保结果准确可靠。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2496"/>
          <w:jc w:val="left"/>
        </w:trPr>
        <w:tc>
          <w:tcPr>
            <w:tcW w:w="2767" w:type="dxa"/>
          </w:tcPr>
          <w:p>
            <w:pPr>
              <w:pStyle w:val="TableParagraph"/>
              <w:spacing w:before="23"/>
              <w:ind w:left="108"/>
              <w:rPr>
                <w:sz w:val="21"/>
              </w:rPr>
            </w:pPr>
            <w:r>
              <w:rPr>
                <w:spacing w:val="-1"/>
                <w:sz w:val="21"/>
              </w:rPr>
              <w:t>国际通用膀胱功能障碍量表</w:t>
            </w:r>
          </w:p>
        </w:tc>
        <w:tc>
          <w:tcPr>
            <w:tcW w:w="5529" w:type="dxa"/>
          </w:tcPr>
          <w:p>
            <w:pPr>
              <w:pStyle w:val="TableParagraph"/>
              <w:spacing w:before="4"/>
              <w:ind w:left="0"/>
              <w:rPr>
                <w:rFonts w:ascii="Microsoft JhengHei"/>
                <w:b/>
                <w:sz w:val="18"/>
              </w:rPr>
            </w:pPr>
          </w:p>
          <w:p>
            <w:pPr>
              <w:pStyle w:val="TableParagraph"/>
              <w:numPr>
                <w:ilvl w:val="0"/>
                <w:numId w:val="44"/>
              </w:numPr>
              <w:tabs>
                <w:tab w:val="left" w:pos="371"/>
              </w:tabs>
              <w:spacing w:before="0" w:after="0" w:line="278" w:lineRule="auto"/>
              <w:ind w:left="108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问卷结构：包含多个条目，涵盖不同方面的症状和生活</w:t>
            </w:r>
            <w:r>
              <w:rPr>
                <w:spacing w:val="-4"/>
                <w:sz w:val="21"/>
              </w:rPr>
              <w:t>影响。</w:t>
            </w:r>
          </w:p>
          <w:p>
            <w:pPr>
              <w:pStyle w:val="TableParagraph"/>
              <w:numPr>
                <w:ilvl w:val="0"/>
                <w:numId w:val="44"/>
              </w:numPr>
              <w:tabs>
                <w:tab w:val="left" w:pos="371"/>
              </w:tabs>
              <w:spacing w:before="0" w:after="0" w:line="278" w:lineRule="auto"/>
              <w:ind w:left="108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量化打分：每个条目采用五级或七级评分制，便于统计</w:t>
            </w:r>
            <w:r>
              <w:rPr>
                <w:spacing w:val="-4"/>
                <w:sz w:val="21"/>
              </w:rPr>
              <w:t>分析。</w:t>
            </w:r>
          </w:p>
          <w:p>
            <w:pPr>
              <w:pStyle w:val="TableParagraph"/>
              <w:numPr>
                <w:ilvl w:val="0"/>
                <w:numId w:val="44"/>
              </w:numPr>
              <w:tabs>
                <w:tab w:val="left" w:pos="371"/>
              </w:tabs>
              <w:spacing w:before="0" w:after="0" w:line="278" w:lineRule="auto"/>
              <w:ind w:left="108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适应性广：适用于各种类型的膀胱功能障碍患者，有助</w:t>
            </w:r>
            <w:r>
              <w:rPr>
                <w:spacing w:val="-2"/>
                <w:sz w:val="21"/>
              </w:rPr>
              <w:t>于进行国际比较研究。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624"/>
          <w:jc w:val="left"/>
        </w:trPr>
        <w:tc>
          <w:tcPr>
            <w:tcW w:w="2767" w:type="dxa"/>
          </w:tcPr>
          <w:p>
            <w:pPr>
              <w:pStyle w:val="TableParagraph"/>
              <w:spacing w:before="23"/>
              <w:ind w:left="108"/>
              <w:rPr>
                <w:sz w:val="21"/>
              </w:rPr>
            </w:pPr>
            <w:r>
              <w:rPr>
                <w:spacing w:val="-1"/>
                <w:sz w:val="21"/>
              </w:rPr>
              <w:t>特殊人群膀胱功能障碍评估</w:t>
            </w:r>
          </w:p>
          <w:p>
            <w:pPr>
              <w:pStyle w:val="TableParagraph"/>
              <w:spacing w:before="43"/>
              <w:ind w:left="108"/>
              <w:rPr>
                <w:sz w:val="21"/>
              </w:rPr>
            </w:pPr>
            <w:r>
              <w:rPr>
                <w:spacing w:val="-5"/>
                <w:sz w:val="21"/>
              </w:rPr>
              <w:t>工具</w:t>
            </w:r>
          </w:p>
        </w:tc>
        <w:tc>
          <w:tcPr>
            <w:tcW w:w="5529" w:type="dxa"/>
          </w:tcPr>
          <w:p>
            <w:pPr>
              <w:pStyle w:val="TableParagraph"/>
              <w:spacing w:before="4"/>
              <w:ind w:left="0"/>
              <w:rPr>
                <w:rFonts w:ascii="Microsoft JhengHei"/>
                <w:b/>
                <w:sz w:val="18"/>
              </w:rPr>
            </w:pPr>
          </w:p>
          <w:p>
            <w:pPr>
              <w:pStyle w:val="TableParagraph"/>
              <w:numPr>
                <w:ilvl w:val="0"/>
                <w:numId w:val="43"/>
              </w:numPr>
              <w:tabs>
                <w:tab w:val="left" w:pos="371"/>
              </w:tabs>
              <w:spacing w:before="0" w:after="0" w:line="240" w:lineRule="auto"/>
              <w:ind w:left="370" w:right="0" w:hanging="263"/>
              <w:jc w:val="left"/>
              <w:rPr>
                <w:sz w:val="21"/>
              </w:rPr>
            </w:pPr>
            <w:r>
              <w:rPr>
                <w:spacing w:val="-1"/>
                <w:sz w:val="21"/>
              </w:rPr>
              <w:t>目标群体针对性强：针对儿童、老年人、孕妇等特殊人</w:t>
            </w:r>
          </w:p>
        </w:tc>
      </w:tr>
    </w:tbl>
    <w:p>
      <w:pPr>
        <w:spacing w:after="0" w:line="240" w:lineRule="auto"/>
        <w:jc w:val="left"/>
        <w:rPr>
          <w:sz w:val="21"/>
        </w:rPr>
        <w:sectPr>
          <w:footerReference w:type="default" r:id="rId11"/>
          <w:pgSz w:w="11910" w:h="16840"/>
          <w:pgMar w:top="1920" w:right="1420" w:bottom="1380" w:left="1680" w:header="0" w:footer="1198"/>
          <w:pgNumType w:start="7"/>
          <w:cols w:space="708"/>
        </w:sectPr>
      </w:pPr>
    </w:p>
    <w:tbl>
      <w:tblPr>
        <w:tblStyle w:val="TableNormal5"/>
        <w:tblW w:w="0" w:type="auto"/>
        <w:jc w:val="left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67"/>
        <w:gridCol w:w="5529"/>
      </w:tblGrid>
      <w:tr>
        <w:tblPrEx>
          <w:tblW w:w="0" w:type="auto"/>
          <w:jc w:val="left"/>
          <w:tblInd w:w="13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1871"/>
          <w:jc w:val="left"/>
        </w:trPr>
        <w:tc>
          <w:tcPr>
            <w:tcW w:w="2767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5529" w:type="dxa"/>
          </w:tcPr>
          <w:p>
            <w:pPr>
              <w:pStyle w:val="TableParagraph"/>
              <w:spacing w:before="23"/>
              <w:ind w:left="108"/>
              <w:rPr>
                <w:sz w:val="21"/>
              </w:rPr>
            </w:pPr>
            <w:r>
              <w:rPr>
                <w:spacing w:val="-1"/>
                <w:sz w:val="21"/>
              </w:rPr>
              <w:t>群，设计适合其特点的评估工具。</w:t>
            </w:r>
          </w:p>
          <w:p>
            <w:pPr>
              <w:pStyle w:val="TableParagraph"/>
              <w:numPr>
                <w:ilvl w:val="0"/>
                <w:numId w:val="42"/>
              </w:numPr>
              <w:tabs>
                <w:tab w:val="left" w:pos="371"/>
              </w:tabs>
              <w:spacing w:before="43" w:after="0" w:line="278" w:lineRule="auto"/>
              <w:ind w:left="108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考虑年龄、性别等因素：针对目标群体的身体特征和生</w:t>
            </w:r>
            <w:r>
              <w:rPr>
                <w:spacing w:val="-2"/>
                <w:sz w:val="21"/>
              </w:rPr>
              <w:t>活需求，调整评价维度和权重。</w:t>
            </w:r>
          </w:p>
          <w:p>
            <w:pPr>
              <w:pStyle w:val="TableParagraph"/>
              <w:numPr>
                <w:ilvl w:val="0"/>
                <w:numId w:val="42"/>
              </w:numPr>
              <w:tabs>
                <w:tab w:val="left" w:pos="371"/>
              </w:tabs>
              <w:spacing w:before="0" w:after="0" w:line="278" w:lineRule="auto"/>
              <w:ind w:left="108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提高评估准确性：专门针对特殊人群的研究成果，提升</w:t>
            </w:r>
            <w:r>
              <w:rPr>
                <w:spacing w:val="-2"/>
                <w:sz w:val="21"/>
              </w:rPr>
              <w:t>评估结果的相关性和实用性。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2495"/>
          <w:jc w:val="left"/>
        </w:trPr>
        <w:tc>
          <w:tcPr>
            <w:tcW w:w="2767" w:type="dxa"/>
          </w:tcPr>
          <w:p>
            <w:pPr>
              <w:pStyle w:val="TableParagraph"/>
              <w:spacing w:before="23" w:line="278" w:lineRule="auto"/>
              <w:ind w:left="108" w:right="96"/>
              <w:rPr>
                <w:sz w:val="21"/>
              </w:rPr>
            </w:pPr>
            <w:r>
              <w:rPr>
                <w:spacing w:val="-2"/>
                <w:sz w:val="21"/>
              </w:rPr>
              <w:t>病程阶段及治疗效果评估工</w:t>
            </w:r>
            <w:r>
              <w:rPr>
                <w:spacing w:val="-10"/>
                <w:sz w:val="21"/>
              </w:rPr>
              <w:t>具</w:t>
            </w:r>
          </w:p>
        </w:tc>
        <w:tc>
          <w:tcPr>
            <w:tcW w:w="5529" w:type="dxa"/>
          </w:tcPr>
          <w:p>
            <w:pPr>
              <w:pStyle w:val="TableParagraph"/>
              <w:spacing w:before="4"/>
              <w:ind w:left="0"/>
              <w:rPr>
                <w:rFonts w:ascii="Microsoft JhengHei"/>
                <w:b/>
                <w:sz w:val="18"/>
              </w:rPr>
            </w:pPr>
          </w:p>
          <w:p>
            <w:pPr>
              <w:pStyle w:val="TableParagraph"/>
              <w:numPr>
                <w:ilvl w:val="0"/>
                <w:numId w:val="41"/>
              </w:numPr>
              <w:tabs>
                <w:tab w:val="left" w:pos="371"/>
              </w:tabs>
              <w:spacing w:before="0" w:after="0" w:line="278" w:lineRule="auto"/>
              <w:ind w:left="108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阶段性评估：根据病程进展，选用不同的评估工具，跟</w:t>
            </w:r>
            <w:r>
              <w:rPr>
                <w:spacing w:val="-2"/>
                <w:sz w:val="21"/>
              </w:rPr>
              <w:t>踪患者状况变化。</w:t>
            </w:r>
          </w:p>
          <w:p>
            <w:pPr>
              <w:pStyle w:val="TableParagraph"/>
              <w:numPr>
                <w:ilvl w:val="0"/>
                <w:numId w:val="41"/>
              </w:numPr>
              <w:tabs>
                <w:tab w:val="left" w:pos="371"/>
              </w:tabs>
              <w:spacing w:before="0" w:after="0" w:line="278" w:lineRule="auto"/>
              <w:ind w:left="108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治疗效果反馈：结合患者治疗情况，选择能有效反映治</w:t>
            </w:r>
            <w:r>
              <w:rPr>
                <w:spacing w:val="-2"/>
                <w:sz w:val="21"/>
              </w:rPr>
              <w:t>疗效果的评估工具。</w:t>
            </w:r>
          </w:p>
          <w:p>
            <w:pPr>
              <w:pStyle w:val="TableParagraph"/>
              <w:numPr>
                <w:ilvl w:val="0"/>
                <w:numId w:val="41"/>
              </w:numPr>
              <w:tabs>
                <w:tab w:val="left" w:pos="371"/>
              </w:tabs>
              <w:spacing w:before="0" w:after="0" w:line="278" w:lineRule="auto"/>
              <w:ind w:left="108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指导调整治疗方案：通过评估结果，为医生提供调整治</w:t>
            </w:r>
            <w:r>
              <w:rPr>
                <w:spacing w:val="-2"/>
                <w:sz w:val="21"/>
              </w:rPr>
              <w:t>疗策略和用药剂量的依据。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2496"/>
          <w:jc w:val="left"/>
        </w:trPr>
        <w:tc>
          <w:tcPr>
            <w:tcW w:w="2767" w:type="dxa"/>
          </w:tcPr>
          <w:p>
            <w:pPr>
              <w:pStyle w:val="TableParagraph"/>
              <w:spacing w:before="23"/>
              <w:ind w:left="108"/>
              <w:rPr>
                <w:sz w:val="21"/>
              </w:rPr>
            </w:pPr>
            <w:r>
              <w:rPr>
                <w:spacing w:val="-2"/>
                <w:sz w:val="21"/>
              </w:rPr>
              <w:t>远程在线评估工具</w:t>
            </w:r>
          </w:p>
        </w:tc>
        <w:tc>
          <w:tcPr>
            <w:tcW w:w="5529" w:type="dxa"/>
          </w:tcPr>
          <w:p>
            <w:pPr>
              <w:pStyle w:val="TableParagraph"/>
              <w:spacing w:before="4"/>
              <w:ind w:left="0"/>
              <w:rPr>
                <w:rFonts w:ascii="Microsoft JhengHei"/>
                <w:b/>
                <w:sz w:val="18"/>
              </w:rPr>
            </w:pPr>
          </w:p>
          <w:p>
            <w:pPr>
              <w:pStyle w:val="TableParagraph"/>
              <w:numPr>
                <w:ilvl w:val="0"/>
                <w:numId w:val="40"/>
              </w:numPr>
              <w:tabs>
                <w:tab w:val="left" w:pos="371"/>
              </w:tabs>
              <w:spacing w:before="0" w:after="0" w:line="278" w:lineRule="auto"/>
              <w:ind w:left="108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数字化评估平台：借助互联网技术，实现远程在线填写</w:t>
            </w:r>
            <w:r>
              <w:rPr>
                <w:spacing w:val="-2"/>
                <w:sz w:val="21"/>
              </w:rPr>
              <w:t>问卷、上传生理数据等功能。</w:t>
            </w:r>
          </w:p>
          <w:p>
            <w:pPr>
              <w:pStyle w:val="TableParagraph"/>
              <w:numPr>
                <w:ilvl w:val="0"/>
                <w:numId w:val="40"/>
              </w:numPr>
              <w:tabs>
                <w:tab w:val="left" w:pos="371"/>
              </w:tabs>
              <w:spacing w:before="0" w:after="0" w:line="278" w:lineRule="auto"/>
              <w:ind w:left="108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实时监控：定期自动提醒患者进行评估，方便及时发现</w:t>
            </w:r>
            <w:r>
              <w:rPr>
                <w:spacing w:val="-2"/>
                <w:sz w:val="21"/>
              </w:rPr>
              <w:t>病情变化。</w:t>
            </w:r>
          </w:p>
          <w:p>
            <w:pPr>
              <w:pStyle w:val="TableParagraph"/>
              <w:numPr>
                <w:ilvl w:val="0"/>
                <w:numId w:val="40"/>
              </w:numPr>
              <w:tabs>
                <w:tab w:val="left" w:pos="371"/>
              </w:tabs>
              <w:spacing w:before="0" w:after="0" w:line="278" w:lineRule="auto"/>
              <w:ind w:left="108" w:right="-15" w:firstLine="0"/>
              <w:jc w:val="left"/>
              <w:rPr>
                <w:sz w:val="21"/>
              </w:rPr>
            </w:pPr>
            <w:r>
              <w:rPr>
                <w:spacing w:val="-4"/>
                <w:sz w:val="21"/>
              </w:rPr>
              <w:t>数据安全存储：保证患者的个人信息和健康数据的安全，</w:t>
            </w:r>
            <w:r>
              <w:rPr>
                <w:spacing w:val="-2"/>
                <w:sz w:val="21"/>
              </w:rPr>
              <w:t>符合隐私保护法规要求。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2184"/>
          <w:jc w:val="left"/>
        </w:trPr>
        <w:tc>
          <w:tcPr>
            <w:tcW w:w="2767" w:type="dxa"/>
          </w:tcPr>
          <w:p>
            <w:pPr>
              <w:pStyle w:val="TableParagraph"/>
              <w:spacing w:before="23"/>
              <w:ind w:left="108"/>
              <w:rPr>
                <w:sz w:val="21"/>
              </w:rPr>
            </w:pPr>
            <w:r>
              <w:rPr>
                <w:spacing w:val="-1"/>
                <w:sz w:val="21"/>
              </w:rPr>
              <w:t>智能穿戴设备辅助评估</w:t>
            </w:r>
          </w:p>
        </w:tc>
        <w:tc>
          <w:tcPr>
            <w:tcW w:w="5529" w:type="dxa"/>
          </w:tcPr>
          <w:p>
            <w:pPr>
              <w:pStyle w:val="TableParagraph"/>
              <w:spacing w:before="4"/>
              <w:ind w:left="0"/>
              <w:rPr>
                <w:rFonts w:ascii="Microsoft JhengHei"/>
                <w:b/>
                <w:sz w:val="18"/>
              </w:rPr>
            </w:pPr>
          </w:p>
          <w:p>
            <w:pPr>
              <w:pStyle w:val="TableParagraph"/>
              <w:numPr>
                <w:ilvl w:val="0"/>
                <w:numId w:val="39"/>
              </w:numPr>
              <w:tabs>
                <w:tab w:val="left" w:pos="371"/>
              </w:tabs>
              <w:spacing w:before="0" w:after="0" w:line="278" w:lineRule="auto"/>
              <w:ind w:left="108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持续监测：通过穿戴设备实时收集患者的生理参数，如</w:t>
            </w:r>
            <w:r>
              <w:rPr>
                <w:spacing w:val="-2"/>
                <w:sz w:val="21"/>
              </w:rPr>
              <w:t>尿频、尿急等症状数据。</w:t>
            </w:r>
          </w:p>
          <w:p>
            <w:pPr>
              <w:pStyle w:val="TableParagraph"/>
              <w:numPr>
                <w:ilvl w:val="0"/>
                <w:numId w:val="39"/>
              </w:numPr>
              <w:tabs>
                <w:tab w:val="left" w:pos="371"/>
              </w:tabs>
              <w:spacing w:before="0" w:after="0" w:line="278" w:lineRule="auto"/>
              <w:ind w:left="108" w:right="-15" w:firstLine="0"/>
              <w:jc w:val="left"/>
              <w:rPr>
                <w:sz w:val="21"/>
              </w:rPr>
            </w:pPr>
            <w:r>
              <w:rPr>
                <w:spacing w:val="-4"/>
                <w:sz w:val="21"/>
              </w:rPr>
              <w:t>大数据分析：将穿戴设备采集的数据与问卷调查相结合，</w:t>
            </w:r>
            <w:r>
              <w:rPr>
                <w:spacing w:val="-2"/>
                <w:sz w:val="21"/>
              </w:rPr>
              <w:t>进行全面的质量评估。</w:t>
            </w:r>
          </w:p>
          <w:p>
            <w:pPr>
              <w:pStyle w:val="TableParagraph"/>
              <w:numPr>
                <w:ilvl w:val="0"/>
                <w:numId w:val="39"/>
              </w:numPr>
              <w:tabs>
                <w:tab w:val="left" w:pos="371"/>
              </w:tabs>
              <w:spacing w:before="0" w:after="0" w:line="269" w:lineRule="exact"/>
              <w:ind w:left="370" w:right="0" w:hanging="263"/>
              <w:jc w:val="left"/>
              <w:rPr>
                <w:sz w:val="21"/>
              </w:rPr>
            </w:pPr>
            <w:r>
              <w:rPr>
                <w:spacing w:val="-1"/>
                <w:sz w:val="21"/>
              </w:rPr>
              <w:t>个性化建议：基于数据分析结果，为患者提供个性化的</w:t>
            </w:r>
          </w:p>
          <w:p>
            <w:pPr>
              <w:pStyle w:val="TableParagraph"/>
              <w:spacing w:before="43"/>
              <w:ind w:left="108"/>
              <w:rPr>
                <w:sz w:val="21"/>
              </w:rPr>
            </w:pPr>
            <w:r>
              <w:rPr>
                <w:spacing w:val="-2"/>
                <w:sz w:val="21"/>
              </w:rPr>
              <w:t>健康管理建议。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12"/>
          <w:jc w:val="left"/>
        </w:trPr>
        <w:tc>
          <w:tcPr>
            <w:tcW w:w="2767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5529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</w:tr>
    </w:tbl>
    <w:p>
      <w:pPr>
        <w:pStyle w:val="BodyText"/>
        <w:spacing w:before="6"/>
        <w:rPr>
          <w:rFonts w:ascii="Microsoft JhengHei"/>
          <w:b/>
          <w:sz w:val="5"/>
        </w:rPr>
      </w:pPr>
    </w:p>
    <w:p>
      <w:pPr>
        <w:pStyle w:val="BodyText"/>
        <w:spacing w:before="61" w:line="417" w:lineRule="auto"/>
        <w:ind w:left="120" w:right="378" w:firstLine="560"/>
        <w:jc w:val="both"/>
      </w:pPr>
      <w:r>
        <w:t>膀胱功能障碍（Bladder dysfunction, BD）是一种常见的泌尿</w:t>
      </w:r>
      <w:r>
        <w:rPr>
          <w:spacing w:val="-4"/>
        </w:rPr>
        <w:t xml:space="preserve">系统疾病，影响患者的日常生活和工作。为了准确评估 </w:t>
      </w:r>
      <w:r>
        <w:rPr>
          <w:spacing w:val="-2"/>
        </w:rPr>
        <w:t>BD</w:t>
      </w:r>
      <w:r>
        <w:rPr>
          <w:spacing w:val="-10"/>
        </w:rPr>
        <w:t xml:space="preserve"> 患者的生</w:t>
      </w:r>
      <w:r>
        <w:rPr>
          <w:spacing w:val="-4"/>
        </w:rPr>
        <w:t>活质量，研究者通常采用生活质量评估工具进行量化评价。本文将介</w:t>
      </w:r>
      <w:r>
        <w:rPr>
          <w:spacing w:val="-2"/>
        </w:rPr>
        <w:t>绍几种常用的生活质量评估工具及其特点。</w:t>
      </w:r>
    </w:p>
    <w:p>
      <w:pPr>
        <w:pStyle w:val="BodyText"/>
      </w:pPr>
    </w:p>
    <w:p>
      <w:pPr>
        <w:pStyle w:val="BodyText"/>
        <w:spacing w:before="7"/>
        <w:rPr>
          <w:sz w:val="20"/>
        </w:rPr>
      </w:pPr>
    </w:p>
    <w:p>
      <w:pPr>
        <w:pStyle w:val="ListParagraph"/>
        <w:numPr>
          <w:ilvl w:val="0"/>
          <w:numId w:val="38"/>
        </w:numPr>
        <w:tabs>
          <w:tab w:val="left" w:pos="540"/>
        </w:tabs>
        <w:spacing w:before="1" w:after="0" w:line="240" w:lineRule="auto"/>
        <w:ind w:left="540" w:right="0" w:hanging="420"/>
        <w:jc w:val="left"/>
        <w:rPr>
          <w:sz w:val="28"/>
        </w:rPr>
      </w:pPr>
      <w:r>
        <w:rPr>
          <w:sz w:val="28"/>
        </w:rPr>
        <w:t xml:space="preserve">International Prostate Symptom Score </w:t>
      </w:r>
      <w:r>
        <w:rPr>
          <w:spacing w:val="-2"/>
          <w:sz w:val="28"/>
        </w:rPr>
        <w:t>(IPSS)</w:t>
      </w:r>
    </w:p>
    <w:p>
      <w:pPr>
        <w:pStyle w:val="BodyText"/>
        <w:spacing w:before="8"/>
        <w:rPr>
          <w:sz w:val="20"/>
        </w:rPr>
      </w:pPr>
    </w:p>
    <w:p>
      <w:pPr>
        <w:pStyle w:val="BodyText"/>
        <w:spacing w:before="1"/>
        <w:ind w:left="120"/>
      </w:pPr>
      <w:r>
        <w:t>IPSS</w:t>
      </w:r>
      <w:r>
        <w:rPr>
          <w:spacing w:val="-19"/>
        </w:rPr>
        <w:t xml:space="preserve"> 是用于评估前列腺相关症状的最常用的量表之一。该问卷包括 </w:t>
      </w:r>
      <w:r>
        <w:rPr>
          <w:spacing w:val="-10"/>
        </w:rPr>
        <w:t>7</w:t>
      </w:r>
    </w:p>
    <w:p>
      <w:pPr>
        <w:spacing w:after="0"/>
        <w:sectPr>
          <w:footerReference w:type="default" r:id="rId12"/>
          <w:type w:val="continuous"/>
          <w:pgSz w:w="11910" w:h="16840"/>
          <w:pgMar w:top="1400" w:right="1420" w:bottom="1380" w:left="1680" w:header="0" w:footer="1198"/>
          <w:pgNumType w:start="8"/>
          <w:cols w:space="708"/>
        </w:sectPr>
      </w:pPr>
    </w:p>
    <w:p>
      <w:pPr>
        <w:pStyle w:val="BodyText"/>
        <w:spacing w:before="37" w:line="417" w:lineRule="auto"/>
        <w:ind w:left="120" w:right="98"/>
      </w:pPr>
      <w:r>
        <w:rPr>
          <w:spacing w:val="1"/>
        </w:rPr>
        <w:t xml:space="preserve">个问题，涉及排尿频率、急迫性、排尿困难等方面。每个问题从 </w:t>
      </w:r>
      <w:r>
        <w:t>0</w:t>
      </w:r>
      <w:r>
        <w:rPr>
          <w:spacing w:val="80"/>
        </w:rPr>
        <w:t xml:space="preserve"> </w:t>
      </w:r>
      <w:r>
        <w:rPr>
          <w:spacing w:val="-3"/>
        </w:rPr>
        <w:t xml:space="preserve">到 </w:t>
      </w:r>
      <w:r>
        <w:t>5</w:t>
      </w:r>
      <w:r>
        <w:rPr>
          <w:spacing w:val="-5"/>
        </w:rPr>
        <w:t xml:space="preserve"> 评分，总分范围为 </w:t>
      </w:r>
      <w:r>
        <w:t xml:space="preserve">0-35，分数越高表明症状越严重。此外，根 </w:t>
      </w:r>
      <w:r>
        <w:rPr>
          <w:spacing w:val="-2"/>
        </w:rPr>
        <w:t>据总分可以将症状分为轻度（0-</w:t>
      </w:r>
      <w:r>
        <w:t>7</w:t>
      </w:r>
      <w:r>
        <w:rPr>
          <w:spacing w:val="-133"/>
        </w:rPr>
        <w:t>）</w:t>
      </w:r>
      <w:r>
        <w:rPr>
          <w:spacing w:val="-2"/>
        </w:rPr>
        <w:t>、中度（8-19）和重度（20-</w:t>
      </w:r>
      <w:r>
        <w:rPr>
          <w:spacing w:val="42"/>
        </w:rPr>
        <w:t>35</w:t>
      </w:r>
      <w:r>
        <w:rPr>
          <w:spacing w:val="-91"/>
        </w:rPr>
        <w:t>）</w:t>
      </w:r>
      <w:r>
        <w:rPr>
          <w:spacing w:val="-2"/>
        </w:rPr>
        <w:t xml:space="preserve">。 </w:t>
      </w:r>
      <w:r>
        <w:t>IPSS</w:t>
      </w:r>
      <w:r>
        <w:rPr>
          <w:spacing w:val="-7"/>
        </w:rPr>
        <w:t xml:space="preserve"> 具有良好的可靠性和效度，在临床上广泛应用。</w:t>
      </w:r>
    </w:p>
    <w:p>
      <w:pPr>
        <w:pStyle w:val="BodyText"/>
      </w:pPr>
    </w:p>
    <w:p>
      <w:pPr>
        <w:pStyle w:val="BodyText"/>
        <w:spacing w:before="7"/>
        <w:rPr>
          <w:sz w:val="20"/>
        </w:rPr>
      </w:pPr>
    </w:p>
    <w:p>
      <w:pPr>
        <w:pStyle w:val="ListParagraph"/>
        <w:numPr>
          <w:ilvl w:val="0"/>
          <w:numId w:val="38"/>
        </w:numPr>
        <w:tabs>
          <w:tab w:val="left" w:pos="540"/>
        </w:tabs>
        <w:spacing w:before="1" w:after="0" w:line="240" w:lineRule="auto"/>
        <w:ind w:left="540" w:right="0" w:hanging="420"/>
        <w:jc w:val="left"/>
        <w:rPr>
          <w:sz w:val="28"/>
        </w:rPr>
      </w:pPr>
      <w:r>
        <w:rPr>
          <w:sz w:val="28"/>
        </w:rPr>
        <w:t xml:space="preserve">Overactive Bladder Symptom Score </w:t>
      </w:r>
      <w:r>
        <w:rPr>
          <w:spacing w:val="-2"/>
          <w:sz w:val="28"/>
        </w:rPr>
        <w:t>(OABSS)</w:t>
      </w:r>
    </w:p>
    <w:p>
      <w:pPr>
        <w:pStyle w:val="BodyText"/>
        <w:spacing w:before="8"/>
        <w:rPr>
          <w:sz w:val="20"/>
        </w:rPr>
      </w:pPr>
    </w:p>
    <w:p>
      <w:pPr>
        <w:pStyle w:val="BodyText"/>
        <w:spacing w:before="1" w:line="417" w:lineRule="auto"/>
        <w:ind w:left="120" w:right="98"/>
      </w:pPr>
      <w:r>
        <w:t>OABSS</w:t>
      </w:r>
      <w:r>
        <w:rPr>
          <w:spacing w:val="-3"/>
        </w:rPr>
        <w:t xml:space="preserve"> 主要用于评估膀胱过度活动症的症状。该问卷包含 </w:t>
      </w:r>
      <w:r>
        <w:t>4</w:t>
      </w:r>
      <w:r>
        <w:rPr>
          <w:spacing w:val="-9"/>
        </w:rPr>
        <w:t xml:space="preserve"> 个问题，</w:t>
      </w:r>
      <w:r>
        <w:rPr>
          <w:spacing w:val="-2"/>
        </w:rPr>
        <w:t>分别涉及尿频、紧迫感、夜尿次数以及因症状引起的干扰程度。每个</w:t>
      </w:r>
      <w:r>
        <w:rPr>
          <w:spacing w:val="-2"/>
        </w:rPr>
        <w:t xml:space="preserve"> </w:t>
      </w:r>
      <w:r>
        <w:rPr>
          <w:spacing w:val="-4"/>
        </w:rPr>
        <w:t xml:space="preserve">问题从 </w:t>
      </w:r>
      <w:r>
        <w:t>0</w:t>
      </w:r>
      <w:r>
        <w:rPr>
          <w:spacing w:val="-14"/>
        </w:rPr>
        <w:t xml:space="preserve"> 到 </w:t>
      </w:r>
      <w:r>
        <w:t>5</w:t>
      </w:r>
      <w:r>
        <w:rPr>
          <w:spacing w:val="-6"/>
        </w:rPr>
        <w:t xml:space="preserve"> 评分，总分范围为 </w:t>
      </w:r>
      <w:r>
        <w:t xml:space="preserve">0-20，分数越高表明症状越严重。 </w:t>
      </w:r>
      <w:r>
        <w:rPr>
          <w:spacing w:val="-11"/>
        </w:rPr>
        <w:t xml:space="preserve">通过分析 </w:t>
      </w:r>
      <w:r>
        <w:t>OABSS</w:t>
      </w:r>
      <w:r>
        <w:rPr>
          <w:spacing w:val="-12"/>
        </w:rPr>
        <w:t xml:space="preserve"> 得分，可以判断患者是否有 </w:t>
      </w:r>
      <w:r>
        <w:t>OAB</w:t>
      </w:r>
      <w:r>
        <w:rPr>
          <w:spacing w:val="-8"/>
        </w:rPr>
        <w:t xml:space="preserve"> 症状，并可进一步了</w:t>
      </w:r>
      <w:r>
        <w:t xml:space="preserve"> </w:t>
      </w:r>
      <w:r>
        <w:rPr>
          <w:spacing w:val="-2"/>
        </w:rPr>
        <w:t>解症状对患者生活的影响程度。</w:t>
      </w:r>
    </w:p>
    <w:p>
      <w:pPr>
        <w:pStyle w:val="BodyText"/>
      </w:pPr>
    </w:p>
    <w:p>
      <w:pPr>
        <w:pStyle w:val="BodyText"/>
        <w:spacing w:before="7"/>
        <w:rPr>
          <w:sz w:val="20"/>
        </w:rPr>
      </w:pPr>
    </w:p>
    <w:p>
      <w:pPr>
        <w:pStyle w:val="ListParagraph"/>
        <w:numPr>
          <w:ilvl w:val="0"/>
          <w:numId w:val="38"/>
        </w:numPr>
        <w:tabs>
          <w:tab w:val="left" w:pos="595"/>
        </w:tabs>
        <w:spacing w:before="0" w:after="0" w:line="417" w:lineRule="auto"/>
        <w:ind w:left="120" w:right="378" w:firstLine="0"/>
        <w:jc w:val="both"/>
        <w:rPr>
          <w:sz w:val="28"/>
        </w:rPr>
      </w:pPr>
      <w:r>
        <w:rPr>
          <w:sz w:val="28"/>
        </w:rPr>
        <w:t xml:space="preserve">Urogenital Distress Inventory (UDI-6) and </w:t>
      </w:r>
      <w:r>
        <w:rPr>
          <w:sz w:val="28"/>
        </w:rPr>
        <w:t>Incontinence Impact Questionnaire (IIQ-7)</w:t>
      </w:r>
    </w:p>
    <w:p>
      <w:pPr>
        <w:pStyle w:val="BodyText"/>
        <w:spacing w:line="417" w:lineRule="auto"/>
        <w:ind w:left="120" w:right="378"/>
        <w:jc w:val="both"/>
      </w:pPr>
      <w:r>
        <w:rPr>
          <w:spacing w:val="-6"/>
        </w:rPr>
        <w:t>UDI-6</w:t>
      </w:r>
      <w:r>
        <w:rPr>
          <w:spacing w:val="-17"/>
        </w:rPr>
        <w:t xml:space="preserve"> 和 </w:t>
      </w:r>
      <w:r>
        <w:rPr>
          <w:spacing w:val="-6"/>
        </w:rPr>
        <w:t>IIQ-7</w:t>
      </w:r>
      <w:r>
        <w:rPr>
          <w:spacing w:val="-10"/>
        </w:rPr>
        <w:t xml:space="preserve"> 是一组专门用于评估女性下尿路症状和生活质量的问</w:t>
      </w:r>
      <w:r>
        <w:rPr>
          <w:spacing w:val="-6"/>
        </w:rPr>
        <w:t>卷。UDI-6</w:t>
      </w:r>
      <w:r>
        <w:rPr>
          <w:spacing w:val="-17"/>
        </w:rPr>
        <w:t xml:space="preserve"> 包括 </w:t>
      </w:r>
      <w:r>
        <w:rPr>
          <w:spacing w:val="-6"/>
        </w:rPr>
        <w:t>6</w:t>
      </w:r>
      <w:r>
        <w:rPr>
          <w:spacing w:val="-11"/>
        </w:rPr>
        <w:t xml:space="preserve"> 个问题，涉及尿失禁、排尿困难、疼痛和不适等症</w:t>
      </w:r>
      <w:r>
        <w:rPr>
          <w:spacing w:val="-4"/>
        </w:rPr>
        <w:t>状；IIQ-7 则关注症状对患者心理和社交方面的影响。两个问卷评分</w:t>
      </w:r>
      <w:r>
        <w:rPr>
          <w:spacing w:val="-22"/>
        </w:rPr>
        <w:t xml:space="preserve">方法相同：每个问题从 </w:t>
      </w:r>
      <w:r>
        <w:rPr>
          <w:spacing w:val="-2"/>
        </w:rPr>
        <w:t>0</w:t>
      </w:r>
      <w:r>
        <w:rPr>
          <w:spacing w:val="-42"/>
        </w:rPr>
        <w:t xml:space="preserve"> 到 </w:t>
      </w:r>
      <w:r>
        <w:rPr>
          <w:spacing w:val="-2"/>
        </w:rPr>
        <w:t>6</w:t>
      </w:r>
      <w:r>
        <w:rPr>
          <w:spacing w:val="-27"/>
        </w:rPr>
        <w:t xml:space="preserve"> 评分，总分范围为 </w:t>
      </w:r>
      <w:r>
        <w:rPr>
          <w:spacing w:val="-2"/>
        </w:rPr>
        <w:t>0-36（UDI-</w:t>
      </w:r>
      <w:r>
        <w:t>6</w:t>
      </w:r>
      <w:r>
        <w:rPr>
          <w:spacing w:val="-118"/>
        </w:rPr>
        <w:t>）</w:t>
      </w:r>
      <w:r>
        <w:rPr>
          <w:spacing w:val="-32"/>
        </w:rPr>
        <w:t xml:space="preserve">或 </w:t>
      </w:r>
      <w:r>
        <w:rPr>
          <w:spacing w:val="-2"/>
        </w:rPr>
        <w:t>0-</w:t>
      </w:r>
      <w:r>
        <w:rPr>
          <w:spacing w:val="-5"/>
        </w:rPr>
        <w:t>42</w:t>
      </w:r>
    </w:p>
    <w:p>
      <w:pPr>
        <w:pStyle w:val="BodyText"/>
        <w:spacing w:line="358" w:lineRule="exact"/>
        <w:ind w:left="120"/>
        <w:jc w:val="both"/>
      </w:pPr>
      <w:r>
        <w:t>（IIQ-</w:t>
      </w:r>
      <w:r>
        <w:rPr>
          <w:spacing w:val="42"/>
        </w:rPr>
        <w:t>7</w:t>
      </w:r>
      <w:r>
        <w:rPr>
          <w:spacing w:val="-91"/>
        </w:rPr>
        <w:t>）</w:t>
      </w:r>
      <w:r>
        <w:rPr>
          <w:spacing w:val="-2"/>
        </w:rPr>
        <w:t xml:space="preserve">，分数越高表明症状越严重或影响越大。通过综合 </w:t>
      </w:r>
      <w:r>
        <w:t>UDI-</w:t>
      </w:r>
      <w:r>
        <w:rPr>
          <w:spacing w:val="-10"/>
        </w:rPr>
        <w:t>6</w:t>
      </w:r>
    </w:p>
    <w:p>
      <w:pPr>
        <w:pStyle w:val="BodyText"/>
        <w:spacing w:before="9"/>
        <w:rPr>
          <w:sz w:val="20"/>
        </w:rPr>
      </w:pPr>
    </w:p>
    <w:p>
      <w:pPr>
        <w:pStyle w:val="BodyText"/>
        <w:ind w:left="120"/>
        <w:jc w:val="both"/>
      </w:pPr>
      <w:r>
        <w:rPr>
          <w:spacing w:val="-35"/>
        </w:rPr>
        <w:t xml:space="preserve">和 </w:t>
      </w:r>
      <w:r>
        <w:t>IIQ-7</w:t>
      </w:r>
      <w:r>
        <w:rPr>
          <w:spacing w:val="-14"/>
        </w:rPr>
        <w:t xml:space="preserve"> 的得分，可以全面评估女性 </w:t>
      </w:r>
      <w:r>
        <w:t>BD</w:t>
      </w:r>
      <w:r>
        <w:rPr>
          <w:spacing w:val="-11"/>
        </w:rPr>
        <w:t xml:space="preserve"> 患者的生活质量。</w:t>
      </w:r>
    </w:p>
    <w:p>
      <w:pPr>
        <w:pStyle w:val="BodyText"/>
      </w:pPr>
    </w:p>
    <w:p>
      <w:pPr>
        <w:pStyle w:val="BodyText"/>
        <w:spacing w:before="5"/>
        <w:rPr>
          <w:sz w:val="41"/>
        </w:rPr>
      </w:pPr>
    </w:p>
    <w:p>
      <w:pPr>
        <w:pStyle w:val="ListParagraph"/>
        <w:numPr>
          <w:ilvl w:val="0"/>
          <w:numId w:val="38"/>
        </w:numPr>
        <w:tabs>
          <w:tab w:val="left" w:pos="540"/>
        </w:tabs>
        <w:spacing w:before="0" w:after="0" w:line="240" w:lineRule="auto"/>
        <w:ind w:left="540" w:right="0" w:hanging="420"/>
        <w:jc w:val="left"/>
        <w:rPr>
          <w:sz w:val="28"/>
        </w:rPr>
      </w:pPr>
      <w:r>
        <w:rPr>
          <w:sz w:val="28"/>
        </w:rPr>
        <w:t xml:space="preserve">King's Health Questionnaire </w:t>
      </w:r>
      <w:r>
        <w:rPr>
          <w:spacing w:val="-2"/>
          <w:sz w:val="28"/>
        </w:rPr>
        <w:t>(KHQ)</w:t>
      </w:r>
    </w:p>
    <w:p>
      <w:pPr>
        <w:spacing w:after="0" w:line="240" w:lineRule="auto"/>
        <w:jc w:val="left"/>
        <w:rPr>
          <w:sz w:val="28"/>
        </w:rPr>
        <w:sectPr>
          <w:footerReference w:type="default" r:id="rId13"/>
          <w:pgSz w:w="11910" w:h="16840"/>
          <w:pgMar w:top="1520" w:right="1420" w:bottom="1380" w:left="1680" w:header="0" w:footer="1198"/>
          <w:pgNumType w:start="9"/>
          <w:cols w:space="708"/>
        </w:sectPr>
      </w:pPr>
    </w:p>
    <w:p>
      <w:pPr>
        <w:pStyle w:val="BodyText"/>
        <w:spacing w:before="37" w:line="417" w:lineRule="auto"/>
        <w:ind w:left="120" w:right="378"/>
        <w:jc w:val="both"/>
      </w:pPr>
      <w:r>
        <w:rPr>
          <w:spacing w:val="-4"/>
        </w:rPr>
        <w:t>KHQ</w:t>
      </w:r>
      <w:r>
        <w:rPr>
          <w:spacing w:val="-5"/>
        </w:rPr>
        <w:t xml:space="preserve"> 是一种更全面的生活质量评估工具，适用于评估各种类型下尿路</w:t>
      </w:r>
      <w:r>
        <w:rPr>
          <w:spacing w:val="-11"/>
        </w:rPr>
        <w:t xml:space="preserve">症状和其对患者生活的影响。该问卷包含了 </w:t>
      </w:r>
      <w:r>
        <w:rPr>
          <w:spacing w:val="-10"/>
        </w:rPr>
        <w:t>22</w:t>
      </w:r>
      <w:r>
        <w:rPr>
          <w:spacing w:val="-16"/>
        </w:rPr>
        <w:t xml:space="preserve"> 个模块，共计 </w:t>
      </w:r>
      <w:r>
        <w:rPr>
          <w:spacing w:val="-10"/>
        </w:rPr>
        <w:t>49</w:t>
      </w:r>
      <w:r>
        <w:rPr>
          <w:spacing w:val="-16"/>
        </w:rPr>
        <w:t xml:space="preserve"> 个问</w:t>
      </w:r>
      <w:r>
        <w:rPr>
          <w:spacing w:val="-4"/>
        </w:rPr>
        <w:t>题，涵盖了症状、心理、社会关系、日常生活等多个方面。KHQ</w:t>
      </w:r>
      <w:r>
        <w:rPr>
          <w:spacing w:val="-5"/>
        </w:rPr>
        <w:t xml:space="preserve"> 的评</w:t>
      </w:r>
      <w:r>
        <w:rPr>
          <w:spacing w:val="-4"/>
        </w:rPr>
        <w:t>分方法较为复杂，但总体而言，得分越高表明生活质量受症状影响的</w:t>
      </w:r>
      <w:r>
        <w:t>程度越重。与上述其他量表相比，KHQ</w:t>
      </w:r>
      <w:r>
        <w:rPr>
          <w:spacing w:val="-15"/>
        </w:rPr>
        <w:t xml:space="preserve"> 在评估 </w:t>
      </w:r>
      <w:r>
        <w:t>BD</w:t>
      </w:r>
      <w:r>
        <w:rPr>
          <w:spacing w:val="-6"/>
        </w:rPr>
        <w:t xml:space="preserve"> 患者的整体健康状</w:t>
      </w:r>
      <w:r>
        <w:rPr>
          <w:spacing w:val="-2"/>
        </w:rPr>
        <w:t>况方面更具优势。</w:t>
      </w:r>
    </w:p>
    <w:p>
      <w:pPr>
        <w:pStyle w:val="BodyText"/>
      </w:pPr>
    </w:p>
    <w:p>
      <w:pPr>
        <w:pStyle w:val="BodyText"/>
        <w:spacing w:before="7"/>
        <w:rPr>
          <w:sz w:val="20"/>
        </w:rPr>
      </w:pPr>
    </w:p>
    <w:p>
      <w:pPr>
        <w:pStyle w:val="BodyText"/>
        <w:spacing w:line="417" w:lineRule="auto"/>
        <w:ind w:left="120" w:right="378"/>
        <w:jc w:val="both"/>
      </w:pPr>
      <w:r>
        <w:t>综上所述，IPSS、OABSS、UDI-6/IIQ-7</w:t>
      </w:r>
      <w:r>
        <w:rPr>
          <w:spacing w:val="-24"/>
        </w:rPr>
        <w:t xml:space="preserve"> 和 </w:t>
      </w:r>
      <w:r>
        <w:t>KHQ</w:t>
      </w:r>
      <w:r>
        <w:rPr>
          <w:spacing w:val="-6"/>
        </w:rPr>
        <w:t xml:space="preserve"> 等生活质量评估工具</w:t>
      </w:r>
      <w:r>
        <w:rPr>
          <w:spacing w:val="-18"/>
        </w:rPr>
        <w:t xml:space="preserve">在 </w:t>
      </w:r>
      <w:r>
        <w:rPr>
          <w:spacing w:val="-2"/>
        </w:rPr>
        <w:t>BD</w:t>
      </w:r>
      <w:r>
        <w:rPr>
          <w:spacing w:val="-8"/>
        </w:rPr>
        <w:t xml:space="preserve"> 患者的研究和临床实践中均得到了广泛的应用。选择合适的评</w:t>
      </w:r>
      <w:r>
        <w:rPr>
          <w:spacing w:val="-2"/>
        </w:rPr>
        <w:t>估工具对于准确评价患者的生活质量和制定个体化的治疗方案至关</w:t>
      </w:r>
      <w:r>
        <w:rPr>
          <w:spacing w:val="-4"/>
        </w:rPr>
        <w:t>重要。然而，这些量表并非完美无缺，可能受到文化差异、年龄、性</w:t>
      </w:r>
      <w:r>
        <w:rPr>
          <w:spacing w:val="-4"/>
        </w:rPr>
        <w:t>别等因素的影响。因此，在使用这些工具时需结合患者的具体情况加</w:t>
      </w:r>
      <w:r>
        <w:rPr>
          <w:spacing w:val="-4"/>
        </w:rPr>
        <w:t>以考虑。</w:t>
      </w:r>
    </w:p>
    <w:p>
      <w:pPr>
        <w:pStyle w:val="BodyText"/>
      </w:pPr>
    </w:p>
    <w:p>
      <w:pPr>
        <w:pStyle w:val="Heading1"/>
        <w:jc w:val="both"/>
      </w:pPr>
      <w:bookmarkStart w:id="3" w:name="_TOC_250004"/>
      <w:r>
        <w:t>第四部分</w:t>
      </w:r>
      <w:r>
        <w:rPr>
          <w:spacing w:val="211"/>
          <w:w w:val="150"/>
        </w:rPr>
        <w:t xml:space="preserve"> </w:t>
      </w:r>
      <w:bookmarkEnd w:id="3"/>
      <w:r>
        <w:rPr>
          <w:spacing w:val="-2"/>
        </w:rPr>
        <w:t>患者一般资料调查</w:t>
      </w:r>
    </w:p>
    <w:p>
      <w:pPr>
        <w:pStyle w:val="BodyText"/>
        <w:spacing w:before="16"/>
        <w:rPr>
          <w:rFonts w:ascii="Microsoft JhengHei"/>
          <w:b/>
          <w:sz w:val="15"/>
        </w:rPr>
      </w:pPr>
    </w:p>
    <w:tbl>
      <w:tblPr>
        <w:tblStyle w:val="TableNormal6"/>
        <w:tblW w:w="0" w:type="auto"/>
        <w:jc w:val="left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69"/>
        <w:gridCol w:w="5527"/>
      </w:tblGrid>
      <w:tr>
        <w:tblPrEx>
          <w:tblW w:w="0" w:type="auto"/>
          <w:jc w:val="left"/>
          <w:tblInd w:w="13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12"/>
          <w:jc w:val="left"/>
        </w:trPr>
        <w:tc>
          <w:tcPr>
            <w:tcW w:w="2769" w:type="dxa"/>
          </w:tcPr>
          <w:p>
            <w:pPr>
              <w:pStyle w:val="TableParagraph"/>
              <w:spacing w:before="23"/>
              <w:ind w:left="108"/>
              <w:rPr>
                <w:sz w:val="21"/>
              </w:rPr>
            </w:pPr>
            <w:r>
              <w:rPr>
                <w:spacing w:val="-4"/>
                <w:sz w:val="21"/>
              </w:rPr>
              <w:t>关键词</w:t>
            </w:r>
          </w:p>
        </w:tc>
        <w:tc>
          <w:tcPr>
            <w:tcW w:w="5527" w:type="dxa"/>
          </w:tcPr>
          <w:p>
            <w:pPr>
              <w:pStyle w:val="TableParagraph"/>
              <w:spacing w:before="23"/>
              <w:rPr>
                <w:sz w:val="21"/>
              </w:rPr>
            </w:pPr>
            <w:r>
              <w:rPr>
                <w:spacing w:val="-3"/>
                <w:sz w:val="21"/>
              </w:rPr>
              <w:t>关键要点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2807"/>
          <w:jc w:val="left"/>
        </w:trPr>
        <w:tc>
          <w:tcPr>
            <w:tcW w:w="2769" w:type="dxa"/>
          </w:tcPr>
          <w:p>
            <w:pPr>
              <w:pStyle w:val="TableParagraph"/>
              <w:spacing w:before="23"/>
              <w:ind w:left="108"/>
              <w:rPr>
                <w:sz w:val="21"/>
              </w:rPr>
            </w:pPr>
            <w:r>
              <w:rPr>
                <w:spacing w:val="-3"/>
                <w:sz w:val="21"/>
              </w:rPr>
              <w:t>患者年龄</w:t>
            </w:r>
          </w:p>
        </w:tc>
        <w:tc>
          <w:tcPr>
            <w:tcW w:w="5527" w:type="dxa"/>
          </w:tcPr>
          <w:p>
            <w:pPr>
              <w:pStyle w:val="TableParagraph"/>
              <w:spacing w:before="4"/>
              <w:ind w:left="0"/>
              <w:rPr>
                <w:rFonts w:ascii="Microsoft JhengHei"/>
                <w:b/>
                <w:sz w:val="18"/>
              </w:rPr>
            </w:pPr>
          </w:p>
          <w:p>
            <w:pPr>
              <w:pStyle w:val="TableParagraph"/>
              <w:numPr>
                <w:ilvl w:val="0"/>
                <w:numId w:val="37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both"/>
              <w:rPr>
                <w:sz w:val="21"/>
              </w:rPr>
            </w:pPr>
            <w:r>
              <w:rPr>
                <w:spacing w:val="-2"/>
                <w:sz w:val="21"/>
              </w:rPr>
              <w:t>年龄分布特点：对患者的年龄进行调查，了解膀胱功能</w:t>
            </w:r>
            <w:r>
              <w:rPr>
                <w:spacing w:val="-2"/>
                <w:sz w:val="21"/>
              </w:rPr>
              <w:t>障碍在不同年龄段的发病率和病情严重程度。</w:t>
            </w:r>
          </w:p>
          <w:p>
            <w:pPr>
              <w:pStyle w:val="TableParagraph"/>
              <w:numPr>
                <w:ilvl w:val="0"/>
                <w:numId w:val="37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both"/>
              <w:rPr>
                <w:sz w:val="21"/>
              </w:rPr>
            </w:pPr>
            <w:r>
              <w:rPr>
                <w:spacing w:val="-2"/>
                <w:sz w:val="21"/>
              </w:rPr>
              <w:t>老年患者占比：由于老年人身体机能逐渐退化，因此，老年患者的数量以及他们生活质量的影响程度是研究的重</w:t>
            </w:r>
            <w:r>
              <w:rPr>
                <w:spacing w:val="-4"/>
                <w:sz w:val="21"/>
              </w:rPr>
              <w:t>点之一。</w:t>
            </w:r>
          </w:p>
          <w:p>
            <w:pPr>
              <w:pStyle w:val="TableParagraph"/>
              <w:numPr>
                <w:ilvl w:val="0"/>
                <w:numId w:val="37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both"/>
              <w:rPr>
                <w:sz w:val="21"/>
              </w:rPr>
            </w:pPr>
            <w:r>
              <w:rPr>
                <w:spacing w:val="-2"/>
                <w:sz w:val="21"/>
              </w:rPr>
              <w:t>青壮年与中老年比较：对比分析青壮年与中老年患者生</w:t>
            </w:r>
            <w:r>
              <w:rPr>
                <w:spacing w:val="-2"/>
                <w:sz w:val="21"/>
              </w:rPr>
              <w:t>活质量的差异，探讨年龄与膀胱功能障碍之间的关系。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936"/>
          <w:jc w:val="left"/>
        </w:trPr>
        <w:tc>
          <w:tcPr>
            <w:tcW w:w="2769" w:type="dxa"/>
          </w:tcPr>
          <w:p>
            <w:pPr>
              <w:pStyle w:val="TableParagraph"/>
              <w:spacing w:before="23"/>
              <w:ind w:left="108"/>
              <w:rPr>
                <w:sz w:val="21"/>
              </w:rPr>
            </w:pPr>
            <w:r>
              <w:rPr>
                <w:spacing w:val="-3"/>
                <w:sz w:val="21"/>
              </w:rPr>
              <w:t>性别比例</w:t>
            </w:r>
          </w:p>
        </w:tc>
        <w:tc>
          <w:tcPr>
            <w:tcW w:w="5527" w:type="dxa"/>
          </w:tcPr>
          <w:p>
            <w:pPr>
              <w:pStyle w:val="TableParagraph"/>
              <w:spacing w:before="18"/>
              <w:ind w:left="0"/>
              <w:rPr>
                <w:rFonts w:ascii="Microsoft JhengHei"/>
                <w:b/>
                <w:sz w:val="15"/>
              </w:rPr>
            </w:pPr>
          </w:p>
          <w:p>
            <w:pPr>
              <w:pStyle w:val="TableParagraph"/>
              <w:numPr>
                <w:ilvl w:val="0"/>
                <w:numId w:val="36"/>
              </w:numPr>
              <w:tabs>
                <w:tab w:val="left" w:pos="371"/>
              </w:tabs>
              <w:spacing w:before="0" w:after="0" w:line="310" w:lineRule="atLeast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性别差异：男性和女性的解剖结构存在差异，这可能影</w:t>
            </w:r>
            <w:r>
              <w:rPr>
                <w:spacing w:val="-2"/>
                <w:sz w:val="21"/>
              </w:rPr>
              <w:t>响到膀胱功能障碍的发生和发展。调查性别比例有助于了</w:t>
            </w:r>
          </w:p>
        </w:tc>
      </w:tr>
    </w:tbl>
    <w:p>
      <w:pPr>
        <w:spacing w:after="0" w:line="310" w:lineRule="atLeast"/>
        <w:jc w:val="left"/>
        <w:rPr>
          <w:sz w:val="21"/>
        </w:rPr>
        <w:sectPr>
          <w:footerReference w:type="default" r:id="rId14"/>
          <w:pgSz w:w="11910" w:h="16840"/>
          <w:pgMar w:top="1520" w:right="1420" w:bottom="1380" w:left="1680" w:header="0" w:footer="1198"/>
          <w:pgNumType w:start="10"/>
          <w:cols w:space="708"/>
        </w:sectPr>
      </w:pPr>
    </w:p>
    <w:tbl>
      <w:tblPr>
        <w:tblStyle w:val="TableNormal7"/>
        <w:tblW w:w="0" w:type="auto"/>
        <w:jc w:val="left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69"/>
        <w:gridCol w:w="5527"/>
      </w:tblGrid>
      <w:tr>
        <w:tblPrEx>
          <w:tblW w:w="0" w:type="auto"/>
          <w:jc w:val="left"/>
          <w:tblInd w:w="13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2496"/>
          <w:jc w:val="left"/>
        </w:trPr>
        <w:tc>
          <w:tcPr>
            <w:tcW w:w="2769" w:type="dxa"/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5527" w:type="dxa"/>
          </w:tcPr>
          <w:p>
            <w:pPr>
              <w:pStyle w:val="TableParagraph"/>
              <w:spacing w:before="23"/>
              <w:rPr>
                <w:sz w:val="21"/>
              </w:rPr>
            </w:pPr>
            <w:r>
              <w:rPr>
                <w:spacing w:val="-1"/>
                <w:sz w:val="21"/>
              </w:rPr>
              <w:t>解是否存在性别差异。</w:t>
            </w:r>
          </w:p>
          <w:p>
            <w:pPr>
              <w:pStyle w:val="TableParagraph"/>
              <w:numPr>
                <w:ilvl w:val="0"/>
                <w:numId w:val="35"/>
              </w:numPr>
              <w:tabs>
                <w:tab w:val="left" w:pos="371"/>
              </w:tabs>
              <w:spacing w:before="43" w:after="0" w:line="278" w:lineRule="auto"/>
              <w:ind w:left="107" w:right="96" w:firstLine="0"/>
              <w:jc w:val="both"/>
              <w:rPr>
                <w:sz w:val="21"/>
              </w:rPr>
            </w:pPr>
            <w:r>
              <w:rPr>
                <w:spacing w:val="-2"/>
                <w:sz w:val="21"/>
              </w:rPr>
              <w:t>生活质量性别差异：男性和女性的生活方式、心理状态</w:t>
            </w:r>
            <w:r>
              <w:rPr>
                <w:spacing w:val="-2"/>
                <w:sz w:val="21"/>
              </w:rPr>
              <w:t>等因素可能影响生活质量，需要通过数据分析来揭示可能</w:t>
            </w:r>
            <w:r>
              <w:rPr>
                <w:spacing w:val="-2"/>
                <w:sz w:val="21"/>
              </w:rPr>
              <w:t>存在的性别差异。</w:t>
            </w:r>
          </w:p>
          <w:p>
            <w:pPr>
              <w:pStyle w:val="TableParagraph"/>
              <w:numPr>
                <w:ilvl w:val="0"/>
                <w:numId w:val="35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both"/>
              <w:rPr>
                <w:sz w:val="21"/>
              </w:rPr>
            </w:pPr>
            <w:r>
              <w:rPr>
                <w:spacing w:val="-2"/>
                <w:sz w:val="21"/>
              </w:rPr>
              <w:t>治疗方案的选择：性别差异可能会影响治疗方案的选择</w:t>
            </w:r>
            <w:r>
              <w:rPr>
                <w:spacing w:val="-2"/>
                <w:sz w:val="21"/>
              </w:rPr>
              <w:t>和效果，通过对性别比例的研究，可以为制定个性化的治</w:t>
            </w:r>
            <w:r>
              <w:rPr>
                <w:spacing w:val="-2"/>
                <w:sz w:val="21"/>
              </w:rPr>
              <w:t>疗策略提供依据。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2808"/>
          <w:jc w:val="left"/>
        </w:trPr>
        <w:tc>
          <w:tcPr>
            <w:tcW w:w="2769" w:type="dxa"/>
          </w:tcPr>
          <w:p>
            <w:pPr>
              <w:pStyle w:val="TableParagraph"/>
              <w:spacing w:before="23"/>
              <w:ind w:left="108"/>
              <w:rPr>
                <w:sz w:val="21"/>
              </w:rPr>
            </w:pPr>
            <w:r>
              <w:rPr>
                <w:spacing w:val="-3"/>
                <w:sz w:val="21"/>
              </w:rPr>
              <w:t>职业状况</w:t>
            </w:r>
          </w:p>
        </w:tc>
        <w:tc>
          <w:tcPr>
            <w:tcW w:w="5527" w:type="dxa"/>
          </w:tcPr>
          <w:p>
            <w:pPr>
              <w:pStyle w:val="TableParagraph"/>
              <w:spacing w:before="4"/>
              <w:ind w:left="0"/>
              <w:rPr>
                <w:rFonts w:ascii="Microsoft JhengHei"/>
                <w:b/>
                <w:sz w:val="18"/>
              </w:rPr>
            </w:pPr>
          </w:p>
          <w:p>
            <w:pPr>
              <w:pStyle w:val="TableParagraph"/>
              <w:numPr>
                <w:ilvl w:val="0"/>
                <w:numId w:val="34"/>
              </w:numPr>
              <w:tabs>
                <w:tab w:val="left" w:pos="371"/>
              </w:tabs>
              <w:spacing w:before="0" w:after="0" w:line="278" w:lineRule="auto"/>
              <w:ind w:left="107" w:right="-15" w:firstLine="0"/>
              <w:jc w:val="both"/>
              <w:rPr>
                <w:sz w:val="21"/>
              </w:rPr>
            </w:pPr>
            <w:r>
              <w:rPr>
                <w:spacing w:val="-4"/>
                <w:sz w:val="21"/>
              </w:rPr>
              <w:t>工作压力：高强度的工作可能导致生理和心理健康问题，</w:t>
            </w:r>
            <w:r>
              <w:rPr>
                <w:spacing w:val="-2"/>
                <w:sz w:val="21"/>
              </w:rPr>
              <w:t>从而影响膀胱功能障碍的发生和发展。</w:t>
            </w:r>
          </w:p>
          <w:p>
            <w:pPr>
              <w:pStyle w:val="TableParagraph"/>
              <w:numPr>
                <w:ilvl w:val="0"/>
                <w:numId w:val="34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both"/>
              <w:rPr>
                <w:sz w:val="21"/>
              </w:rPr>
            </w:pPr>
            <w:r>
              <w:rPr>
                <w:spacing w:val="-2"/>
                <w:sz w:val="21"/>
              </w:rPr>
              <w:t>膀胱功能与工作性质的关系：不同类型的职业可能对膀</w:t>
            </w:r>
            <w:r>
              <w:rPr>
                <w:spacing w:val="-2"/>
                <w:sz w:val="21"/>
              </w:rPr>
              <w:t>胱功能产生不同的影响，例如久坐或站立工作者可能面临</w:t>
            </w:r>
            <w:r>
              <w:rPr>
                <w:spacing w:val="-2"/>
                <w:sz w:val="21"/>
              </w:rPr>
              <w:t>更高的风险。</w:t>
            </w:r>
          </w:p>
          <w:p>
            <w:pPr>
              <w:pStyle w:val="TableParagraph"/>
              <w:numPr>
                <w:ilvl w:val="0"/>
                <w:numId w:val="34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both"/>
              <w:rPr>
                <w:sz w:val="21"/>
              </w:rPr>
            </w:pPr>
            <w:r>
              <w:rPr>
                <w:spacing w:val="-2"/>
                <w:sz w:val="21"/>
              </w:rPr>
              <w:t>重返工作岗位的可能性：评估患者的就业情况和职业需</w:t>
            </w:r>
            <w:r>
              <w:rPr>
                <w:spacing w:val="-2"/>
                <w:sz w:val="21"/>
              </w:rPr>
              <w:t>求，以帮助他们在治疗后更好地重返工作岗位。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2807"/>
          <w:jc w:val="left"/>
        </w:trPr>
        <w:tc>
          <w:tcPr>
            <w:tcW w:w="2769" w:type="dxa"/>
          </w:tcPr>
          <w:p>
            <w:pPr>
              <w:pStyle w:val="TableParagraph"/>
              <w:spacing w:before="23"/>
              <w:ind w:left="108"/>
              <w:rPr>
                <w:sz w:val="21"/>
              </w:rPr>
            </w:pPr>
            <w:r>
              <w:rPr>
                <w:spacing w:val="-3"/>
                <w:sz w:val="21"/>
              </w:rPr>
              <w:t>婚姻状况</w:t>
            </w:r>
          </w:p>
        </w:tc>
        <w:tc>
          <w:tcPr>
            <w:tcW w:w="5527" w:type="dxa"/>
          </w:tcPr>
          <w:p>
            <w:pPr>
              <w:pStyle w:val="TableParagraph"/>
              <w:spacing w:before="4"/>
              <w:ind w:left="0"/>
              <w:rPr>
                <w:rFonts w:ascii="Microsoft JhengHei"/>
                <w:b/>
                <w:sz w:val="18"/>
              </w:rPr>
            </w:pPr>
          </w:p>
          <w:p>
            <w:pPr>
              <w:pStyle w:val="TableParagraph"/>
              <w:numPr>
                <w:ilvl w:val="0"/>
                <w:numId w:val="33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both"/>
              <w:rPr>
                <w:sz w:val="21"/>
              </w:rPr>
            </w:pPr>
            <w:r>
              <w:rPr>
                <w:spacing w:val="-2"/>
                <w:sz w:val="21"/>
              </w:rPr>
              <w:t>婚姻满意度与生活质量的关系：良好的婚姻关系有助于</w:t>
            </w:r>
            <w:r>
              <w:rPr>
                <w:spacing w:val="-2"/>
                <w:sz w:val="21"/>
              </w:rPr>
              <w:t>提高患者的生活质量，而紧张的夫妻关系可能会加重疾病</w:t>
            </w:r>
            <w:r>
              <w:rPr>
                <w:spacing w:val="-4"/>
                <w:sz w:val="21"/>
              </w:rPr>
              <w:t>负担。</w:t>
            </w:r>
          </w:p>
          <w:p>
            <w:pPr>
              <w:pStyle w:val="TableParagraph"/>
              <w:numPr>
                <w:ilvl w:val="0"/>
                <w:numId w:val="33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both"/>
              <w:rPr>
                <w:sz w:val="21"/>
              </w:rPr>
            </w:pPr>
            <w:r>
              <w:rPr>
                <w:spacing w:val="-2"/>
                <w:sz w:val="21"/>
              </w:rPr>
              <w:t>照顾者角色：配偶或其他家庭成员通常承担照顾者的责</w:t>
            </w:r>
            <w:r>
              <w:rPr>
                <w:spacing w:val="-2"/>
                <w:sz w:val="21"/>
              </w:rPr>
              <w:t>任，关注婚姻状况可以帮助理解照顾者压力和支持需求。</w:t>
            </w:r>
          </w:p>
          <w:p>
            <w:pPr>
              <w:pStyle w:val="TableParagraph"/>
              <w:numPr>
                <w:ilvl w:val="0"/>
                <w:numId w:val="33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both"/>
              <w:rPr>
                <w:sz w:val="21"/>
              </w:rPr>
            </w:pPr>
            <w:r>
              <w:rPr>
                <w:spacing w:val="-2"/>
                <w:sz w:val="21"/>
              </w:rPr>
              <w:t>社会支持系统：婚姻状况还可能影响患者的社会支持系</w:t>
            </w:r>
            <w:r>
              <w:rPr>
                <w:spacing w:val="-2"/>
                <w:sz w:val="21"/>
              </w:rPr>
              <w:t>统，这对于康复过程中的情感支持至关重要。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2496"/>
          <w:jc w:val="left"/>
        </w:trPr>
        <w:tc>
          <w:tcPr>
            <w:tcW w:w="2769" w:type="dxa"/>
          </w:tcPr>
          <w:p>
            <w:pPr>
              <w:pStyle w:val="TableParagraph"/>
              <w:spacing w:before="23"/>
              <w:ind w:left="108"/>
              <w:rPr>
                <w:sz w:val="21"/>
              </w:rPr>
            </w:pPr>
            <w:r>
              <w:rPr>
                <w:spacing w:val="-3"/>
                <w:sz w:val="21"/>
              </w:rPr>
              <w:t>教育背景</w:t>
            </w:r>
          </w:p>
        </w:tc>
        <w:tc>
          <w:tcPr>
            <w:tcW w:w="5527" w:type="dxa"/>
          </w:tcPr>
          <w:p>
            <w:pPr>
              <w:pStyle w:val="TableParagraph"/>
              <w:spacing w:before="4"/>
              <w:ind w:left="0"/>
              <w:rPr>
                <w:rFonts w:ascii="Microsoft JhengHei"/>
                <w:b/>
                <w:sz w:val="18"/>
              </w:rPr>
            </w:pPr>
          </w:p>
          <w:p>
            <w:pPr>
              <w:pStyle w:val="TableParagraph"/>
              <w:numPr>
                <w:ilvl w:val="0"/>
                <w:numId w:val="32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对疾病的认知水平：较高的教育背景可能使患者更能理</w:t>
            </w:r>
            <w:r>
              <w:rPr>
                <w:spacing w:val="-2"/>
                <w:sz w:val="21"/>
              </w:rPr>
              <w:t>解和应对自己的疾病，从而有利于提高生活质量。</w:t>
            </w:r>
          </w:p>
          <w:p>
            <w:pPr>
              <w:pStyle w:val="TableParagraph"/>
              <w:numPr>
                <w:ilvl w:val="0"/>
                <w:numId w:val="32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康复知识的理解和应用：教育背景高的患者可能更容易</w:t>
            </w:r>
            <w:r>
              <w:rPr>
                <w:spacing w:val="-2"/>
                <w:sz w:val="21"/>
              </w:rPr>
              <w:t>掌握和实践康复措施，这对改善生活质量具有积极意义。</w:t>
            </w:r>
          </w:p>
          <w:p>
            <w:pPr>
              <w:pStyle w:val="TableParagraph"/>
              <w:numPr>
                <w:ilvl w:val="0"/>
                <w:numId w:val="32"/>
              </w:numPr>
              <w:tabs>
                <w:tab w:val="left" w:pos="371"/>
              </w:tabs>
              <w:spacing w:before="0" w:after="0" w:line="278" w:lineRule="auto"/>
              <w:ind w:left="107" w:right="-15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与医护人员沟通的能力：具备良好教育背景的患者更有</w:t>
            </w:r>
            <w:r>
              <w:rPr>
                <w:spacing w:val="-2"/>
                <w:sz w:val="21"/>
              </w:rPr>
              <w:t>可能主动参与医疗决策，与医护人员建立有效的沟通机制。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2495"/>
          <w:jc w:val="left"/>
        </w:trPr>
        <w:tc>
          <w:tcPr>
            <w:tcW w:w="2769" w:type="dxa"/>
          </w:tcPr>
          <w:p>
            <w:pPr>
              <w:pStyle w:val="TableParagraph"/>
              <w:spacing w:before="23"/>
              <w:ind w:left="108"/>
              <w:rPr>
                <w:sz w:val="21"/>
              </w:rPr>
            </w:pPr>
            <w:r>
              <w:rPr>
                <w:spacing w:val="-3"/>
                <w:sz w:val="21"/>
              </w:rPr>
              <w:t>经济状况</w:t>
            </w:r>
          </w:p>
        </w:tc>
        <w:tc>
          <w:tcPr>
            <w:tcW w:w="5527" w:type="dxa"/>
          </w:tcPr>
          <w:p>
            <w:pPr>
              <w:pStyle w:val="TableParagraph"/>
              <w:spacing w:before="4"/>
              <w:ind w:left="0"/>
              <w:rPr>
                <w:rFonts w:ascii="Microsoft JhengHei"/>
                <w:b/>
                <w:sz w:val="18"/>
              </w:rPr>
            </w:pPr>
          </w:p>
          <w:p>
            <w:pPr>
              <w:pStyle w:val="TableParagraph"/>
              <w:numPr>
                <w:ilvl w:val="0"/>
                <w:numId w:val="31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both"/>
              <w:rPr>
                <w:sz w:val="21"/>
              </w:rPr>
            </w:pPr>
            <w:r>
              <w:rPr>
                <w:spacing w:val="-2"/>
                <w:sz w:val="21"/>
              </w:rPr>
              <w:t>医疗费用支付能力：经济状况差的患者可能难以承受治</w:t>
            </w:r>
            <w:r>
              <w:rPr>
                <w:spacing w:val="-2"/>
                <w:sz w:val="21"/>
              </w:rPr>
              <w:t>疗费用，导致治疗中断或延误，进而影响生活质量。</w:t>
            </w:r>
          </w:p>
          <w:p>
            <w:pPr>
              <w:pStyle w:val="TableParagraph"/>
              <w:numPr>
                <w:ilvl w:val="0"/>
                <w:numId w:val="31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both"/>
              <w:rPr>
                <w:sz w:val="21"/>
              </w:rPr>
            </w:pPr>
            <w:r>
              <w:rPr>
                <w:spacing w:val="-2"/>
                <w:sz w:val="21"/>
              </w:rPr>
              <w:t>药物及器械的可获得性：贫困地区的患者可能无法获取</w:t>
            </w:r>
            <w:r>
              <w:rPr>
                <w:spacing w:val="-2"/>
                <w:sz w:val="21"/>
              </w:rPr>
              <w:t>最新的药物和器械，这可能限制了他们的康复进程和生活</w:t>
            </w:r>
            <w:r>
              <w:rPr>
                <w:spacing w:val="-4"/>
                <w:sz w:val="21"/>
              </w:rPr>
              <w:t>质量。</w:t>
            </w:r>
          </w:p>
          <w:p>
            <w:pPr>
              <w:pStyle w:val="TableParagraph"/>
              <w:numPr>
                <w:ilvl w:val="0"/>
                <w:numId w:val="31"/>
              </w:numPr>
              <w:tabs>
                <w:tab w:val="left" w:pos="371"/>
              </w:tabs>
              <w:spacing w:before="0" w:after="0" w:line="269" w:lineRule="exact"/>
              <w:ind w:left="370" w:right="0" w:hanging="264"/>
              <w:jc w:val="both"/>
              <w:rPr>
                <w:sz w:val="21"/>
              </w:rPr>
            </w:pPr>
            <w:r>
              <w:rPr>
                <w:spacing w:val="-1"/>
                <w:sz w:val="21"/>
              </w:rPr>
              <w:t>心理压力和社会地位：经济状况差的患者可能因担心财</w:t>
            </w:r>
          </w:p>
          <w:p>
            <w:pPr>
              <w:pStyle w:val="TableParagraph"/>
              <w:spacing w:before="43"/>
              <w:ind w:right="-15"/>
              <w:rPr>
                <w:sz w:val="21"/>
              </w:rPr>
            </w:pPr>
            <w:r>
              <w:rPr>
                <w:spacing w:val="-3"/>
                <w:sz w:val="21"/>
              </w:rPr>
              <w:t>务问题而产生额外的心理压力，这将直接影响其生活质量。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11"/>
          <w:jc w:val="left"/>
        </w:trPr>
        <w:tc>
          <w:tcPr>
            <w:tcW w:w="2769" w:type="dxa"/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5527" w:type="dxa"/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</w:tbl>
    <w:p>
      <w:pPr>
        <w:spacing w:after="0"/>
        <w:rPr>
          <w:rFonts w:ascii="Times New Roman"/>
          <w:sz w:val="20"/>
        </w:rPr>
      </w:pPr>
      <w:r>
        <w:rPr>
          <w:rFonts w:ascii="Times New Roman"/>
          <w:sz w:val="20"/>
        </w:rPr>
        <w:br/>
      </w:r>
      <w:r>
        <w:rPr>
          <w:rFonts w:ascii="Times New Roman"/>
          <w:sz w:val="20"/>
        </w:rPr>
        <w:br/>
      </w:r>
    </w:p>
    <w:p>
      <w:pPr>
        <w:widowControl/>
        <w:autoSpaceDE/>
        <w:autoSpaceDN/>
        <w:spacing w:before="0" w:after="0" w:line="240" w:lineRule="auto"/>
        <w:ind w:left="0" w:right="0"/>
        <w:jc w:val="left"/>
        <w:rPr>
          <w:rFonts w:ascii="SimSun" w:eastAsia="SimSun" w:hAnsi="SimSun" w:cs="SimSun"/>
          <w:b/>
          <w:bCs/>
          <w:color w:val="00000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sz w:val="30"/>
          <w:szCs w:val="30"/>
        </w:rPr>
        <w:t>以上内容仅为本文档的试下载部分，为可阅读页数的一半内容。如要下载或阅读全文，请访问：</w:t>
      </w:r>
      <w:hyperlink r:id="rId15" w:history="1">
        <w:r>
          <w:rPr>
            <w:rFonts w:ascii="SimSun" w:eastAsia="SimSun" w:hAnsi="SimSun" w:cs="SimSun"/>
            <w:b/>
            <w:bCs/>
            <w:color w:val="0000EE"/>
            <w:sz w:val="30"/>
            <w:szCs w:val="30"/>
            <w:u w:val="single" w:color="0000EE"/>
          </w:rPr>
          <w:t>https://d.book118.com/085311341202011120</w:t>
        </w:r>
      </w:hyperlink>
    </w:p>
    <w:p>
      <w:pPr>
        <w:spacing w:after="0"/>
        <w:rPr>
          <w:rFonts w:ascii="Times New Roman"/>
          <w:sz w:val="20"/>
        </w:rPr>
      </w:pPr>
    </w:p>
    <w:sectPr>
      <w:footerReference w:type="default" r:id="rId16"/>
      <w:type w:val="continuous"/>
      <w:pgSz w:w="11910" w:h="16840"/>
      <w:pgMar w:top="1400" w:right="1420" w:bottom="1380" w:left="1680" w:header="0" w:footer="1198"/>
      <w:pgNumType w:start="1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charset w:val="00"/>
    <w:family w:val="roman"/>
    <w:pitch w:val="variable"/>
    <w:sig w:usb0="00000000" w:usb1="00000000" w:usb2="00000000" w:usb3="00000000" w:csb0="00000001" w:csb1="00000000"/>
  </w:font>
  <w:font w:name="Microsoft JhengHei">
    <w:altName w:val="Microsoft JhengHei"/>
    <w:charset w:val="00"/>
    <w:family w:val="swiss"/>
    <w:pitch w:val="variable"/>
    <w:sig w:usb0="00000000" w:usb1="00000000" w:usb2="00000000" w:usb3="00000000" w:csb0="00000001" w:csb1="00000000"/>
  </w:font>
  <w:font w:name="仿宋">
    <w:altName w:val="仿宋"/>
    <w:charset w:val="86"/>
    <w:family w:val="modern"/>
    <w:pitch w:val="fixed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width:29.05pt;height:12pt;margin-top:770.98pt;margin-left:284.4pt;mso-position-horizontal-relative:page;mso-position-vertical-relative:page;position:absolute;z-index:-251658240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b/>
                    <w:sz w:val="18"/>
                  </w:rPr>
                </w:pPr>
                <w:r>
                  <w:rPr>
                    <w:rFonts w:ascii="Times New Roman"/>
                    <w:b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b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z w:val="18"/>
                  </w:rPr>
                  <w:t>1</w:t>
                </w:r>
                <w:r>
                  <w:rPr>
                    <w:rFonts w:ascii="Times New Roman"/>
                    <w:b/>
                    <w:sz w:val="18"/>
                  </w:rPr>
                  <w:fldChar w:fldCharType="end"/>
                </w:r>
                <w:r>
                  <w:rPr>
                    <w:rFonts w:ascii="Times New Roman"/>
                    <w:b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 xml:space="preserve">/ 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t>11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8" type="#_x0000_t202" style="width:29.05pt;height:12pt;margin-top:770.98pt;margin-left:284.4pt;mso-position-horizontal-relative:page;mso-position-vertical-relative:page;position:absolute;z-index:-251649024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b/>
                    <w:sz w:val="18"/>
                  </w:rPr>
                </w:pPr>
                <w:r>
                  <w:rPr>
                    <w:rFonts w:ascii="Times New Roman"/>
                    <w:b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b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z w:val="18"/>
                  </w:rPr>
                  <w:t>10</w:t>
                </w:r>
                <w:r>
                  <w:rPr>
                    <w:rFonts w:ascii="Times New Roman"/>
                    <w:b/>
                    <w:sz w:val="18"/>
                  </w:rPr>
                  <w:fldChar w:fldCharType="end"/>
                </w:r>
                <w:r>
                  <w:rPr>
                    <w:rFonts w:ascii="Times New Roman"/>
                    <w:b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 xml:space="preserve">/ 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t>11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9" type="#_x0000_t202" style="width:29.05pt;height:12pt;margin-top:770.98pt;margin-left:284.4pt;mso-position-horizontal-relative:page;mso-position-vertical-relative:page;position:absolute;z-index:-251648000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b/>
                    <w:sz w:val="18"/>
                  </w:rPr>
                </w:pPr>
                <w:r>
                  <w:rPr>
                    <w:rFonts w:ascii="Times New Roman"/>
                    <w:b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b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z w:val="18"/>
                  </w:rPr>
                  <w:t>11</w:t>
                </w:r>
                <w:r>
                  <w:rPr>
                    <w:rFonts w:ascii="Times New Roman"/>
                    <w:b/>
                    <w:sz w:val="18"/>
                  </w:rPr>
                  <w:fldChar w:fldCharType="end"/>
                </w:r>
                <w:r>
                  <w:rPr>
                    <w:rFonts w:ascii="Times New Roman"/>
                    <w:b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 xml:space="preserve">/ 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t>11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width:29.05pt;height:12pt;margin-top:770.98pt;margin-left:284.4pt;mso-position-horizontal-relative:page;mso-position-vertical-relative:page;position:absolute;z-index:-251657216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b/>
                    <w:sz w:val="18"/>
                  </w:rPr>
                </w:pPr>
                <w:r>
                  <w:rPr>
                    <w:rFonts w:ascii="Times New Roman"/>
                    <w:b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b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z w:val="18"/>
                  </w:rPr>
                  <w:t>2</w:t>
                </w:r>
                <w:r>
                  <w:rPr>
                    <w:rFonts w:ascii="Times New Roman"/>
                    <w:b/>
                    <w:sz w:val="18"/>
                  </w:rPr>
                  <w:fldChar w:fldCharType="end"/>
                </w:r>
                <w:r>
                  <w:rPr>
                    <w:rFonts w:ascii="Times New Roman"/>
                    <w:b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 xml:space="preserve">/ 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t>11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width:29.05pt;height:12pt;margin-top:770.98pt;margin-left:284.4pt;mso-position-horizontal-relative:page;mso-position-vertical-relative:page;position:absolute;z-index:-251656192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b/>
                    <w:sz w:val="18"/>
                  </w:rPr>
                </w:pPr>
                <w:r>
                  <w:rPr>
                    <w:rFonts w:ascii="Times New Roman"/>
                    <w:b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b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z w:val="18"/>
                  </w:rPr>
                  <w:t>3</w:t>
                </w:r>
                <w:r>
                  <w:rPr>
                    <w:rFonts w:ascii="Times New Roman"/>
                    <w:b/>
                    <w:sz w:val="18"/>
                  </w:rPr>
                  <w:fldChar w:fldCharType="end"/>
                </w:r>
                <w:r>
                  <w:rPr>
                    <w:rFonts w:ascii="Times New Roman"/>
                    <w:b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 xml:space="preserve">/ 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t>11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width:29.05pt;height:12pt;margin-top:770.98pt;margin-left:284.4pt;mso-position-horizontal-relative:page;mso-position-vertical-relative:page;position:absolute;z-index:-251655168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b/>
                    <w:sz w:val="18"/>
                  </w:rPr>
                </w:pPr>
                <w:r>
                  <w:rPr>
                    <w:rFonts w:ascii="Times New Roman"/>
                    <w:b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b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z w:val="18"/>
                  </w:rPr>
                  <w:t>4</w:t>
                </w:r>
                <w:r>
                  <w:rPr>
                    <w:rFonts w:ascii="Times New Roman"/>
                    <w:b/>
                    <w:sz w:val="18"/>
                  </w:rPr>
                  <w:fldChar w:fldCharType="end"/>
                </w:r>
                <w:r>
                  <w:rPr>
                    <w:rFonts w:ascii="Times New Roman"/>
                    <w:b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 xml:space="preserve">/ 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t>11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width:29.05pt;height:12pt;margin-top:770.98pt;margin-left:284.4pt;mso-position-horizontal-relative:page;mso-position-vertical-relative:page;position:absolute;z-index:-251654144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b/>
                    <w:sz w:val="18"/>
                  </w:rPr>
                </w:pPr>
                <w:r>
                  <w:rPr>
                    <w:rFonts w:ascii="Times New Roman"/>
                    <w:b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b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z w:val="18"/>
                  </w:rPr>
                  <w:t>5</w:t>
                </w:r>
                <w:r>
                  <w:rPr>
                    <w:rFonts w:ascii="Times New Roman"/>
                    <w:b/>
                    <w:sz w:val="18"/>
                  </w:rPr>
                  <w:fldChar w:fldCharType="end"/>
                </w:r>
                <w:r>
                  <w:rPr>
                    <w:rFonts w:ascii="Times New Roman"/>
                    <w:b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 xml:space="preserve">/ 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t>11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4" type="#_x0000_t202" style="width:29.05pt;height:12pt;margin-top:770.98pt;margin-left:284.4pt;mso-position-horizontal-relative:page;mso-position-vertical-relative:page;position:absolute;z-index:-251653120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b/>
                    <w:sz w:val="18"/>
                  </w:rPr>
                </w:pPr>
                <w:r>
                  <w:rPr>
                    <w:rFonts w:ascii="Times New Roman"/>
                    <w:b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b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z w:val="18"/>
                  </w:rPr>
                  <w:t>6</w:t>
                </w:r>
                <w:r>
                  <w:rPr>
                    <w:rFonts w:ascii="Times New Roman"/>
                    <w:b/>
                    <w:sz w:val="18"/>
                  </w:rPr>
                  <w:fldChar w:fldCharType="end"/>
                </w:r>
                <w:r>
                  <w:rPr>
                    <w:rFonts w:ascii="Times New Roman"/>
                    <w:b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 xml:space="preserve">/ 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t>11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width:29.05pt;height:12pt;margin-top:770.98pt;margin-left:284.4pt;mso-position-horizontal-relative:page;mso-position-vertical-relative:page;position:absolute;z-index:-251652096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b/>
                    <w:sz w:val="18"/>
                  </w:rPr>
                </w:pPr>
                <w:r>
                  <w:rPr>
                    <w:rFonts w:ascii="Times New Roman"/>
                    <w:b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b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z w:val="18"/>
                  </w:rPr>
                  <w:t>7</w:t>
                </w:r>
                <w:r>
                  <w:rPr>
                    <w:rFonts w:ascii="Times New Roman"/>
                    <w:b/>
                    <w:sz w:val="18"/>
                  </w:rPr>
                  <w:fldChar w:fldCharType="end"/>
                </w:r>
                <w:r>
                  <w:rPr>
                    <w:rFonts w:ascii="Times New Roman"/>
                    <w:b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 xml:space="preserve">/ 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t>11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width:29.05pt;height:12pt;margin-top:770.98pt;margin-left:284.4pt;mso-position-horizontal-relative:page;mso-position-vertical-relative:page;position:absolute;z-index:-251651072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b/>
                    <w:sz w:val="18"/>
                  </w:rPr>
                </w:pPr>
                <w:r>
                  <w:rPr>
                    <w:rFonts w:ascii="Times New Roman"/>
                    <w:b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b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z w:val="18"/>
                  </w:rPr>
                  <w:t>8</w:t>
                </w:r>
                <w:r>
                  <w:rPr>
                    <w:rFonts w:ascii="Times New Roman"/>
                    <w:b/>
                    <w:sz w:val="18"/>
                  </w:rPr>
                  <w:fldChar w:fldCharType="end"/>
                </w:r>
                <w:r>
                  <w:rPr>
                    <w:rFonts w:ascii="Times New Roman"/>
                    <w:b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 xml:space="preserve">/ 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t>11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7" type="#_x0000_t202" style="width:29.05pt;height:12pt;margin-top:770.98pt;margin-left:284.4pt;mso-position-horizontal-relative:page;mso-position-vertical-relative:page;position:absolute;z-index:-251650048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b/>
                    <w:sz w:val="18"/>
                  </w:rPr>
                </w:pPr>
                <w:r>
                  <w:rPr>
                    <w:rFonts w:ascii="Times New Roman"/>
                    <w:b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b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z w:val="18"/>
                  </w:rPr>
                  <w:t>9</w:t>
                </w:r>
                <w:r>
                  <w:rPr>
                    <w:rFonts w:ascii="Times New Roman"/>
                    <w:b/>
                    <w:sz w:val="18"/>
                  </w:rPr>
                  <w:fldChar w:fldCharType="end"/>
                </w:r>
                <w:r>
                  <w:rPr>
                    <w:rFonts w:ascii="Times New Roman"/>
                    <w:b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 xml:space="preserve">/ 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t>11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11501B"/>
    <w:multiLevelType w:val="hybridMultilevel"/>
    <w:tmpl w:val="00000000"/>
    <w:lvl w:ilvl="0">
      <w:start w:val="1"/>
      <w:numFmt w:val="decimal"/>
      <w:lvlText w:val="%1."/>
      <w:lvlJc w:val="left"/>
      <w:pPr>
        <w:ind w:left="120" w:hanging="422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988" w:hanging="422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857" w:hanging="422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2725" w:hanging="422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594" w:hanging="422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463" w:hanging="422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331" w:hanging="422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200" w:hanging="422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068" w:hanging="422"/>
      </w:pPr>
      <w:rPr>
        <w:rFonts w:hint="default"/>
        <w:lang w:val="en-US" w:eastAsia="zh-CN" w:bidi="ar-SA"/>
      </w:rPr>
    </w:lvl>
  </w:abstractNum>
  <w:abstractNum w:abstractNumId="1">
    <w:nsid w:val="090194D0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2">
    <w:nsid w:val="0A6A0A69"/>
    <w:multiLevelType w:val="hybridMultilevel"/>
    <w:tmpl w:val="00000000"/>
    <w:lvl w:ilvl="0">
      <w:start w:val="1"/>
      <w:numFmt w:val="decimal"/>
      <w:lvlText w:val="%1."/>
      <w:lvlJc w:val="left"/>
      <w:pPr>
        <w:ind w:left="120" w:hanging="422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988" w:hanging="422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857" w:hanging="422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2725" w:hanging="422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594" w:hanging="422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463" w:hanging="422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331" w:hanging="422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200" w:hanging="422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068" w:hanging="422"/>
      </w:pPr>
      <w:rPr>
        <w:rFonts w:hint="default"/>
        <w:lang w:val="en-US" w:eastAsia="zh-CN" w:bidi="ar-SA"/>
      </w:rPr>
    </w:lvl>
  </w:abstractNum>
  <w:abstractNum w:abstractNumId="3">
    <w:nsid w:val="0D2E8E44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4">
    <w:nsid w:val="0E3BC92E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5">
    <w:nsid w:val="0FF7A91B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6">
    <w:nsid w:val="17062FB6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7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9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1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3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5" w:hanging="263"/>
      </w:pPr>
      <w:rPr>
        <w:rFonts w:hint="default"/>
        <w:lang w:val="en-US" w:eastAsia="zh-CN" w:bidi="ar-SA"/>
      </w:rPr>
    </w:lvl>
  </w:abstractNum>
  <w:abstractNum w:abstractNumId="7">
    <w:nsid w:val="19A00C09"/>
    <w:multiLevelType w:val="hybridMultilevel"/>
    <w:tmpl w:val="00000000"/>
    <w:lvl w:ilvl="0">
      <w:start w:val="1"/>
      <w:numFmt w:val="decimal"/>
      <w:lvlText w:val="%1."/>
      <w:lvlJc w:val="left"/>
      <w:pPr>
        <w:ind w:left="120" w:hanging="422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988" w:hanging="422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857" w:hanging="422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2725" w:hanging="422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594" w:hanging="422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463" w:hanging="422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331" w:hanging="422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200" w:hanging="422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068" w:hanging="422"/>
      </w:pPr>
      <w:rPr>
        <w:rFonts w:hint="default"/>
        <w:lang w:val="en-US" w:eastAsia="zh-CN" w:bidi="ar-SA"/>
      </w:rPr>
    </w:lvl>
  </w:abstractNum>
  <w:abstractNum w:abstractNumId="8">
    <w:nsid w:val="1B24DCDB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9">
    <w:nsid w:val="1C089E1A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10">
    <w:nsid w:val="1FE14858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7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9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1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3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5" w:hanging="263"/>
      </w:pPr>
      <w:rPr>
        <w:rFonts w:hint="default"/>
        <w:lang w:val="en-US" w:eastAsia="zh-CN" w:bidi="ar-SA"/>
      </w:rPr>
    </w:lvl>
  </w:abstractNum>
  <w:abstractNum w:abstractNumId="11">
    <w:nsid w:val="23981D36"/>
    <w:multiLevelType w:val="hybridMultilevel"/>
    <w:tmpl w:val="00000000"/>
    <w:lvl w:ilvl="0">
      <w:start w:val="1"/>
      <w:numFmt w:val="decimal"/>
      <w:lvlText w:val="%1."/>
      <w:lvlJc w:val="left"/>
      <w:pPr>
        <w:ind w:left="372" w:hanging="26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893" w:hanging="265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407" w:hanging="265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921" w:hanging="265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434" w:hanging="265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948" w:hanging="265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462" w:hanging="265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975" w:hanging="265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89" w:hanging="265"/>
      </w:pPr>
      <w:rPr>
        <w:rFonts w:hint="default"/>
        <w:lang w:val="en-US" w:eastAsia="zh-CN" w:bidi="ar-SA"/>
      </w:rPr>
    </w:lvl>
  </w:abstractNum>
  <w:abstractNum w:abstractNumId="12">
    <w:nsid w:val="244994BA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13">
    <w:nsid w:val="25759DE0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14">
    <w:nsid w:val="2611043C"/>
    <w:multiLevelType w:val="hybridMultilevel"/>
    <w:tmpl w:val="00000000"/>
    <w:lvl w:ilvl="0">
      <w:start w:val="1"/>
      <w:numFmt w:val="decimal"/>
      <w:lvlText w:val="%1."/>
      <w:lvlJc w:val="left"/>
      <w:pPr>
        <w:ind w:left="120" w:hanging="422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988" w:hanging="422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857" w:hanging="422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2725" w:hanging="422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594" w:hanging="422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463" w:hanging="422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331" w:hanging="422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200" w:hanging="422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068" w:hanging="422"/>
      </w:pPr>
      <w:rPr>
        <w:rFonts w:hint="default"/>
        <w:lang w:val="en-US" w:eastAsia="zh-CN" w:bidi="ar-SA"/>
      </w:rPr>
    </w:lvl>
  </w:abstractNum>
  <w:abstractNum w:abstractNumId="15">
    <w:nsid w:val="26D2F861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16">
    <w:nsid w:val="26D8871C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17">
    <w:nsid w:val="2817C3FB"/>
    <w:multiLevelType w:val="hybridMultilevel"/>
    <w:tmpl w:val="00000000"/>
    <w:lvl w:ilvl="0">
      <w:start w:val="1"/>
      <w:numFmt w:val="decimal"/>
      <w:lvlText w:val="%1."/>
      <w:lvlJc w:val="left"/>
      <w:pPr>
        <w:ind w:left="370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893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407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921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435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949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463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977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91" w:hanging="263"/>
      </w:pPr>
      <w:rPr>
        <w:rFonts w:hint="default"/>
        <w:lang w:val="en-US" w:eastAsia="zh-CN" w:bidi="ar-SA"/>
      </w:rPr>
    </w:lvl>
  </w:abstractNum>
  <w:abstractNum w:abstractNumId="18">
    <w:nsid w:val="2AFFC792"/>
    <w:multiLevelType w:val="hybridMultilevel"/>
    <w:tmpl w:val="00000000"/>
    <w:lvl w:ilvl="0">
      <w:start w:val="1"/>
      <w:numFmt w:val="decimal"/>
      <w:lvlText w:val="%1."/>
      <w:lvlJc w:val="left"/>
      <w:pPr>
        <w:ind w:left="370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893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407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921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434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94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462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975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89" w:hanging="263"/>
      </w:pPr>
      <w:rPr>
        <w:rFonts w:hint="default"/>
        <w:lang w:val="en-US" w:eastAsia="zh-CN" w:bidi="ar-SA"/>
      </w:rPr>
    </w:lvl>
  </w:abstractNum>
  <w:abstractNum w:abstractNumId="19">
    <w:nsid w:val="2B481630"/>
    <w:multiLevelType w:val="hybridMultilevel"/>
    <w:tmpl w:val="00000000"/>
    <w:lvl w:ilvl="0">
      <w:start w:val="2"/>
      <w:numFmt w:val="decimal"/>
      <w:lvlText w:val="%1."/>
      <w:lvlJc w:val="left"/>
      <w:pPr>
        <w:ind w:left="108" w:hanging="26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5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5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5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5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5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5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5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5"/>
      </w:pPr>
      <w:rPr>
        <w:rFonts w:hint="default"/>
        <w:lang w:val="en-US" w:eastAsia="zh-CN" w:bidi="ar-SA"/>
      </w:rPr>
    </w:lvl>
  </w:abstractNum>
  <w:abstractNum w:abstractNumId="20">
    <w:nsid w:val="2CE581F4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7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9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1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3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5" w:hanging="263"/>
      </w:pPr>
      <w:rPr>
        <w:rFonts w:hint="default"/>
        <w:lang w:val="en-US" w:eastAsia="zh-CN" w:bidi="ar-SA"/>
      </w:rPr>
    </w:lvl>
  </w:abstractNum>
  <w:abstractNum w:abstractNumId="21">
    <w:nsid w:val="2DB447BE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22">
    <w:nsid w:val="2F65EB61"/>
    <w:multiLevelType w:val="hybridMultilevel"/>
    <w:tmpl w:val="00000000"/>
    <w:lvl w:ilvl="0">
      <w:start w:val="2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7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9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1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3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5" w:hanging="263"/>
      </w:pPr>
      <w:rPr>
        <w:rFonts w:hint="default"/>
        <w:lang w:val="en-US" w:eastAsia="zh-CN" w:bidi="ar-SA"/>
      </w:rPr>
    </w:lvl>
  </w:abstractNum>
  <w:abstractNum w:abstractNumId="23">
    <w:nsid w:val="34C7A5FC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24">
    <w:nsid w:val="35909FB3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7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9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1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3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5" w:hanging="263"/>
      </w:pPr>
      <w:rPr>
        <w:rFonts w:hint="default"/>
        <w:lang w:val="en-US" w:eastAsia="zh-CN" w:bidi="ar-SA"/>
      </w:rPr>
    </w:lvl>
  </w:abstractNum>
  <w:abstractNum w:abstractNumId="25">
    <w:nsid w:val="379E4021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26">
    <w:nsid w:val="3956B03E"/>
    <w:multiLevelType w:val="hybridMultilevel"/>
    <w:tmpl w:val="00000000"/>
    <w:lvl w:ilvl="0">
      <w:start w:val="1"/>
      <w:numFmt w:val="decimal"/>
      <w:lvlText w:val="%1."/>
      <w:lvlJc w:val="left"/>
      <w:pPr>
        <w:ind w:left="370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893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407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921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434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94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462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975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89" w:hanging="263"/>
      </w:pPr>
      <w:rPr>
        <w:rFonts w:hint="default"/>
        <w:lang w:val="en-US" w:eastAsia="zh-CN" w:bidi="ar-SA"/>
      </w:rPr>
    </w:lvl>
  </w:abstractNum>
  <w:abstractNum w:abstractNumId="27">
    <w:nsid w:val="3B13ED65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28">
    <w:nsid w:val="3CC3D619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5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5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5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5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5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5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5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5"/>
      </w:pPr>
      <w:rPr>
        <w:rFonts w:hint="default"/>
        <w:lang w:val="en-US" w:eastAsia="zh-CN" w:bidi="ar-SA"/>
      </w:rPr>
    </w:lvl>
  </w:abstractNum>
  <w:abstractNum w:abstractNumId="29">
    <w:nsid w:val="3EC97606"/>
    <w:multiLevelType w:val="hybridMultilevel"/>
    <w:tmpl w:val="00000000"/>
    <w:lvl w:ilvl="0">
      <w:start w:val="1"/>
      <w:numFmt w:val="decimal"/>
      <w:lvlText w:val="%1."/>
      <w:lvlJc w:val="left"/>
      <w:pPr>
        <w:ind w:left="540" w:hanging="420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1366" w:hanging="420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2193" w:hanging="420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3019" w:hanging="420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846" w:hanging="420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673" w:hanging="420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499" w:hanging="420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326" w:hanging="420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152" w:hanging="420"/>
      </w:pPr>
      <w:rPr>
        <w:rFonts w:hint="default"/>
        <w:lang w:val="en-US" w:eastAsia="zh-CN" w:bidi="ar-SA"/>
      </w:rPr>
    </w:lvl>
  </w:abstractNum>
  <w:abstractNum w:abstractNumId="30">
    <w:nsid w:val="409482C4"/>
    <w:multiLevelType w:val="hybridMultilevel"/>
    <w:tmpl w:val="00000000"/>
    <w:lvl w:ilvl="0">
      <w:start w:val="2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31">
    <w:nsid w:val="479B5961"/>
    <w:multiLevelType w:val="hybridMultilevel"/>
    <w:tmpl w:val="00000000"/>
    <w:lvl w:ilvl="0">
      <w:start w:val="2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32">
    <w:nsid w:val="4889A4FF"/>
    <w:multiLevelType w:val="hybridMultilevel"/>
    <w:tmpl w:val="00000000"/>
    <w:lvl w:ilvl="0">
      <w:start w:val="1"/>
      <w:numFmt w:val="decimal"/>
      <w:lvlText w:val="%1."/>
      <w:lvlJc w:val="left"/>
      <w:pPr>
        <w:ind w:left="370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893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407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921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434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94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462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975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89" w:hanging="263"/>
      </w:pPr>
      <w:rPr>
        <w:rFonts w:hint="default"/>
        <w:lang w:val="en-US" w:eastAsia="zh-CN" w:bidi="ar-SA"/>
      </w:rPr>
    </w:lvl>
  </w:abstractNum>
  <w:abstractNum w:abstractNumId="33">
    <w:nsid w:val="4A8C857D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5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5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5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5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5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5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5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5"/>
      </w:pPr>
      <w:rPr>
        <w:rFonts w:hint="default"/>
        <w:lang w:val="en-US" w:eastAsia="zh-CN" w:bidi="ar-SA"/>
      </w:rPr>
    </w:lvl>
  </w:abstractNum>
  <w:abstractNum w:abstractNumId="34">
    <w:nsid w:val="4C2DE496"/>
    <w:multiLevelType w:val="hybridMultilevel"/>
    <w:tmpl w:val="00000000"/>
    <w:lvl w:ilvl="0">
      <w:start w:val="2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35">
    <w:nsid w:val="4E0F7647"/>
    <w:multiLevelType w:val="hybridMultilevel"/>
    <w:tmpl w:val="00000000"/>
    <w:lvl w:ilvl="0">
      <w:start w:val="1"/>
      <w:numFmt w:val="decimal"/>
      <w:lvlText w:val="%1."/>
      <w:lvlJc w:val="left"/>
      <w:pPr>
        <w:ind w:left="120" w:hanging="422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988" w:hanging="422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857" w:hanging="422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2725" w:hanging="422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594" w:hanging="422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463" w:hanging="422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331" w:hanging="422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200" w:hanging="422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068" w:hanging="422"/>
      </w:pPr>
      <w:rPr>
        <w:rFonts w:hint="default"/>
        <w:lang w:val="en-US" w:eastAsia="zh-CN" w:bidi="ar-SA"/>
      </w:rPr>
    </w:lvl>
  </w:abstractNum>
  <w:abstractNum w:abstractNumId="36">
    <w:nsid w:val="4E1CE6C3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37">
    <w:nsid w:val="4FB62EB4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38">
    <w:nsid w:val="504759D1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7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9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1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3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5" w:hanging="263"/>
      </w:pPr>
      <w:rPr>
        <w:rFonts w:hint="default"/>
        <w:lang w:val="en-US" w:eastAsia="zh-CN" w:bidi="ar-SA"/>
      </w:rPr>
    </w:lvl>
  </w:abstractNum>
  <w:abstractNum w:abstractNumId="39">
    <w:nsid w:val="52892343"/>
    <w:multiLevelType w:val="hybridMultilevel"/>
    <w:tmpl w:val="00000000"/>
    <w:lvl w:ilvl="0">
      <w:start w:val="1"/>
      <w:numFmt w:val="decimal"/>
      <w:lvlText w:val="%1."/>
      <w:lvlJc w:val="left"/>
      <w:pPr>
        <w:ind w:left="370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893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407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921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434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94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462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975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89" w:hanging="263"/>
      </w:pPr>
      <w:rPr>
        <w:rFonts w:hint="default"/>
        <w:lang w:val="en-US" w:eastAsia="zh-CN" w:bidi="ar-SA"/>
      </w:rPr>
    </w:lvl>
  </w:abstractNum>
  <w:abstractNum w:abstractNumId="40">
    <w:nsid w:val="53376206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5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5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5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5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5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5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5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5"/>
      </w:pPr>
      <w:rPr>
        <w:rFonts w:hint="default"/>
        <w:lang w:val="en-US" w:eastAsia="zh-CN" w:bidi="ar-SA"/>
      </w:rPr>
    </w:lvl>
  </w:abstractNum>
  <w:abstractNum w:abstractNumId="41">
    <w:nsid w:val="53D87731"/>
    <w:multiLevelType w:val="hybridMultilevel"/>
    <w:tmpl w:val="00000000"/>
    <w:lvl w:ilvl="0">
      <w:start w:val="1"/>
      <w:numFmt w:val="decimal"/>
      <w:lvlText w:val="%1."/>
      <w:lvlJc w:val="left"/>
      <w:pPr>
        <w:ind w:left="370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893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407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921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434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94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462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975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89" w:hanging="263"/>
      </w:pPr>
      <w:rPr>
        <w:rFonts w:hint="default"/>
        <w:lang w:val="en-US" w:eastAsia="zh-CN" w:bidi="ar-SA"/>
      </w:rPr>
    </w:lvl>
  </w:abstractNum>
  <w:abstractNum w:abstractNumId="42">
    <w:nsid w:val="55A19347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7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9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1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3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5" w:hanging="263"/>
      </w:pPr>
      <w:rPr>
        <w:rFonts w:hint="default"/>
        <w:lang w:val="en-US" w:eastAsia="zh-CN" w:bidi="ar-SA"/>
      </w:rPr>
    </w:lvl>
  </w:abstractNum>
  <w:abstractNum w:abstractNumId="43">
    <w:nsid w:val="56565B43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7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9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1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3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5" w:hanging="263"/>
      </w:pPr>
      <w:rPr>
        <w:rFonts w:hint="default"/>
        <w:lang w:val="en-US" w:eastAsia="zh-CN" w:bidi="ar-SA"/>
      </w:rPr>
    </w:lvl>
  </w:abstractNum>
  <w:abstractNum w:abstractNumId="44">
    <w:nsid w:val="591780D9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45">
    <w:nsid w:val="5CA58969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46">
    <w:nsid w:val="5D5875DC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7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9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1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3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5" w:hanging="263"/>
      </w:pPr>
      <w:rPr>
        <w:rFonts w:hint="default"/>
        <w:lang w:val="en-US" w:eastAsia="zh-CN" w:bidi="ar-SA"/>
      </w:rPr>
    </w:lvl>
  </w:abstractNum>
  <w:abstractNum w:abstractNumId="47">
    <w:nsid w:val="5EA08E32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48">
    <w:nsid w:val="5EB173BB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7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9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1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3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5" w:hanging="263"/>
      </w:pPr>
      <w:rPr>
        <w:rFonts w:hint="default"/>
        <w:lang w:val="en-US" w:eastAsia="zh-CN" w:bidi="ar-SA"/>
      </w:rPr>
    </w:lvl>
  </w:abstractNum>
  <w:abstractNum w:abstractNumId="49">
    <w:nsid w:val="5F1DD682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50">
    <w:nsid w:val="6230FCD4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51">
    <w:nsid w:val="6360BF08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7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9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1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3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5" w:hanging="263"/>
      </w:pPr>
      <w:rPr>
        <w:rFonts w:hint="default"/>
        <w:lang w:val="en-US" w:eastAsia="zh-CN" w:bidi="ar-SA"/>
      </w:rPr>
    </w:lvl>
  </w:abstractNum>
  <w:abstractNum w:abstractNumId="52">
    <w:nsid w:val="70CC88FB"/>
    <w:multiLevelType w:val="hybridMultilevel"/>
    <w:tmpl w:val="00000000"/>
    <w:lvl w:ilvl="0">
      <w:start w:val="1"/>
      <w:numFmt w:val="decimal"/>
      <w:lvlText w:val="%1."/>
      <w:lvlJc w:val="left"/>
      <w:pPr>
        <w:ind w:left="540" w:hanging="420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1366" w:hanging="420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2193" w:hanging="420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3019" w:hanging="420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846" w:hanging="420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673" w:hanging="420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499" w:hanging="420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326" w:hanging="420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152" w:hanging="420"/>
      </w:pPr>
      <w:rPr>
        <w:rFonts w:hint="default"/>
        <w:lang w:val="en-US" w:eastAsia="zh-CN" w:bidi="ar-SA"/>
      </w:rPr>
    </w:lvl>
  </w:abstractNum>
  <w:abstractNum w:abstractNumId="53">
    <w:nsid w:val="72D956AB"/>
    <w:multiLevelType w:val="hybridMultilevel"/>
    <w:tmpl w:val="00000000"/>
    <w:lvl w:ilvl="0">
      <w:start w:val="1"/>
      <w:numFmt w:val="decimal"/>
      <w:lvlText w:val="%1."/>
      <w:lvlJc w:val="left"/>
      <w:pPr>
        <w:ind w:left="120" w:hanging="422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988" w:hanging="422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857" w:hanging="422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2725" w:hanging="422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594" w:hanging="422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463" w:hanging="422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331" w:hanging="422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200" w:hanging="422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068" w:hanging="422"/>
      </w:pPr>
      <w:rPr>
        <w:rFonts w:hint="default"/>
        <w:lang w:val="en-US" w:eastAsia="zh-CN" w:bidi="ar-SA"/>
      </w:rPr>
    </w:lvl>
  </w:abstractNum>
  <w:abstractNum w:abstractNumId="54">
    <w:nsid w:val="72ECF1DD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7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9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1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3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5" w:hanging="263"/>
      </w:pPr>
      <w:rPr>
        <w:rFonts w:hint="default"/>
        <w:lang w:val="en-US" w:eastAsia="zh-CN" w:bidi="ar-SA"/>
      </w:rPr>
    </w:lvl>
  </w:abstractNum>
  <w:abstractNum w:abstractNumId="55">
    <w:nsid w:val="7320048E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5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5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5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5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5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5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5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5"/>
      </w:pPr>
      <w:rPr>
        <w:rFonts w:hint="default"/>
        <w:lang w:val="en-US" w:eastAsia="zh-CN" w:bidi="ar-SA"/>
      </w:rPr>
    </w:lvl>
  </w:abstractNum>
  <w:abstractNum w:abstractNumId="56">
    <w:nsid w:val="75A5B5D6"/>
    <w:multiLevelType w:val="hybridMultilevel"/>
    <w:tmpl w:val="00000000"/>
    <w:lvl w:ilvl="0">
      <w:start w:val="1"/>
      <w:numFmt w:val="decimal"/>
      <w:lvlText w:val="%1."/>
      <w:lvlJc w:val="left"/>
      <w:pPr>
        <w:ind w:left="120" w:hanging="422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988" w:hanging="422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857" w:hanging="422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2725" w:hanging="422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594" w:hanging="422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463" w:hanging="422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331" w:hanging="422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200" w:hanging="422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068" w:hanging="422"/>
      </w:pPr>
      <w:rPr>
        <w:rFonts w:hint="default"/>
        <w:lang w:val="en-US" w:eastAsia="zh-CN" w:bidi="ar-SA"/>
      </w:rPr>
    </w:lvl>
  </w:abstractNum>
  <w:abstractNum w:abstractNumId="57">
    <w:nsid w:val="76A117A9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58">
    <w:nsid w:val="7C231716"/>
    <w:multiLevelType w:val="hybridMultilevel"/>
    <w:tmpl w:val="00000000"/>
    <w:lvl w:ilvl="0">
      <w:start w:val="1"/>
      <w:numFmt w:val="decimal"/>
      <w:lvlText w:val="%1."/>
      <w:lvlJc w:val="left"/>
      <w:pPr>
        <w:ind w:left="370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893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407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921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434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94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462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975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89" w:hanging="263"/>
      </w:pPr>
      <w:rPr>
        <w:rFonts w:hint="default"/>
        <w:lang w:val="en-US" w:eastAsia="zh-CN" w:bidi="ar-SA"/>
      </w:rPr>
    </w:lvl>
  </w:abstractNum>
  <w:abstractNum w:abstractNumId="59">
    <w:nsid w:val="7C31E13E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60">
    <w:nsid w:val="7E23F375"/>
    <w:multiLevelType w:val="hybridMultilevel"/>
    <w:tmpl w:val="00000000"/>
    <w:lvl w:ilvl="0">
      <w:start w:val="2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7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9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1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3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5" w:hanging="263"/>
      </w:pPr>
      <w:rPr>
        <w:rFonts w:hint="default"/>
        <w:lang w:val="en-US" w:eastAsia="zh-CN" w:bidi="ar-SA"/>
      </w:rPr>
    </w:lvl>
  </w:abstractNum>
  <w:num w:numId="1">
    <w:abstractNumId w:val="53"/>
  </w:num>
  <w:num w:numId="2">
    <w:abstractNumId w:val="51"/>
  </w:num>
  <w:num w:numId="3">
    <w:abstractNumId w:val="24"/>
  </w:num>
  <w:num w:numId="4">
    <w:abstractNumId w:val="6"/>
  </w:num>
  <w:num w:numId="5">
    <w:abstractNumId w:val="22"/>
  </w:num>
  <w:num w:numId="6">
    <w:abstractNumId w:val="42"/>
  </w:num>
  <w:num w:numId="7">
    <w:abstractNumId w:val="43"/>
  </w:num>
  <w:num w:numId="8">
    <w:abstractNumId w:val="46"/>
  </w:num>
  <w:num w:numId="9">
    <w:abstractNumId w:val="35"/>
  </w:num>
  <w:num w:numId="10">
    <w:abstractNumId w:val="2"/>
  </w:num>
  <w:num w:numId="11">
    <w:abstractNumId w:val="40"/>
  </w:num>
  <w:num w:numId="12">
    <w:abstractNumId w:val="28"/>
  </w:num>
  <w:num w:numId="13">
    <w:abstractNumId w:val="21"/>
  </w:num>
  <w:num w:numId="14">
    <w:abstractNumId w:val="19"/>
  </w:num>
  <w:num w:numId="15">
    <w:abstractNumId w:val="11"/>
  </w:num>
  <w:num w:numId="16">
    <w:abstractNumId w:val="33"/>
  </w:num>
  <w:num w:numId="17">
    <w:abstractNumId w:val="55"/>
  </w:num>
  <w:num w:numId="18">
    <w:abstractNumId w:val="14"/>
  </w:num>
  <w:num w:numId="19">
    <w:abstractNumId w:val="0"/>
  </w:num>
  <w:num w:numId="20">
    <w:abstractNumId w:val="45"/>
  </w:num>
  <w:num w:numId="21">
    <w:abstractNumId w:val="50"/>
  </w:num>
  <w:num w:numId="22">
    <w:abstractNumId w:val="27"/>
  </w:num>
  <w:num w:numId="23">
    <w:abstractNumId w:val="9"/>
  </w:num>
  <w:num w:numId="24">
    <w:abstractNumId w:val="44"/>
  </w:num>
  <w:num w:numId="25">
    <w:abstractNumId w:val="1"/>
  </w:num>
  <w:num w:numId="26">
    <w:abstractNumId w:val="52"/>
  </w:num>
  <w:num w:numId="27">
    <w:abstractNumId w:val="26"/>
  </w:num>
  <w:num w:numId="28">
    <w:abstractNumId w:val="3"/>
  </w:num>
  <w:num w:numId="29">
    <w:abstractNumId w:val="4"/>
  </w:num>
  <w:num w:numId="30">
    <w:abstractNumId w:val="16"/>
  </w:num>
  <w:num w:numId="31">
    <w:abstractNumId w:val="13"/>
  </w:num>
  <w:num w:numId="32">
    <w:abstractNumId w:val="25"/>
  </w:num>
  <w:num w:numId="33">
    <w:abstractNumId w:val="5"/>
  </w:num>
  <w:num w:numId="34">
    <w:abstractNumId w:val="37"/>
  </w:num>
  <w:num w:numId="35">
    <w:abstractNumId w:val="31"/>
  </w:num>
  <w:num w:numId="36">
    <w:abstractNumId w:val="12"/>
  </w:num>
  <w:num w:numId="37">
    <w:abstractNumId w:val="57"/>
  </w:num>
  <w:num w:numId="38">
    <w:abstractNumId w:val="29"/>
  </w:num>
  <w:num w:numId="39">
    <w:abstractNumId w:val="10"/>
  </w:num>
  <w:num w:numId="40">
    <w:abstractNumId w:val="38"/>
  </w:num>
  <w:num w:numId="41">
    <w:abstractNumId w:val="20"/>
  </w:num>
  <w:num w:numId="42">
    <w:abstractNumId w:val="60"/>
  </w:num>
  <w:num w:numId="43">
    <w:abstractNumId w:val="17"/>
  </w:num>
  <w:num w:numId="44">
    <w:abstractNumId w:val="48"/>
  </w:num>
  <w:num w:numId="45">
    <w:abstractNumId w:val="54"/>
  </w:num>
  <w:num w:numId="46">
    <w:abstractNumId w:val="56"/>
  </w:num>
  <w:num w:numId="47">
    <w:abstractNumId w:val="7"/>
  </w:num>
  <w:num w:numId="48">
    <w:abstractNumId w:val="32"/>
  </w:num>
  <w:num w:numId="49">
    <w:abstractNumId w:val="59"/>
  </w:num>
  <w:num w:numId="50">
    <w:abstractNumId w:val="30"/>
  </w:num>
  <w:num w:numId="51">
    <w:abstractNumId w:val="8"/>
  </w:num>
  <w:num w:numId="52">
    <w:abstractNumId w:val="41"/>
  </w:num>
  <w:num w:numId="53">
    <w:abstractNumId w:val="18"/>
  </w:num>
  <w:num w:numId="54">
    <w:abstractNumId w:val="39"/>
  </w:num>
  <w:num w:numId="55">
    <w:abstractNumId w:val="34"/>
  </w:num>
  <w:num w:numId="56">
    <w:abstractNumId w:val="49"/>
  </w:num>
  <w:num w:numId="57">
    <w:abstractNumId w:val="47"/>
  </w:num>
  <w:num w:numId="58">
    <w:abstractNumId w:val="23"/>
  </w:num>
  <w:num w:numId="59">
    <w:abstractNumId w:val="58"/>
  </w:num>
  <w:num w:numId="60">
    <w:abstractNumId w:val="15"/>
  </w:num>
  <w:num w:numId="61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  <w:spacing w:before="0" w:after="0" w:line="240" w:lineRule="auto"/>
        <w:ind w:left="0" w:right="0"/>
        <w:jc w:val="lef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仿宋" w:eastAsia="仿宋" w:hAnsi="仿宋" w:cs="仿宋"/>
      <w:lang w:val="en-US" w:eastAsia="zh-CN" w:bidi="ar-SA"/>
    </w:rPr>
  </w:style>
  <w:style w:type="paragraph" w:styleId="Heading1">
    <w:name w:val="heading 1"/>
    <w:basedOn w:val="Normal"/>
    <w:uiPriority w:val="1"/>
    <w:qFormat/>
    <w:pPr>
      <w:spacing w:before="237"/>
      <w:ind w:left="120"/>
      <w:outlineLvl w:val="0"/>
    </w:pPr>
    <w:rPr>
      <w:rFonts w:ascii="Microsoft JhengHei" w:eastAsia="Microsoft JhengHei" w:hAnsi="Microsoft JhengHei" w:cs="Microsoft JhengHei"/>
      <w:b/>
      <w:bCs/>
      <w:sz w:val="32"/>
      <w:szCs w:val="32"/>
      <w:lang w:val="en-US" w:eastAsia="zh-CN" w:bidi="ar-SA"/>
    </w:rPr>
  </w:style>
  <w:style w:type="character" w:default="1" w:styleId="DefaultParagraphFont">
    <w:name w:val="Default Paragraph Font"/>
    <w:uiPriority w:val="1"/>
    <w:semiHidden/>
    <w:unhideWhenUsed/>
  </w:style>
  <w:style w:type="numbering" w:default="1" w:styleId="NoLi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OC1">
    <w:name w:val="toc 1"/>
    <w:basedOn w:val="Normal"/>
    <w:uiPriority w:val="1"/>
    <w:qFormat/>
    <w:pPr>
      <w:spacing w:before="355"/>
      <w:ind w:left="540"/>
    </w:pPr>
    <w:rPr>
      <w:rFonts w:ascii="仿宋" w:eastAsia="仿宋" w:hAnsi="仿宋" w:cs="仿宋"/>
      <w:sz w:val="21"/>
      <w:szCs w:val="21"/>
      <w:lang w:val="en-US" w:eastAsia="zh-CN" w:bidi="ar-SA"/>
    </w:rPr>
  </w:style>
  <w:style w:type="paragraph" w:styleId="BodyText">
    <w:name w:val="Body Text"/>
    <w:basedOn w:val="Normal"/>
    <w:uiPriority w:val="1"/>
    <w:qFormat/>
    <w:rPr>
      <w:rFonts w:ascii="仿宋" w:eastAsia="仿宋" w:hAnsi="仿宋" w:cs="仿宋"/>
      <w:sz w:val="28"/>
      <w:szCs w:val="28"/>
      <w:lang w:val="en-US" w:eastAsia="zh-CN" w:bidi="ar-SA"/>
    </w:rPr>
  </w:style>
  <w:style w:type="paragraph" w:styleId="Title">
    <w:name w:val="Title"/>
    <w:basedOn w:val="Normal"/>
    <w:uiPriority w:val="1"/>
    <w:qFormat/>
    <w:pPr>
      <w:spacing w:line="569" w:lineRule="exact"/>
      <w:ind w:left="839"/>
    </w:pPr>
    <w:rPr>
      <w:rFonts w:ascii="Microsoft JhengHei" w:eastAsia="Microsoft JhengHei" w:hAnsi="Microsoft JhengHei" w:cs="Microsoft JhengHei"/>
      <w:b/>
      <w:bCs/>
      <w:sz w:val="36"/>
      <w:szCs w:val="36"/>
      <w:lang w:val="en-US" w:eastAsia="zh-CN" w:bidi="ar-SA"/>
    </w:rPr>
  </w:style>
  <w:style w:type="paragraph" w:styleId="ListParagraph">
    <w:name w:val="List Paragraph"/>
    <w:basedOn w:val="Normal"/>
    <w:uiPriority w:val="1"/>
    <w:qFormat/>
    <w:pPr>
      <w:ind w:left="120" w:right="378"/>
    </w:pPr>
    <w:rPr>
      <w:rFonts w:ascii="仿宋" w:eastAsia="仿宋" w:hAnsi="仿宋" w:cs="仿宋"/>
      <w:lang w:val="en-US" w:eastAsia="zh-CN" w:bidi="ar-SA"/>
    </w:rPr>
  </w:style>
  <w:style w:type="paragraph" w:customStyle="1" w:styleId="TableParagraph">
    <w:name w:val="Table Paragraph"/>
    <w:basedOn w:val="Normal"/>
    <w:uiPriority w:val="1"/>
    <w:qFormat/>
    <w:pPr>
      <w:ind w:left="107"/>
    </w:pPr>
    <w:rPr>
      <w:rFonts w:ascii="仿宋" w:eastAsia="仿宋" w:hAnsi="仿宋" w:cs="仿宋"/>
      <w:lang w:val="en-US" w:eastAsia="zh-CN" w:bidi="ar-SA"/>
    </w:rPr>
  </w:style>
  <w:style w:type="table" w:customStyle="1" w:styleId="TableNormal0">
    <w:name w:val="Table Normal_0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_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_2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_3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_4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_5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_6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">
    <w:name w:val="Table Normal_7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6.xml" /><Relationship Id="rId11" Type="http://schemas.openxmlformats.org/officeDocument/2006/relationships/footer" Target="footer7.xml" /><Relationship Id="rId12" Type="http://schemas.openxmlformats.org/officeDocument/2006/relationships/footer" Target="footer8.xml" /><Relationship Id="rId13" Type="http://schemas.openxmlformats.org/officeDocument/2006/relationships/footer" Target="footer9.xml" /><Relationship Id="rId14" Type="http://schemas.openxmlformats.org/officeDocument/2006/relationships/footer" Target="footer10.xml" /><Relationship Id="rId15" Type="http://schemas.openxmlformats.org/officeDocument/2006/relationships/hyperlink" Target="https://d.book118.com/085311341202011120" TargetMode="External" /><Relationship Id="rId16" Type="http://schemas.openxmlformats.org/officeDocument/2006/relationships/footer" Target="footer11.xml" /><Relationship Id="rId17" Type="http://schemas.openxmlformats.org/officeDocument/2006/relationships/theme" Target="theme/theme1.xml" /><Relationship Id="rId18" Type="http://schemas.openxmlformats.org/officeDocument/2006/relationships/numbering" Target="numbering.xml" /><Relationship Id="rId19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footer" Target="footer4.xml" /><Relationship Id="rId9" Type="http://schemas.openxmlformats.org/officeDocument/2006/relationships/footer" Target="footer5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  <dcterms:created xsi:type="dcterms:W3CDTF">2024-03-05T05:00:38Z</dcterms:created>
  <dcterms:modified xsi:type="dcterms:W3CDTF">2024-03-05T05:00:38Z</dcterms:modified>
</cp:coreProperties>
</file>