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7"/>
        <w:ind w:left="0"/>
        <w:rPr>
          <w:rFonts w:ascii="Times New Roman"/>
          <w:sz w:val="20"/>
        </w:rPr>
      </w:pPr>
    </w:p>
    <w:p>
      <w:pPr>
        <w:spacing w:before="48"/>
        <w:ind w:left="3388" w:right="0" w:firstLine="0"/>
        <w:jc w:val="left"/>
        <w:rPr>
          <w:rFonts w:ascii="幼圆" w:eastAsia="幼圆" w:hint="eastAsia"/>
          <w:sz w:val="29"/>
        </w:rPr>
      </w:pPr>
      <w:r>
        <w:rPr>
          <w:rFonts w:ascii="幼圆" w:eastAsia="幼圆" w:hint="eastAsia"/>
          <w:sz w:val="29"/>
        </w:rPr>
        <w:t>煤炭工业技术政策</w:t>
      </w: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ind w:left="0"/>
        <w:rPr>
          <w:rFonts w:ascii="幼圆"/>
          <w:sz w:val="28"/>
        </w:rPr>
      </w:pPr>
    </w:p>
    <w:p>
      <w:pPr>
        <w:pStyle w:val="BodyText"/>
        <w:spacing w:before="2"/>
        <w:ind w:left="0"/>
        <w:rPr>
          <w:rFonts w:ascii="幼圆"/>
          <w:sz w:val="40"/>
        </w:rPr>
      </w:pPr>
    </w:p>
    <w:p>
      <w:pPr>
        <w:spacing w:before="0"/>
        <w:ind w:left="361" w:right="555" w:firstLine="0"/>
        <w:jc w:val="center"/>
        <w:rPr>
          <w:rFonts w:ascii="仿宋" w:eastAsia="仿宋" w:hint="eastAsia"/>
          <w:sz w:val="48"/>
        </w:rPr>
      </w:pPr>
      <w:r>
        <w:rPr>
          <w:rFonts w:ascii="仿宋" w:eastAsia="仿宋" w:hint="eastAsia"/>
          <w:sz w:val="48"/>
        </w:rPr>
        <w:t>中华人民共和国煤炭工业部制定</w:t>
      </w:r>
    </w:p>
    <w:p>
      <w:pPr>
        <w:spacing w:before="321"/>
        <w:ind w:left="376" w:right="555" w:firstLine="0"/>
        <w:jc w:val="center"/>
        <w:rPr>
          <w:rFonts w:ascii="仿宋" w:eastAsia="仿宋" w:hint="eastAsia"/>
          <w:sz w:val="48"/>
        </w:rPr>
      </w:pPr>
      <w:r>
        <w:rPr>
          <w:rFonts w:ascii="Arial" w:eastAsia="Arial"/>
          <w:sz w:val="48"/>
        </w:rPr>
        <w:t xml:space="preserve">1987 </w:t>
      </w:r>
      <w:r>
        <w:rPr>
          <w:rFonts w:ascii="仿宋" w:eastAsia="仿宋" w:hint="eastAsia"/>
          <w:spacing w:val="-76"/>
          <w:sz w:val="48"/>
        </w:rPr>
        <w:t xml:space="preserve">年 </w:t>
      </w:r>
      <w:r>
        <w:rPr>
          <w:rFonts w:ascii="Arial" w:eastAsia="Arial"/>
          <w:sz w:val="48"/>
        </w:rPr>
        <w:t xml:space="preserve">8 </w:t>
      </w:r>
      <w:r>
        <w:rPr>
          <w:rFonts w:ascii="仿宋" w:eastAsia="仿宋" w:hint="eastAsia"/>
          <w:sz w:val="48"/>
        </w:rPr>
        <w:t>月</w:t>
      </w:r>
    </w:p>
    <w:p>
      <w:pPr>
        <w:spacing w:after="0"/>
        <w:jc w:val="center"/>
        <w:rPr>
          <w:rFonts w:ascii="仿宋" w:eastAsia="仿宋" w:hint="eastAsia"/>
          <w:sz w:val="48"/>
        </w:rPr>
        <w:sectPr>
          <w:type w:val="continuous"/>
          <w:pgSz w:w="17860" w:h="25260"/>
          <w:pgMar w:top="2420" w:right="2240" w:bottom="280" w:left="2420" w:header="708" w:footer="708"/>
          <w:cols w:space="708"/>
        </w:sectPr>
      </w:pPr>
    </w:p>
    <w:p>
      <w:pPr>
        <w:pStyle w:val="BodyText"/>
        <w:ind w:left="0"/>
        <w:rPr>
          <w:rFonts w:ascii="仿宋"/>
          <w:sz w:val="20"/>
        </w:rPr>
      </w:pPr>
    </w:p>
    <w:p>
      <w:pPr>
        <w:spacing w:before="152" w:line="364" w:lineRule="auto"/>
        <w:ind w:left="989" w:right="455" w:hanging="709"/>
        <w:jc w:val="left"/>
        <w:rPr>
          <w:rFonts w:ascii="幼圆" w:eastAsia="幼圆" w:hint="eastAsia"/>
          <w:sz w:val="48"/>
        </w:rPr>
      </w:pPr>
      <w:r>
        <w:rPr>
          <w:rFonts w:ascii="幼圆" w:eastAsia="幼圆" w:hint="eastAsia"/>
          <w:spacing w:val="-23"/>
          <w:w w:val="95"/>
          <w:sz w:val="48"/>
        </w:rPr>
        <w:t xml:space="preserve">关于颁发《煤炭工业技术政策》、《矿务局总工程师责任制》 </w:t>
      </w:r>
      <w:r>
        <w:rPr>
          <w:rFonts w:ascii="幼圆" w:eastAsia="幼圆" w:hint="eastAsia"/>
          <w:sz w:val="48"/>
        </w:rPr>
        <w:t>和《煤矿生产技术管理基础工作的若干规定》的通知</w:t>
      </w:r>
    </w:p>
    <w:p>
      <w:pPr>
        <w:spacing w:before="66" w:line="398" w:lineRule="auto"/>
        <w:ind w:left="280" w:right="280" w:firstLine="8861"/>
        <w:jc w:val="left"/>
        <w:rPr>
          <w:rFonts w:ascii="幼圆" w:eastAsia="幼圆" w:hint="eastAsia"/>
          <w:sz w:val="42"/>
        </w:rPr>
      </w:pPr>
      <w:r>
        <w:rPr>
          <w:rFonts w:ascii="幼圆" w:eastAsia="幼圆" w:hint="eastAsia"/>
          <w:sz w:val="36"/>
        </w:rPr>
        <w:t>（87）</w:t>
      </w:r>
      <w:r>
        <w:rPr>
          <w:rFonts w:ascii="幼圆" w:eastAsia="幼圆" w:hint="eastAsia"/>
          <w:spacing w:val="-18"/>
          <w:sz w:val="36"/>
        </w:rPr>
        <w:t xml:space="preserve">煤办字第 </w:t>
      </w:r>
      <w:r>
        <w:rPr>
          <w:rFonts w:ascii="幼圆" w:eastAsia="幼圆" w:hint="eastAsia"/>
          <w:sz w:val="36"/>
        </w:rPr>
        <w:t>420</w:t>
      </w:r>
      <w:r>
        <w:rPr>
          <w:rFonts w:ascii="幼圆" w:eastAsia="幼圆" w:hint="eastAsia"/>
          <w:spacing w:val="-45"/>
          <w:sz w:val="36"/>
        </w:rPr>
        <w:t xml:space="preserve"> 号</w:t>
      </w:r>
      <w:r>
        <w:rPr>
          <w:rFonts w:ascii="幼圆" w:eastAsia="幼圆" w:hint="eastAsia"/>
          <w:spacing w:val="-45"/>
          <w:sz w:val="42"/>
        </w:rPr>
        <w:t>各煤管局、直属公司、直管矿务局、基建公司、地质公司，各省、自</w:t>
      </w:r>
      <w:r>
        <w:rPr>
          <w:rFonts w:ascii="幼圆" w:eastAsia="幼圆" w:hint="eastAsia"/>
          <w:w w:val="100"/>
          <w:sz w:val="42"/>
        </w:rPr>
        <w:t>治区煤炭厅（局、公司</w:t>
      </w:r>
      <w:r>
        <w:rPr>
          <w:rFonts w:ascii="幼圆" w:eastAsia="幼圆" w:hint="eastAsia"/>
          <w:spacing w:val="-223"/>
          <w:w w:val="100"/>
          <w:sz w:val="42"/>
        </w:rPr>
        <w:t>）</w:t>
      </w:r>
      <w:r>
        <w:rPr>
          <w:rFonts w:ascii="幼圆" w:eastAsia="幼圆" w:hint="eastAsia"/>
          <w:w w:val="100"/>
          <w:sz w:val="42"/>
        </w:rPr>
        <w:t>：</w:t>
      </w:r>
    </w:p>
    <w:p>
      <w:pPr>
        <w:pStyle w:val="BodyText"/>
        <w:spacing w:before="47" w:line="417" w:lineRule="auto"/>
        <w:ind w:right="364" w:firstLine="838"/>
        <w:rPr>
          <w:rFonts w:ascii="幼圆" w:eastAsia="幼圆" w:hint="eastAsia"/>
        </w:rPr>
      </w:pPr>
      <w:r>
        <w:rPr>
          <w:rFonts w:ascii="幼圆" w:eastAsia="幼圆" w:hint="eastAsia"/>
        </w:rPr>
        <w:t>现将《煤炭工业技术政策</w:t>
      </w:r>
      <w:r>
        <w:rPr>
          <w:rFonts w:ascii="幼圆" w:eastAsia="幼圆" w:hint="eastAsia"/>
          <w:spacing w:val="-33"/>
        </w:rPr>
        <w:t>》、《矿务局总工程帅责任制》和《煤矿</w:t>
      </w:r>
      <w:r>
        <w:rPr>
          <w:rFonts w:ascii="幼圆" w:eastAsia="幼圆" w:hint="eastAsia"/>
        </w:rPr>
        <w:t>生产技术管理基础工作的若干规定》发给你们，请认真贯彻执行。</w:t>
      </w:r>
    </w:p>
    <w:p>
      <w:pPr>
        <w:pStyle w:val="BodyText"/>
        <w:ind w:left="0"/>
        <w:rPr>
          <w:rFonts w:ascii="幼圆"/>
        </w:rPr>
      </w:pPr>
    </w:p>
    <w:p>
      <w:pPr>
        <w:pStyle w:val="BodyText"/>
        <w:ind w:left="0"/>
        <w:rPr>
          <w:rFonts w:ascii="幼圆"/>
          <w:sz w:val="31"/>
        </w:rPr>
      </w:pPr>
    </w:p>
    <w:p>
      <w:pPr>
        <w:pStyle w:val="BodyText"/>
        <w:spacing w:line="417" w:lineRule="auto"/>
        <w:ind w:left="8961" w:right="441" w:hanging="1261"/>
        <w:jc w:val="right"/>
        <w:rPr>
          <w:rFonts w:ascii="幼圆" w:eastAsia="幼圆" w:hint="eastAsia"/>
        </w:rPr>
      </w:pPr>
      <w:r>
        <w:rPr>
          <w:rFonts w:ascii="幼圆" w:eastAsia="幼圆" w:hint="eastAsia"/>
        </w:rPr>
        <w:t>中华人民共和国煤炭工业部一九八七年八月八日</w:t>
      </w:r>
    </w:p>
    <w:p>
      <w:pPr>
        <w:spacing w:after="0" w:line="417" w:lineRule="auto"/>
        <w:jc w:val="right"/>
        <w:rPr>
          <w:rFonts w:ascii="幼圆" w:eastAsia="幼圆" w:hint="eastAsia"/>
        </w:rPr>
        <w:sectPr>
          <w:pgSz w:w="17860" w:h="25260"/>
          <w:pgMar w:top="2420" w:right="2240" w:bottom="280" w:left="2420" w:header="708" w:footer="708"/>
          <w:pgNumType w:start="2"/>
          <w:cols w:space="708"/>
        </w:sectPr>
      </w:pPr>
    </w:p>
    <w:p>
      <w:pPr>
        <w:pStyle w:val="Heading1"/>
        <w:spacing w:before="0" w:line="673" w:lineRule="exact"/>
        <w:ind w:left="1360" w:right="461"/>
      </w:pPr>
      <w:r>
        <w:t>目录</w:t>
      </w:r>
    </w:p>
    <w:p>
      <w:pPr>
        <w:pStyle w:val="BodyText"/>
        <w:ind w:left="0"/>
        <w:rPr>
          <w:rFonts w:ascii="幼圆"/>
          <w:sz w:val="54"/>
        </w:rPr>
      </w:pPr>
    </w:p>
    <w:p>
      <w:pPr>
        <w:pStyle w:val="BodyText"/>
        <w:spacing w:before="7"/>
        <w:ind w:left="0"/>
        <w:rPr>
          <w:rFonts w:ascii="幼圆"/>
          <w:sz w:val="44"/>
        </w:rPr>
      </w:pPr>
    </w:p>
    <w:p>
      <w:pPr>
        <w:spacing w:after="0"/>
        <w:rPr>
          <w:rFonts w:ascii="幼圆"/>
          <w:sz w:val="44"/>
        </w:rPr>
        <w:sectPr>
          <w:pgSz w:w="17860" w:h="25260"/>
          <w:pgMar w:top="1820" w:right="2240" w:bottom="2437" w:left="2420" w:header="708" w:footer="708"/>
          <w:pgNumType w:start="3"/>
          <w:cols w:space="708"/>
        </w:sectPr>
      </w:pPr>
    </w:p>
    <w:sdt>
      <w:sdtPr>
        <w:id w:val="1842647961"/>
        <w:docPartObj>
          <w:docPartGallery w:val="Table of Contents"/>
          <w:docPartUnique/>
        </w:docPartObj>
      </w:sdtPr>
      <w:sdtContent>
        <w:p>
          <w:pPr>
            <w:pStyle w:val="TOC1"/>
            <w:tabs>
              <w:tab w:val="right" w:leader="dot" w:pos="12728"/>
            </w:tabs>
            <w:spacing w:before="0"/>
            <w:rPr>
              <w:rFonts w:ascii="Arial" w:eastAsia="Arial"/>
            </w:rPr>
          </w:pPr>
          <w:hyperlink w:anchor="_TOC_250014" w:history="1">
            <w:r>
              <w:t>总则</w:t>
              <w:tab/>
            </w:r>
            <w:r>
              <w:rPr>
                <w:rFonts w:ascii="Arial" w:eastAsia="Arial"/>
              </w:rPr>
              <w:t>1</w:t>
            </w:r>
          </w:hyperlink>
        </w:p>
        <w:p>
          <w:pPr>
            <w:pStyle w:val="TOC1"/>
            <w:tabs>
              <w:tab w:val="right" w:leader="dot" w:pos="12728"/>
            </w:tabs>
            <w:spacing w:before="241"/>
            <w:rPr>
              <w:rFonts w:ascii="Arial" w:eastAsia="Arial"/>
            </w:rPr>
          </w:pPr>
          <w:hyperlink w:anchor="_TOC_250013" w:history="1">
            <w:r>
              <w:t>第一章地质勘探</w:t>
              <w:tab/>
            </w:r>
            <w:r>
              <w:rPr>
                <w:rFonts w:ascii="Arial" w:eastAsia="Arial"/>
              </w:rPr>
              <w:t>2</w:t>
            </w:r>
          </w:hyperlink>
        </w:p>
        <w:p>
          <w:pPr>
            <w:pStyle w:val="TOC2"/>
            <w:tabs>
              <w:tab w:val="right" w:leader="dot" w:pos="12728"/>
            </w:tabs>
            <w:spacing w:before="309"/>
            <w:rPr>
              <w:rFonts w:ascii="Arial" w:eastAsia="Arial"/>
            </w:rPr>
          </w:pPr>
          <w:r>
            <w:t>第</w:t>
          </w:r>
          <w:r>
            <w:rPr>
              <w:spacing w:val="-76"/>
            </w:rPr>
            <w:t xml:space="preserve"> </w:t>
          </w:r>
          <w:r>
            <w:rPr>
              <w:rFonts w:ascii="Arial" w:eastAsia="Arial"/>
            </w:rPr>
            <w:t>1</w:t>
          </w:r>
          <w:r>
            <w:rPr>
              <w:rFonts w:ascii="Arial" w:eastAsia="Arial"/>
              <w:spacing w:val="-7"/>
            </w:rPr>
            <w:t xml:space="preserve"> </w:t>
          </w:r>
          <w:r>
            <w:t>条地质勘探布局和管理</w:t>
            <w:tab/>
          </w:r>
          <w:r>
            <w:rPr>
              <w:rFonts w:ascii="Arial" w:eastAsia="Arial"/>
            </w:rPr>
            <w:t>2</w:t>
          </w:r>
        </w:p>
        <w:p>
          <w:pPr>
            <w:pStyle w:val="TOC2"/>
            <w:tabs>
              <w:tab w:val="right" w:leader="dot" w:pos="12728"/>
            </w:tabs>
            <w:rPr>
              <w:rFonts w:ascii="Arial" w:eastAsia="Arial"/>
            </w:rPr>
          </w:pPr>
          <w:r>
            <w:t>第</w:t>
          </w:r>
          <w:r>
            <w:rPr>
              <w:spacing w:val="-76"/>
            </w:rPr>
            <w:t xml:space="preserve"> </w:t>
          </w:r>
          <w:r>
            <w:rPr>
              <w:rFonts w:ascii="Arial" w:eastAsia="Arial"/>
            </w:rPr>
            <w:t>2</w:t>
          </w:r>
          <w:r>
            <w:rPr>
              <w:rFonts w:ascii="Arial" w:eastAsia="Arial"/>
              <w:spacing w:val="-7"/>
            </w:rPr>
            <w:t xml:space="preserve"> </w:t>
          </w:r>
          <w:r>
            <w:t>条地质勘探阶段和程序</w:t>
            <w:tab/>
          </w:r>
          <w:r>
            <w:rPr>
              <w:rFonts w:ascii="Arial" w:eastAsia="Arial"/>
            </w:rPr>
            <w:t>3</w:t>
          </w:r>
        </w:p>
        <w:p>
          <w:pPr>
            <w:pStyle w:val="TOC2"/>
            <w:tabs>
              <w:tab w:val="right" w:leader="dot" w:pos="12728"/>
            </w:tabs>
            <w:rPr>
              <w:rFonts w:ascii="Arial" w:eastAsia="Arial"/>
            </w:rPr>
          </w:pPr>
          <w:r>
            <w:t>第</w:t>
          </w:r>
          <w:r>
            <w:rPr>
              <w:spacing w:val="-76"/>
            </w:rPr>
            <w:t xml:space="preserve"> </w:t>
          </w:r>
          <w:r>
            <w:rPr>
              <w:rFonts w:ascii="Arial" w:eastAsia="Arial"/>
            </w:rPr>
            <w:t>3</w:t>
          </w:r>
          <w:r>
            <w:rPr>
              <w:rFonts w:ascii="Arial" w:eastAsia="Arial"/>
              <w:spacing w:val="-6"/>
            </w:rPr>
            <w:t xml:space="preserve"> </w:t>
          </w:r>
          <w:r>
            <w:t>条煤炭储量分级和计算标准</w:t>
            <w:tab/>
          </w:r>
          <w:r>
            <w:rPr>
              <w:rFonts w:ascii="Arial" w:eastAsia="Arial"/>
            </w:rPr>
            <w:t>3</w:t>
          </w:r>
        </w:p>
        <w:p>
          <w:pPr>
            <w:pStyle w:val="TOC2"/>
            <w:tabs>
              <w:tab w:val="right" w:leader="dot" w:pos="12728"/>
            </w:tabs>
            <w:rPr>
              <w:rFonts w:ascii="Arial" w:eastAsia="Arial"/>
            </w:rPr>
          </w:pPr>
          <w:r>
            <w:t>第</w:t>
          </w:r>
          <w:r>
            <w:rPr>
              <w:spacing w:val="-76"/>
            </w:rPr>
            <w:t xml:space="preserve"> </w:t>
          </w:r>
          <w:r>
            <w:rPr>
              <w:rFonts w:ascii="Arial" w:eastAsia="Arial"/>
            </w:rPr>
            <w:t>4</w:t>
          </w:r>
          <w:r>
            <w:rPr>
              <w:rFonts w:ascii="Arial" w:eastAsia="Arial"/>
              <w:spacing w:val="-7"/>
            </w:rPr>
            <w:t xml:space="preserve"> </w:t>
          </w:r>
          <w:r>
            <w:t>条地质勘探程度和质量</w:t>
            <w:tab/>
          </w:r>
          <w:r>
            <w:rPr>
              <w:rFonts w:ascii="Arial" w:eastAsia="Arial"/>
            </w:rPr>
            <w:t>5</w:t>
          </w:r>
        </w:p>
        <w:p>
          <w:pPr>
            <w:pStyle w:val="TOC2"/>
            <w:tabs>
              <w:tab w:val="right" w:leader="dot" w:pos="12728"/>
            </w:tabs>
            <w:spacing w:before="306"/>
            <w:rPr>
              <w:rFonts w:ascii="Arial" w:eastAsia="Arial"/>
            </w:rPr>
          </w:pPr>
          <w:r>
            <w:t>第</w:t>
          </w:r>
          <w:r>
            <w:rPr>
              <w:spacing w:val="-76"/>
            </w:rPr>
            <w:t xml:space="preserve"> </w:t>
          </w:r>
          <w:r>
            <w:rPr>
              <w:rFonts w:ascii="Arial" w:eastAsia="Arial"/>
            </w:rPr>
            <w:t>5</w:t>
          </w:r>
          <w:r>
            <w:rPr>
              <w:rFonts w:ascii="Arial" w:eastAsia="Arial"/>
              <w:spacing w:val="-7"/>
            </w:rPr>
            <w:t xml:space="preserve"> </w:t>
          </w:r>
          <w:r>
            <w:t>条露天矿地质勘探</w:t>
            <w:tab/>
          </w:r>
          <w:r>
            <w:rPr>
              <w:rFonts w:ascii="Arial" w:eastAsia="Arial"/>
            </w:rPr>
            <w:t>6</w:t>
          </w:r>
        </w:p>
        <w:p>
          <w:pPr>
            <w:pStyle w:val="TOC2"/>
            <w:tabs>
              <w:tab w:val="right" w:leader="dot" w:pos="12728"/>
            </w:tabs>
            <w:spacing w:before="304"/>
            <w:rPr>
              <w:rFonts w:ascii="Arial" w:eastAsia="Arial"/>
            </w:rPr>
          </w:pPr>
          <w:r>
            <w:t>第</w:t>
          </w:r>
          <w:r>
            <w:rPr>
              <w:spacing w:val="-76"/>
            </w:rPr>
            <w:t xml:space="preserve"> </w:t>
          </w:r>
          <w:r>
            <w:rPr>
              <w:rFonts w:ascii="Arial" w:eastAsia="Arial"/>
            </w:rPr>
            <w:t>6</w:t>
          </w:r>
          <w:r>
            <w:rPr>
              <w:rFonts w:ascii="Arial" w:eastAsia="Arial"/>
              <w:spacing w:val="-7"/>
            </w:rPr>
            <w:t xml:space="preserve"> </w:t>
          </w:r>
          <w:r>
            <w:t>条地质勘探技术和装备</w:t>
            <w:tab/>
          </w:r>
          <w:r>
            <w:rPr>
              <w:rFonts w:ascii="Arial" w:eastAsia="Arial"/>
            </w:rPr>
            <w:t>6</w:t>
          </w:r>
        </w:p>
        <w:p>
          <w:pPr>
            <w:pStyle w:val="TOC1"/>
            <w:tabs>
              <w:tab w:val="right" w:leader="dot" w:pos="12728"/>
            </w:tabs>
            <w:rPr>
              <w:rFonts w:ascii="Arial" w:eastAsia="Arial"/>
            </w:rPr>
          </w:pPr>
          <w:hyperlink w:anchor="_TOC_250012" w:history="1">
            <w:r>
              <w:t>第二章煤炭开发</w:t>
              <w:tab/>
            </w:r>
            <w:r>
              <w:rPr>
                <w:rFonts w:ascii="Arial" w:eastAsia="Arial"/>
              </w:rPr>
              <w:t>7</w:t>
            </w:r>
          </w:hyperlink>
        </w:p>
        <w:p>
          <w:pPr>
            <w:pStyle w:val="TOC2"/>
            <w:tabs>
              <w:tab w:val="right" w:leader="dot" w:pos="12728"/>
            </w:tabs>
            <w:spacing w:before="310"/>
            <w:rPr>
              <w:rFonts w:ascii="Arial" w:eastAsia="Arial"/>
            </w:rPr>
          </w:pPr>
          <w:r>
            <w:t>第</w:t>
          </w:r>
          <w:r>
            <w:rPr>
              <w:spacing w:val="-76"/>
            </w:rPr>
            <w:t xml:space="preserve"> </w:t>
          </w:r>
          <w:r>
            <w:rPr>
              <w:rFonts w:ascii="Arial" w:eastAsia="Arial"/>
            </w:rPr>
            <w:t>7</w:t>
          </w:r>
          <w:r>
            <w:rPr>
              <w:rFonts w:ascii="Arial" w:eastAsia="Arial"/>
              <w:spacing w:val="-6"/>
            </w:rPr>
            <w:t xml:space="preserve"> </w:t>
          </w:r>
          <w:r>
            <w:t>条煤炭工业战略布局的原则</w:t>
            <w:tab/>
          </w:r>
          <w:r>
            <w:rPr>
              <w:rFonts w:ascii="Arial" w:eastAsia="Arial"/>
            </w:rPr>
            <w:t>7</w:t>
          </w:r>
        </w:p>
        <w:p>
          <w:pPr>
            <w:pStyle w:val="TOC2"/>
            <w:tabs>
              <w:tab w:val="right" w:leader="dot" w:pos="12728"/>
            </w:tabs>
            <w:rPr>
              <w:rFonts w:ascii="Arial" w:eastAsia="Arial"/>
            </w:rPr>
          </w:pPr>
          <w:r>
            <w:t>第</w:t>
          </w:r>
          <w:r>
            <w:rPr>
              <w:spacing w:val="-76"/>
            </w:rPr>
            <w:t xml:space="preserve"> </w:t>
          </w:r>
          <w:r>
            <w:rPr>
              <w:rFonts w:ascii="Arial" w:eastAsia="Arial"/>
            </w:rPr>
            <w:t>8</w:t>
          </w:r>
          <w:r>
            <w:rPr>
              <w:rFonts w:ascii="Arial" w:eastAsia="Arial"/>
              <w:spacing w:val="-7"/>
            </w:rPr>
            <w:t xml:space="preserve"> </w:t>
          </w:r>
          <w:r>
            <w:t>条择优建设煤炭基地</w:t>
            <w:tab/>
          </w:r>
          <w:r>
            <w:rPr>
              <w:rFonts w:ascii="Arial" w:eastAsia="Arial"/>
            </w:rPr>
            <w:t>7</w:t>
          </w:r>
        </w:p>
        <w:p>
          <w:pPr>
            <w:pStyle w:val="TOC2"/>
            <w:tabs>
              <w:tab w:val="right" w:leader="dot" w:pos="12728"/>
            </w:tabs>
            <w:rPr>
              <w:rFonts w:ascii="Arial" w:eastAsia="Arial"/>
            </w:rPr>
          </w:pPr>
          <w:r>
            <w:t>第</w:t>
          </w:r>
          <w:r>
            <w:rPr>
              <w:spacing w:val="-76"/>
            </w:rPr>
            <w:t xml:space="preserve"> </w:t>
          </w:r>
          <w:r>
            <w:rPr>
              <w:rFonts w:ascii="Arial" w:eastAsia="Arial"/>
            </w:rPr>
            <w:t>9</w:t>
          </w:r>
          <w:r>
            <w:rPr>
              <w:rFonts w:ascii="Arial" w:eastAsia="Arial"/>
              <w:spacing w:val="-7"/>
            </w:rPr>
            <w:t xml:space="preserve"> </w:t>
          </w:r>
          <w:r>
            <w:t>条基本建设程序</w:t>
            <w:tab/>
          </w:r>
          <w:r>
            <w:rPr>
              <w:rFonts w:ascii="Arial" w:eastAsia="Arial"/>
            </w:rPr>
            <w:t>8</w:t>
          </w:r>
        </w:p>
        <w:p>
          <w:pPr>
            <w:pStyle w:val="TOC2"/>
            <w:tabs>
              <w:tab w:val="right" w:leader="dot" w:pos="12728"/>
            </w:tabs>
            <w:spacing w:before="304"/>
            <w:rPr>
              <w:rFonts w:ascii="Arial" w:eastAsia="Arial"/>
            </w:rPr>
          </w:pPr>
          <w:r>
            <w:t>第</w:t>
          </w:r>
          <w:r>
            <w:rPr>
              <w:spacing w:val="-76"/>
            </w:rPr>
            <w:t xml:space="preserve"> </w:t>
          </w:r>
          <w:r>
            <w:rPr>
              <w:rFonts w:ascii="Arial" w:eastAsia="Arial"/>
            </w:rPr>
            <w:t>10</w:t>
          </w:r>
          <w:r>
            <w:rPr>
              <w:rFonts w:ascii="Arial" w:eastAsia="Arial"/>
              <w:spacing w:val="-11"/>
            </w:rPr>
            <w:t xml:space="preserve"> </w:t>
          </w:r>
          <w:r>
            <w:t>条矿区总体规划</w:t>
            <w:tab/>
          </w:r>
          <w:r>
            <w:rPr>
              <w:rFonts w:ascii="Arial" w:eastAsia="Arial"/>
            </w:rPr>
            <w:t>9</w:t>
          </w:r>
        </w:p>
        <w:p>
          <w:pPr>
            <w:pStyle w:val="TOC2"/>
            <w:tabs>
              <w:tab w:val="right" w:leader="dot" w:pos="12728"/>
            </w:tabs>
            <w:spacing w:before="306"/>
            <w:rPr>
              <w:rFonts w:ascii="Arial" w:eastAsia="Arial"/>
            </w:rPr>
          </w:pPr>
          <w:r>
            <w:t>第</w:t>
          </w:r>
          <w:r>
            <w:rPr>
              <w:spacing w:val="-76"/>
            </w:rPr>
            <w:t xml:space="preserve"> </w:t>
          </w:r>
          <w:r>
            <w:rPr>
              <w:rFonts w:ascii="Arial" w:eastAsia="Arial"/>
            </w:rPr>
            <w:t>11</w:t>
          </w:r>
          <w:r>
            <w:rPr>
              <w:rFonts w:ascii="Arial" w:eastAsia="Arial"/>
              <w:spacing w:val="-21"/>
            </w:rPr>
            <w:t xml:space="preserve"> </w:t>
          </w:r>
          <w:r>
            <w:t>条矿区建设规模和均衡生产年限</w:t>
            <w:tab/>
          </w:r>
          <w:r>
            <w:rPr>
              <w:rFonts w:ascii="Arial" w:eastAsia="Arial"/>
            </w:rPr>
            <w:t>9</w:t>
          </w:r>
        </w:p>
        <w:p>
          <w:pPr>
            <w:pStyle w:val="TOC2"/>
            <w:tabs>
              <w:tab w:val="right" w:leader="dot" w:pos="12728"/>
            </w:tabs>
            <w:rPr>
              <w:rFonts w:ascii="Arial" w:eastAsia="Arial"/>
            </w:rPr>
          </w:pPr>
          <w:r>
            <w:t>第</w:t>
          </w:r>
          <w:r>
            <w:rPr>
              <w:spacing w:val="-76"/>
            </w:rPr>
            <w:t xml:space="preserve"> </w:t>
          </w:r>
          <w:r>
            <w:rPr>
              <w:rFonts w:ascii="Arial" w:eastAsia="Arial"/>
            </w:rPr>
            <w:t>12</w:t>
          </w:r>
          <w:r>
            <w:rPr>
              <w:rFonts w:ascii="Arial" w:eastAsia="Arial"/>
              <w:spacing w:val="-11"/>
            </w:rPr>
            <w:t xml:space="preserve"> </w:t>
          </w:r>
          <w:r>
            <w:t>条矿井、矿区的衔接</w:t>
            <w:tab/>
          </w:r>
          <w:r>
            <w:rPr>
              <w:rFonts w:ascii="Arial" w:eastAsia="Arial"/>
            </w:rPr>
            <w:t>9</w:t>
          </w:r>
        </w:p>
        <w:p>
          <w:pPr>
            <w:pStyle w:val="TOC2"/>
            <w:tabs>
              <w:tab w:val="right" w:leader="dot" w:pos="12728"/>
            </w:tabs>
            <w:spacing w:before="304"/>
            <w:rPr>
              <w:rFonts w:ascii="Arial" w:eastAsia="Arial"/>
            </w:rPr>
          </w:pPr>
          <w:r>
            <w:t>第</w:t>
          </w:r>
          <w:r>
            <w:rPr>
              <w:spacing w:val="-77"/>
            </w:rPr>
            <w:t xml:space="preserve"> </w:t>
          </w:r>
          <w:r>
            <w:rPr>
              <w:rFonts w:ascii="Arial" w:eastAsia="Arial"/>
            </w:rPr>
            <w:t>13</w:t>
          </w:r>
          <w:r>
            <w:rPr>
              <w:rFonts w:ascii="Arial" w:eastAsia="Arial"/>
              <w:spacing w:val="-11"/>
            </w:rPr>
            <w:t xml:space="preserve"> </w:t>
          </w:r>
          <w:r>
            <w:t>条资源管理</w:t>
            <w:tab/>
          </w:r>
          <w:r>
            <w:rPr>
              <w:rFonts w:ascii="Arial" w:eastAsia="Arial"/>
            </w:rPr>
            <w:t>10</w:t>
          </w:r>
        </w:p>
        <w:p>
          <w:pPr>
            <w:pStyle w:val="TOC1"/>
            <w:tabs>
              <w:tab w:val="right" w:leader="dot" w:pos="12728"/>
            </w:tabs>
            <w:rPr>
              <w:rFonts w:ascii="Arial" w:eastAsia="Arial"/>
            </w:rPr>
          </w:pPr>
          <w:hyperlink w:anchor="_TOC_250011" w:history="1">
            <w:r>
              <w:t>第三章矿井建设</w:t>
              <w:tab/>
            </w:r>
            <w:r>
              <w:rPr>
                <w:rFonts w:ascii="Arial" w:eastAsia="Arial"/>
              </w:rPr>
              <w:t>10</w:t>
            </w:r>
          </w:hyperlink>
        </w:p>
        <w:p>
          <w:pPr>
            <w:pStyle w:val="TOC2"/>
            <w:tabs>
              <w:tab w:val="right" w:leader="dot" w:pos="12728"/>
            </w:tabs>
            <w:spacing w:before="310"/>
            <w:rPr>
              <w:rFonts w:ascii="Arial" w:eastAsia="Arial"/>
            </w:rPr>
          </w:pPr>
          <w:r>
            <w:t>第</w:t>
          </w:r>
          <w:r>
            <w:rPr>
              <w:spacing w:val="-76"/>
            </w:rPr>
            <w:t xml:space="preserve"> </w:t>
          </w:r>
          <w:r>
            <w:rPr>
              <w:rFonts w:ascii="Arial" w:eastAsia="Arial"/>
            </w:rPr>
            <w:t>14</w:t>
          </w:r>
          <w:r>
            <w:rPr>
              <w:rFonts w:ascii="Arial" w:eastAsia="Arial"/>
              <w:spacing w:val="-11"/>
            </w:rPr>
            <w:t xml:space="preserve"> </w:t>
          </w:r>
          <w:r>
            <w:t>条矿井的井型和服务年限</w:t>
            <w:tab/>
          </w:r>
          <w:r>
            <w:rPr>
              <w:rFonts w:ascii="Arial" w:eastAsia="Arial"/>
            </w:rPr>
            <w:t>10</w:t>
          </w:r>
        </w:p>
        <w:p>
          <w:pPr>
            <w:pStyle w:val="TOC2"/>
            <w:tabs>
              <w:tab w:val="right" w:leader="dot" w:pos="12742"/>
            </w:tabs>
            <w:rPr>
              <w:rFonts w:ascii="Arial" w:eastAsia="Arial"/>
            </w:rPr>
          </w:pPr>
          <w:r>
            <w:t>第</w:t>
          </w:r>
          <w:r>
            <w:rPr>
              <w:spacing w:val="-77"/>
            </w:rPr>
            <w:t xml:space="preserve"> </w:t>
          </w:r>
          <w:r>
            <w:rPr>
              <w:rFonts w:ascii="Arial" w:eastAsia="Arial"/>
            </w:rPr>
            <w:t>15</w:t>
          </w:r>
          <w:r>
            <w:rPr>
              <w:rFonts w:ascii="Arial" w:eastAsia="Arial"/>
              <w:spacing w:val="-11"/>
            </w:rPr>
            <w:t xml:space="preserve"> </w:t>
          </w:r>
          <w:r>
            <w:t>条矿井设计</w:t>
            <w:tab/>
          </w:r>
          <w:r>
            <w:rPr>
              <w:rFonts w:ascii="Arial" w:eastAsia="Arial"/>
            </w:rPr>
            <w:t>11</w:t>
          </w:r>
        </w:p>
        <w:p>
          <w:pPr>
            <w:pStyle w:val="TOC2"/>
            <w:tabs>
              <w:tab w:val="right" w:leader="dot" w:pos="12728"/>
            </w:tabs>
            <w:rPr>
              <w:rFonts w:ascii="Arial" w:eastAsia="Arial"/>
            </w:rPr>
          </w:pPr>
          <w:r>
            <w:t>第</w:t>
          </w:r>
          <w:r>
            <w:rPr>
              <w:spacing w:val="-76"/>
            </w:rPr>
            <w:t xml:space="preserve"> </w:t>
          </w:r>
          <w:r>
            <w:rPr>
              <w:rFonts w:ascii="Arial" w:eastAsia="Arial"/>
            </w:rPr>
            <w:t>18</w:t>
          </w:r>
          <w:r>
            <w:rPr>
              <w:rFonts w:ascii="Arial" w:eastAsia="Arial"/>
              <w:spacing w:val="-11"/>
            </w:rPr>
            <w:t xml:space="preserve"> </w:t>
          </w:r>
          <w:r>
            <w:t>条矿井建设前期准备工作</w:t>
            <w:tab/>
          </w:r>
          <w:r>
            <w:rPr>
              <w:rFonts w:ascii="Arial" w:eastAsia="Arial"/>
            </w:rPr>
            <w:t>12</w:t>
          </w:r>
        </w:p>
        <w:p>
          <w:pPr>
            <w:pStyle w:val="TOC2"/>
            <w:tabs>
              <w:tab w:val="right" w:leader="dot" w:pos="12728"/>
            </w:tabs>
            <w:spacing w:before="304"/>
            <w:rPr>
              <w:rFonts w:ascii="Arial" w:eastAsia="Arial"/>
            </w:rPr>
          </w:pPr>
          <w:r>
            <w:t>第</w:t>
          </w:r>
          <w:r>
            <w:rPr>
              <w:spacing w:val="-76"/>
            </w:rPr>
            <w:t xml:space="preserve"> </w:t>
          </w:r>
          <w:r>
            <w:rPr>
              <w:rFonts w:ascii="Arial" w:eastAsia="Arial"/>
            </w:rPr>
            <w:t>17</w:t>
          </w:r>
          <w:r>
            <w:rPr>
              <w:rFonts w:ascii="Arial" w:eastAsia="Arial"/>
              <w:spacing w:val="-11"/>
            </w:rPr>
            <w:t xml:space="preserve"> </w:t>
          </w:r>
          <w:r>
            <w:t>条矿井施工组织设计</w:t>
            <w:tab/>
          </w:r>
          <w:r>
            <w:rPr>
              <w:rFonts w:ascii="Arial" w:eastAsia="Arial"/>
            </w:rPr>
            <w:t>13</w:t>
          </w:r>
        </w:p>
        <w:p>
          <w:pPr>
            <w:pStyle w:val="TOC2"/>
            <w:tabs>
              <w:tab w:val="right" w:leader="dot" w:pos="12728"/>
            </w:tabs>
            <w:spacing w:before="306"/>
            <w:rPr>
              <w:rFonts w:ascii="Arial" w:eastAsia="Arial"/>
            </w:rPr>
          </w:pPr>
          <w:r>
            <w:t>第</w:t>
          </w:r>
          <w:r>
            <w:rPr>
              <w:spacing w:val="-77"/>
            </w:rPr>
            <w:t xml:space="preserve"> </w:t>
          </w:r>
          <w:r>
            <w:rPr>
              <w:rFonts w:ascii="Arial" w:eastAsia="Arial"/>
            </w:rPr>
            <w:t>18</w:t>
          </w:r>
          <w:r>
            <w:rPr>
              <w:rFonts w:ascii="Arial" w:eastAsia="Arial"/>
              <w:spacing w:val="-11"/>
            </w:rPr>
            <w:t xml:space="preserve"> </w:t>
          </w:r>
          <w:r>
            <w:t>条立井井筒施工</w:t>
            <w:tab/>
          </w:r>
          <w:r>
            <w:rPr>
              <w:rFonts w:ascii="Arial" w:eastAsia="Arial"/>
            </w:rPr>
            <w:t>13</w:t>
          </w:r>
        </w:p>
        <w:p>
          <w:pPr>
            <w:pStyle w:val="TOC2"/>
            <w:tabs>
              <w:tab w:val="right" w:leader="dot" w:pos="12728"/>
            </w:tabs>
            <w:rPr>
              <w:rFonts w:ascii="Arial" w:eastAsia="Arial"/>
            </w:rPr>
          </w:pPr>
          <w:r>
            <w:t>第</w:t>
          </w:r>
          <w:r>
            <w:rPr>
              <w:spacing w:val="-76"/>
            </w:rPr>
            <w:t xml:space="preserve"> </w:t>
          </w:r>
          <w:r>
            <w:rPr>
              <w:rFonts w:ascii="Arial" w:eastAsia="Arial"/>
            </w:rPr>
            <w:t>19</w:t>
          </w:r>
          <w:r>
            <w:rPr>
              <w:rFonts w:ascii="Arial" w:eastAsia="Arial"/>
              <w:spacing w:val="-11"/>
            </w:rPr>
            <w:t xml:space="preserve"> </w:t>
          </w:r>
          <w:r>
            <w:t>条斜井和岩巷施工</w:t>
            <w:tab/>
          </w:r>
          <w:r>
            <w:rPr>
              <w:rFonts w:ascii="Arial" w:eastAsia="Arial"/>
            </w:rPr>
            <w:t>14</w:t>
          </w:r>
        </w:p>
        <w:p>
          <w:pPr>
            <w:pStyle w:val="TOC2"/>
            <w:tabs>
              <w:tab w:val="right" w:leader="dot" w:pos="12728"/>
            </w:tabs>
            <w:rPr>
              <w:rFonts w:ascii="Arial" w:eastAsia="Arial"/>
            </w:rPr>
          </w:pPr>
          <w:r>
            <w:t>第</w:t>
          </w:r>
          <w:r>
            <w:rPr>
              <w:spacing w:val="-77"/>
            </w:rPr>
            <w:t xml:space="preserve"> </w:t>
          </w:r>
          <w:r>
            <w:rPr>
              <w:rFonts w:ascii="Arial" w:eastAsia="Arial"/>
            </w:rPr>
            <w:t>20</w:t>
          </w:r>
          <w:r>
            <w:rPr>
              <w:rFonts w:ascii="Arial" w:eastAsia="Arial"/>
              <w:spacing w:val="-11"/>
            </w:rPr>
            <w:t xml:space="preserve"> </w:t>
          </w:r>
          <w:r>
            <w:t>条矿井移交标准</w:t>
            <w:tab/>
          </w:r>
          <w:r>
            <w:rPr>
              <w:rFonts w:ascii="Arial" w:eastAsia="Arial"/>
            </w:rPr>
            <w:t>14</w:t>
          </w:r>
        </w:p>
        <w:p>
          <w:pPr>
            <w:pStyle w:val="TOC1"/>
            <w:tabs>
              <w:tab w:val="right" w:leader="dot" w:pos="12728"/>
            </w:tabs>
            <w:spacing w:before="235"/>
            <w:rPr>
              <w:rFonts w:ascii="Arial" w:eastAsia="Arial"/>
            </w:rPr>
          </w:pPr>
          <w:hyperlink w:anchor="_TOC_250010" w:history="1">
            <w:r>
              <w:t>第四章露天开采</w:t>
              <w:tab/>
            </w:r>
            <w:r>
              <w:rPr>
                <w:rFonts w:ascii="Arial" w:eastAsia="Arial"/>
              </w:rPr>
              <w:t>15</w:t>
            </w:r>
          </w:hyperlink>
        </w:p>
        <w:p>
          <w:pPr>
            <w:pStyle w:val="TOC2"/>
            <w:tabs>
              <w:tab w:val="right" w:leader="dot" w:pos="12728"/>
            </w:tabs>
            <w:spacing w:before="310"/>
            <w:rPr>
              <w:rFonts w:ascii="Arial" w:eastAsia="Arial"/>
            </w:rPr>
          </w:pPr>
          <w:r>
            <w:t>第</w:t>
          </w:r>
          <w:r>
            <w:rPr>
              <w:spacing w:val="-76"/>
            </w:rPr>
            <w:t xml:space="preserve"> </w:t>
          </w:r>
          <w:r>
            <w:rPr>
              <w:rFonts w:ascii="Arial" w:eastAsia="Arial"/>
            </w:rPr>
            <w:t>21</w:t>
          </w:r>
          <w:r>
            <w:rPr>
              <w:rFonts w:ascii="Arial" w:eastAsia="Arial"/>
              <w:spacing w:val="-11"/>
            </w:rPr>
            <w:t xml:space="preserve"> </w:t>
          </w:r>
          <w:r>
            <w:t>条露天矿建设的原则</w:t>
            <w:tab/>
          </w:r>
          <w:r>
            <w:rPr>
              <w:rFonts w:ascii="Arial" w:eastAsia="Arial"/>
            </w:rPr>
            <w:t>15</w:t>
          </w:r>
        </w:p>
        <w:p>
          <w:pPr>
            <w:pStyle w:val="TOC2"/>
            <w:tabs>
              <w:tab w:val="right" w:leader="dot" w:pos="12728"/>
            </w:tabs>
            <w:spacing w:after="240"/>
            <w:rPr>
              <w:rFonts w:ascii="Arial" w:eastAsia="Arial"/>
            </w:rPr>
            <w:sectPr>
              <w:type w:val="continuous"/>
              <w:pgSz w:w="17860" w:h="25260"/>
              <w:pgMar w:top="1900" w:right="2240" w:bottom="2437" w:left="2420" w:header="708" w:footer="708"/>
              <w:pgNumType w:start="4"/>
              <w:cols w:space="708"/>
            </w:sectPr>
          </w:pPr>
          <w:r>
            <w:t>第</w:t>
          </w:r>
          <w:r>
            <w:rPr>
              <w:spacing w:val="-76"/>
            </w:rPr>
            <w:t xml:space="preserve"> </w:t>
          </w:r>
          <w:r>
            <w:rPr>
              <w:rFonts w:ascii="Arial" w:eastAsia="Arial"/>
            </w:rPr>
            <w:t>22</w:t>
          </w:r>
          <w:r>
            <w:rPr>
              <w:rFonts w:ascii="Arial" w:eastAsia="Arial"/>
              <w:spacing w:val="-11"/>
            </w:rPr>
            <w:t xml:space="preserve"> </w:t>
          </w:r>
          <w:r>
            <w:t>条露天矿规模和服务年限</w:t>
            <w:tab/>
          </w:r>
          <w:r>
            <w:rPr>
              <w:rFonts w:ascii="Arial" w:eastAsia="Arial"/>
            </w:rPr>
            <w:t>15</w:t>
          </w:r>
        </w:p>
      </w:sdtContent>
    </w:sdt>
    <w:sdt>
      <w:sdtPr>
        <w:id w:val="1708054897"/>
        <w:docPartObj>
          <w:docPartGallery w:val="Table of Contents"/>
          <w:docPartUnique/>
        </w:docPartObj>
      </w:sdtPr>
      <w:sdtContent>
        <w:p>
          <w:pPr>
            <w:pStyle w:val="TOC2"/>
            <w:tabs>
              <w:tab w:val="right" w:leader="dot" w:pos="12728"/>
            </w:tabs>
            <w:spacing w:before="144"/>
            <w:rPr>
              <w:rFonts w:ascii="Arial" w:eastAsia="Arial"/>
            </w:rPr>
          </w:pPr>
          <w:r>
            <w:t>第</w:t>
          </w:r>
          <w:r>
            <w:rPr>
              <w:spacing w:val="-77"/>
            </w:rPr>
            <w:t xml:space="preserve"> </w:t>
          </w:r>
          <w:r>
            <w:rPr>
              <w:rFonts w:ascii="Arial" w:eastAsia="Arial"/>
            </w:rPr>
            <w:t>23</w:t>
          </w:r>
          <w:r>
            <w:rPr>
              <w:rFonts w:ascii="Arial" w:eastAsia="Arial"/>
              <w:spacing w:val="-11"/>
            </w:rPr>
            <w:t xml:space="preserve"> </w:t>
          </w:r>
          <w:r>
            <w:t>条露天矿的设计</w:t>
            <w:tab/>
          </w:r>
          <w:r>
            <w:rPr>
              <w:rFonts w:ascii="Arial" w:eastAsia="Arial"/>
            </w:rPr>
            <w:t>16</w:t>
          </w:r>
        </w:p>
        <w:p>
          <w:pPr>
            <w:pStyle w:val="TOC2"/>
            <w:tabs>
              <w:tab w:val="right" w:leader="dot" w:pos="12728"/>
            </w:tabs>
            <w:spacing w:before="306"/>
            <w:rPr>
              <w:rFonts w:ascii="Arial" w:eastAsia="Arial"/>
            </w:rPr>
          </w:pPr>
          <w:r>
            <w:t>第</w:t>
          </w:r>
          <w:r>
            <w:rPr>
              <w:spacing w:val="-76"/>
            </w:rPr>
            <w:t xml:space="preserve"> </w:t>
          </w:r>
          <w:r>
            <w:rPr>
              <w:rFonts w:ascii="Arial" w:eastAsia="Arial"/>
            </w:rPr>
            <w:t>24</w:t>
          </w:r>
          <w:r>
            <w:rPr>
              <w:rFonts w:ascii="Arial" w:eastAsia="Arial"/>
              <w:spacing w:val="-11"/>
            </w:rPr>
            <w:t xml:space="preserve"> </w:t>
          </w:r>
          <w:r>
            <w:t>条露天矿施工和移交</w:t>
            <w:tab/>
          </w:r>
          <w:r>
            <w:rPr>
              <w:rFonts w:ascii="Arial" w:eastAsia="Arial"/>
            </w:rPr>
            <w:t>17</w:t>
          </w:r>
        </w:p>
        <w:p>
          <w:pPr>
            <w:pStyle w:val="TOC2"/>
            <w:tabs>
              <w:tab w:val="right" w:leader="dot" w:pos="12728"/>
            </w:tabs>
            <w:rPr>
              <w:rFonts w:ascii="Arial" w:eastAsia="Arial"/>
            </w:rPr>
          </w:pPr>
          <w:r>
            <w:t>第</w:t>
          </w:r>
          <w:r>
            <w:rPr>
              <w:spacing w:val="-76"/>
            </w:rPr>
            <w:t xml:space="preserve"> </w:t>
          </w:r>
          <w:r>
            <w:rPr>
              <w:rFonts w:ascii="Arial" w:eastAsia="Arial"/>
            </w:rPr>
            <w:t>25</w:t>
          </w:r>
          <w:r>
            <w:rPr>
              <w:rFonts w:ascii="Arial" w:eastAsia="Arial"/>
              <w:spacing w:val="-11"/>
            </w:rPr>
            <w:t xml:space="preserve"> </w:t>
          </w:r>
          <w:r>
            <w:t>条生产露天矿的技术改造</w:t>
            <w:tab/>
          </w:r>
          <w:r>
            <w:rPr>
              <w:rFonts w:ascii="Arial" w:eastAsia="Arial"/>
            </w:rPr>
            <w:t>17</w:t>
          </w:r>
        </w:p>
        <w:p>
          <w:pPr>
            <w:pStyle w:val="TOC2"/>
            <w:tabs>
              <w:tab w:val="right" w:leader="dot" w:pos="12728"/>
            </w:tabs>
            <w:spacing w:before="304"/>
            <w:rPr>
              <w:rFonts w:ascii="Arial" w:eastAsia="Arial"/>
            </w:rPr>
          </w:pPr>
          <w:r>
            <w:t>第</w:t>
          </w:r>
          <w:r>
            <w:rPr>
              <w:spacing w:val="-76"/>
            </w:rPr>
            <w:t xml:space="preserve"> </w:t>
          </w:r>
          <w:r>
            <w:rPr>
              <w:rFonts w:ascii="Arial" w:eastAsia="Arial"/>
            </w:rPr>
            <w:t>26</w:t>
          </w:r>
          <w:r>
            <w:rPr>
              <w:rFonts w:ascii="Arial" w:eastAsia="Arial"/>
              <w:spacing w:val="-11"/>
            </w:rPr>
            <w:t xml:space="preserve"> </w:t>
          </w:r>
          <w:r>
            <w:t>条生产露天矿的采剥关系</w:t>
            <w:tab/>
          </w:r>
          <w:r>
            <w:rPr>
              <w:rFonts w:ascii="Arial" w:eastAsia="Arial"/>
            </w:rPr>
            <w:t>18</w:t>
          </w:r>
        </w:p>
        <w:p>
          <w:pPr>
            <w:pStyle w:val="TOC2"/>
            <w:tabs>
              <w:tab w:val="right" w:leader="dot" w:pos="12728"/>
            </w:tabs>
            <w:rPr>
              <w:rFonts w:ascii="Arial" w:eastAsia="Arial"/>
            </w:rPr>
          </w:pPr>
          <w:r>
            <w:t>第</w:t>
          </w:r>
          <w:r>
            <w:rPr>
              <w:spacing w:val="-76"/>
            </w:rPr>
            <w:t xml:space="preserve"> </w:t>
          </w:r>
          <w:r>
            <w:rPr>
              <w:rFonts w:ascii="Arial" w:eastAsia="Arial"/>
            </w:rPr>
            <w:t>27</w:t>
          </w:r>
          <w:r>
            <w:rPr>
              <w:rFonts w:ascii="Arial" w:eastAsia="Arial"/>
              <w:spacing w:val="-11"/>
            </w:rPr>
            <w:t xml:space="preserve"> </w:t>
          </w:r>
          <w:r>
            <w:t>条露天矿的技术装备</w:t>
            <w:tab/>
          </w:r>
          <w:r>
            <w:rPr>
              <w:rFonts w:ascii="Arial" w:eastAsia="Arial"/>
            </w:rPr>
            <w:t>18</w:t>
          </w:r>
        </w:p>
        <w:p>
          <w:pPr>
            <w:pStyle w:val="TOC2"/>
            <w:tabs>
              <w:tab w:val="right" w:leader="dot" w:pos="12728"/>
            </w:tabs>
            <w:rPr>
              <w:rFonts w:ascii="Arial" w:eastAsia="Arial"/>
            </w:rPr>
          </w:pPr>
          <w:r>
            <w:t>第</w:t>
          </w:r>
          <w:r>
            <w:rPr>
              <w:spacing w:val="-76"/>
            </w:rPr>
            <w:t xml:space="preserve"> </w:t>
          </w:r>
          <w:r>
            <w:rPr>
              <w:rFonts w:ascii="Arial" w:eastAsia="Arial"/>
            </w:rPr>
            <w:t>28</w:t>
          </w:r>
          <w:r>
            <w:rPr>
              <w:rFonts w:ascii="Arial" w:eastAsia="Arial"/>
              <w:spacing w:val="-11"/>
            </w:rPr>
            <w:t xml:space="preserve"> </w:t>
          </w:r>
          <w:r>
            <w:t>条露天开采的科研工作</w:t>
            <w:tab/>
          </w:r>
          <w:r>
            <w:rPr>
              <w:rFonts w:ascii="Arial" w:eastAsia="Arial"/>
            </w:rPr>
            <w:t>18</w:t>
          </w:r>
        </w:p>
        <w:p>
          <w:pPr>
            <w:pStyle w:val="TOC1"/>
            <w:tabs>
              <w:tab w:val="right" w:leader="dot" w:pos="12728"/>
            </w:tabs>
            <w:rPr>
              <w:rFonts w:ascii="Arial" w:eastAsia="Arial"/>
            </w:rPr>
          </w:pPr>
          <w:hyperlink w:anchor="_TOC_250009" w:history="1">
            <w:r>
              <w:t>第五章生产矿井</w:t>
              <w:tab/>
            </w:r>
            <w:r>
              <w:rPr>
                <w:rFonts w:ascii="Arial" w:eastAsia="Arial"/>
              </w:rPr>
              <w:t>18</w:t>
            </w:r>
          </w:hyperlink>
        </w:p>
        <w:p>
          <w:pPr>
            <w:pStyle w:val="TOC2"/>
            <w:tabs>
              <w:tab w:val="right" w:leader="dot" w:pos="12728"/>
            </w:tabs>
            <w:spacing w:before="310"/>
            <w:rPr>
              <w:rFonts w:ascii="Arial" w:eastAsia="Arial"/>
            </w:rPr>
          </w:pPr>
          <w:r>
            <w:t>第</w:t>
          </w:r>
          <w:r>
            <w:rPr>
              <w:spacing w:val="-77"/>
            </w:rPr>
            <w:t xml:space="preserve"> </w:t>
          </w:r>
          <w:r>
            <w:rPr>
              <w:rFonts w:ascii="Arial" w:eastAsia="Arial"/>
            </w:rPr>
            <w:t>29</w:t>
          </w:r>
          <w:r>
            <w:rPr>
              <w:rFonts w:ascii="Arial" w:eastAsia="Arial"/>
              <w:spacing w:val="-11"/>
            </w:rPr>
            <w:t xml:space="preserve"> </w:t>
          </w:r>
          <w:r>
            <w:t>条矿井技术改造</w:t>
            <w:tab/>
          </w:r>
          <w:r>
            <w:rPr>
              <w:rFonts w:ascii="Arial" w:eastAsia="Arial"/>
            </w:rPr>
            <w:t>18</w:t>
          </w:r>
        </w:p>
        <w:p>
          <w:pPr>
            <w:pStyle w:val="TOC2"/>
            <w:tabs>
              <w:tab w:val="right" w:leader="dot" w:pos="12728"/>
            </w:tabs>
            <w:rPr>
              <w:rFonts w:ascii="Arial" w:eastAsia="Arial"/>
            </w:rPr>
          </w:pPr>
          <w:r>
            <w:t>第</w:t>
          </w:r>
          <w:r>
            <w:rPr>
              <w:spacing w:val="-77"/>
            </w:rPr>
            <w:t xml:space="preserve"> </w:t>
          </w:r>
          <w:r>
            <w:rPr>
              <w:rFonts w:ascii="Arial" w:eastAsia="Arial"/>
            </w:rPr>
            <w:t>30</w:t>
          </w:r>
          <w:r>
            <w:rPr>
              <w:rFonts w:ascii="Arial" w:eastAsia="Arial"/>
              <w:spacing w:val="-11"/>
            </w:rPr>
            <w:t xml:space="preserve"> </w:t>
          </w:r>
          <w:r>
            <w:t>条矿区改造</w:t>
            <w:tab/>
          </w:r>
          <w:r>
            <w:rPr>
              <w:rFonts w:ascii="Arial" w:eastAsia="Arial"/>
            </w:rPr>
            <w:t>19</w:t>
          </w:r>
        </w:p>
        <w:p>
          <w:pPr>
            <w:pStyle w:val="TOC2"/>
            <w:tabs>
              <w:tab w:val="right" w:leader="dot" w:pos="12728"/>
            </w:tabs>
            <w:rPr>
              <w:rFonts w:ascii="Arial" w:eastAsia="Arial"/>
            </w:rPr>
          </w:pPr>
          <w:r>
            <w:t>第</w:t>
          </w:r>
          <w:r>
            <w:rPr>
              <w:spacing w:val="-76"/>
            </w:rPr>
            <w:t xml:space="preserve"> </w:t>
          </w:r>
          <w:r>
            <w:rPr>
              <w:rFonts w:ascii="Arial" w:eastAsia="Arial"/>
            </w:rPr>
            <w:t>31</w:t>
          </w:r>
          <w:r>
            <w:rPr>
              <w:rFonts w:ascii="Arial" w:eastAsia="Arial"/>
              <w:spacing w:val="-11"/>
            </w:rPr>
            <w:t xml:space="preserve"> </w:t>
          </w:r>
          <w:r>
            <w:t>条改扩建矿井服务年限</w:t>
            <w:tab/>
          </w:r>
          <w:r>
            <w:rPr>
              <w:rFonts w:ascii="Arial" w:eastAsia="Arial"/>
            </w:rPr>
            <w:t>20</w:t>
          </w:r>
        </w:p>
        <w:p>
          <w:pPr>
            <w:pStyle w:val="TOC2"/>
            <w:tabs>
              <w:tab w:val="right" w:leader="dot" w:pos="12728"/>
            </w:tabs>
            <w:rPr>
              <w:rFonts w:ascii="Arial" w:eastAsia="Arial"/>
            </w:rPr>
          </w:pPr>
          <w:r>
            <w:t>第</w:t>
          </w:r>
          <w:r>
            <w:rPr>
              <w:spacing w:val="-77"/>
            </w:rPr>
            <w:t xml:space="preserve"> </w:t>
          </w:r>
          <w:r>
            <w:rPr>
              <w:rFonts w:ascii="Arial" w:eastAsia="Arial"/>
            </w:rPr>
            <w:t>32</w:t>
          </w:r>
          <w:r>
            <w:rPr>
              <w:rFonts w:ascii="Arial" w:eastAsia="Arial"/>
              <w:spacing w:val="-11"/>
            </w:rPr>
            <w:t xml:space="preserve"> </w:t>
          </w:r>
          <w:r>
            <w:t>条采掘关系</w:t>
            <w:tab/>
          </w:r>
          <w:r>
            <w:rPr>
              <w:rFonts w:ascii="Arial" w:eastAsia="Arial"/>
            </w:rPr>
            <w:t>20</w:t>
          </w:r>
        </w:p>
        <w:p>
          <w:pPr>
            <w:pStyle w:val="TOC2"/>
            <w:tabs>
              <w:tab w:val="right" w:leader="dot" w:pos="12728"/>
            </w:tabs>
            <w:rPr>
              <w:rFonts w:ascii="Arial" w:eastAsia="Arial"/>
            </w:rPr>
          </w:pPr>
          <w:r>
            <w:t>第</w:t>
          </w:r>
          <w:r>
            <w:rPr>
              <w:spacing w:val="-76"/>
            </w:rPr>
            <w:t xml:space="preserve"> </w:t>
          </w:r>
          <w:r>
            <w:rPr>
              <w:rFonts w:ascii="Arial" w:eastAsia="Arial"/>
            </w:rPr>
            <w:t>33</w:t>
          </w:r>
          <w:r>
            <w:rPr>
              <w:rFonts w:ascii="Arial" w:eastAsia="Arial"/>
              <w:spacing w:val="-11"/>
            </w:rPr>
            <w:t xml:space="preserve"> </w:t>
          </w:r>
          <w:r>
            <w:t>条生产矿井的地质测量工作</w:t>
            <w:tab/>
          </w:r>
          <w:r>
            <w:rPr>
              <w:rFonts w:ascii="Arial" w:eastAsia="Arial"/>
            </w:rPr>
            <w:t>20</w:t>
          </w:r>
        </w:p>
        <w:p>
          <w:pPr>
            <w:pStyle w:val="TOC1"/>
            <w:tabs>
              <w:tab w:val="right" w:leader="dot" w:pos="12728"/>
            </w:tabs>
            <w:spacing w:before="235"/>
            <w:rPr>
              <w:rFonts w:ascii="Arial" w:eastAsia="Arial"/>
            </w:rPr>
          </w:pPr>
          <w:hyperlink w:anchor="_TOC_250008" w:history="1">
            <w:r>
              <w:t>第六章开拓部署和采煤方法</w:t>
              <w:tab/>
            </w:r>
            <w:r>
              <w:rPr>
                <w:rFonts w:ascii="Arial" w:eastAsia="Arial"/>
              </w:rPr>
              <w:t>21</w:t>
            </w:r>
          </w:hyperlink>
        </w:p>
        <w:p>
          <w:pPr>
            <w:pStyle w:val="TOC2"/>
            <w:tabs>
              <w:tab w:val="right" w:leader="dot" w:pos="12728"/>
            </w:tabs>
            <w:spacing w:before="310"/>
            <w:rPr>
              <w:rFonts w:ascii="Arial" w:eastAsia="Arial"/>
            </w:rPr>
          </w:pPr>
          <w:r>
            <w:t>第</w:t>
          </w:r>
          <w:r>
            <w:rPr>
              <w:spacing w:val="-76"/>
            </w:rPr>
            <w:t xml:space="preserve"> </w:t>
          </w:r>
          <w:r>
            <w:rPr>
              <w:rFonts w:ascii="Arial" w:eastAsia="Arial"/>
            </w:rPr>
            <w:t>34</w:t>
          </w:r>
          <w:r>
            <w:rPr>
              <w:rFonts w:ascii="Arial" w:eastAsia="Arial"/>
              <w:spacing w:val="-10"/>
            </w:rPr>
            <w:t xml:space="preserve"> </w:t>
          </w:r>
          <w:r>
            <w:t>条改进开拓部署，合理集中生产</w:t>
            <w:tab/>
          </w:r>
          <w:r>
            <w:rPr>
              <w:rFonts w:ascii="Arial" w:eastAsia="Arial"/>
            </w:rPr>
            <w:t>21</w:t>
          </w:r>
        </w:p>
        <w:p>
          <w:pPr>
            <w:pStyle w:val="TOC2"/>
            <w:tabs>
              <w:tab w:val="right" w:leader="dot" w:pos="12728"/>
            </w:tabs>
            <w:rPr>
              <w:rFonts w:ascii="Arial" w:eastAsia="Arial"/>
            </w:rPr>
          </w:pPr>
          <w:r>
            <w:t>第</w:t>
          </w:r>
          <w:r>
            <w:rPr>
              <w:spacing w:val="-77"/>
            </w:rPr>
            <w:t xml:space="preserve"> </w:t>
          </w:r>
          <w:r>
            <w:rPr>
              <w:rFonts w:ascii="Arial" w:eastAsia="Arial"/>
            </w:rPr>
            <w:t>35</w:t>
          </w:r>
          <w:r>
            <w:rPr>
              <w:rFonts w:ascii="Arial" w:eastAsia="Arial"/>
              <w:spacing w:val="-11"/>
            </w:rPr>
            <w:t xml:space="preserve"> </w:t>
          </w:r>
          <w:r>
            <w:t>条采煤方法</w:t>
            <w:tab/>
          </w:r>
          <w:r>
            <w:rPr>
              <w:rFonts w:ascii="Arial" w:eastAsia="Arial"/>
            </w:rPr>
            <w:t>22</w:t>
          </w:r>
        </w:p>
        <w:p>
          <w:pPr>
            <w:pStyle w:val="TOC2"/>
            <w:tabs>
              <w:tab w:val="right" w:leader="dot" w:pos="12728"/>
            </w:tabs>
            <w:rPr>
              <w:rFonts w:ascii="Arial" w:eastAsia="Arial"/>
            </w:rPr>
          </w:pPr>
          <w:r>
            <w:t>第</w:t>
          </w:r>
          <w:r>
            <w:rPr>
              <w:spacing w:val="-77"/>
            </w:rPr>
            <w:t xml:space="preserve"> </w:t>
          </w:r>
          <w:r>
            <w:rPr>
              <w:rFonts w:ascii="Arial" w:eastAsia="Arial"/>
            </w:rPr>
            <w:t>36</w:t>
          </w:r>
          <w:r>
            <w:rPr>
              <w:rFonts w:ascii="Arial" w:eastAsia="Arial"/>
              <w:spacing w:val="-11"/>
            </w:rPr>
            <w:t xml:space="preserve"> </w:t>
          </w:r>
          <w:r>
            <w:t>条水力采煤</w:t>
            <w:tab/>
          </w:r>
          <w:r>
            <w:rPr>
              <w:rFonts w:ascii="Arial" w:eastAsia="Arial"/>
            </w:rPr>
            <w:t>23</w:t>
          </w:r>
        </w:p>
        <w:p>
          <w:pPr>
            <w:pStyle w:val="TOC2"/>
            <w:tabs>
              <w:tab w:val="left" w:pos="2332"/>
              <w:tab w:val="right" w:leader="dot" w:pos="12728"/>
            </w:tabs>
            <w:rPr>
              <w:rFonts w:ascii="Arial" w:eastAsia="Arial" w:hAnsi="Arial"/>
            </w:rPr>
          </w:pPr>
          <w:r>
            <w:t>第</w:t>
          </w:r>
          <w:r>
            <w:rPr>
              <w:spacing w:val="-80"/>
            </w:rPr>
            <w:t xml:space="preserve"> </w:t>
          </w:r>
          <w:r>
            <w:rPr>
              <w:rFonts w:ascii="Arial" w:eastAsia="Arial" w:hAnsi="Arial"/>
            </w:rPr>
            <w:t>37</w:t>
          </w:r>
          <w:r>
            <w:rPr>
              <w:rFonts w:ascii="Arial" w:eastAsia="Arial" w:hAnsi="Arial"/>
              <w:spacing w:val="-14"/>
            </w:rPr>
            <w:t xml:space="preserve"> </w:t>
          </w:r>
          <w:r>
            <w:t>条</w:t>
            <w:tab/>
          </w:r>
          <w:r>
            <w:rPr>
              <w:rFonts w:ascii="Times New Roman" w:eastAsia="Times New Roman" w:hAnsi="Times New Roman"/>
              <w:spacing w:val="-4"/>
            </w:rPr>
            <w:t>“</w:t>
          </w:r>
          <w:r>
            <w:t>三</w:t>
          </w:r>
          <w:r>
            <w:rPr>
              <w:spacing w:val="-4"/>
            </w:rPr>
            <w:t>下</w:t>
          </w:r>
          <w:r>
            <w:rPr>
              <w:rFonts w:ascii="Times New Roman" w:eastAsia="Times New Roman" w:hAnsi="Times New Roman"/>
            </w:rPr>
            <w:t>”</w:t>
          </w:r>
          <w:r>
            <w:t>采煤</w:t>
            <w:tab/>
          </w:r>
          <w:r>
            <w:rPr>
              <w:rFonts w:ascii="Arial" w:eastAsia="Arial" w:hAnsi="Arial"/>
            </w:rPr>
            <w:t>23</w:t>
          </w:r>
        </w:p>
        <w:p>
          <w:pPr>
            <w:pStyle w:val="TOC2"/>
            <w:tabs>
              <w:tab w:val="right" w:leader="dot" w:pos="12728"/>
            </w:tabs>
            <w:rPr>
              <w:rFonts w:ascii="Arial" w:eastAsia="Arial"/>
            </w:rPr>
          </w:pPr>
          <w:r>
            <w:t>第</w:t>
          </w:r>
          <w:r>
            <w:rPr>
              <w:spacing w:val="-77"/>
            </w:rPr>
            <w:t xml:space="preserve"> </w:t>
          </w:r>
          <w:r>
            <w:rPr>
              <w:rFonts w:ascii="Arial" w:eastAsia="Arial"/>
            </w:rPr>
            <w:t>38</w:t>
          </w:r>
          <w:r>
            <w:rPr>
              <w:rFonts w:ascii="Arial" w:eastAsia="Arial"/>
              <w:spacing w:val="-11"/>
            </w:rPr>
            <w:t xml:space="preserve"> </w:t>
          </w:r>
          <w:r>
            <w:t>条煤炭回采率</w:t>
            <w:tab/>
          </w:r>
          <w:r>
            <w:rPr>
              <w:rFonts w:ascii="Arial" w:eastAsia="Arial"/>
            </w:rPr>
            <w:t>24</w:t>
          </w:r>
        </w:p>
        <w:p>
          <w:pPr>
            <w:pStyle w:val="TOC2"/>
            <w:tabs>
              <w:tab w:val="right" w:leader="dot" w:pos="12728"/>
            </w:tabs>
            <w:rPr>
              <w:rFonts w:ascii="Arial" w:eastAsia="Arial"/>
            </w:rPr>
          </w:pPr>
          <w:r>
            <w:t>第</w:t>
          </w:r>
          <w:r>
            <w:rPr>
              <w:spacing w:val="-77"/>
            </w:rPr>
            <w:t xml:space="preserve"> </w:t>
          </w:r>
          <w:r>
            <w:rPr>
              <w:rFonts w:ascii="Arial" w:eastAsia="Arial"/>
            </w:rPr>
            <w:t>39</w:t>
          </w:r>
          <w:r>
            <w:rPr>
              <w:rFonts w:ascii="Arial" w:eastAsia="Arial"/>
              <w:spacing w:val="-11"/>
            </w:rPr>
            <w:t xml:space="preserve"> </w:t>
          </w:r>
          <w:r>
            <w:t>条矿山压力测定</w:t>
            <w:tab/>
          </w:r>
          <w:r>
            <w:rPr>
              <w:rFonts w:ascii="Arial" w:eastAsia="Arial"/>
            </w:rPr>
            <w:t>25</w:t>
          </w:r>
        </w:p>
        <w:p>
          <w:pPr>
            <w:pStyle w:val="TOC2"/>
            <w:tabs>
              <w:tab w:val="right" w:leader="dot" w:pos="12728"/>
            </w:tabs>
            <w:rPr>
              <w:rFonts w:ascii="Arial" w:eastAsia="Arial"/>
            </w:rPr>
          </w:pPr>
          <w:r>
            <w:t>第</w:t>
          </w:r>
          <w:r>
            <w:rPr>
              <w:spacing w:val="-77"/>
            </w:rPr>
            <w:t xml:space="preserve"> </w:t>
          </w:r>
          <w:r>
            <w:rPr>
              <w:rFonts w:ascii="Arial" w:eastAsia="Arial"/>
            </w:rPr>
            <w:t>40</w:t>
          </w:r>
          <w:r>
            <w:rPr>
              <w:rFonts w:ascii="Arial" w:eastAsia="Arial"/>
              <w:spacing w:val="-11"/>
            </w:rPr>
            <w:t xml:space="preserve"> </w:t>
          </w:r>
          <w:r>
            <w:t>条矿井支护</w:t>
            <w:tab/>
          </w:r>
          <w:r>
            <w:rPr>
              <w:rFonts w:ascii="Arial" w:eastAsia="Arial"/>
            </w:rPr>
            <w:t>25</w:t>
          </w:r>
        </w:p>
        <w:p>
          <w:pPr>
            <w:pStyle w:val="TOC1"/>
            <w:tabs>
              <w:tab w:val="right" w:leader="dot" w:pos="12728"/>
            </w:tabs>
            <w:spacing w:before="235"/>
            <w:rPr>
              <w:rFonts w:ascii="Arial" w:eastAsia="Arial"/>
            </w:rPr>
          </w:pPr>
          <w:hyperlink w:anchor="_TOC_250007" w:history="1">
            <w:r>
              <w:t>第七章矿井机械化</w:t>
              <w:tab/>
            </w:r>
            <w:r>
              <w:rPr>
                <w:rFonts w:ascii="Arial" w:eastAsia="Arial"/>
              </w:rPr>
              <w:t>26</w:t>
            </w:r>
          </w:hyperlink>
        </w:p>
        <w:p>
          <w:pPr>
            <w:pStyle w:val="TOC2"/>
            <w:tabs>
              <w:tab w:val="right" w:leader="dot" w:pos="12728"/>
            </w:tabs>
            <w:spacing w:before="310"/>
            <w:rPr>
              <w:rFonts w:ascii="Arial" w:eastAsia="Arial"/>
            </w:rPr>
          </w:pPr>
          <w:r>
            <w:t>第</w:t>
          </w:r>
          <w:r>
            <w:rPr>
              <w:spacing w:val="-76"/>
            </w:rPr>
            <w:t xml:space="preserve"> </w:t>
          </w:r>
          <w:r>
            <w:rPr>
              <w:rFonts w:ascii="Arial" w:eastAsia="Arial"/>
            </w:rPr>
            <w:t>41</w:t>
          </w:r>
          <w:r>
            <w:rPr>
              <w:rFonts w:ascii="Arial" w:eastAsia="Arial"/>
              <w:spacing w:val="-11"/>
            </w:rPr>
            <w:t xml:space="preserve"> </w:t>
          </w:r>
          <w:r>
            <w:t>条发展机械化的原则</w:t>
            <w:tab/>
          </w:r>
          <w:r>
            <w:rPr>
              <w:rFonts w:ascii="Arial" w:eastAsia="Arial"/>
            </w:rPr>
            <w:t>26</w:t>
          </w:r>
        </w:p>
        <w:p>
          <w:pPr>
            <w:pStyle w:val="TOC2"/>
            <w:tabs>
              <w:tab w:val="right" w:leader="dot" w:pos="12728"/>
            </w:tabs>
            <w:rPr>
              <w:rFonts w:ascii="Arial" w:eastAsia="Arial"/>
            </w:rPr>
          </w:pPr>
          <w:r>
            <w:t>第</w:t>
          </w:r>
          <w:r>
            <w:rPr>
              <w:spacing w:val="-76"/>
            </w:rPr>
            <w:t xml:space="preserve"> </w:t>
          </w:r>
          <w:r>
            <w:rPr>
              <w:rFonts w:ascii="Arial" w:eastAsia="Arial"/>
            </w:rPr>
            <w:t>42</w:t>
          </w:r>
          <w:r>
            <w:rPr>
              <w:rFonts w:ascii="Arial" w:eastAsia="Arial"/>
              <w:spacing w:val="-11"/>
            </w:rPr>
            <w:t xml:space="preserve"> </w:t>
          </w:r>
          <w:r>
            <w:t>条综合机械化采煤</w:t>
            <w:tab/>
          </w:r>
          <w:r>
            <w:rPr>
              <w:rFonts w:ascii="Arial" w:eastAsia="Arial"/>
            </w:rPr>
            <w:t>26</w:t>
          </w:r>
        </w:p>
        <w:p>
          <w:pPr>
            <w:pStyle w:val="TOC2"/>
            <w:tabs>
              <w:tab w:val="right" w:leader="dot" w:pos="12728"/>
            </w:tabs>
            <w:spacing w:before="306"/>
            <w:rPr>
              <w:rFonts w:ascii="Arial" w:eastAsia="Arial"/>
            </w:rPr>
          </w:pPr>
          <w:r>
            <w:t>第</w:t>
          </w:r>
          <w:r>
            <w:rPr>
              <w:spacing w:val="-76"/>
            </w:rPr>
            <w:t xml:space="preserve"> </w:t>
          </w:r>
          <w:r>
            <w:rPr>
              <w:rFonts w:ascii="Arial" w:eastAsia="Arial"/>
            </w:rPr>
            <w:t>43</w:t>
          </w:r>
          <w:r>
            <w:rPr>
              <w:rFonts w:ascii="Arial" w:eastAsia="Arial"/>
              <w:spacing w:val="-11"/>
            </w:rPr>
            <w:t xml:space="preserve"> </w:t>
          </w:r>
          <w:r>
            <w:t>条普通机械化采煤</w:t>
            <w:tab/>
          </w:r>
          <w:r>
            <w:rPr>
              <w:rFonts w:ascii="Arial" w:eastAsia="Arial"/>
            </w:rPr>
            <w:t>27</w:t>
          </w:r>
        </w:p>
        <w:p>
          <w:pPr>
            <w:pStyle w:val="TOC2"/>
            <w:tabs>
              <w:tab w:val="right" w:leader="dot" w:pos="12728"/>
            </w:tabs>
            <w:rPr>
              <w:rFonts w:ascii="Arial" w:eastAsia="Arial"/>
            </w:rPr>
          </w:pPr>
          <w:r>
            <w:t>第</w:t>
          </w:r>
          <w:r>
            <w:rPr>
              <w:spacing w:val="-77"/>
            </w:rPr>
            <w:t xml:space="preserve"> </w:t>
          </w:r>
          <w:r>
            <w:rPr>
              <w:rFonts w:ascii="Arial" w:eastAsia="Arial"/>
            </w:rPr>
            <w:t>44</w:t>
          </w:r>
          <w:r>
            <w:rPr>
              <w:rFonts w:ascii="Arial" w:eastAsia="Arial"/>
              <w:spacing w:val="-11"/>
            </w:rPr>
            <w:t xml:space="preserve"> </w:t>
          </w:r>
          <w:r>
            <w:t>条炮采</w:t>
            <w:tab/>
          </w:r>
          <w:r>
            <w:rPr>
              <w:rFonts w:ascii="Arial" w:eastAsia="Arial"/>
            </w:rPr>
            <w:t>27</w:t>
          </w:r>
        </w:p>
        <w:p>
          <w:pPr>
            <w:pStyle w:val="TOC2"/>
            <w:tabs>
              <w:tab w:val="right" w:leader="dot" w:pos="12728"/>
            </w:tabs>
            <w:spacing w:before="304"/>
            <w:rPr>
              <w:rFonts w:ascii="Arial" w:eastAsia="Arial"/>
            </w:rPr>
          </w:pPr>
          <w:r>
            <w:t>第</w:t>
          </w:r>
          <w:r>
            <w:rPr>
              <w:spacing w:val="-77"/>
            </w:rPr>
            <w:t xml:space="preserve"> </w:t>
          </w:r>
          <w:r>
            <w:rPr>
              <w:rFonts w:ascii="Arial" w:eastAsia="Arial"/>
            </w:rPr>
            <w:t>45</w:t>
          </w:r>
          <w:r>
            <w:rPr>
              <w:rFonts w:ascii="Arial" w:eastAsia="Arial"/>
              <w:spacing w:val="-11"/>
            </w:rPr>
            <w:t xml:space="preserve"> </w:t>
          </w:r>
          <w:r>
            <w:t>条掘进机械化</w:t>
            <w:tab/>
          </w:r>
          <w:r>
            <w:rPr>
              <w:rFonts w:ascii="Arial" w:eastAsia="Arial"/>
            </w:rPr>
            <w:t>28</w:t>
          </w:r>
        </w:p>
        <w:p>
          <w:pPr>
            <w:pStyle w:val="TOC2"/>
            <w:tabs>
              <w:tab w:val="right" w:leader="dot" w:pos="12728"/>
            </w:tabs>
            <w:rPr>
              <w:rFonts w:ascii="Arial" w:eastAsia="Arial"/>
            </w:rPr>
          </w:pPr>
          <w:r>
            <w:t>第</w:t>
          </w:r>
          <w:r>
            <w:rPr>
              <w:spacing w:val="-77"/>
            </w:rPr>
            <w:t xml:space="preserve"> </w:t>
          </w:r>
          <w:r>
            <w:rPr>
              <w:rFonts w:ascii="Arial" w:eastAsia="Arial"/>
            </w:rPr>
            <w:t>46</w:t>
          </w:r>
          <w:r>
            <w:rPr>
              <w:rFonts w:ascii="Arial" w:eastAsia="Arial"/>
              <w:spacing w:val="-11"/>
            </w:rPr>
            <w:t xml:space="preserve"> </w:t>
          </w:r>
          <w:r>
            <w:t>条矿井大型设备</w:t>
            <w:tab/>
          </w:r>
          <w:r>
            <w:rPr>
              <w:rFonts w:ascii="Arial" w:eastAsia="Arial"/>
            </w:rPr>
            <w:t>28</w:t>
          </w:r>
        </w:p>
        <w:p>
          <w:pPr>
            <w:pStyle w:val="TOC2"/>
            <w:tabs>
              <w:tab w:val="right" w:leader="dot" w:pos="12728"/>
            </w:tabs>
            <w:rPr>
              <w:rFonts w:ascii="Arial" w:eastAsia="Arial"/>
            </w:rPr>
          </w:pPr>
          <w:r>
            <w:t>第</w:t>
          </w:r>
          <w:r>
            <w:rPr>
              <w:spacing w:val="-77"/>
            </w:rPr>
            <w:t xml:space="preserve"> </w:t>
          </w:r>
          <w:r>
            <w:rPr>
              <w:rFonts w:ascii="Arial" w:eastAsia="Arial"/>
            </w:rPr>
            <w:t>47</w:t>
          </w:r>
          <w:r>
            <w:rPr>
              <w:rFonts w:ascii="Arial" w:eastAsia="Arial"/>
              <w:spacing w:val="-11"/>
            </w:rPr>
            <w:t xml:space="preserve"> </w:t>
          </w:r>
          <w:r>
            <w:t>条矿井运输系统</w:t>
            <w:tab/>
          </w:r>
          <w:r>
            <w:rPr>
              <w:rFonts w:ascii="Arial" w:eastAsia="Arial"/>
            </w:rPr>
            <w:t>29</w:t>
          </w:r>
        </w:p>
        <w:p>
          <w:pPr>
            <w:pStyle w:val="TOC2"/>
            <w:tabs>
              <w:tab w:val="right" w:leader="dot" w:pos="12728"/>
            </w:tabs>
            <w:spacing w:after="240"/>
            <w:rPr>
              <w:rFonts w:ascii="Arial" w:eastAsia="Arial"/>
            </w:rPr>
          </w:pPr>
          <w:r>
            <w:t>第</w:t>
          </w:r>
          <w:r>
            <w:rPr>
              <w:spacing w:val="-76"/>
            </w:rPr>
            <w:t xml:space="preserve"> </w:t>
          </w:r>
          <w:r>
            <w:rPr>
              <w:rFonts w:ascii="Arial" w:eastAsia="Arial"/>
            </w:rPr>
            <w:t>48</w:t>
          </w:r>
          <w:r>
            <w:rPr>
              <w:rFonts w:ascii="Arial" w:eastAsia="Arial"/>
              <w:spacing w:val="-11"/>
            </w:rPr>
            <w:t xml:space="preserve"> </w:t>
          </w:r>
          <w:r>
            <w:t>条井下供电和照明</w:t>
            <w:tab/>
          </w:r>
          <w:r>
            <w:rPr>
              <w:rFonts w:ascii="Arial" w:eastAsia="Arial"/>
            </w:rPr>
            <w:t>29</w:t>
          </w:r>
        </w:p>
        <w:p>
          <w:pPr>
            <w:pStyle w:val="TOC1"/>
            <w:tabs>
              <w:tab w:val="right" w:leader="dot" w:pos="12728"/>
            </w:tabs>
            <w:spacing w:before="75"/>
            <w:rPr>
              <w:rFonts w:ascii="Arial" w:eastAsia="Arial"/>
            </w:rPr>
            <w:sectPr>
              <w:type w:val="nextPage"/>
              <w:pgSz w:w="17860" w:h="25260"/>
              <w:pgMar w:top="1900" w:right="2240" w:bottom="2437" w:left="2420" w:header="708" w:footer="708"/>
              <w:pgNumType w:start="5"/>
              <w:cols w:space="708"/>
              <w:titlePg w:val="0"/>
            </w:sectPr>
          </w:pPr>
          <w:hyperlink w:anchor="_TOC_250006" w:history="1">
            <w:r>
              <w:t>第八章煤矿地面设施</w:t>
              <w:tab/>
            </w:r>
            <w:r>
              <w:rPr>
                <w:rFonts w:ascii="Arial" w:eastAsia="Arial"/>
              </w:rPr>
              <w:t>30</w:t>
            </w:r>
          </w:hyperlink>
        </w:p>
      </w:sdtContent>
    </w:sdt>
    <w:sdt>
      <w:sdtPr>
        <w:id w:val="741918154"/>
        <w:docPartObj>
          <w:docPartGallery w:val="Table of Contents"/>
          <w:docPartUnique/>
        </w:docPartObj>
      </w:sdtPr>
      <w:sdtContent>
        <w:p>
          <w:pPr>
            <w:pStyle w:val="TOC2"/>
            <w:tabs>
              <w:tab w:val="right" w:leader="dot" w:pos="12728"/>
            </w:tabs>
            <w:spacing w:before="311"/>
            <w:rPr>
              <w:rFonts w:ascii="Arial" w:eastAsia="Arial"/>
            </w:rPr>
          </w:pPr>
          <w:r>
            <w:t>第</w:t>
          </w:r>
          <w:r>
            <w:rPr>
              <w:spacing w:val="-76"/>
            </w:rPr>
            <w:t xml:space="preserve"> </w:t>
          </w:r>
          <w:r>
            <w:rPr>
              <w:rFonts w:ascii="Arial" w:eastAsia="Arial"/>
            </w:rPr>
            <w:t>49</w:t>
          </w:r>
          <w:r>
            <w:rPr>
              <w:rFonts w:ascii="Arial" w:eastAsia="Arial"/>
              <w:spacing w:val="-10"/>
            </w:rPr>
            <w:t xml:space="preserve"> </w:t>
          </w:r>
          <w:r>
            <w:t>条矿区的地面设施及其管理系统</w:t>
            <w:tab/>
          </w:r>
          <w:r>
            <w:rPr>
              <w:rFonts w:ascii="Arial" w:eastAsia="Arial"/>
            </w:rPr>
            <w:t>30</w:t>
          </w:r>
        </w:p>
        <w:p>
          <w:pPr>
            <w:pStyle w:val="TOC2"/>
            <w:tabs>
              <w:tab w:val="right" w:leader="dot" w:pos="12728"/>
            </w:tabs>
            <w:spacing w:before="304"/>
            <w:rPr>
              <w:rFonts w:ascii="Arial" w:eastAsia="Arial"/>
            </w:rPr>
          </w:pPr>
          <w:r>
            <w:t>第</w:t>
          </w:r>
          <w:r>
            <w:rPr>
              <w:spacing w:val="-76"/>
            </w:rPr>
            <w:t xml:space="preserve"> </w:t>
          </w:r>
          <w:r>
            <w:rPr>
              <w:rFonts w:ascii="Arial" w:eastAsia="Arial"/>
            </w:rPr>
            <w:t>50</w:t>
          </w:r>
          <w:r>
            <w:rPr>
              <w:rFonts w:ascii="Arial" w:eastAsia="Arial"/>
              <w:spacing w:val="-11"/>
            </w:rPr>
            <w:t xml:space="preserve"> </w:t>
          </w:r>
          <w:r>
            <w:t>条矿区地面设施布置原则</w:t>
            <w:tab/>
          </w:r>
          <w:r>
            <w:rPr>
              <w:rFonts w:ascii="Arial" w:eastAsia="Arial"/>
            </w:rPr>
            <w:t>30</w:t>
          </w:r>
        </w:p>
        <w:p>
          <w:pPr>
            <w:pStyle w:val="TOC2"/>
            <w:tabs>
              <w:tab w:val="right" w:leader="dot" w:pos="12728"/>
            </w:tabs>
            <w:rPr>
              <w:rFonts w:ascii="Arial" w:eastAsia="Arial"/>
            </w:rPr>
          </w:pPr>
          <w:r>
            <w:t>第</w:t>
          </w:r>
          <w:r>
            <w:rPr>
              <w:spacing w:val="-77"/>
            </w:rPr>
            <w:t xml:space="preserve"> </w:t>
          </w:r>
          <w:r>
            <w:rPr>
              <w:rFonts w:ascii="Arial" w:eastAsia="Arial"/>
            </w:rPr>
            <w:t>51</w:t>
          </w:r>
          <w:r>
            <w:rPr>
              <w:rFonts w:ascii="Arial" w:eastAsia="Arial"/>
              <w:spacing w:val="-11"/>
            </w:rPr>
            <w:t xml:space="preserve"> </w:t>
          </w:r>
          <w:r>
            <w:t>条煤矿地面建筑</w:t>
            <w:tab/>
          </w:r>
          <w:r>
            <w:rPr>
              <w:rFonts w:ascii="Arial" w:eastAsia="Arial"/>
            </w:rPr>
            <w:t>31</w:t>
          </w:r>
        </w:p>
        <w:p>
          <w:pPr>
            <w:pStyle w:val="TOC2"/>
            <w:tabs>
              <w:tab w:val="right" w:leader="dot" w:pos="12728"/>
            </w:tabs>
            <w:rPr>
              <w:rFonts w:ascii="Arial" w:eastAsia="Arial"/>
            </w:rPr>
          </w:pPr>
          <w:r>
            <w:t>第</w:t>
          </w:r>
          <w:r>
            <w:rPr>
              <w:spacing w:val="-77"/>
            </w:rPr>
            <w:t xml:space="preserve"> </w:t>
          </w:r>
          <w:r>
            <w:rPr>
              <w:rFonts w:ascii="Arial" w:eastAsia="Arial"/>
            </w:rPr>
            <w:t>52</w:t>
          </w:r>
          <w:r>
            <w:rPr>
              <w:rFonts w:ascii="Arial" w:eastAsia="Arial"/>
              <w:spacing w:val="-11"/>
            </w:rPr>
            <w:t xml:space="preserve"> </w:t>
          </w:r>
          <w:r>
            <w:t>条矿区铁路运输</w:t>
            <w:tab/>
          </w:r>
          <w:r>
            <w:rPr>
              <w:rFonts w:ascii="Arial" w:eastAsia="Arial"/>
            </w:rPr>
            <w:t>31</w:t>
          </w:r>
        </w:p>
        <w:p>
          <w:pPr>
            <w:pStyle w:val="TOC2"/>
            <w:tabs>
              <w:tab w:val="right" w:leader="dot" w:pos="12728"/>
            </w:tabs>
            <w:rPr>
              <w:rFonts w:ascii="Arial" w:eastAsia="Arial"/>
            </w:rPr>
          </w:pPr>
          <w:r>
            <w:t>第</w:t>
          </w:r>
          <w:r>
            <w:rPr>
              <w:spacing w:val="-76"/>
            </w:rPr>
            <w:t xml:space="preserve"> </w:t>
          </w:r>
          <w:r>
            <w:rPr>
              <w:rFonts w:ascii="Arial" w:eastAsia="Arial"/>
            </w:rPr>
            <w:t>53</w:t>
          </w:r>
          <w:r>
            <w:rPr>
              <w:rFonts w:ascii="Arial" w:eastAsia="Arial"/>
              <w:spacing w:val="-11"/>
            </w:rPr>
            <w:t xml:space="preserve"> </w:t>
          </w:r>
          <w:r>
            <w:t>条矿区材料和配件的供应</w:t>
            <w:tab/>
          </w:r>
          <w:r>
            <w:rPr>
              <w:rFonts w:ascii="Arial" w:eastAsia="Arial"/>
            </w:rPr>
            <w:t>32</w:t>
          </w:r>
        </w:p>
        <w:p>
          <w:pPr>
            <w:pStyle w:val="TOC1"/>
            <w:tabs>
              <w:tab w:val="right" w:leader="dot" w:pos="12728"/>
            </w:tabs>
            <w:rPr>
              <w:rFonts w:ascii="Arial" w:eastAsia="Arial"/>
            </w:rPr>
          </w:pPr>
          <w:hyperlink w:anchor="_TOC_250005" w:history="1">
            <w:r>
              <w:t>第九章煤矿机械制造、维修与租赁</w:t>
              <w:tab/>
            </w:r>
            <w:r>
              <w:rPr>
                <w:rFonts w:ascii="Arial" w:eastAsia="Arial"/>
              </w:rPr>
              <w:t>32</w:t>
            </w:r>
          </w:hyperlink>
        </w:p>
        <w:p>
          <w:pPr>
            <w:pStyle w:val="TOC2"/>
            <w:tabs>
              <w:tab w:val="right" w:leader="dot" w:pos="12728"/>
            </w:tabs>
            <w:spacing w:before="309"/>
            <w:rPr>
              <w:rFonts w:ascii="Arial" w:eastAsia="Arial"/>
            </w:rPr>
          </w:pPr>
          <w:r>
            <w:t>第</w:t>
          </w:r>
          <w:r>
            <w:rPr>
              <w:spacing w:val="-77"/>
            </w:rPr>
            <w:t xml:space="preserve"> </w:t>
          </w:r>
          <w:r>
            <w:rPr>
              <w:rFonts w:ascii="Arial" w:eastAsia="Arial"/>
            </w:rPr>
            <w:t>54</w:t>
          </w:r>
          <w:r>
            <w:rPr>
              <w:rFonts w:ascii="Arial" w:eastAsia="Arial"/>
              <w:spacing w:val="-11"/>
            </w:rPr>
            <w:t xml:space="preserve"> </w:t>
          </w:r>
          <w:r>
            <w:t>条行业管理</w:t>
            <w:tab/>
          </w:r>
          <w:r>
            <w:rPr>
              <w:rFonts w:ascii="Arial" w:eastAsia="Arial"/>
            </w:rPr>
            <w:t>32</w:t>
          </w:r>
        </w:p>
        <w:p>
          <w:pPr>
            <w:pStyle w:val="TOC2"/>
            <w:tabs>
              <w:tab w:val="right" w:leader="dot" w:pos="12728"/>
            </w:tabs>
            <w:spacing w:before="306"/>
            <w:rPr>
              <w:rFonts w:ascii="Arial" w:eastAsia="Arial"/>
            </w:rPr>
          </w:pPr>
          <w:r>
            <w:t>第</w:t>
          </w:r>
          <w:r>
            <w:rPr>
              <w:spacing w:val="-76"/>
            </w:rPr>
            <w:t xml:space="preserve"> </w:t>
          </w:r>
          <w:r>
            <w:rPr>
              <w:rFonts w:ascii="Arial" w:eastAsia="Arial"/>
            </w:rPr>
            <w:t>55</w:t>
          </w:r>
          <w:r>
            <w:rPr>
              <w:rFonts w:ascii="Arial" w:eastAsia="Arial"/>
              <w:spacing w:val="-11"/>
            </w:rPr>
            <w:t xml:space="preserve"> </w:t>
          </w:r>
          <w:r>
            <w:t>条产品质量与技术服务</w:t>
            <w:tab/>
          </w:r>
          <w:r>
            <w:rPr>
              <w:rFonts w:ascii="Arial" w:eastAsia="Arial"/>
            </w:rPr>
            <w:t>33</w:t>
          </w:r>
        </w:p>
        <w:p>
          <w:pPr>
            <w:pStyle w:val="TOC2"/>
            <w:tabs>
              <w:tab w:val="right" w:leader="dot" w:pos="12728"/>
            </w:tabs>
            <w:rPr>
              <w:rFonts w:ascii="Arial" w:eastAsia="Arial"/>
            </w:rPr>
          </w:pPr>
          <w:r>
            <w:t>第</w:t>
          </w:r>
          <w:r>
            <w:rPr>
              <w:spacing w:val="-76"/>
            </w:rPr>
            <w:t xml:space="preserve"> </w:t>
          </w:r>
          <w:r>
            <w:rPr>
              <w:rFonts w:ascii="Arial" w:eastAsia="Arial"/>
            </w:rPr>
            <w:t>56</w:t>
          </w:r>
          <w:r>
            <w:rPr>
              <w:rFonts w:ascii="Arial" w:eastAsia="Arial"/>
              <w:spacing w:val="-11"/>
            </w:rPr>
            <w:t xml:space="preserve"> </w:t>
          </w:r>
          <w:r>
            <w:t>条产品与技术开发</w:t>
            <w:tab/>
          </w:r>
          <w:r>
            <w:rPr>
              <w:rFonts w:ascii="Arial" w:eastAsia="Arial"/>
            </w:rPr>
            <w:t>33</w:t>
          </w:r>
        </w:p>
        <w:p>
          <w:pPr>
            <w:pStyle w:val="TOC2"/>
            <w:tabs>
              <w:tab w:val="right" w:leader="dot" w:pos="12728"/>
            </w:tabs>
            <w:rPr>
              <w:rFonts w:ascii="Arial" w:eastAsia="Arial"/>
            </w:rPr>
          </w:pPr>
          <w:r>
            <w:t>第</w:t>
          </w:r>
          <w:r>
            <w:rPr>
              <w:spacing w:val="-76"/>
            </w:rPr>
            <w:t xml:space="preserve"> </w:t>
          </w:r>
          <w:r>
            <w:rPr>
              <w:rFonts w:ascii="Arial" w:eastAsia="Arial"/>
            </w:rPr>
            <w:t>57</w:t>
          </w:r>
          <w:r>
            <w:rPr>
              <w:rFonts w:ascii="Arial" w:eastAsia="Arial"/>
              <w:spacing w:val="-11"/>
            </w:rPr>
            <w:t xml:space="preserve"> </w:t>
          </w:r>
          <w:r>
            <w:t>条国内研制与引进技术相结合</w:t>
            <w:tab/>
          </w:r>
          <w:r>
            <w:rPr>
              <w:rFonts w:ascii="Arial" w:eastAsia="Arial"/>
            </w:rPr>
            <w:t>34</w:t>
          </w:r>
        </w:p>
        <w:p>
          <w:pPr>
            <w:pStyle w:val="TOC2"/>
            <w:tabs>
              <w:tab w:val="right" w:leader="dot" w:pos="12728"/>
            </w:tabs>
            <w:rPr>
              <w:rFonts w:ascii="Arial" w:eastAsia="Arial"/>
            </w:rPr>
          </w:pPr>
          <w:r>
            <w:t>第</w:t>
          </w:r>
          <w:r>
            <w:rPr>
              <w:spacing w:val="-77"/>
            </w:rPr>
            <w:t xml:space="preserve"> </w:t>
          </w:r>
          <w:r>
            <w:rPr>
              <w:rFonts w:ascii="Arial" w:eastAsia="Arial"/>
            </w:rPr>
            <w:t>58</w:t>
          </w:r>
          <w:r>
            <w:rPr>
              <w:rFonts w:ascii="Arial" w:eastAsia="Arial"/>
              <w:spacing w:val="-11"/>
            </w:rPr>
            <w:t xml:space="preserve"> </w:t>
          </w:r>
          <w:r>
            <w:t>条煤矿机修</w:t>
            <w:tab/>
          </w:r>
          <w:r>
            <w:rPr>
              <w:rFonts w:ascii="Arial" w:eastAsia="Arial"/>
            </w:rPr>
            <w:t>34</w:t>
          </w:r>
        </w:p>
        <w:p>
          <w:pPr>
            <w:pStyle w:val="TOC2"/>
            <w:tabs>
              <w:tab w:val="right" w:leader="dot" w:pos="12728"/>
            </w:tabs>
            <w:rPr>
              <w:rFonts w:ascii="Arial" w:eastAsia="Arial"/>
            </w:rPr>
          </w:pPr>
          <w:r>
            <w:t>第</w:t>
          </w:r>
          <w:r>
            <w:rPr>
              <w:spacing w:val="-77"/>
            </w:rPr>
            <w:t xml:space="preserve"> </w:t>
          </w:r>
          <w:r>
            <w:rPr>
              <w:rFonts w:ascii="Arial" w:eastAsia="Arial"/>
            </w:rPr>
            <w:t>59</w:t>
          </w:r>
          <w:r>
            <w:rPr>
              <w:rFonts w:ascii="Arial" w:eastAsia="Arial"/>
              <w:spacing w:val="-11"/>
            </w:rPr>
            <w:t xml:space="preserve"> </w:t>
          </w:r>
          <w:r>
            <w:t>条设备租赁</w:t>
            <w:tab/>
          </w:r>
          <w:r>
            <w:rPr>
              <w:rFonts w:ascii="Arial" w:eastAsia="Arial"/>
            </w:rPr>
            <w:t>35</w:t>
          </w:r>
        </w:p>
        <w:p>
          <w:pPr>
            <w:pStyle w:val="TOC1"/>
            <w:tabs>
              <w:tab w:val="right" w:leader="dot" w:pos="12728"/>
            </w:tabs>
            <w:spacing w:before="235"/>
            <w:rPr>
              <w:rFonts w:ascii="Arial" w:eastAsia="Arial"/>
            </w:rPr>
          </w:pPr>
          <w:hyperlink w:anchor="_TOC_250004" w:history="1">
            <w:r>
              <w:t>第十章煤炭加工、综合利用和企业多种经营</w:t>
              <w:tab/>
            </w:r>
            <w:r>
              <w:rPr>
                <w:rFonts w:ascii="Arial" w:eastAsia="Arial"/>
              </w:rPr>
              <w:t>35</w:t>
            </w:r>
          </w:hyperlink>
        </w:p>
        <w:p>
          <w:pPr>
            <w:pStyle w:val="TOC2"/>
            <w:tabs>
              <w:tab w:val="right" w:leader="dot" w:pos="12728"/>
            </w:tabs>
            <w:spacing w:before="310"/>
            <w:rPr>
              <w:rFonts w:ascii="Arial" w:eastAsia="Arial"/>
            </w:rPr>
          </w:pPr>
          <w:r>
            <w:t>第</w:t>
          </w:r>
          <w:r>
            <w:rPr>
              <w:spacing w:val="-76"/>
            </w:rPr>
            <w:t xml:space="preserve"> </w:t>
          </w:r>
          <w:r>
            <w:rPr>
              <w:rFonts w:ascii="Arial" w:eastAsia="Arial"/>
            </w:rPr>
            <w:t>60</w:t>
          </w:r>
          <w:r>
            <w:rPr>
              <w:rFonts w:ascii="Arial" w:eastAsia="Arial"/>
              <w:spacing w:val="-11"/>
            </w:rPr>
            <w:t xml:space="preserve"> </w:t>
          </w:r>
          <w:r>
            <w:t>条煤炭加工及合理利用</w:t>
            <w:tab/>
          </w:r>
          <w:r>
            <w:rPr>
              <w:rFonts w:ascii="Arial" w:eastAsia="Arial"/>
            </w:rPr>
            <w:t>35</w:t>
          </w:r>
        </w:p>
        <w:p>
          <w:pPr>
            <w:pStyle w:val="TOC2"/>
            <w:tabs>
              <w:tab w:val="right" w:leader="dot" w:pos="12728"/>
            </w:tabs>
            <w:rPr>
              <w:rFonts w:ascii="Arial" w:eastAsia="Arial"/>
            </w:rPr>
          </w:pPr>
          <w:r>
            <w:t>第</w:t>
          </w:r>
          <w:r>
            <w:rPr>
              <w:spacing w:val="-76"/>
            </w:rPr>
            <w:t xml:space="preserve"> </w:t>
          </w:r>
          <w:r>
            <w:rPr>
              <w:rFonts w:ascii="Arial" w:eastAsia="Arial"/>
            </w:rPr>
            <w:t>61</w:t>
          </w:r>
          <w:r>
            <w:rPr>
              <w:rFonts w:ascii="Arial" w:eastAsia="Arial"/>
              <w:spacing w:val="-10"/>
            </w:rPr>
            <w:t xml:space="preserve"> </w:t>
          </w:r>
          <w:r>
            <w:t>条选煤厂、筛选厂建设和老厂技术改造</w:t>
            <w:tab/>
          </w:r>
          <w:r>
            <w:rPr>
              <w:rFonts w:ascii="Arial" w:eastAsia="Arial"/>
            </w:rPr>
            <w:t>36</w:t>
          </w:r>
        </w:p>
        <w:p>
          <w:pPr>
            <w:pStyle w:val="TOC2"/>
            <w:tabs>
              <w:tab w:val="right" w:leader="dot" w:pos="12728"/>
            </w:tabs>
            <w:rPr>
              <w:rFonts w:ascii="Arial" w:eastAsia="Arial"/>
            </w:rPr>
          </w:pPr>
          <w:r>
            <w:t>第</w:t>
          </w:r>
          <w:r>
            <w:rPr>
              <w:spacing w:val="-76"/>
            </w:rPr>
            <w:t xml:space="preserve"> </w:t>
          </w:r>
          <w:r>
            <w:rPr>
              <w:rFonts w:ascii="Arial" w:eastAsia="Arial"/>
            </w:rPr>
            <w:t>62</w:t>
          </w:r>
          <w:r>
            <w:rPr>
              <w:rFonts w:ascii="Arial" w:eastAsia="Arial"/>
              <w:spacing w:val="-10"/>
            </w:rPr>
            <w:t xml:space="preserve"> </w:t>
          </w:r>
          <w:r>
            <w:t>条选煤工艺、设备和技术发展方向</w:t>
            <w:tab/>
          </w:r>
          <w:r>
            <w:rPr>
              <w:rFonts w:ascii="Arial" w:eastAsia="Arial"/>
            </w:rPr>
            <w:t>36</w:t>
          </w:r>
        </w:p>
        <w:p>
          <w:pPr>
            <w:pStyle w:val="TOC2"/>
            <w:tabs>
              <w:tab w:val="right" w:leader="dot" w:pos="12728"/>
            </w:tabs>
            <w:rPr>
              <w:rFonts w:ascii="Arial" w:eastAsia="Arial"/>
            </w:rPr>
          </w:pPr>
          <w:r>
            <w:t>第</w:t>
          </w:r>
          <w:r>
            <w:rPr>
              <w:spacing w:val="-77"/>
            </w:rPr>
            <w:t xml:space="preserve"> </w:t>
          </w:r>
          <w:r>
            <w:rPr>
              <w:rFonts w:ascii="Arial" w:eastAsia="Arial"/>
            </w:rPr>
            <w:t>63</w:t>
          </w:r>
          <w:r>
            <w:rPr>
              <w:rFonts w:ascii="Arial" w:eastAsia="Arial"/>
              <w:spacing w:val="-11"/>
            </w:rPr>
            <w:t xml:space="preserve"> </w:t>
          </w:r>
          <w:r>
            <w:t>条综合利用</w:t>
            <w:tab/>
          </w:r>
          <w:r>
            <w:rPr>
              <w:rFonts w:ascii="Arial" w:eastAsia="Arial"/>
            </w:rPr>
            <w:t>38</w:t>
          </w:r>
        </w:p>
        <w:p>
          <w:pPr>
            <w:pStyle w:val="TOC2"/>
            <w:tabs>
              <w:tab w:val="right" w:leader="dot" w:pos="12728"/>
            </w:tabs>
            <w:rPr>
              <w:rFonts w:ascii="Arial" w:eastAsia="Arial"/>
            </w:rPr>
          </w:pPr>
          <w:r>
            <w:t>第</w:t>
          </w:r>
          <w:r>
            <w:rPr>
              <w:spacing w:val="-77"/>
            </w:rPr>
            <w:t xml:space="preserve"> </w:t>
          </w:r>
          <w:r>
            <w:rPr>
              <w:rFonts w:ascii="Arial" w:eastAsia="Arial"/>
            </w:rPr>
            <w:t>64</w:t>
          </w:r>
          <w:r>
            <w:rPr>
              <w:rFonts w:ascii="Arial" w:eastAsia="Arial"/>
              <w:spacing w:val="-11"/>
            </w:rPr>
            <w:t xml:space="preserve"> </w:t>
          </w:r>
          <w:r>
            <w:t>条发展煤的转化</w:t>
            <w:tab/>
          </w:r>
          <w:r>
            <w:rPr>
              <w:rFonts w:ascii="Arial" w:eastAsia="Arial"/>
            </w:rPr>
            <w:t>39</w:t>
          </w:r>
        </w:p>
        <w:p>
          <w:pPr>
            <w:pStyle w:val="TOC2"/>
            <w:tabs>
              <w:tab w:val="right" w:leader="dot" w:pos="12728"/>
            </w:tabs>
            <w:rPr>
              <w:rFonts w:ascii="Arial" w:eastAsia="Arial"/>
            </w:rPr>
          </w:pPr>
          <w:r>
            <w:t>第</w:t>
          </w:r>
          <w:r>
            <w:rPr>
              <w:spacing w:val="-77"/>
            </w:rPr>
            <w:t xml:space="preserve"> </w:t>
          </w:r>
          <w:r>
            <w:rPr>
              <w:rFonts w:ascii="Arial" w:eastAsia="Arial"/>
            </w:rPr>
            <w:t>65</w:t>
          </w:r>
          <w:r>
            <w:rPr>
              <w:rFonts w:ascii="Arial" w:eastAsia="Arial"/>
              <w:spacing w:val="-11"/>
            </w:rPr>
            <w:t xml:space="preserve"> </w:t>
          </w:r>
          <w:r>
            <w:t>条多种经营</w:t>
            <w:tab/>
          </w:r>
          <w:r>
            <w:rPr>
              <w:rFonts w:ascii="Arial" w:eastAsia="Arial"/>
            </w:rPr>
            <w:t>39</w:t>
          </w:r>
        </w:p>
        <w:p>
          <w:pPr>
            <w:pStyle w:val="TOC1"/>
            <w:tabs>
              <w:tab w:val="right" w:leader="dot" w:pos="12728"/>
            </w:tabs>
            <w:spacing w:before="235"/>
            <w:rPr>
              <w:rFonts w:ascii="Arial" w:eastAsia="Arial"/>
            </w:rPr>
          </w:pPr>
          <w:hyperlink w:anchor="_TOC_250003" w:history="1">
            <w:r>
              <w:t>第十一章安全生产和劳动保护</w:t>
              <w:tab/>
            </w:r>
            <w:r>
              <w:rPr>
                <w:rFonts w:ascii="Arial" w:eastAsia="Arial"/>
              </w:rPr>
              <w:t>39</w:t>
            </w:r>
          </w:hyperlink>
        </w:p>
        <w:p>
          <w:pPr>
            <w:pStyle w:val="TOC2"/>
            <w:tabs>
              <w:tab w:val="right" w:leader="dot" w:pos="12728"/>
            </w:tabs>
            <w:spacing w:before="310"/>
            <w:rPr>
              <w:rFonts w:ascii="Arial" w:eastAsia="Arial"/>
            </w:rPr>
          </w:pPr>
          <w:r>
            <w:t>第</w:t>
          </w:r>
          <w:r>
            <w:rPr>
              <w:spacing w:val="-77"/>
            </w:rPr>
            <w:t xml:space="preserve"> </w:t>
          </w:r>
          <w:r>
            <w:rPr>
              <w:rFonts w:ascii="Arial" w:eastAsia="Arial"/>
            </w:rPr>
            <w:t>66</w:t>
          </w:r>
          <w:r>
            <w:rPr>
              <w:rFonts w:ascii="Arial" w:eastAsia="Arial"/>
              <w:spacing w:val="-11"/>
            </w:rPr>
            <w:t xml:space="preserve"> </w:t>
          </w:r>
          <w:r>
            <w:t>条安全生产方针</w:t>
            <w:tab/>
          </w:r>
          <w:r>
            <w:rPr>
              <w:rFonts w:ascii="Arial" w:eastAsia="Arial"/>
            </w:rPr>
            <w:t>39</w:t>
          </w:r>
        </w:p>
        <w:p>
          <w:pPr>
            <w:pStyle w:val="TOC2"/>
            <w:tabs>
              <w:tab w:val="right" w:leader="dot" w:pos="12728"/>
            </w:tabs>
            <w:rPr>
              <w:rFonts w:ascii="Arial" w:eastAsia="Arial"/>
            </w:rPr>
          </w:pPr>
          <w:r>
            <w:t>第</w:t>
          </w:r>
          <w:r>
            <w:rPr>
              <w:spacing w:val="-76"/>
            </w:rPr>
            <w:t xml:space="preserve"> </w:t>
          </w:r>
          <w:r>
            <w:rPr>
              <w:rFonts w:ascii="Arial" w:eastAsia="Arial"/>
            </w:rPr>
            <w:t>67</w:t>
          </w:r>
          <w:r>
            <w:rPr>
              <w:rFonts w:ascii="Arial" w:eastAsia="Arial"/>
              <w:spacing w:val="-11"/>
            </w:rPr>
            <w:t xml:space="preserve"> </w:t>
          </w:r>
          <w:r>
            <w:t>条防治瓦斯、煤尘爆炸</w:t>
            <w:tab/>
          </w:r>
          <w:r>
            <w:rPr>
              <w:rFonts w:ascii="Arial" w:eastAsia="Arial"/>
            </w:rPr>
            <w:t>40</w:t>
          </w:r>
        </w:p>
        <w:p>
          <w:pPr>
            <w:pStyle w:val="TOC2"/>
            <w:tabs>
              <w:tab w:val="right" w:leader="dot" w:pos="12728"/>
            </w:tabs>
            <w:spacing w:before="306"/>
            <w:rPr>
              <w:rFonts w:ascii="Arial" w:eastAsia="Arial"/>
            </w:rPr>
          </w:pPr>
          <w:r>
            <w:t>第</w:t>
          </w:r>
          <w:r>
            <w:rPr>
              <w:spacing w:val="-77"/>
            </w:rPr>
            <w:t xml:space="preserve"> </w:t>
          </w:r>
          <w:r>
            <w:rPr>
              <w:rFonts w:ascii="Arial" w:eastAsia="Arial"/>
            </w:rPr>
            <w:t>68</w:t>
          </w:r>
          <w:r>
            <w:rPr>
              <w:rFonts w:ascii="Arial" w:eastAsia="Arial"/>
              <w:spacing w:val="-11"/>
            </w:rPr>
            <w:t xml:space="preserve"> </w:t>
          </w:r>
          <w:r>
            <w:t>条防治矿井火灾</w:t>
            <w:tab/>
          </w:r>
          <w:r>
            <w:rPr>
              <w:rFonts w:ascii="Arial" w:eastAsia="Arial"/>
            </w:rPr>
            <w:t>41</w:t>
          </w:r>
        </w:p>
        <w:p>
          <w:pPr>
            <w:pStyle w:val="TOC2"/>
            <w:tabs>
              <w:tab w:val="right" w:leader="dot" w:pos="12728"/>
            </w:tabs>
            <w:rPr>
              <w:rFonts w:ascii="Arial" w:eastAsia="Arial"/>
            </w:rPr>
          </w:pPr>
          <w:r>
            <w:t>第</w:t>
          </w:r>
          <w:r>
            <w:rPr>
              <w:spacing w:val="-77"/>
            </w:rPr>
            <w:t xml:space="preserve"> </w:t>
          </w:r>
          <w:r>
            <w:rPr>
              <w:rFonts w:ascii="Arial" w:eastAsia="Arial"/>
            </w:rPr>
            <w:t>69</w:t>
          </w:r>
          <w:r>
            <w:rPr>
              <w:rFonts w:ascii="Arial" w:eastAsia="Arial"/>
              <w:spacing w:val="-11"/>
            </w:rPr>
            <w:t xml:space="preserve"> </w:t>
          </w:r>
          <w:r>
            <w:t>条防治冒顶事故</w:t>
            <w:tab/>
          </w:r>
          <w:r>
            <w:rPr>
              <w:rFonts w:ascii="Arial" w:eastAsia="Arial"/>
            </w:rPr>
            <w:t>41</w:t>
          </w:r>
        </w:p>
        <w:p>
          <w:pPr>
            <w:pStyle w:val="TOC2"/>
            <w:tabs>
              <w:tab w:val="right" w:leader="dot" w:pos="12728"/>
            </w:tabs>
            <w:spacing w:before="304"/>
            <w:rPr>
              <w:rFonts w:ascii="Arial" w:eastAsia="Arial"/>
            </w:rPr>
          </w:pPr>
          <w:r>
            <w:t>第</w:t>
          </w:r>
          <w:r>
            <w:rPr>
              <w:spacing w:val="-77"/>
            </w:rPr>
            <w:t xml:space="preserve"> </w:t>
          </w:r>
          <w:r>
            <w:rPr>
              <w:rFonts w:ascii="Arial" w:eastAsia="Arial"/>
            </w:rPr>
            <w:t>70</w:t>
          </w:r>
          <w:r>
            <w:rPr>
              <w:rFonts w:ascii="Arial" w:eastAsia="Arial"/>
              <w:spacing w:val="-11"/>
            </w:rPr>
            <w:t xml:space="preserve"> </w:t>
          </w:r>
          <w:r>
            <w:t>条防治粉尘危害</w:t>
            <w:tab/>
          </w:r>
          <w:r>
            <w:rPr>
              <w:rFonts w:ascii="Arial" w:eastAsia="Arial"/>
            </w:rPr>
            <w:t>42</w:t>
          </w:r>
        </w:p>
        <w:p>
          <w:pPr>
            <w:pStyle w:val="TOC2"/>
            <w:tabs>
              <w:tab w:val="right" w:leader="dot" w:pos="12728"/>
            </w:tabs>
            <w:rPr>
              <w:rFonts w:ascii="Arial" w:eastAsia="Arial"/>
            </w:rPr>
          </w:pPr>
          <w:r>
            <w:t>第</w:t>
          </w:r>
          <w:r>
            <w:rPr>
              <w:spacing w:val="-76"/>
            </w:rPr>
            <w:t xml:space="preserve"> </w:t>
          </w:r>
          <w:r>
            <w:rPr>
              <w:rFonts w:ascii="Arial" w:eastAsia="Arial"/>
            </w:rPr>
            <w:t>71</w:t>
          </w:r>
          <w:r>
            <w:rPr>
              <w:rFonts w:ascii="Arial" w:eastAsia="Arial"/>
              <w:spacing w:val="-11"/>
            </w:rPr>
            <w:t xml:space="preserve"> </w:t>
          </w:r>
          <w:r>
            <w:t>条安全监测装备及其检验</w:t>
            <w:tab/>
          </w:r>
          <w:r>
            <w:rPr>
              <w:rFonts w:ascii="Arial" w:eastAsia="Arial"/>
            </w:rPr>
            <w:t>42</w:t>
          </w:r>
        </w:p>
        <w:p>
          <w:pPr>
            <w:pStyle w:val="TOC2"/>
            <w:tabs>
              <w:tab w:val="right" w:leader="dot" w:pos="12728"/>
            </w:tabs>
            <w:rPr>
              <w:rFonts w:ascii="Arial" w:eastAsia="Arial"/>
            </w:rPr>
          </w:pPr>
          <w:r>
            <w:t>第</w:t>
          </w:r>
          <w:r>
            <w:rPr>
              <w:spacing w:val="-76"/>
            </w:rPr>
            <w:t xml:space="preserve"> </w:t>
          </w:r>
          <w:r>
            <w:rPr>
              <w:rFonts w:ascii="Arial" w:eastAsia="Arial"/>
            </w:rPr>
            <w:t>72</w:t>
          </w:r>
          <w:r>
            <w:rPr>
              <w:rFonts w:ascii="Arial" w:eastAsia="Arial"/>
              <w:spacing w:val="-11"/>
            </w:rPr>
            <w:t xml:space="preserve"> </w:t>
          </w:r>
          <w:r>
            <w:t>条矿山救护和矿井降温</w:t>
            <w:tab/>
          </w:r>
          <w:r>
            <w:rPr>
              <w:rFonts w:ascii="Arial" w:eastAsia="Arial"/>
            </w:rPr>
            <w:t>43</w:t>
          </w:r>
        </w:p>
        <w:p>
          <w:pPr>
            <w:pStyle w:val="TOC2"/>
            <w:tabs>
              <w:tab w:val="right" w:leader="dot" w:pos="12728"/>
            </w:tabs>
            <w:rPr>
              <w:rFonts w:ascii="Arial" w:eastAsia="Arial"/>
            </w:rPr>
          </w:pPr>
          <w:r>
            <w:t>第</w:t>
          </w:r>
          <w:r>
            <w:rPr>
              <w:spacing w:val="-77"/>
            </w:rPr>
            <w:t xml:space="preserve"> </w:t>
          </w:r>
          <w:r>
            <w:rPr>
              <w:rFonts w:ascii="Arial" w:eastAsia="Arial"/>
            </w:rPr>
            <w:t>73</w:t>
          </w:r>
          <w:r>
            <w:rPr>
              <w:rFonts w:ascii="Arial" w:eastAsia="Arial"/>
              <w:spacing w:val="-11"/>
            </w:rPr>
            <w:t xml:space="preserve"> </w:t>
          </w:r>
          <w:r>
            <w:t>条防治水害事故</w:t>
            <w:tab/>
          </w:r>
          <w:r>
            <w:rPr>
              <w:rFonts w:ascii="Arial" w:eastAsia="Arial"/>
            </w:rPr>
            <w:t>43</w:t>
          </w:r>
        </w:p>
        <w:p>
          <w:pPr>
            <w:pStyle w:val="TOC2"/>
            <w:tabs>
              <w:tab w:val="right" w:leader="dot" w:pos="12728"/>
            </w:tabs>
            <w:spacing w:after="20"/>
            <w:rPr>
              <w:rFonts w:ascii="Arial" w:eastAsia="Arial"/>
            </w:rPr>
          </w:pPr>
          <w:r>
            <w:t>第</w:t>
          </w:r>
          <w:r>
            <w:rPr>
              <w:spacing w:val="-77"/>
            </w:rPr>
            <w:t xml:space="preserve"> </w:t>
          </w:r>
          <w:r>
            <w:rPr>
              <w:rFonts w:ascii="Arial" w:eastAsia="Arial"/>
            </w:rPr>
            <w:t>74</w:t>
          </w:r>
          <w:r>
            <w:rPr>
              <w:rFonts w:ascii="Arial" w:eastAsia="Arial"/>
              <w:spacing w:val="-11"/>
            </w:rPr>
            <w:t xml:space="preserve"> </w:t>
          </w:r>
          <w:r>
            <w:t>条火工安全</w:t>
            <w:tab/>
          </w:r>
          <w:r>
            <w:rPr>
              <w:rFonts w:ascii="Arial" w:eastAsia="Arial"/>
            </w:rPr>
            <w:t>44</w:t>
          </w:r>
        </w:p>
        <w:p>
          <w:pPr>
            <w:pStyle w:val="TOC2"/>
            <w:tabs>
              <w:tab w:val="right" w:leader="dot" w:pos="12728"/>
            </w:tabs>
            <w:spacing w:before="144"/>
            <w:rPr>
              <w:rFonts w:ascii="Arial" w:eastAsia="Arial"/>
            </w:rPr>
            <w:sectPr>
              <w:type w:val="nextPage"/>
              <w:pgSz w:w="17860" w:h="25260"/>
              <w:pgMar w:top="1900" w:right="2240" w:bottom="2437" w:left="2420" w:header="708" w:footer="708"/>
              <w:pgNumType w:start="6"/>
              <w:cols w:space="708"/>
              <w:titlePg w:val="0"/>
            </w:sectPr>
          </w:pPr>
          <w:r>
            <w:t>第</w:t>
          </w:r>
          <w:r>
            <w:rPr>
              <w:spacing w:val="-77"/>
            </w:rPr>
            <w:t xml:space="preserve"> </w:t>
          </w:r>
          <w:r>
            <w:rPr>
              <w:rFonts w:ascii="Arial" w:eastAsia="Arial"/>
            </w:rPr>
            <w:t>75</w:t>
          </w:r>
          <w:r>
            <w:rPr>
              <w:rFonts w:ascii="Arial" w:eastAsia="Arial"/>
              <w:spacing w:val="-11"/>
            </w:rPr>
            <w:t xml:space="preserve"> </w:t>
          </w:r>
          <w:r>
            <w:t>条防止地震灾害</w:t>
            <w:tab/>
          </w:r>
          <w:r>
            <w:rPr>
              <w:rFonts w:ascii="Arial" w:eastAsia="Arial"/>
            </w:rPr>
            <w:t>44</w:t>
          </w:r>
        </w:p>
      </w:sdtContent>
    </w:sdt>
    <w:sdt>
      <w:sdtPr>
        <w:id w:val="1270944527"/>
        <w:docPartObj>
          <w:docPartGallery w:val="Table of Contents"/>
          <w:docPartUnique/>
        </w:docPartObj>
      </w:sdtPr>
      <w:sdtContent>
        <w:p>
          <w:pPr>
            <w:pStyle w:val="TOC1"/>
            <w:tabs>
              <w:tab w:val="right" w:leader="dot" w:pos="12728"/>
            </w:tabs>
            <w:spacing w:before="237"/>
            <w:rPr>
              <w:rFonts w:ascii="Arial" w:eastAsia="Arial"/>
            </w:rPr>
          </w:pPr>
          <w:hyperlink w:anchor="_TOC_250002" w:history="1">
            <w:r>
              <w:t>第十二章环境保护和土地复垦（造地复田）</w:t>
              <w:tab/>
            </w:r>
            <w:r>
              <w:rPr>
                <w:rFonts w:ascii="Arial" w:eastAsia="Arial"/>
              </w:rPr>
              <w:t>45</w:t>
            </w:r>
          </w:hyperlink>
        </w:p>
        <w:p>
          <w:pPr>
            <w:pStyle w:val="TOC2"/>
            <w:tabs>
              <w:tab w:val="right" w:leader="dot" w:pos="12728"/>
            </w:tabs>
            <w:spacing w:before="309"/>
            <w:rPr>
              <w:rFonts w:ascii="Arial" w:eastAsia="Arial"/>
            </w:rPr>
          </w:pPr>
          <w:r>
            <w:t>第</w:t>
          </w:r>
          <w:r>
            <w:rPr>
              <w:spacing w:val="-77"/>
            </w:rPr>
            <w:t xml:space="preserve"> </w:t>
          </w:r>
          <w:r>
            <w:rPr>
              <w:rFonts w:ascii="Arial" w:eastAsia="Arial"/>
            </w:rPr>
            <w:t>76</w:t>
          </w:r>
          <w:r>
            <w:rPr>
              <w:rFonts w:ascii="Arial" w:eastAsia="Arial"/>
              <w:spacing w:val="-11"/>
            </w:rPr>
            <w:t xml:space="preserve"> </w:t>
          </w:r>
          <w:r>
            <w:t>条环境保护</w:t>
            <w:tab/>
          </w:r>
          <w:r>
            <w:rPr>
              <w:rFonts w:ascii="Arial" w:eastAsia="Arial"/>
            </w:rPr>
            <w:t>45</w:t>
          </w:r>
        </w:p>
        <w:p>
          <w:pPr>
            <w:pStyle w:val="TOC2"/>
            <w:tabs>
              <w:tab w:val="right" w:leader="dot" w:pos="12728"/>
            </w:tabs>
            <w:rPr>
              <w:rFonts w:ascii="Arial" w:eastAsia="Arial"/>
            </w:rPr>
          </w:pPr>
          <w:r>
            <w:t>第</w:t>
          </w:r>
          <w:r>
            <w:rPr>
              <w:spacing w:val="-76"/>
            </w:rPr>
            <w:t xml:space="preserve"> </w:t>
          </w:r>
          <w:r>
            <w:rPr>
              <w:rFonts w:ascii="Arial" w:eastAsia="Arial"/>
            </w:rPr>
            <w:t>77</w:t>
          </w:r>
          <w:r>
            <w:rPr>
              <w:rFonts w:ascii="Arial" w:eastAsia="Arial"/>
              <w:spacing w:val="-10"/>
            </w:rPr>
            <w:t xml:space="preserve"> </w:t>
          </w:r>
          <w:r>
            <w:t>条塌陷区的土地复垦和综合治理</w:t>
            <w:tab/>
          </w:r>
          <w:r>
            <w:rPr>
              <w:rFonts w:ascii="Arial" w:eastAsia="Arial"/>
            </w:rPr>
            <w:t>46</w:t>
          </w:r>
        </w:p>
        <w:p>
          <w:pPr>
            <w:pStyle w:val="TOC1"/>
            <w:tabs>
              <w:tab w:val="right" w:leader="dot" w:pos="12728"/>
            </w:tabs>
            <w:rPr>
              <w:rFonts w:ascii="Arial" w:eastAsia="Arial"/>
            </w:rPr>
          </w:pPr>
          <w:hyperlink w:anchor="_TOC_250001" w:history="1">
            <w:r>
              <w:t>第十三章科学管理和计算机的应用</w:t>
              <w:tab/>
            </w:r>
            <w:r>
              <w:rPr>
                <w:rFonts w:ascii="Arial" w:eastAsia="Arial"/>
              </w:rPr>
              <w:t>46</w:t>
            </w:r>
          </w:hyperlink>
        </w:p>
        <w:p>
          <w:pPr>
            <w:pStyle w:val="TOC2"/>
            <w:tabs>
              <w:tab w:val="right" w:leader="dot" w:pos="12728"/>
            </w:tabs>
            <w:spacing w:before="310"/>
            <w:rPr>
              <w:rFonts w:ascii="Arial" w:eastAsia="Arial"/>
            </w:rPr>
          </w:pPr>
          <w:r>
            <w:t>第</w:t>
          </w:r>
          <w:r>
            <w:rPr>
              <w:spacing w:val="-77"/>
            </w:rPr>
            <w:t xml:space="preserve"> </w:t>
          </w:r>
          <w:r>
            <w:rPr>
              <w:rFonts w:ascii="Arial" w:eastAsia="Arial"/>
            </w:rPr>
            <w:t>78</w:t>
          </w:r>
          <w:r>
            <w:rPr>
              <w:rFonts w:ascii="Arial" w:eastAsia="Arial"/>
              <w:spacing w:val="-11"/>
            </w:rPr>
            <w:t xml:space="preserve"> </w:t>
          </w:r>
          <w:r>
            <w:t>条全面质量管理</w:t>
            <w:tab/>
          </w:r>
          <w:r>
            <w:rPr>
              <w:rFonts w:ascii="Arial" w:eastAsia="Arial"/>
            </w:rPr>
            <w:t>46</w:t>
          </w:r>
        </w:p>
        <w:p>
          <w:pPr>
            <w:pStyle w:val="TOC2"/>
            <w:tabs>
              <w:tab w:val="right" w:leader="dot" w:pos="12728"/>
            </w:tabs>
            <w:rPr>
              <w:rFonts w:ascii="Arial" w:eastAsia="Arial"/>
            </w:rPr>
          </w:pPr>
          <w:r>
            <w:t>第</w:t>
          </w:r>
          <w:r>
            <w:rPr>
              <w:spacing w:val="-77"/>
            </w:rPr>
            <w:t xml:space="preserve"> </w:t>
          </w:r>
          <w:r>
            <w:rPr>
              <w:rFonts w:ascii="Arial" w:eastAsia="Arial"/>
            </w:rPr>
            <w:t>79</w:t>
          </w:r>
          <w:r>
            <w:rPr>
              <w:rFonts w:ascii="Arial" w:eastAsia="Arial"/>
              <w:spacing w:val="-11"/>
            </w:rPr>
            <w:t xml:space="preserve"> </w:t>
          </w:r>
          <w:r>
            <w:t>条标准化工作</w:t>
            <w:tab/>
          </w:r>
          <w:r>
            <w:rPr>
              <w:rFonts w:ascii="Arial" w:eastAsia="Arial"/>
            </w:rPr>
            <w:t>47</w:t>
          </w:r>
        </w:p>
        <w:p>
          <w:pPr>
            <w:pStyle w:val="TOC2"/>
            <w:tabs>
              <w:tab w:val="right" w:leader="dot" w:pos="12728"/>
            </w:tabs>
            <w:spacing w:before="304"/>
            <w:rPr>
              <w:rFonts w:ascii="Arial" w:eastAsia="Arial"/>
            </w:rPr>
          </w:pPr>
          <w:r>
            <w:t>第</w:t>
          </w:r>
          <w:r>
            <w:rPr>
              <w:spacing w:val="-77"/>
            </w:rPr>
            <w:t xml:space="preserve"> </w:t>
          </w:r>
          <w:r>
            <w:rPr>
              <w:rFonts w:ascii="Arial" w:eastAsia="Arial"/>
            </w:rPr>
            <w:t>80</w:t>
          </w:r>
          <w:r>
            <w:rPr>
              <w:rFonts w:ascii="Arial" w:eastAsia="Arial"/>
              <w:spacing w:val="-11"/>
            </w:rPr>
            <w:t xml:space="preserve"> </w:t>
          </w:r>
          <w:r>
            <w:t>条计量工作</w:t>
            <w:tab/>
          </w:r>
          <w:r>
            <w:rPr>
              <w:rFonts w:ascii="Arial" w:eastAsia="Arial"/>
            </w:rPr>
            <w:t>47</w:t>
          </w:r>
        </w:p>
        <w:p>
          <w:pPr>
            <w:pStyle w:val="TOC2"/>
            <w:tabs>
              <w:tab w:val="right" w:leader="dot" w:pos="12728"/>
            </w:tabs>
            <w:spacing w:before="306"/>
            <w:rPr>
              <w:rFonts w:ascii="Arial" w:eastAsia="Arial"/>
            </w:rPr>
          </w:pPr>
          <w:r>
            <w:t>第</w:t>
          </w:r>
          <w:r>
            <w:rPr>
              <w:spacing w:val="-76"/>
            </w:rPr>
            <w:t xml:space="preserve"> </w:t>
          </w:r>
          <w:r>
            <w:rPr>
              <w:rFonts w:ascii="Arial" w:eastAsia="Arial"/>
            </w:rPr>
            <w:t>81</w:t>
          </w:r>
          <w:r>
            <w:rPr>
              <w:rFonts w:ascii="Arial" w:eastAsia="Arial"/>
              <w:spacing w:val="-11"/>
            </w:rPr>
            <w:t xml:space="preserve"> </w:t>
          </w:r>
          <w:r>
            <w:t>条煤炭工业管理信息系统</w:t>
            <w:tab/>
          </w:r>
          <w:r>
            <w:rPr>
              <w:rFonts w:ascii="Arial" w:eastAsia="Arial"/>
            </w:rPr>
            <w:t>48</w:t>
          </w:r>
        </w:p>
        <w:p>
          <w:pPr>
            <w:pStyle w:val="TOC2"/>
            <w:tabs>
              <w:tab w:val="right" w:leader="dot" w:pos="12728"/>
            </w:tabs>
            <w:rPr>
              <w:rFonts w:ascii="Arial" w:eastAsia="Arial"/>
            </w:rPr>
          </w:pPr>
          <w:r>
            <w:t>第</w:t>
          </w:r>
          <w:r>
            <w:rPr>
              <w:spacing w:val="-76"/>
            </w:rPr>
            <w:t xml:space="preserve"> </w:t>
          </w:r>
          <w:r>
            <w:rPr>
              <w:rFonts w:ascii="Arial" w:eastAsia="Arial"/>
            </w:rPr>
            <w:t>82</w:t>
          </w:r>
          <w:r>
            <w:rPr>
              <w:rFonts w:ascii="Arial" w:eastAsia="Arial"/>
              <w:spacing w:val="-11"/>
            </w:rPr>
            <w:t xml:space="preserve"> </w:t>
          </w:r>
          <w:r>
            <w:t>条积极开发应用计算机技术</w:t>
            <w:tab/>
          </w:r>
          <w:r>
            <w:rPr>
              <w:rFonts w:ascii="Arial" w:eastAsia="Arial"/>
            </w:rPr>
            <w:t>48</w:t>
          </w:r>
        </w:p>
        <w:p>
          <w:pPr>
            <w:pStyle w:val="TOC2"/>
            <w:tabs>
              <w:tab w:val="right" w:leader="dot" w:pos="12728"/>
            </w:tabs>
            <w:rPr>
              <w:rFonts w:ascii="Arial" w:eastAsia="Arial"/>
            </w:rPr>
          </w:pPr>
          <w:r>
            <w:t>第</w:t>
          </w:r>
          <w:r>
            <w:rPr>
              <w:spacing w:val="-77"/>
            </w:rPr>
            <w:t xml:space="preserve"> </w:t>
          </w:r>
          <w:r>
            <w:rPr>
              <w:rFonts w:ascii="Arial" w:eastAsia="Arial"/>
            </w:rPr>
            <w:t>83</w:t>
          </w:r>
          <w:r>
            <w:rPr>
              <w:rFonts w:ascii="Arial" w:eastAsia="Arial"/>
              <w:spacing w:val="-11"/>
            </w:rPr>
            <w:t xml:space="preserve"> </w:t>
          </w:r>
          <w:r>
            <w:t>条煤矿通信</w:t>
            <w:tab/>
          </w:r>
          <w:r>
            <w:rPr>
              <w:rFonts w:ascii="Arial" w:eastAsia="Arial"/>
            </w:rPr>
            <w:t>48</w:t>
          </w:r>
        </w:p>
        <w:p>
          <w:pPr>
            <w:pStyle w:val="TOC1"/>
            <w:tabs>
              <w:tab w:val="right" w:leader="dot" w:pos="12728"/>
            </w:tabs>
            <w:rPr>
              <w:rFonts w:ascii="Arial" w:eastAsia="Arial"/>
            </w:rPr>
          </w:pPr>
          <w:hyperlink w:anchor="_TOC_250000" w:history="1">
            <w:r>
              <w:t>第十四章煤炭科技和教育</w:t>
              <w:tab/>
            </w:r>
            <w:r>
              <w:rPr>
                <w:rFonts w:ascii="Arial" w:eastAsia="Arial"/>
              </w:rPr>
              <w:t>49</w:t>
            </w:r>
          </w:hyperlink>
        </w:p>
        <w:p>
          <w:pPr>
            <w:pStyle w:val="TOC2"/>
            <w:tabs>
              <w:tab w:val="right" w:leader="dot" w:pos="12728"/>
            </w:tabs>
            <w:spacing w:before="309"/>
            <w:rPr>
              <w:rFonts w:ascii="Arial" w:eastAsia="Arial"/>
            </w:rPr>
          </w:pPr>
          <w:r>
            <w:t>第</w:t>
          </w:r>
          <w:r>
            <w:rPr>
              <w:spacing w:val="-77"/>
            </w:rPr>
            <w:t xml:space="preserve"> </w:t>
          </w:r>
          <w:r>
            <w:rPr>
              <w:rFonts w:ascii="Arial" w:eastAsia="Arial"/>
            </w:rPr>
            <w:t>84</w:t>
          </w:r>
          <w:r>
            <w:rPr>
              <w:rFonts w:ascii="Arial" w:eastAsia="Arial"/>
              <w:spacing w:val="-11"/>
            </w:rPr>
            <w:t xml:space="preserve"> </w:t>
          </w:r>
          <w:r>
            <w:t>条煤炭科研</w:t>
            <w:tab/>
          </w:r>
          <w:r>
            <w:rPr>
              <w:rFonts w:ascii="Arial" w:eastAsia="Arial"/>
            </w:rPr>
            <w:t>49</w:t>
          </w:r>
        </w:p>
        <w:p>
          <w:pPr>
            <w:pStyle w:val="TOC2"/>
            <w:tabs>
              <w:tab w:val="right" w:leader="dot" w:pos="12728"/>
            </w:tabs>
            <w:rPr>
              <w:rFonts w:ascii="Arial" w:eastAsia="Arial"/>
            </w:rPr>
          </w:pPr>
          <w:r>
            <w:t>第</w:t>
          </w:r>
          <w:r>
            <w:rPr>
              <w:spacing w:val="-76"/>
            </w:rPr>
            <w:t xml:space="preserve"> </w:t>
          </w:r>
          <w:r>
            <w:rPr>
              <w:rFonts w:ascii="Arial" w:eastAsia="Arial"/>
            </w:rPr>
            <w:t>85</w:t>
          </w:r>
          <w:r>
            <w:rPr>
              <w:rFonts w:ascii="Arial" w:eastAsia="Arial"/>
              <w:spacing w:val="-10"/>
            </w:rPr>
            <w:t xml:space="preserve"> </w:t>
          </w:r>
          <w:r>
            <w:t>条增强企业吸收和开发新技术的能力</w:t>
            <w:tab/>
          </w:r>
          <w:r>
            <w:rPr>
              <w:rFonts w:ascii="Arial" w:eastAsia="Arial"/>
            </w:rPr>
            <w:t>50</w:t>
          </w:r>
        </w:p>
        <w:p>
          <w:pPr>
            <w:pStyle w:val="TOC2"/>
            <w:tabs>
              <w:tab w:val="right" w:leader="dot" w:pos="12728"/>
            </w:tabs>
            <w:rPr>
              <w:rFonts w:ascii="Arial" w:eastAsia="Arial"/>
            </w:rPr>
          </w:pPr>
          <w:r>
            <w:t>第</w:t>
          </w:r>
          <w:r>
            <w:rPr>
              <w:spacing w:val="-75"/>
            </w:rPr>
            <w:t xml:space="preserve"> </w:t>
          </w:r>
          <w:r>
            <w:rPr>
              <w:rFonts w:ascii="Arial" w:eastAsia="Arial"/>
            </w:rPr>
            <w:t>86</w:t>
          </w:r>
          <w:r>
            <w:rPr>
              <w:rFonts w:ascii="Arial" w:eastAsia="Arial"/>
              <w:spacing w:val="-10"/>
            </w:rPr>
            <w:t xml:space="preserve"> </w:t>
          </w:r>
          <w:r>
            <w:t>条搞活科研机构，推动科技与生产紧密结合</w:t>
            <w:tab/>
          </w:r>
          <w:r>
            <w:rPr>
              <w:rFonts w:ascii="Arial" w:eastAsia="Arial"/>
            </w:rPr>
            <w:t>51</w:t>
          </w:r>
        </w:p>
        <w:p>
          <w:pPr>
            <w:pStyle w:val="TOC2"/>
            <w:tabs>
              <w:tab w:val="right" w:leader="dot" w:pos="12728"/>
            </w:tabs>
            <w:rPr>
              <w:rFonts w:ascii="Arial" w:eastAsia="Arial"/>
            </w:rPr>
          </w:pPr>
          <w:r>
            <w:t>第</w:t>
          </w:r>
          <w:r>
            <w:rPr>
              <w:spacing w:val="-76"/>
            </w:rPr>
            <w:t xml:space="preserve"> </w:t>
          </w:r>
          <w:r>
            <w:rPr>
              <w:rFonts w:ascii="Arial" w:eastAsia="Arial"/>
            </w:rPr>
            <w:t>87</w:t>
          </w:r>
          <w:r>
            <w:rPr>
              <w:rFonts w:ascii="Arial" w:eastAsia="Arial"/>
              <w:spacing w:val="-10"/>
            </w:rPr>
            <w:t xml:space="preserve"> </w:t>
          </w:r>
          <w:r>
            <w:t>条积极学习和移植国内外先进技术</w:t>
            <w:tab/>
          </w:r>
          <w:r>
            <w:rPr>
              <w:rFonts w:ascii="Arial" w:eastAsia="Arial"/>
            </w:rPr>
            <w:t>51</w:t>
          </w:r>
        </w:p>
        <w:p>
          <w:pPr>
            <w:pStyle w:val="TOC2"/>
            <w:tabs>
              <w:tab w:val="right" w:leader="dot" w:pos="12728"/>
            </w:tabs>
            <w:rPr>
              <w:rFonts w:ascii="Arial" w:eastAsia="Arial"/>
            </w:rPr>
          </w:pPr>
          <w:r>
            <w:t>第</w:t>
          </w:r>
          <w:r>
            <w:rPr>
              <w:spacing w:val="-76"/>
            </w:rPr>
            <w:t xml:space="preserve"> </w:t>
          </w:r>
          <w:r>
            <w:rPr>
              <w:rFonts w:ascii="Arial" w:eastAsia="Arial"/>
            </w:rPr>
            <w:t>88</w:t>
          </w:r>
          <w:r>
            <w:rPr>
              <w:rFonts w:ascii="Arial" w:eastAsia="Arial"/>
              <w:spacing w:val="-11"/>
            </w:rPr>
            <w:t xml:space="preserve"> </w:t>
          </w:r>
          <w:r>
            <w:t>条科技情报和出版工作</w:t>
            <w:tab/>
          </w:r>
          <w:r>
            <w:rPr>
              <w:rFonts w:ascii="Arial" w:eastAsia="Arial"/>
            </w:rPr>
            <w:t>52</w:t>
          </w:r>
        </w:p>
        <w:p>
          <w:pPr>
            <w:pStyle w:val="TOC2"/>
            <w:tabs>
              <w:tab w:val="right" w:leader="dot" w:pos="12728"/>
            </w:tabs>
            <w:rPr>
              <w:rFonts w:ascii="Arial" w:eastAsia="Arial"/>
            </w:rPr>
          </w:pPr>
          <w:r>
            <w:t>第</w:t>
          </w:r>
          <w:r>
            <w:rPr>
              <w:spacing w:val="-77"/>
            </w:rPr>
            <w:t xml:space="preserve"> </w:t>
          </w:r>
          <w:r>
            <w:rPr>
              <w:rFonts w:ascii="Arial" w:eastAsia="Arial"/>
            </w:rPr>
            <w:t>89</w:t>
          </w:r>
          <w:r>
            <w:rPr>
              <w:rFonts w:ascii="Arial" w:eastAsia="Arial"/>
              <w:spacing w:val="-11"/>
            </w:rPr>
            <w:t xml:space="preserve"> </w:t>
          </w:r>
          <w:r>
            <w:t>条教育工作</w:t>
            <w:tab/>
          </w:r>
          <w:r>
            <w:rPr>
              <w:rFonts w:ascii="Arial" w:eastAsia="Arial"/>
            </w:rPr>
            <w:t>52</w:t>
          </w:r>
        </w:p>
        <w:p>
          <w:pPr>
            <w:pStyle w:val="TOC2"/>
            <w:tabs>
              <w:tab w:val="right" w:leader="dot" w:pos="12728"/>
            </w:tabs>
            <w:rPr>
              <w:rFonts w:ascii="Arial" w:eastAsia="Arial"/>
            </w:rPr>
          </w:pPr>
          <w:r>
            <w:t>第</w:t>
          </w:r>
          <w:r>
            <w:rPr>
              <w:spacing w:val="-77"/>
            </w:rPr>
            <w:t xml:space="preserve"> </w:t>
          </w:r>
          <w:r>
            <w:rPr>
              <w:rFonts w:ascii="Arial" w:eastAsia="Arial"/>
            </w:rPr>
            <w:t>90</w:t>
          </w:r>
          <w:r>
            <w:rPr>
              <w:rFonts w:ascii="Arial" w:eastAsia="Arial"/>
              <w:spacing w:val="-11"/>
            </w:rPr>
            <w:t xml:space="preserve"> </w:t>
          </w:r>
          <w:r>
            <w:t>条工人培训</w:t>
            <w:tab/>
          </w:r>
          <w:r>
            <w:rPr>
              <w:rFonts w:ascii="Arial" w:eastAsia="Arial"/>
            </w:rPr>
            <w:t>53</w:t>
          </w:r>
        </w:p>
      </w:sdtContent>
    </w:sdt>
    <w:p>
      <w:pPr>
        <w:spacing w:after="0"/>
        <w:rPr>
          <w:rFonts w:ascii="Arial" w:eastAsia="Arial"/>
        </w:rPr>
        <w:sectPr>
          <w:type w:val="nextPage"/>
          <w:pgSz w:w="17860" w:h="25260"/>
          <w:pgMar w:top="1900" w:right="2240" w:bottom="2437" w:left="2420" w:header="708" w:footer="708"/>
          <w:pgNumType w:start="7"/>
          <w:cols w:space="708"/>
          <w:titlePg w:val="0"/>
        </w:sectPr>
      </w:pPr>
    </w:p>
    <w:p>
      <w:pPr>
        <w:pStyle w:val="Heading1"/>
        <w:spacing w:before="0" w:line="667" w:lineRule="exact"/>
      </w:pPr>
      <w:bookmarkStart w:id="0" w:name="_TOC_250014"/>
      <w:bookmarkEnd w:id="0"/>
      <w:r>
        <w:t>总则</w:t>
      </w:r>
    </w:p>
    <w:p>
      <w:pPr>
        <w:pStyle w:val="BodyText"/>
        <w:spacing w:before="3"/>
        <w:ind w:left="0"/>
        <w:rPr>
          <w:rFonts w:ascii="幼圆"/>
          <w:sz w:val="51"/>
        </w:rPr>
      </w:pPr>
    </w:p>
    <w:p>
      <w:pPr>
        <w:pStyle w:val="BodyText"/>
        <w:spacing w:line="417" w:lineRule="auto"/>
        <w:ind w:right="451" w:firstLine="838"/>
      </w:pPr>
      <w:r>
        <w:rPr>
          <w:spacing w:val="-11"/>
        </w:rPr>
        <w:t>党在新时期的总任务是逐步实现工业、农业、国防和科学技术的</w:t>
      </w:r>
      <w:r>
        <w:t>现代化，把我国建设成为高度文明、高度民主的社会主义国家。</w:t>
      </w:r>
    </w:p>
    <w:p>
      <w:pPr>
        <w:pStyle w:val="BodyText"/>
        <w:spacing w:line="417" w:lineRule="auto"/>
        <w:ind w:right="447" w:firstLine="838"/>
        <w:jc w:val="both"/>
      </w:pPr>
      <w:r>
        <w:rPr>
          <w:spacing w:val="-12"/>
        </w:rPr>
        <w:t>煤炭是我国的主要能源，煤炭工业是国民经济的基础工业。加速</w:t>
      </w:r>
      <w:r>
        <w:rPr>
          <w:spacing w:val="-18"/>
        </w:rPr>
        <w:t>煤炭工业的发展，确保本世纪末煤炭产量翻一番，对保证全国工农业</w:t>
      </w:r>
      <w:r>
        <w:t>总产值翻两番战略目标的实现，具有重大的战略意义。</w:t>
      </w:r>
    </w:p>
    <w:p>
      <w:pPr>
        <w:pStyle w:val="BodyText"/>
        <w:spacing w:line="417" w:lineRule="auto"/>
        <w:ind w:right="280" w:firstLine="838"/>
      </w:pPr>
      <w:r>
        <w:rPr>
          <w:spacing w:val="-1"/>
        </w:rPr>
        <w:t>煤炭工业必须坚持改革、开放、搞活，以提高经济效益为中心， 做到持续、稳定、健康地发展。为此，要继续贯彻大、中、小型煤矿</w:t>
      </w:r>
      <w:r>
        <w:rPr>
          <w:spacing w:val="-13"/>
        </w:rPr>
        <w:t>同时并举的方针，充分发挥各个方面的积极性，继续贯彻依靠科学技</w:t>
      </w:r>
      <w:r>
        <w:rPr>
          <w:spacing w:val="-17"/>
        </w:rPr>
        <w:t>术进步的方针，坚持自己研究与引进消化相结合，不断提高煤炭工业</w:t>
      </w:r>
      <w:r>
        <w:rPr>
          <w:spacing w:val="-20"/>
        </w:rPr>
        <w:t>的技术水平和装备水平；继续贯彻安全生产方针，不断改善安全状况和劳动条件；继续贯彻以煤为主、多种经营的方针，不断增强企业的</w:t>
      </w:r>
      <w:r>
        <w:rPr>
          <w:spacing w:val="-13"/>
        </w:rPr>
        <w:t>活力和经济实力；继续贯彻开发与节约并重的方针，促进煤炭的合理</w:t>
      </w:r>
      <w:r>
        <w:rPr>
          <w:spacing w:val="-17"/>
        </w:rPr>
        <w:t>利用和综合利用。力争到本世纪末，统配和地方国营煤矿中的骨干煤</w:t>
      </w:r>
      <w:r>
        <w:rPr>
          <w:spacing w:val="-31"/>
        </w:rPr>
        <w:t xml:space="preserve">矿达到发达国家 </w:t>
      </w:r>
      <w:r>
        <w:rPr>
          <w:rFonts w:ascii="Arial" w:eastAsia="Arial"/>
        </w:rPr>
        <w:t xml:space="preserve">70 </w:t>
      </w:r>
      <w:r>
        <w:rPr>
          <w:spacing w:val="-25"/>
        </w:rPr>
        <w:t xml:space="preserve">年代末或 </w:t>
      </w:r>
      <w:r>
        <w:rPr>
          <w:rFonts w:ascii="Arial" w:eastAsia="Arial"/>
        </w:rPr>
        <w:t xml:space="preserve">80 </w:t>
      </w:r>
      <w:r>
        <w:rPr>
          <w:spacing w:val="-13"/>
        </w:rPr>
        <w:t>年代初的水平，部分骨干煤矿赶上或接近当时世界先进水平。</w:t>
      </w:r>
    </w:p>
    <w:p>
      <w:pPr>
        <w:pStyle w:val="BodyText"/>
        <w:spacing w:line="417" w:lineRule="auto"/>
        <w:ind w:right="280" w:firstLine="838"/>
        <w:sectPr>
          <w:footerReference w:type="default" r:id="rId4"/>
          <w:pgSz w:w="17860" w:h="25260"/>
          <w:pgMar w:top="2060" w:right="2240" w:bottom="2420" w:left="2420" w:header="0" w:footer="2239"/>
          <w:pgNumType w:start="1"/>
          <w:cols w:space="708"/>
        </w:sectPr>
      </w:pPr>
      <w:r>
        <w:rPr>
          <w:spacing w:val="-7"/>
        </w:rPr>
        <w:t>煤炭工业现代化是我国工业现代化的一个重要组成部分。建设现</w:t>
      </w:r>
      <w:r>
        <w:rPr>
          <w:spacing w:val="-16"/>
        </w:rPr>
        <w:t>代化煤矿是煤炭工业的技术发展方向。要结合我国的具体情况，建设</w:t>
      </w:r>
      <w:r>
        <w:rPr>
          <w:spacing w:val="-17"/>
        </w:rPr>
        <w:t>具有中国特色的社会主义的现代化煤矿，实现效率高、用人少、质量</w:t>
      </w:r>
      <w:r>
        <w:rPr>
          <w:spacing w:val="-1"/>
        </w:rPr>
        <w:t>高、安全好、效益好、职工生活年年有改善的要求。我国煤田分布区域广阔，条件复杂多样。煤矿开发体制是多层次的，因此要实行多层</w:t>
      </w:r>
    </w:p>
    <w:p>
      <w:pPr>
        <w:pStyle w:val="BodyText"/>
        <w:spacing w:line="537" w:lineRule="exact"/>
      </w:pPr>
      <w:r>
        <w:rPr>
          <w:spacing w:val="-8"/>
        </w:rPr>
        <w:t>次的技术结构和技术与经济相统一的技术政策。统配煤矿和地方国营</w:t>
      </w:r>
    </w:p>
    <w:p>
      <w:pPr>
        <w:spacing w:after="0" w:line="537" w:lineRule="exact"/>
        <w:sectPr>
          <w:footerReference w:type="default" r:id="rId5"/>
          <w:type w:val="nextPage"/>
          <w:pgSz w:w="17860" w:h="25260"/>
          <w:pgMar w:top="2060" w:right="2240" w:bottom="2420" w:left="2420" w:header="0" w:footer="2239"/>
          <w:pgNumType w:start="2"/>
          <w:cols w:space="708"/>
          <w:titlePg w:val="0"/>
        </w:sectPr>
      </w:pPr>
    </w:p>
    <w:p>
      <w:pPr>
        <w:pStyle w:val="BodyText"/>
        <w:spacing w:before="20" w:line="417" w:lineRule="auto"/>
        <w:ind w:right="280"/>
      </w:pPr>
      <w:r>
        <w:rPr>
          <w:spacing w:val="-13"/>
        </w:rPr>
        <w:t>煤矿中有条件的矿井，要通过技术改造建成现代化煤矿。一般矿井要</w:t>
      </w:r>
      <w:r>
        <w:rPr>
          <w:spacing w:val="-14"/>
        </w:rPr>
        <w:t>达到质量标准化要求，并积极创造条件，逐步向现代化煤矿发展。对</w:t>
      </w:r>
      <w:r>
        <w:rPr>
          <w:spacing w:val="-1"/>
        </w:rPr>
        <w:t>乡镇煤矿要在统筹规划、合理安排的前提下，积极扶持，正确引导， 通过整顿、联合、改造，使乡镇煤矿提高综合生产能力，保持生产发</w:t>
      </w:r>
      <w:r>
        <w:t>展后劲，实现正规化。</w:t>
      </w:r>
    </w:p>
    <w:p>
      <w:pPr>
        <w:pStyle w:val="BodyText"/>
        <w:spacing w:line="417" w:lineRule="auto"/>
        <w:ind w:right="280" w:firstLine="838"/>
      </w:pPr>
      <w:r>
        <w:rPr>
          <w:spacing w:val="-13"/>
        </w:rPr>
        <w:t>《煤炭工业技术政策》是国家对煤炭工业的技术发展进行宏观指</w:t>
      </w:r>
      <w:r>
        <w:rPr>
          <w:spacing w:val="-14"/>
        </w:rPr>
        <w:t>导的政策性规定，对煤炭生产建设的发展和提高经济效益具有指导、</w:t>
      </w:r>
      <w:r>
        <w:rPr>
          <w:spacing w:val="-1"/>
        </w:rPr>
        <w:t>促进的作用，是制定规划、规范、规程和安排各项技术工作的依据。煤炭工业各主管部门、企业和事业单位必须认真贯彻执行。煤炭部、</w:t>
      </w:r>
      <w:r>
        <w:t>各省（区）煤炭局（厅、公司）</w:t>
      </w:r>
      <w:r>
        <w:rPr>
          <w:spacing w:val="-2"/>
        </w:rPr>
        <w:t>负责监督检查技术政策的贯彻执行。</w:t>
      </w:r>
    </w:p>
    <w:p>
      <w:pPr>
        <w:pStyle w:val="BodyText"/>
        <w:spacing w:line="417" w:lineRule="auto"/>
        <w:ind w:right="428" w:firstLine="838"/>
        <w:jc w:val="both"/>
      </w:pPr>
      <w:r>
        <w:rPr>
          <w:spacing w:val="3"/>
        </w:rPr>
        <w:t>本技术政策的适用范围是统配和地方国营煤矿年产</w:t>
      </w:r>
      <w:r>
        <w:rPr>
          <w:rFonts w:ascii="Arial" w:eastAsia="Arial"/>
        </w:rPr>
        <w:t>9</w:t>
      </w:r>
      <w:r>
        <w:rPr>
          <w:rFonts w:ascii="Arial" w:eastAsia="Arial"/>
          <w:spacing w:val="-19"/>
        </w:rPr>
        <w:t xml:space="preserve"> </w:t>
      </w:r>
      <w:r>
        <w:rPr>
          <w:spacing w:val="90"/>
        </w:rPr>
        <w:t>万</w:t>
      </w:r>
      <w:r>
        <w:rPr>
          <w:rFonts w:ascii="Arial" w:eastAsia="Arial"/>
        </w:rPr>
        <w:t>t</w:t>
      </w:r>
      <w:r>
        <w:rPr>
          <w:rFonts w:ascii="Arial" w:eastAsia="Arial"/>
          <w:spacing w:val="-21"/>
        </w:rPr>
        <w:t xml:space="preserve"> </w:t>
      </w:r>
      <w:r>
        <w:t>及以上</w:t>
      </w:r>
      <w:r>
        <w:rPr>
          <w:spacing w:val="-14"/>
        </w:rPr>
        <w:t>的正规设计矿井，有关统配和地方国营煤矿的小井以及乡镇煤矿的技</w:t>
      </w:r>
      <w:r>
        <w:t>术政策另行制订。</w:t>
      </w:r>
    </w:p>
    <w:p>
      <w:pPr>
        <w:pStyle w:val="Heading1"/>
        <w:spacing w:before="52"/>
      </w:pPr>
      <w:bookmarkStart w:id="1" w:name="_TOC_250013"/>
      <w:bookmarkEnd w:id="1"/>
      <w:r>
        <w:t>第一章地质勘探</w:t>
      </w:r>
    </w:p>
    <w:p>
      <w:pPr>
        <w:pStyle w:val="BodyText"/>
        <w:spacing w:before="4"/>
        <w:ind w:left="0"/>
        <w:rPr>
          <w:rFonts w:ascii="幼圆"/>
          <w:sz w:val="51"/>
        </w:rPr>
      </w:pPr>
    </w:p>
    <w:p>
      <w:pPr>
        <w:pStyle w:val="BodyText"/>
        <w:ind w:left="1119"/>
        <w:rPr>
          <w:rFonts w:ascii="黑体" w:eastAsia="黑体" w:hint="eastAsia"/>
        </w:rPr>
      </w:pPr>
      <w:r>
        <w:rPr>
          <w:rFonts w:ascii="黑体" w:eastAsia="黑体" w:hint="eastAsia"/>
          <w:spacing w:val="-54"/>
        </w:rPr>
        <w:t xml:space="preserve">第 </w:t>
      </w:r>
      <w:r>
        <w:rPr>
          <w:rFonts w:ascii="Arial" w:eastAsia="Arial"/>
        </w:rPr>
        <w:t xml:space="preserve">1 </w:t>
      </w:r>
      <w:r>
        <w:rPr>
          <w:rFonts w:ascii="黑体" w:eastAsia="黑体" w:hint="eastAsia"/>
        </w:rPr>
        <w:t>条地质勘探布局和管理</w:t>
      </w:r>
    </w:p>
    <w:p>
      <w:pPr>
        <w:pStyle w:val="BodyText"/>
        <w:spacing w:before="398" w:line="417" w:lineRule="auto"/>
        <w:ind w:right="280" w:firstLine="838"/>
      </w:pPr>
      <w:r>
        <w:t>根据煤炭资源分布条件和煤炭工业战略部署，煤炭资源地质勘探的布局应当加强东部，立足中部，积极准备西部。安全面规划，统筹安排，突出重点，择优勘探，为煤炭工业长远和近期规划，提供可靠的地质资料。</w:t>
      </w:r>
    </w:p>
    <w:p>
      <w:pPr>
        <w:pStyle w:val="BodyText"/>
        <w:spacing w:line="538" w:lineRule="exact"/>
        <w:ind w:left="1119"/>
      </w:pPr>
      <w:r>
        <w:t>要加强普查工作。普查和精查要与煤矿长远规划及建设计划对</w:t>
      </w:r>
    </w:p>
    <w:p>
      <w:pPr>
        <w:pStyle w:val="BodyText"/>
        <w:spacing w:before="6" w:line="930" w:lineRule="atLeast"/>
        <w:ind w:right="280"/>
      </w:pPr>
      <w:r>
        <w:t>口、并提前安排。优先勘探老井扩建延深、老矿区外围及其深部的井田；优先勘探适于露天开采的煤田。煤炭资源地质勘探应按国家制定</w:t>
      </w:r>
    </w:p>
    <w:p>
      <w:pPr>
        <w:spacing w:after="0" w:line="930" w:lineRule="atLeast"/>
        <w:sectPr>
          <w:footerReference w:type="default" r:id="rId6"/>
          <w:pgSz w:w="17860" w:h="25260"/>
          <w:pgMar w:top="1960" w:right="2240" w:bottom="2420" w:left="2420" w:header="0" w:footer="2239"/>
          <w:pgNumType w:start="3"/>
          <w:cols w:space="708"/>
        </w:sectPr>
      </w:pPr>
    </w:p>
    <w:p>
      <w:pPr>
        <w:pStyle w:val="BodyText"/>
        <w:spacing w:before="20"/>
      </w:pPr>
      <w:r>
        <w:t>的《煤炭资源地质勘探规范》进行工作。</w:t>
      </w:r>
    </w:p>
    <w:p>
      <w:pPr>
        <w:pStyle w:val="BodyText"/>
        <w:spacing w:before="1"/>
        <w:ind w:left="0"/>
        <w:rPr>
          <w:sz w:val="31"/>
        </w:rPr>
      </w:pPr>
    </w:p>
    <w:p>
      <w:pPr>
        <w:pStyle w:val="BodyText"/>
        <w:spacing w:line="417" w:lineRule="auto"/>
        <w:ind w:right="280" w:firstLine="838"/>
      </w:pPr>
      <w:r>
        <w:rPr>
          <w:spacing w:val="-1"/>
        </w:rPr>
        <w:t xml:space="preserve">煤炭资源勘探应以煤为主，综合勘探、综合评价。对于矿区内的水资源、瓦斯资源、其它有益矿产及品位高的伴生元素应作出评价， </w:t>
      </w:r>
      <w:r>
        <w:rPr>
          <w:spacing w:val="-14"/>
        </w:rPr>
        <w:t>发现有开采价值的，应写出专门报告。各类煤炭资源地质勘探报告必须按国家规定进行审批。</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2 </w:t>
      </w:r>
      <w:r>
        <w:rPr>
          <w:rFonts w:ascii="黑体" w:eastAsia="黑体" w:hint="eastAsia"/>
        </w:rPr>
        <w:t>条地质勘探阶段和程序</w:t>
      </w:r>
    </w:p>
    <w:p>
      <w:pPr>
        <w:pStyle w:val="BodyText"/>
        <w:spacing w:before="398" w:line="417" w:lineRule="auto"/>
        <w:ind w:right="142" w:firstLine="838"/>
      </w:pPr>
      <w:r>
        <w:t>煤炭资源地质勘探划分为普查（包括找煤</w:t>
      </w:r>
      <w:r>
        <w:rPr>
          <w:spacing w:val="-280"/>
        </w:rPr>
        <w:t>）</w:t>
      </w:r>
      <w:r>
        <w:t>、详查和勘探（精查</w:t>
      </w:r>
      <w:r>
        <w:rPr>
          <w:spacing w:val="-16"/>
        </w:rPr>
        <w:t xml:space="preserve">） </w:t>
      </w:r>
      <w:r>
        <w:t>三个阶段；勘探阶段之后，为矿山开发地质工作，根据项目情况，可适当简化程序。</w:t>
      </w:r>
    </w:p>
    <w:p>
      <w:pPr>
        <w:pStyle w:val="BodyText"/>
        <w:spacing w:line="417" w:lineRule="auto"/>
        <w:ind w:right="280" w:firstLine="838"/>
      </w:pPr>
      <w:r>
        <w:t>普查报告作为远景规划的依据，详查报告作为矿区总体设计的依据，精查报告作为矿井（露天）设计的依据。地质条件特别复杂的地区，可进行普终或详终勘探。普终或详终勘探报告经主管单位批准， 可作为小型矿井（露天）建设的依据。</w:t>
      </w:r>
    </w:p>
    <w:p>
      <w:pPr>
        <w:pStyle w:val="BodyText"/>
        <w:spacing w:line="417" w:lineRule="auto"/>
        <w:ind w:right="280" w:firstLine="838"/>
      </w:pPr>
      <w:r>
        <w:t>精查一般在矿区建设总体设计的基础上进行。在编审精查勘探设计时，应有上级指定的设计单位参加。编制精查勘探设计前，设计部门应根据详查报告提出井田划分范围、井筒位置、第一水平和初期采区位置的意见。</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3 </w:t>
      </w:r>
      <w:r>
        <w:rPr>
          <w:rFonts w:ascii="黑体" w:eastAsia="黑体" w:hint="eastAsia"/>
        </w:rPr>
        <w:t>条煤炭储量分级和计算标准</w:t>
      </w:r>
    </w:p>
    <w:p>
      <w:pPr>
        <w:pStyle w:val="BodyText"/>
        <w:spacing w:before="398" w:line="417" w:lineRule="auto"/>
        <w:ind w:right="436" w:firstLine="838"/>
        <w:jc w:val="both"/>
      </w:pPr>
      <w:r>
        <w:rPr>
          <w:spacing w:val="8"/>
        </w:rPr>
        <w:t>煤炭储量按勘探程度分为</w:t>
      </w:r>
      <w:r>
        <w:rPr>
          <w:rFonts w:ascii="Arial" w:eastAsia="Arial"/>
        </w:rPr>
        <w:t>A</w:t>
      </w:r>
      <w:r>
        <w:rPr>
          <w:spacing w:val="-22"/>
        </w:rPr>
        <w:t>、</w:t>
      </w:r>
      <w:r>
        <w:rPr>
          <w:rFonts w:ascii="Arial" w:eastAsia="Arial"/>
        </w:rPr>
        <w:t>B</w:t>
      </w:r>
      <w:r>
        <w:rPr>
          <w:spacing w:val="-21"/>
        </w:rPr>
        <w:t>、</w:t>
      </w:r>
      <w:r>
        <w:rPr>
          <w:rFonts w:ascii="Arial" w:eastAsia="Arial"/>
          <w:spacing w:val="-4"/>
        </w:rPr>
        <w:t>C</w:t>
      </w:r>
      <w:r>
        <w:rPr>
          <w:spacing w:val="-26"/>
        </w:rPr>
        <w:t>、</w:t>
      </w:r>
      <w:r>
        <w:rPr>
          <w:rFonts w:ascii="Arial" w:eastAsia="Arial"/>
        </w:rPr>
        <w:t xml:space="preserve">D </w:t>
      </w:r>
      <w:r>
        <w:rPr>
          <w:spacing w:val="-4"/>
        </w:rPr>
        <w:t>四级，</w:t>
      </w:r>
      <w:r>
        <w:rPr>
          <w:rFonts w:ascii="Arial" w:eastAsia="Arial"/>
          <w:spacing w:val="-12"/>
        </w:rPr>
        <w:t>A</w:t>
      </w:r>
      <w:r>
        <w:rPr>
          <w:spacing w:val="-22"/>
        </w:rPr>
        <w:t>、</w:t>
      </w:r>
      <w:r>
        <w:rPr>
          <w:rFonts w:ascii="Arial" w:eastAsia="Arial"/>
        </w:rPr>
        <w:t xml:space="preserve">B </w:t>
      </w:r>
      <w:r>
        <w:t>级为高级储量，</w:t>
      </w:r>
      <w:r>
        <w:rPr>
          <w:rFonts w:ascii="Arial" w:eastAsia="Arial"/>
        </w:rPr>
        <w:t>A</w:t>
      </w:r>
      <w:r>
        <w:t>、</w:t>
      </w:r>
      <w:r>
        <w:rPr>
          <w:rFonts w:ascii="Arial" w:eastAsia="Arial"/>
        </w:rPr>
        <w:t>B</w:t>
      </w:r>
      <w:r>
        <w:rPr>
          <w:spacing w:val="-4"/>
        </w:rPr>
        <w:t>、</w:t>
      </w:r>
      <w:r>
        <w:rPr>
          <w:rFonts w:ascii="Arial" w:eastAsia="Arial"/>
        </w:rPr>
        <w:t>C</w:t>
      </w:r>
      <w:r>
        <w:rPr>
          <w:rFonts w:ascii="Arial" w:eastAsia="Arial"/>
          <w:spacing w:val="84"/>
        </w:rPr>
        <w:t xml:space="preserve"> </w:t>
      </w:r>
      <w:r>
        <w:rPr>
          <w:spacing w:val="-1"/>
        </w:rPr>
        <w:t>级作为设计依据，</w:t>
      </w:r>
      <w:r>
        <w:rPr>
          <w:rFonts w:ascii="Arial" w:eastAsia="Arial"/>
          <w:spacing w:val="-4"/>
        </w:rPr>
        <w:t>D</w:t>
      </w:r>
      <w:r>
        <w:rPr>
          <w:rFonts w:ascii="Arial" w:eastAsia="Arial"/>
          <w:spacing w:val="84"/>
        </w:rPr>
        <w:t xml:space="preserve"> </w:t>
      </w:r>
      <w:r>
        <w:rPr>
          <w:spacing w:val="-2"/>
        </w:rPr>
        <w:t>级可作为远景规划依据。储量计</w:t>
      </w:r>
      <w:r>
        <w:rPr>
          <w:spacing w:val="13"/>
          <w:w w:val="95"/>
        </w:rPr>
        <w:t xml:space="preserve">算最大垂深一般不超过 </w:t>
      </w:r>
      <w:r>
        <w:rPr>
          <w:rFonts w:ascii="Arial" w:eastAsia="Arial"/>
          <w:spacing w:val="-27"/>
          <w:w w:val="95"/>
        </w:rPr>
        <w:t>1000m</w:t>
      </w:r>
      <w:r>
        <w:rPr>
          <w:spacing w:val="-7"/>
          <w:w w:val="95"/>
        </w:rPr>
        <w:t>，只适于建小型矿井的地区一般不超过</w:t>
      </w:r>
      <w:r>
        <w:rPr>
          <w:rFonts w:ascii="Arial" w:eastAsia="Arial"/>
          <w:w w:val="95"/>
        </w:rPr>
        <w:t>600m</w:t>
      </w:r>
      <w:r>
        <w:rPr>
          <w:w w:val="95"/>
        </w:rPr>
        <w:t xml:space="preserve">，老矿区深部一般不超过 </w:t>
      </w:r>
      <w:r>
        <w:rPr>
          <w:rFonts w:ascii="Arial" w:eastAsia="Arial"/>
          <w:w w:val="95"/>
        </w:rPr>
        <w:t>1200m</w:t>
      </w:r>
      <w:r>
        <w:rPr>
          <w:w w:val="95"/>
        </w:rPr>
        <w:t>。煤炭能利用储量的最小可采</w:t>
      </w:r>
    </w:p>
    <w:p>
      <w:pPr>
        <w:spacing w:after="0" w:line="417" w:lineRule="auto"/>
        <w:jc w:val="both"/>
        <w:sectPr>
          <w:footerReference w:type="default" r:id="rId7"/>
          <w:pgSz w:w="17860" w:h="25260"/>
          <w:pgMar w:top="1960" w:right="2240" w:bottom="2440" w:left="2420" w:header="0" w:footer="2239"/>
          <w:pgNumType w:start="4"/>
          <w:cols w:space="708"/>
        </w:sectPr>
      </w:pPr>
    </w:p>
    <w:p>
      <w:pPr>
        <w:pStyle w:val="BodyText"/>
        <w:spacing w:before="40"/>
      </w:pPr>
      <w:r>
        <w:t xml:space="preserve">厚度及质量标准见表 </w:t>
      </w:r>
      <w:r>
        <w:rPr>
          <w:rFonts w:ascii="Arial" w:eastAsia="Arial"/>
        </w:rPr>
        <w:t xml:space="preserve">1 </w:t>
      </w:r>
      <w:r>
        <w:t xml:space="preserve">和表 </w:t>
      </w:r>
      <w:r>
        <w:rPr>
          <w:rFonts w:ascii="Arial" w:eastAsia="Arial"/>
        </w:rPr>
        <w:t>2</w:t>
      </w:r>
      <w:r>
        <w:t>。</w:t>
      </w:r>
    </w:p>
    <w:p>
      <w:pPr>
        <w:tabs>
          <w:tab w:val="left" w:pos="993"/>
        </w:tabs>
        <w:spacing w:before="374"/>
        <w:ind w:left="0" w:right="193" w:firstLine="0"/>
        <w:jc w:val="center"/>
        <w:rPr>
          <w:b/>
          <w:sz w:val="36"/>
        </w:rPr>
      </w:pPr>
      <w:r>
        <w:pict>
          <v:group id="_x0000_s1025" style="width:520pt;height:266pt;margin-top:44.21pt;margin-left:125pt;mso-position-horizontal-relative:page;mso-wrap-distance-left:0;mso-wrap-distance-right:0;position:absolute;z-index:-251658240" coordorigin="2500,884" coordsize="10400,5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400;height:5320;left:2500;position:absolute;top:884" stroked="f">
              <v:imagedata r:id="rId8" o:title=""/>
            </v:shape>
            <v:shapetype id="_x0000_t202" coordsize="21600,21600" o:spt="202" path="m,l,21600r21600,l21600,xe">
              <v:stroke joinstyle="miter"/>
              <v:path gradientshapeok="t" o:connecttype="rect"/>
            </v:shapetype>
            <v:shape id="_x0000_s1027" type="#_x0000_t202" style="width:1288;height:317;left:6211;position:absolute;top:1049" filled="f" stroked="f">
              <v:textbox inset="0,0,0,0">
                <w:txbxContent>
                  <w:p>
                    <w:pPr>
                      <w:spacing w:before="0" w:line="317" w:lineRule="exact"/>
                      <w:ind w:left="0" w:right="0" w:firstLine="0"/>
                      <w:jc w:val="left"/>
                      <w:rPr>
                        <w:sz w:val="31"/>
                      </w:rPr>
                    </w:pPr>
                    <w:r>
                      <w:rPr>
                        <w:sz w:val="31"/>
                      </w:rPr>
                      <w:t>储量类别</w:t>
                    </w:r>
                  </w:p>
                </w:txbxContent>
              </v:textbox>
            </v:shape>
            <v:shape id="_x0000_s1028" type="#_x0000_t202" style="width:740;height:360;left:4723;position:absolute;top:1429" filled="f" stroked="f">
              <v:textbox inset="0,0,0,0">
                <w:txbxContent>
                  <w:p>
                    <w:pPr>
                      <w:spacing w:before="0" w:line="360" w:lineRule="exact"/>
                      <w:ind w:left="0" w:right="0" w:firstLine="0"/>
                      <w:jc w:val="left"/>
                      <w:rPr>
                        <w:sz w:val="36"/>
                      </w:rPr>
                    </w:pPr>
                    <w:r>
                      <w:rPr>
                        <w:sz w:val="36"/>
                      </w:rPr>
                      <w:t>煤种</w:t>
                    </w:r>
                  </w:p>
                </w:txbxContent>
              </v:textbox>
            </v:shape>
            <v:shape id="_x0000_s1029" type="#_x0000_t202" style="width:1820;height:360;left:9343;position:absolute;top:1130" filled="f" stroked="f">
              <v:textbox inset="0,0,0,0">
                <w:txbxContent>
                  <w:p>
                    <w:pPr>
                      <w:spacing w:before="0" w:line="360" w:lineRule="exact"/>
                      <w:ind w:left="0" w:right="0" w:firstLine="0"/>
                      <w:jc w:val="left"/>
                      <w:rPr>
                        <w:sz w:val="36"/>
                      </w:rPr>
                    </w:pPr>
                    <w:r>
                      <w:rPr>
                        <w:sz w:val="36"/>
                      </w:rPr>
                      <w:t>能利用储量</w:t>
                    </w:r>
                  </w:p>
                </w:txbxContent>
              </v:textbox>
            </v:shape>
            <v:shape id="_x0000_s1030" type="#_x0000_t202" style="width:654;height:3505;left:2700;position:absolute;top:1924" filled="f" stroked="f">
              <v:textbox inset="0,0,0,0">
                <w:txbxContent>
                  <w:p>
                    <w:pPr>
                      <w:spacing w:before="0" w:line="359" w:lineRule="exact"/>
                      <w:ind w:left="0" w:right="0" w:firstLine="0"/>
                      <w:jc w:val="left"/>
                      <w:rPr>
                        <w:sz w:val="31"/>
                      </w:rPr>
                    </w:pPr>
                    <w:r>
                      <w:rPr>
                        <w:sz w:val="31"/>
                      </w:rPr>
                      <w:t>标准</w:t>
                    </w:r>
                  </w:p>
                  <w:p>
                    <w:pPr>
                      <w:spacing w:before="56" w:line="206" w:lineRule="auto"/>
                      <w:ind w:left="82" w:right="18" w:hanging="83"/>
                      <w:jc w:val="left"/>
                      <w:rPr>
                        <w:rFonts w:ascii="Arial" w:eastAsia="Arial"/>
                        <w:sz w:val="36"/>
                      </w:rPr>
                    </w:pPr>
                    <w:r>
                      <w:rPr>
                        <w:sz w:val="31"/>
                      </w:rPr>
                      <w:t>项目</w:t>
                    </w:r>
                    <w:r>
                      <w:rPr>
                        <w:sz w:val="36"/>
                      </w:rPr>
                      <w:t>最低可采厚度</w:t>
                    </w:r>
                    <w:r>
                      <w:rPr>
                        <w:rFonts w:ascii="Arial" w:eastAsia="Arial"/>
                        <w:sz w:val="36"/>
                      </w:rPr>
                      <w:t>m</w:t>
                    </w:r>
                  </w:p>
                </w:txbxContent>
              </v:textbox>
            </v:shape>
            <v:shape id="_x0000_s1031" type="#_x0000_t202" style="width:380;height:1761;left:3640;position:absolute;top:2833" filled="f" stroked="f">
              <v:textbox inset="0,0,0,0">
                <w:txbxContent>
                  <w:p>
                    <w:pPr>
                      <w:spacing w:before="0" w:line="411" w:lineRule="exact"/>
                      <w:ind w:left="0" w:right="0" w:firstLine="0"/>
                      <w:jc w:val="left"/>
                      <w:rPr>
                        <w:sz w:val="36"/>
                      </w:rPr>
                    </w:pPr>
                    <w:r>
                      <w:rPr>
                        <w:sz w:val="36"/>
                      </w:rPr>
                      <w:t>矿</w:t>
                    </w:r>
                  </w:p>
                  <w:p>
                    <w:pPr>
                      <w:spacing w:before="3"/>
                      <w:ind w:left="0" w:right="0" w:firstLine="0"/>
                      <w:jc w:val="left"/>
                      <w:rPr>
                        <w:sz w:val="36"/>
                      </w:rPr>
                    </w:pPr>
                    <w:r>
                      <w:rPr>
                        <w:sz w:val="36"/>
                      </w:rPr>
                      <w:t>井</w:t>
                    </w:r>
                  </w:p>
                  <w:p>
                    <w:pPr>
                      <w:spacing w:before="7" w:line="460" w:lineRule="atLeast"/>
                      <w:ind w:left="0" w:right="18" w:firstLine="0"/>
                      <w:jc w:val="left"/>
                      <w:rPr>
                        <w:sz w:val="36"/>
                      </w:rPr>
                    </w:pPr>
                    <w:r>
                      <w:rPr>
                        <w:sz w:val="36"/>
                      </w:rPr>
                      <w:t>开采</w:t>
                    </w:r>
                  </w:p>
                </w:txbxContent>
              </v:textbox>
            </v:shape>
            <v:shape id="_x0000_s1032" type="#_x0000_t202" style="width:380;height:360;left:4489;position:absolute;top:2883" filled="f" stroked="f">
              <v:textbox inset="0,0,0,0">
                <w:txbxContent>
                  <w:p>
                    <w:pPr>
                      <w:spacing w:before="0" w:line="360" w:lineRule="exact"/>
                      <w:ind w:left="0" w:right="0" w:firstLine="0"/>
                      <w:jc w:val="left"/>
                      <w:rPr>
                        <w:sz w:val="36"/>
                      </w:rPr>
                    </w:pPr>
                    <w:r>
                      <w:rPr>
                        <w:sz w:val="36"/>
                      </w:rPr>
                      <w:t>倾</w:t>
                    </w:r>
                  </w:p>
                </w:txbxContent>
              </v:textbox>
            </v:shape>
            <v:shape id="_x0000_s1033" type="#_x0000_t202" style="width:380;height:360;left:4489;position:absolute;top:4179" filled="f" stroked="f">
              <v:textbox inset="0,0,0,0">
                <w:txbxContent>
                  <w:p>
                    <w:pPr>
                      <w:spacing w:before="0" w:line="360" w:lineRule="exact"/>
                      <w:ind w:left="0" w:right="0" w:firstLine="0"/>
                      <w:jc w:val="left"/>
                      <w:rPr>
                        <w:sz w:val="36"/>
                      </w:rPr>
                    </w:pPr>
                    <w:r>
                      <w:rPr>
                        <w:sz w:val="36"/>
                      </w:rPr>
                      <w:t>角</w:t>
                    </w:r>
                  </w:p>
                </w:txbxContent>
              </v:textbox>
            </v:shape>
            <v:shape id="_x0000_s1034" type="#_x0000_t202" style="width:1388;height:1791;left:5682;position:absolute;top:2827" filled="f" stroked="f">
              <v:textbox inset="0,0,0,0">
                <w:txbxContent>
                  <w:p>
                    <w:pPr>
                      <w:spacing w:before="0" w:line="420" w:lineRule="exact"/>
                      <w:ind w:left="13" w:right="31" w:firstLine="0"/>
                      <w:jc w:val="center"/>
                      <w:rPr>
                        <w:rFonts w:ascii="Arial" w:eastAsia="Arial" w:hAnsi="Arial"/>
                        <w:sz w:val="36"/>
                      </w:rPr>
                    </w:pPr>
                    <w:r>
                      <w:rPr>
                        <w:sz w:val="36"/>
                      </w:rPr>
                      <w:t>＜</w:t>
                    </w:r>
                    <w:r>
                      <w:rPr>
                        <w:rFonts w:ascii="Arial" w:eastAsia="Arial" w:hAnsi="Arial"/>
                        <w:sz w:val="36"/>
                      </w:rPr>
                      <w:t>25°</w:t>
                    </w:r>
                  </w:p>
                  <w:p>
                    <w:pPr>
                      <w:spacing w:before="233"/>
                      <w:ind w:left="13" w:right="31" w:firstLine="0"/>
                      <w:jc w:val="center"/>
                      <w:rPr>
                        <w:rFonts w:ascii="Arial" w:eastAsia="Arial" w:hAnsi="Arial"/>
                        <w:sz w:val="36"/>
                      </w:rPr>
                    </w:pPr>
                    <w:r>
                      <w:rPr>
                        <w:rFonts w:ascii="Arial" w:eastAsia="Arial" w:hAnsi="Arial"/>
                        <w:w w:val="90"/>
                        <w:sz w:val="36"/>
                      </w:rPr>
                      <w:t>25°</w:t>
                    </w:r>
                    <w:r>
                      <w:rPr>
                        <w:w w:val="90"/>
                        <w:sz w:val="36"/>
                      </w:rPr>
                      <w:t>～</w:t>
                    </w:r>
                    <w:r>
                      <w:rPr>
                        <w:rFonts w:ascii="Arial" w:eastAsia="Arial" w:hAnsi="Arial"/>
                        <w:w w:val="90"/>
                        <w:sz w:val="36"/>
                      </w:rPr>
                      <w:t>45°</w:t>
                    </w:r>
                  </w:p>
                  <w:p>
                    <w:pPr>
                      <w:spacing w:before="237" w:line="438" w:lineRule="exact"/>
                      <w:ind w:left="13" w:right="31" w:firstLine="0"/>
                      <w:jc w:val="center"/>
                      <w:rPr>
                        <w:rFonts w:ascii="Arial" w:eastAsia="Arial" w:hAnsi="Arial"/>
                        <w:sz w:val="36"/>
                      </w:rPr>
                    </w:pPr>
                    <w:r>
                      <w:rPr>
                        <w:sz w:val="36"/>
                      </w:rPr>
                      <w:t>＞</w:t>
                    </w:r>
                    <w:r>
                      <w:rPr>
                        <w:rFonts w:ascii="Arial" w:eastAsia="Arial" w:hAnsi="Arial"/>
                        <w:sz w:val="36"/>
                      </w:rPr>
                      <w:t>45°</w:t>
                    </w:r>
                  </w:p>
                </w:txbxContent>
              </v:textbox>
            </v:shape>
            <v:shape id="_x0000_s1035" type="#_x0000_t202" style="width:740;height:2898;left:8112;position:absolute;top:1717" filled="f" stroked="f">
              <v:textbox inset="0,0,0,0">
                <w:txbxContent>
                  <w:p>
                    <w:pPr>
                      <w:spacing w:before="0" w:line="411" w:lineRule="exact"/>
                      <w:ind w:left="0" w:right="0" w:firstLine="0"/>
                      <w:jc w:val="left"/>
                      <w:rPr>
                        <w:sz w:val="36"/>
                      </w:rPr>
                    </w:pPr>
                    <w:r>
                      <w:rPr>
                        <w:sz w:val="36"/>
                      </w:rPr>
                      <w:t>炼焦</w:t>
                    </w:r>
                  </w:p>
                  <w:p>
                    <w:pPr>
                      <w:spacing w:before="6"/>
                      <w:ind w:left="0" w:right="0" w:firstLine="0"/>
                      <w:jc w:val="left"/>
                      <w:rPr>
                        <w:sz w:val="36"/>
                      </w:rPr>
                    </w:pPr>
                    <w:r>
                      <w:rPr>
                        <w:sz w:val="36"/>
                      </w:rPr>
                      <w:t>用煤</w:t>
                    </w:r>
                  </w:p>
                  <w:p>
                    <w:pPr>
                      <w:spacing w:before="213"/>
                      <w:ind w:left="136" w:right="0" w:firstLine="0"/>
                      <w:jc w:val="left"/>
                      <w:rPr>
                        <w:rFonts w:ascii="Arial"/>
                        <w:sz w:val="36"/>
                      </w:rPr>
                    </w:pPr>
                    <w:r>
                      <w:rPr>
                        <w:rFonts w:ascii="Arial"/>
                        <w:sz w:val="36"/>
                      </w:rPr>
                      <w:t>0.7</w:t>
                    </w:r>
                  </w:p>
                  <w:p>
                    <w:pPr>
                      <w:spacing w:before="281"/>
                      <w:ind w:left="136" w:right="0" w:firstLine="0"/>
                      <w:jc w:val="left"/>
                      <w:rPr>
                        <w:rFonts w:ascii="Arial"/>
                        <w:sz w:val="36"/>
                      </w:rPr>
                    </w:pPr>
                    <w:r>
                      <w:rPr>
                        <w:rFonts w:ascii="Arial"/>
                        <w:sz w:val="36"/>
                      </w:rPr>
                      <w:t>0.6</w:t>
                    </w:r>
                  </w:p>
                  <w:p>
                    <w:pPr>
                      <w:spacing w:before="281"/>
                      <w:ind w:left="136" w:right="0" w:firstLine="0"/>
                      <w:jc w:val="left"/>
                      <w:rPr>
                        <w:rFonts w:ascii="Arial"/>
                        <w:sz w:val="36"/>
                      </w:rPr>
                    </w:pPr>
                    <w:r>
                      <w:rPr>
                        <w:rFonts w:ascii="Arial"/>
                        <w:sz w:val="36"/>
                      </w:rPr>
                      <w:t>0.5</w:t>
                    </w:r>
                  </w:p>
                </w:txbxContent>
              </v:textbox>
            </v:shape>
            <v:shape id="_x0000_s1036" type="#_x0000_t202" style="width:1100;height:4259;left:9624;position:absolute;top:1749" filled="f" stroked="f">
              <v:textbox inset="0,0,0,0">
                <w:txbxContent>
                  <w:p>
                    <w:pPr>
                      <w:spacing w:before="0" w:line="411" w:lineRule="exact"/>
                      <w:ind w:left="0" w:right="18" w:firstLine="0"/>
                      <w:jc w:val="center"/>
                      <w:rPr>
                        <w:sz w:val="36"/>
                      </w:rPr>
                    </w:pPr>
                    <w:r>
                      <w:rPr>
                        <w:spacing w:val="-7"/>
                        <w:sz w:val="36"/>
                      </w:rPr>
                      <w:t>非炼焦</w:t>
                    </w:r>
                  </w:p>
                  <w:p>
                    <w:pPr>
                      <w:spacing w:before="6"/>
                      <w:ind w:left="0" w:right="18" w:firstLine="0"/>
                      <w:jc w:val="center"/>
                      <w:rPr>
                        <w:sz w:val="36"/>
                      </w:rPr>
                    </w:pPr>
                    <w:r>
                      <w:rPr>
                        <w:sz w:val="36"/>
                      </w:rPr>
                      <w:t>用煤</w:t>
                    </w:r>
                  </w:p>
                  <w:p>
                    <w:pPr>
                      <w:spacing w:before="181"/>
                      <w:ind w:left="316" w:right="0" w:firstLine="0"/>
                      <w:jc w:val="left"/>
                      <w:rPr>
                        <w:rFonts w:ascii="Arial"/>
                        <w:sz w:val="36"/>
                      </w:rPr>
                    </w:pPr>
                    <w:r>
                      <w:rPr>
                        <w:rFonts w:ascii="Arial"/>
                        <w:sz w:val="36"/>
                      </w:rPr>
                      <w:t>0.8</w:t>
                    </w:r>
                  </w:p>
                  <w:p>
                    <w:pPr>
                      <w:spacing w:before="281"/>
                      <w:ind w:left="316" w:right="0" w:firstLine="0"/>
                      <w:jc w:val="left"/>
                      <w:rPr>
                        <w:rFonts w:ascii="Arial"/>
                        <w:sz w:val="36"/>
                      </w:rPr>
                    </w:pPr>
                    <w:r>
                      <w:rPr>
                        <w:rFonts w:ascii="Arial"/>
                        <w:sz w:val="36"/>
                      </w:rPr>
                      <w:t>0.7</w:t>
                    </w:r>
                  </w:p>
                  <w:p>
                    <w:pPr>
                      <w:spacing w:before="280"/>
                      <w:ind w:left="316" w:right="0" w:firstLine="0"/>
                      <w:jc w:val="left"/>
                      <w:rPr>
                        <w:rFonts w:ascii="Arial"/>
                        <w:sz w:val="36"/>
                      </w:rPr>
                    </w:pPr>
                    <w:r>
                      <w:rPr>
                        <w:rFonts w:ascii="Arial"/>
                        <w:sz w:val="36"/>
                      </w:rPr>
                      <w:t>0.6</w:t>
                    </w:r>
                  </w:p>
                  <w:p>
                    <w:pPr>
                      <w:spacing w:before="286"/>
                      <w:ind w:left="396" w:right="0" w:firstLine="0"/>
                      <w:jc w:val="left"/>
                      <w:rPr>
                        <w:rFonts w:ascii="Arial"/>
                        <w:sz w:val="36"/>
                      </w:rPr>
                    </w:pPr>
                    <w:r>
                      <w:rPr>
                        <w:rFonts w:ascii="Arial"/>
                        <w:sz w:val="36"/>
                      </w:rPr>
                      <w:t>1.0</w:t>
                    </w:r>
                  </w:p>
                  <w:p>
                    <w:pPr>
                      <w:spacing w:before="280"/>
                      <w:ind w:left="439" w:right="0" w:firstLine="0"/>
                      <w:jc w:val="left"/>
                      <w:rPr>
                        <w:rFonts w:ascii="Arial"/>
                        <w:sz w:val="36"/>
                      </w:rPr>
                    </w:pPr>
                    <w:r>
                      <w:rPr>
                        <w:rFonts w:ascii="Arial"/>
                        <w:sz w:val="36"/>
                      </w:rPr>
                      <w:t>40</w:t>
                    </w:r>
                  </w:p>
                </w:txbxContent>
              </v:textbox>
            </v:shape>
            <v:shape id="_x0000_s1037" type="#_x0000_t202" style="width:740;height:360;left:11576;position:absolute;top:1983" filled="f" stroked="f">
              <v:textbox inset="0,0,0,0">
                <w:txbxContent>
                  <w:p>
                    <w:pPr>
                      <w:spacing w:before="0" w:line="360" w:lineRule="exact"/>
                      <w:ind w:left="0" w:right="0" w:firstLine="0"/>
                      <w:jc w:val="left"/>
                      <w:rPr>
                        <w:sz w:val="36"/>
                      </w:rPr>
                    </w:pPr>
                    <w:r>
                      <w:rPr>
                        <w:sz w:val="36"/>
                      </w:rPr>
                      <w:t>褐煤</w:t>
                    </w:r>
                  </w:p>
                </w:txbxContent>
              </v:textbox>
            </v:shape>
            <v:shape id="_x0000_s1038" type="#_x0000_t202" style="width:470;height:1788;left:11713;position:absolute;top:2827" filled="f" stroked="f">
              <v:textbox inset="0,0,0,0">
                <w:txbxContent>
                  <w:p>
                    <w:pPr>
                      <w:spacing w:before="0" w:line="395" w:lineRule="exact"/>
                      <w:ind w:left="0" w:right="0" w:firstLine="0"/>
                      <w:jc w:val="left"/>
                      <w:rPr>
                        <w:rFonts w:ascii="Arial"/>
                        <w:sz w:val="36"/>
                      </w:rPr>
                    </w:pPr>
                    <w:r>
                      <w:rPr>
                        <w:rFonts w:ascii="Arial"/>
                        <w:w w:val="90"/>
                        <w:sz w:val="36"/>
                      </w:rPr>
                      <w:t>1.0</w:t>
                    </w:r>
                  </w:p>
                  <w:p>
                    <w:pPr>
                      <w:spacing w:before="281"/>
                      <w:ind w:left="0" w:right="0" w:firstLine="0"/>
                      <w:jc w:val="left"/>
                      <w:rPr>
                        <w:rFonts w:ascii="Arial"/>
                        <w:sz w:val="36"/>
                      </w:rPr>
                    </w:pPr>
                    <w:r>
                      <w:rPr>
                        <w:rFonts w:ascii="Arial"/>
                        <w:w w:val="90"/>
                        <w:sz w:val="36"/>
                      </w:rPr>
                      <w:t>0.9</w:t>
                    </w:r>
                  </w:p>
                  <w:p>
                    <w:pPr>
                      <w:spacing w:before="280"/>
                      <w:ind w:left="0" w:right="0" w:firstLine="0"/>
                      <w:jc w:val="left"/>
                      <w:rPr>
                        <w:rFonts w:ascii="Arial"/>
                        <w:sz w:val="36"/>
                      </w:rPr>
                    </w:pPr>
                    <w:r>
                      <w:rPr>
                        <w:rFonts w:ascii="Arial"/>
                        <w:w w:val="90"/>
                        <w:sz w:val="36"/>
                      </w:rPr>
                      <w:t>0.8</w:t>
                    </w:r>
                  </w:p>
                </w:txbxContent>
              </v:textbox>
            </v:shape>
            <v:shape id="_x0000_s1039" type="#_x0000_t202" style="width:1460;height:360;left:4795;position:absolute;top:4925" filled="f" stroked="f">
              <v:textbox inset="0,0,0,0">
                <w:txbxContent>
                  <w:p>
                    <w:pPr>
                      <w:spacing w:before="0" w:line="360" w:lineRule="exact"/>
                      <w:ind w:left="0" w:right="0" w:firstLine="0"/>
                      <w:jc w:val="left"/>
                      <w:rPr>
                        <w:sz w:val="36"/>
                      </w:rPr>
                    </w:pPr>
                    <w:r>
                      <w:rPr>
                        <w:sz w:val="36"/>
                      </w:rPr>
                      <w:t>露天开采</w:t>
                    </w:r>
                  </w:p>
                </w:txbxContent>
              </v:textbox>
            </v:shape>
            <v:shape id="_x0000_s1040" type="#_x0000_t202" style="width:3632;height:503;left:3280;position:absolute;top:5610" filled="f" stroked="f">
              <v:textbox inset="0,0,0,0">
                <w:txbxContent>
                  <w:p>
                    <w:pPr>
                      <w:spacing w:before="0" w:line="211" w:lineRule="auto"/>
                      <w:ind w:left="0" w:right="0" w:firstLine="0"/>
                      <w:jc w:val="left"/>
                      <w:rPr>
                        <w:sz w:val="36"/>
                      </w:rPr>
                    </w:pPr>
                    <w:r>
                      <w:rPr>
                        <w:spacing w:val="-17"/>
                        <w:sz w:val="36"/>
                      </w:rPr>
                      <w:t xml:space="preserve">最高可采灰分 </w:t>
                    </w:r>
                    <w:r>
                      <w:rPr>
                        <w:rFonts w:ascii="Tahoma" w:eastAsia="Tahoma"/>
                        <w:sz w:val="36"/>
                      </w:rPr>
                      <w:t>A</w:t>
                    </w:r>
                    <w:r>
                      <w:rPr>
                        <w:rFonts w:ascii="Arial" w:eastAsia="Arial"/>
                        <w:position w:val="-12"/>
                        <w:sz w:val="24"/>
                      </w:rPr>
                      <w:t>d</w:t>
                    </w:r>
                    <w:r>
                      <w:rPr>
                        <w:sz w:val="36"/>
                      </w:rPr>
                      <w:t>（</w:t>
                    </w:r>
                    <w:r>
                      <w:rPr>
                        <w:rFonts w:ascii="Arial" w:eastAsia="Arial"/>
                        <w:sz w:val="36"/>
                      </w:rPr>
                      <w:t>%</w:t>
                    </w:r>
                    <w:r>
                      <w:rPr>
                        <w:sz w:val="36"/>
                      </w:rPr>
                      <w:t>）</w:t>
                    </w:r>
                  </w:p>
                </w:txbxContent>
              </v:textbox>
            </v:shape>
            <w10:wrap type="topAndBottom"/>
          </v:group>
        </w:pict>
      </w:r>
      <w:r>
        <w:rPr>
          <w:b/>
          <w:sz w:val="36"/>
        </w:rPr>
        <w:t>表</w:t>
      </w:r>
      <w:r>
        <w:rPr>
          <w:b/>
          <w:spacing w:val="-94"/>
          <w:sz w:val="36"/>
        </w:rPr>
        <w:t xml:space="preserve"> </w:t>
      </w:r>
      <w:r>
        <w:rPr>
          <w:rFonts w:ascii="Arial" w:eastAsia="Arial"/>
          <w:b/>
          <w:sz w:val="36"/>
        </w:rPr>
        <w:t>1</w:t>
        <w:tab/>
      </w:r>
      <w:r>
        <w:rPr>
          <w:b/>
          <w:sz w:val="36"/>
        </w:rPr>
        <w:t>一般地区储量计算标准</w:t>
      </w:r>
    </w:p>
    <w:p>
      <w:pPr>
        <w:spacing w:before="45" w:after="45"/>
        <w:ind w:left="359" w:right="555" w:firstLine="0"/>
        <w:jc w:val="center"/>
        <w:rPr>
          <w:b/>
          <w:sz w:val="36"/>
        </w:rPr>
      </w:pPr>
      <w:r>
        <w:rPr>
          <w:b/>
          <w:sz w:val="36"/>
        </w:rPr>
        <w:t xml:space="preserve">表 </w:t>
      </w:r>
      <w:r>
        <w:rPr>
          <w:rFonts w:ascii="Arial" w:eastAsia="Arial"/>
          <w:b/>
          <w:sz w:val="36"/>
        </w:rPr>
        <w:t xml:space="preserve">2 </w:t>
      </w:r>
      <w:r>
        <w:rPr>
          <w:b/>
          <w:sz w:val="36"/>
        </w:rPr>
        <w:t>煤炭资源贫缺地区储量计算标准</w:t>
      </w:r>
    </w:p>
    <w:p>
      <w:pPr>
        <w:pStyle w:val="BodyText"/>
        <w:ind w:left="80"/>
        <w:rPr>
          <w:sz w:val="20"/>
        </w:rPr>
      </w:pPr>
      <w:r>
        <w:rPr>
          <w:sz w:val="20"/>
        </w:rPr>
        <w:pict>
          <v:group id="_x0000_i1041" style="width:520pt;height:301pt;mso-position-horizontal-relative:char;mso-position-vertical-relative:line" coordorigin="0,0" coordsize="10400,6020">
            <v:shape id="_x0000_s1042" type="#_x0000_t75" style="width:10400;height:6020;position:absolute" stroked="f">
              <v:imagedata r:id="rId9" o:title=""/>
            </v:shape>
            <v:shape id="_x0000_s1043" type="#_x0000_t202" style="width:1288;height:317;left:3711;position:absolute;top:170" filled="f" stroked="f">
              <v:textbox inset="0,0,0,0">
                <w:txbxContent>
                  <w:p>
                    <w:pPr>
                      <w:spacing w:before="0" w:line="317" w:lineRule="exact"/>
                      <w:ind w:left="0" w:right="0" w:firstLine="0"/>
                      <w:jc w:val="left"/>
                      <w:rPr>
                        <w:sz w:val="31"/>
                      </w:rPr>
                    </w:pPr>
                    <w:r>
                      <w:rPr>
                        <w:sz w:val="31"/>
                      </w:rPr>
                      <w:t>储量类别</w:t>
                    </w:r>
                  </w:p>
                </w:txbxContent>
              </v:textbox>
            </v:shape>
            <v:shape id="_x0000_s1044" type="#_x0000_t202" style="width:740;height:360;left:2223;position:absolute;top:549" filled="f" stroked="f">
              <v:textbox inset="0,0,0,0">
                <w:txbxContent>
                  <w:p>
                    <w:pPr>
                      <w:spacing w:before="0" w:line="360" w:lineRule="exact"/>
                      <w:ind w:left="0" w:right="0" w:firstLine="0"/>
                      <w:jc w:val="left"/>
                      <w:rPr>
                        <w:sz w:val="36"/>
                      </w:rPr>
                    </w:pPr>
                    <w:r>
                      <w:rPr>
                        <w:sz w:val="36"/>
                      </w:rPr>
                      <w:t>煤种</w:t>
                    </w:r>
                  </w:p>
                </w:txbxContent>
              </v:textbox>
            </v:shape>
            <v:shape id="_x0000_s1045" type="#_x0000_t202" style="width:1820;height:360;left:6843;position:absolute;top:250" filled="f" stroked="f">
              <v:textbox inset="0,0,0,0">
                <w:txbxContent>
                  <w:p>
                    <w:pPr>
                      <w:spacing w:before="0" w:line="360" w:lineRule="exact"/>
                      <w:ind w:left="0" w:right="0" w:firstLine="0"/>
                      <w:jc w:val="left"/>
                      <w:rPr>
                        <w:sz w:val="36"/>
                      </w:rPr>
                    </w:pPr>
                    <w:r>
                      <w:rPr>
                        <w:sz w:val="36"/>
                      </w:rPr>
                      <w:t>能利用储量</w:t>
                    </w:r>
                  </w:p>
                </w:txbxContent>
              </v:textbox>
            </v:shape>
            <v:shape id="_x0000_s1046" type="#_x0000_t202" style="width:654;height:3504;left:200;position:absolute;top:1045" filled="f" stroked="f">
              <v:textbox inset="0,0,0,0">
                <w:txbxContent>
                  <w:p>
                    <w:pPr>
                      <w:spacing w:before="0" w:line="359" w:lineRule="exact"/>
                      <w:ind w:left="0" w:right="0" w:firstLine="0"/>
                      <w:jc w:val="left"/>
                      <w:rPr>
                        <w:sz w:val="31"/>
                      </w:rPr>
                    </w:pPr>
                    <w:r>
                      <w:rPr>
                        <w:sz w:val="31"/>
                      </w:rPr>
                      <w:t>标准</w:t>
                    </w:r>
                  </w:p>
                  <w:p>
                    <w:pPr>
                      <w:spacing w:before="56" w:line="206" w:lineRule="auto"/>
                      <w:ind w:left="82" w:right="18" w:hanging="83"/>
                      <w:jc w:val="left"/>
                      <w:rPr>
                        <w:rFonts w:ascii="Arial" w:eastAsia="Arial"/>
                        <w:sz w:val="36"/>
                      </w:rPr>
                    </w:pPr>
                    <w:r>
                      <w:rPr>
                        <w:sz w:val="31"/>
                      </w:rPr>
                      <w:t>项目</w:t>
                    </w:r>
                    <w:r>
                      <w:rPr>
                        <w:sz w:val="36"/>
                      </w:rPr>
                      <w:t>最低可采厚度</w:t>
                    </w:r>
                    <w:r>
                      <w:rPr>
                        <w:rFonts w:ascii="Arial" w:eastAsia="Arial"/>
                        <w:sz w:val="36"/>
                      </w:rPr>
                      <w:t>m</w:t>
                    </w:r>
                  </w:p>
                </w:txbxContent>
              </v:textbox>
            </v:shape>
            <v:shape id="_x0000_s1047" type="#_x0000_t202" style="width:380;height:360;left:1989;position:absolute;top:2004" filled="f" stroked="f">
              <v:textbox inset="0,0,0,0">
                <w:txbxContent>
                  <w:p>
                    <w:pPr>
                      <w:spacing w:before="0" w:line="360" w:lineRule="exact"/>
                      <w:ind w:left="0" w:right="0" w:firstLine="0"/>
                      <w:jc w:val="left"/>
                      <w:rPr>
                        <w:sz w:val="36"/>
                      </w:rPr>
                    </w:pPr>
                    <w:r>
                      <w:rPr>
                        <w:sz w:val="36"/>
                      </w:rPr>
                      <w:t>倾</w:t>
                    </w:r>
                  </w:p>
                </w:txbxContent>
              </v:textbox>
            </v:shape>
            <v:shape id="_x0000_s1048" type="#_x0000_t202" style="width:380;height:360;left:1989;position:absolute;top:3300" filled="f" stroked="f">
              <v:textbox inset="0,0,0,0">
                <w:txbxContent>
                  <w:p>
                    <w:pPr>
                      <w:spacing w:before="0" w:line="360" w:lineRule="exact"/>
                      <w:ind w:left="0" w:right="0" w:firstLine="0"/>
                      <w:jc w:val="left"/>
                      <w:rPr>
                        <w:sz w:val="36"/>
                      </w:rPr>
                    </w:pPr>
                    <w:r>
                      <w:rPr>
                        <w:sz w:val="36"/>
                      </w:rPr>
                      <w:t>角</w:t>
                    </w:r>
                  </w:p>
                </w:txbxContent>
              </v:textbox>
            </v:shape>
            <v:shape id="_x0000_s1049" type="#_x0000_t202" style="width:1388;height:1791;left:3182;position:absolute;top:1947" filled="f" stroked="f">
              <v:textbox inset="0,0,0,0">
                <w:txbxContent>
                  <w:p>
                    <w:pPr>
                      <w:spacing w:before="0" w:line="420" w:lineRule="exact"/>
                      <w:ind w:left="13" w:right="31" w:firstLine="0"/>
                      <w:jc w:val="center"/>
                      <w:rPr>
                        <w:rFonts w:ascii="Arial" w:eastAsia="Arial" w:hAnsi="Arial"/>
                        <w:sz w:val="36"/>
                      </w:rPr>
                    </w:pPr>
                    <w:r>
                      <w:rPr>
                        <w:sz w:val="36"/>
                      </w:rPr>
                      <w:t>＜</w:t>
                    </w:r>
                    <w:r>
                      <w:rPr>
                        <w:rFonts w:ascii="Arial" w:eastAsia="Arial" w:hAnsi="Arial"/>
                        <w:sz w:val="36"/>
                      </w:rPr>
                      <w:t>25°</w:t>
                    </w:r>
                  </w:p>
                  <w:p>
                    <w:pPr>
                      <w:spacing w:before="233"/>
                      <w:ind w:left="13" w:right="31" w:firstLine="0"/>
                      <w:jc w:val="center"/>
                      <w:rPr>
                        <w:rFonts w:ascii="Arial" w:eastAsia="Arial" w:hAnsi="Arial"/>
                        <w:sz w:val="36"/>
                      </w:rPr>
                    </w:pPr>
                    <w:r>
                      <w:rPr>
                        <w:rFonts w:ascii="Arial" w:eastAsia="Arial" w:hAnsi="Arial"/>
                        <w:w w:val="90"/>
                        <w:sz w:val="36"/>
                      </w:rPr>
                      <w:t>25°</w:t>
                    </w:r>
                    <w:r>
                      <w:rPr>
                        <w:w w:val="90"/>
                        <w:sz w:val="36"/>
                      </w:rPr>
                      <w:t>～</w:t>
                    </w:r>
                    <w:r>
                      <w:rPr>
                        <w:rFonts w:ascii="Arial" w:eastAsia="Arial" w:hAnsi="Arial"/>
                        <w:w w:val="90"/>
                        <w:sz w:val="36"/>
                      </w:rPr>
                      <w:t>45°</w:t>
                    </w:r>
                  </w:p>
                  <w:p>
                    <w:pPr>
                      <w:spacing w:before="237" w:line="438" w:lineRule="exact"/>
                      <w:ind w:left="13" w:right="31" w:firstLine="0"/>
                      <w:jc w:val="center"/>
                      <w:rPr>
                        <w:rFonts w:ascii="Arial" w:eastAsia="Arial" w:hAnsi="Arial"/>
                        <w:sz w:val="36"/>
                      </w:rPr>
                    </w:pPr>
                    <w:r>
                      <w:rPr>
                        <w:sz w:val="36"/>
                      </w:rPr>
                      <w:t>＞</w:t>
                    </w:r>
                    <w:r>
                      <w:rPr>
                        <w:rFonts w:ascii="Arial" w:eastAsia="Arial" w:hAnsi="Arial"/>
                        <w:sz w:val="36"/>
                      </w:rPr>
                      <w:t>45°</w:t>
                    </w:r>
                  </w:p>
                </w:txbxContent>
              </v:textbox>
            </v:shape>
            <v:shape id="_x0000_s1050" type="#_x0000_t202" style="width:740;height:2898;left:5612;position:absolute;top:837" filled="f" stroked="f">
              <v:textbox inset="0,0,0,0">
                <w:txbxContent>
                  <w:p>
                    <w:pPr>
                      <w:spacing w:before="0" w:line="411" w:lineRule="exact"/>
                      <w:ind w:left="0" w:right="0" w:firstLine="0"/>
                      <w:jc w:val="left"/>
                      <w:rPr>
                        <w:sz w:val="36"/>
                      </w:rPr>
                    </w:pPr>
                    <w:r>
                      <w:rPr>
                        <w:sz w:val="36"/>
                      </w:rPr>
                      <w:t>炼焦</w:t>
                    </w:r>
                  </w:p>
                  <w:p>
                    <w:pPr>
                      <w:spacing w:before="6"/>
                      <w:ind w:left="0" w:right="0" w:firstLine="0"/>
                      <w:jc w:val="left"/>
                      <w:rPr>
                        <w:sz w:val="36"/>
                      </w:rPr>
                    </w:pPr>
                    <w:r>
                      <w:rPr>
                        <w:sz w:val="36"/>
                      </w:rPr>
                      <w:t>用煤</w:t>
                    </w:r>
                  </w:p>
                  <w:p>
                    <w:pPr>
                      <w:spacing w:before="213"/>
                      <w:ind w:left="136" w:right="0" w:firstLine="0"/>
                      <w:jc w:val="left"/>
                      <w:rPr>
                        <w:rFonts w:ascii="Arial"/>
                        <w:sz w:val="36"/>
                      </w:rPr>
                    </w:pPr>
                    <w:r>
                      <w:rPr>
                        <w:rFonts w:ascii="Arial"/>
                        <w:sz w:val="36"/>
                      </w:rPr>
                      <w:t>0.6</w:t>
                    </w:r>
                  </w:p>
                  <w:p>
                    <w:pPr>
                      <w:spacing w:before="281"/>
                      <w:ind w:left="136" w:right="0" w:firstLine="0"/>
                      <w:jc w:val="left"/>
                      <w:rPr>
                        <w:rFonts w:ascii="Arial"/>
                        <w:sz w:val="36"/>
                      </w:rPr>
                    </w:pPr>
                    <w:r>
                      <w:rPr>
                        <w:rFonts w:ascii="Arial"/>
                        <w:sz w:val="36"/>
                      </w:rPr>
                      <w:t>0.5</w:t>
                    </w:r>
                  </w:p>
                  <w:p>
                    <w:pPr>
                      <w:spacing w:before="281"/>
                      <w:ind w:left="136" w:right="0" w:firstLine="0"/>
                      <w:jc w:val="left"/>
                      <w:rPr>
                        <w:rFonts w:ascii="Arial"/>
                        <w:sz w:val="36"/>
                      </w:rPr>
                    </w:pPr>
                    <w:r>
                      <w:rPr>
                        <w:rFonts w:ascii="Arial"/>
                        <w:sz w:val="36"/>
                      </w:rPr>
                      <w:t>0.4</w:t>
                    </w:r>
                  </w:p>
                </w:txbxContent>
              </v:textbox>
            </v:shape>
            <v:shape id="_x0000_s1051" type="#_x0000_t202" style="width:1100;height:4259;left:7124;position:absolute;top:870" filled="f" stroked="f">
              <v:textbox inset="0,0,0,0">
                <w:txbxContent>
                  <w:p>
                    <w:pPr>
                      <w:spacing w:before="0" w:line="411" w:lineRule="exact"/>
                      <w:ind w:left="0" w:right="18" w:firstLine="0"/>
                      <w:jc w:val="center"/>
                      <w:rPr>
                        <w:sz w:val="36"/>
                      </w:rPr>
                    </w:pPr>
                    <w:r>
                      <w:rPr>
                        <w:spacing w:val="-7"/>
                        <w:sz w:val="36"/>
                      </w:rPr>
                      <w:t>非炼焦</w:t>
                    </w:r>
                  </w:p>
                  <w:p>
                    <w:pPr>
                      <w:spacing w:before="6"/>
                      <w:ind w:left="0" w:right="18" w:firstLine="0"/>
                      <w:jc w:val="center"/>
                      <w:rPr>
                        <w:sz w:val="36"/>
                      </w:rPr>
                    </w:pPr>
                    <w:r>
                      <w:rPr>
                        <w:sz w:val="36"/>
                      </w:rPr>
                      <w:t>用煤</w:t>
                    </w:r>
                  </w:p>
                  <w:p>
                    <w:pPr>
                      <w:spacing w:before="181"/>
                      <w:ind w:left="316" w:right="0" w:firstLine="0"/>
                      <w:jc w:val="left"/>
                      <w:rPr>
                        <w:rFonts w:ascii="Arial"/>
                        <w:sz w:val="36"/>
                      </w:rPr>
                    </w:pPr>
                    <w:r>
                      <w:rPr>
                        <w:rFonts w:ascii="Arial"/>
                        <w:sz w:val="36"/>
                      </w:rPr>
                      <w:t>0.7</w:t>
                    </w:r>
                  </w:p>
                  <w:p>
                    <w:pPr>
                      <w:spacing w:before="281"/>
                      <w:ind w:left="316" w:right="0" w:firstLine="0"/>
                      <w:jc w:val="left"/>
                      <w:rPr>
                        <w:rFonts w:ascii="Arial"/>
                        <w:sz w:val="36"/>
                      </w:rPr>
                    </w:pPr>
                    <w:r>
                      <w:rPr>
                        <w:rFonts w:ascii="Arial"/>
                        <w:sz w:val="36"/>
                      </w:rPr>
                      <w:t>0.6</w:t>
                    </w:r>
                  </w:p>
                  <w:p>
                    <w:pPr>
                      <w:spacing w:before="280"/>
                      <w:ind w:left="316" w:right="0" w:firstLine="0"/>
                      <w:jc w:val="left"/>
                      <w:rPr>
                        <w:rFonts w:ascii="Arial"/>
                        <w:sz w:val="36"/>
                      </w:rPr>
                    </w:pPr>
                    <w:r>
                      <w:rPr>
                        <w:rFonts w:ascii="Arial"/>
                        <w:sz w:val="36"/>
                      </w:rPr>
                      <w:t>0.5</w:t>
                    </w:r>
                  </w:p>
                  <w:p>
                    <w:pPr>
                      <w:spacing w:before="285"/>
                      <w:ind w:left="396" w:right="0" w:firstLine="0"/>
                      <w:jc w:val="left"/>
                      <w:rPr>
                        <w:rFonts w:ascii="Arial"/>
                        <w:sz w:val="36"/>
                      </w:rPr>
                    </w:pPr>
                    <w:r>
                      <w:rPr>
                        <w:rFonts w:ascii="Arial"/>
                        <w:sz w:val="36"/>
                      </w:rPr>
                      <w:t>1.0</w:t>
                    </w:r>
                  </w:p>
                  <w:p>
                    <w:pPr>
                      <w:spacing w:before="281"/>
                      <w:ind w:left="306" w:right="0" w:firstLine="0"/>
                      <w:jc w:val="left"/>
                      <w:rPr>
                        <w:rFonts w:ascii="Arial"/>
                        <w:sz w:val="36"/>
                      </w:rPr>
                    </w:pPr>
                    <w:r>
                      <w:rPr>
                        <w:rFonts w:ascii="Arial"/>
                        <w:sz w:val="36"/>
                      </w:rPr>
                      <w:t>12.5</w:t>
                    </w:r>
                  </w:p>
                </w:txbxContent>
              </v:textbox>
            </v:shape>
            <v:shape id="_x0000_s1052" type="#_x0000_t202" style="width:740;height:360;left:9076;position:absolute;top:1104" filled="f" stroked="f">
              <v:textbox inset="0,0,0,0">
                <w:txbxContent>
                  <w:p>
                    <w:pPr>
                      <w:spacing w:before="0" w:line="360" w:lineRule="exact"/>
                      <w:ind w:left="0" w:right="0" w:firstLine="0"/>
                      <w:jc w:val="left"/>
                      <w:rPr>
                        <w:sz w:val="36"/>
                      </w:rPr>
                    </w:pPr>
                    <w:r>
                      <w:rPr>
                        <w:sz w:val="36"/>
                      </w:rPr>
                      <w:t>褐煤</w:t>
                    </w:r>
                  </w:p>
                </w:txbxContent>
              </v:textbox>
            </v:shape>
            <v:shape id="_x0000_s1053" type="#_x0000_t202" style="width:380;height:1761;left:1140;position:absolute;top:1953" filled="f" stroked="f">
              <v:textbox inset="0,0,0,0">
                <w:txbxContent>
                  <w:p>
                    <w:pPr>
                      <w:spacing w:before="0" w:line="411" w:lineRule="exact"/>
                      <w:ind w:left="0" w:right="0" w:firstLine="0"/>
                      <w:jc w:val="left"/>
                      <w:rPr>
                        <w:sz w:val="36"/>
                      </w:rPr>
                    </w:pPr>
                    <w:r>
                      <w:rPr>
                        <w:sz w:val="36"/>
                      </w:rPr>
                      <w:t>矿</w:t>
                    </w:r>
                  </w:p>
                  <w:p>
                    <w:pPr>
                      <w:spacing w:before="3"/>
                      <w:ind w:left="0" w:right="0" w:firstLine="0"/>
                      <w:jc w:val="left"/>
                      <w:rPr>
                        <w:sz w:val="36"/>
                      </w:rPr>
                    </w:pPr>
                    <w:r>
                      <w:rPr>
                        <w:sz w:val="36"/>
                      </w:rPr>
                      <w:t>井</w:t>
                    </w:r>
                  </w:p>
                  <w:p>
                    <w:pPr>
                      <w:spacing w:before="7" w:line="460" w:lineRule="atLeast"/>
                      <w:ind w:left="0" w:right="18" w:firstLine="0"/>
                      <w:jc w:val="left"/>
                      <w:rPr>
                        <w:sz w:val="36"/>
                      </w:rPr>
                    </w:pPr>
                    <w:r>
                      <w:rPr>
                        <w:sz w:val="36"/>
                      </w:rPr>
                      <w:t>开采</w:t>
                    </w:r>
                  </w:p>
                </w:txbxContent>
              </v:textbox>
            </v:shape>
            <v:shape id="_x0000_s1054" type="#_x0000_t202" style="width:470;height:1788;left:9213;position:absolute;top:1947" filled="f" stroked="f">
              <v:textbox inset="0,0,0,0">
                <w:txbxContent>
                  <w:p>
                    <w:pPr>
                      <w:spacing w:before="0" w:line="395" w:lineRule="exact"/>
                      <w:ind w:left="0" w:right="0" w:firstLine="0"/>
                      <w:jc w:val="left"/>
                      <w:rPr>
                        <w:rFonts w:ascii="Arial"/>
                        <w:sz w:val="36"/>
                      </w:rPr>
                    </w:pPr>
                    <w:r>
                      <w:rPr>
                        <w:rFonts w:ascii="Arial"/>
                        <w:w w:val="90"/>
                        <w:sz w:val="36"/>
                      </w:rPr>
                      <w:t>0.8</w:t>
                    </w:r>
                  </w:p>
                  <w:p>
                    <w:pPr>
                      <w:spacing w:before="281"/>
                      <w:ind w:left="0" w:right="0" w:firstLine="0"/>
                      <w:jc w:val="left"/>
                      <w:rPr>
                        <w:rFonts w:ascii="Arial"/>
                        <w:sz w:val="36"/>
                      </w:rPr>
                    </w:pPr>
                    <w:r>
                      <w:rPr>
                        <w:rFonts w:ascii="Arial"/>
                        <w:w w:val="90"/>
                        <w:sz w:val="36"/>
                      </w:rPr>
                      <w:t>0.7</w:t>
                    </w:r>
                  </w:p>
                  <w:p>
                    <w:pPr>
                      <w:spacing w:before="280"/>
                      <w:ind w:left="0" w:right="0" w:firstLine="0"/>
                      <w:jc w:val="left"/>
                      <w:rPr>
                        <w:rFonts w:ascii="Arial"/>
                        <w:sz w:val="36"/>
                      </w:rPr>
                    </w:pPr>
                    <w:r>
                      <w:rPr>
                        <w:rFonts w:ascii="Arial"/>
                        <w:w w:val="90"/>
                        <w:sz w:val="36"/>
                      </w:rPr>
                      <w:t>0.6</w:t>
                    </w:r>
                  </w:p>
                </w:txbxContent>
              </v:textbox>
            </v:shape>
            <v:shape id="_x0000_s1055" type="#_x0000_t202" style="width:1460;height:360;left:2295;position:absolute;top:4045" filled="f" stroked="f">
              <v:textbox inset="0,0,0,0">
                <w:txbxContent>
                  <w:p>
                    <w:pPr>
                      <w:spacing w:before="0" w:line="360" w:lineRule="exact"/>
                      <w:ind w:left="0" w:right="0" w:firstLine="0"/>
                      <w:jc w:val="left"/>
                      <w:rPr>
                        <w:sz w:val="36"/>
                      </w:rPr>
                    </w:pPr>
                    <w:r>
                      <w:rPr>
                        <w:sz w:val="36"/>
                      </w:rPr>
                      <w:t>露天开采</w:t>
                    </w:r>
                  </w:p>
                </w:txbxContent>
              </v:textbox>
            </v:shape>
            <v:shape id="_x0000_s1056" type="#_x0000_t202" style="width:4280;height:1201;left:452;position:absolute;top:4731" filled="f" stroked="f">
              <v:textbox inset="0,0,0,0">
                <w:txbxContent>
                  <w:p>
                    <w:pPr>
                      <w:spacing w:before="0" w:line="211" w:lineRule="auto"/>
                      <w:ind w:left="0" w:right="18" w:firstLine="0"/>
                      <w:jc w:val="center"/>
                      <w:rPr>
                        <w:sz w:val="36"/>
                      </w:rPr>
                    </w:pPr>
                    <w:r>
                      <w:rPr>
                        <w:w w:val="95"/>
                        <w:sz w:val="36"/>
                      </w:rPr>
                      <w:t xml:space="preserve">最低发热量 </w:t>
                    </w:r>
                    <w:r>
                      <w:rPr>
                        <w:rFonts w:ascii="Tahoma" w:eastAsia="Tahoma"/>
                        <w:w w:val="95"/>
                        <w:sz w:val="36"/>
                      </w:rPr>
                      <w:t>Q</w:t>
                    </w:r>
                    <w:r>
                      <w:rPr>
                        <w:rFonts w:ascii="Arial" w:eastAsia="Arial"/>
                        <w:w w:val="95"/>
                        <w:position w:val="-12"/>
                        <w:sz w:val="24"/>
                      </w:rPr>
                      <w:t>net,d</w:t>
                    </w:r>
                    <w:r>
                      <w:rPr>
                        <w:w w:val="95"/>
                        <w:sz w:val="36"/>
                      </w:rPr>
                      <w:t>（</w:t>
                    </w:r>
                    <w:r>
                      <w:rPr>
                        <w:rFonts w:ascii="Arial" w:eastAsia="Arial"/>
                        <w:w w:val="95"/>
                        <w:sz w:val="36"/>
                      </w:rPr>
                      <w:t>MJ/kg</w:t>
                    </w:r>
                    <w:r>
                      <w:rPr>
                        <w:w w:val="95"/>
                        <w:sz w:val="36"/>
                      </w:rPr>
                      <w:t>）</w:t>
                    </w:r>
                  </w:p>
                  <w:p>
                    <w:pPr>
                      <w:spacing w:before="167"/>
                      <w:ind w:left="0" w:right="11" w:firstLine="0"/>
                      <w:jc w:val="center"/>
                      <w:rPr>
                        <w:sz w:val="36"/>
                      </w:rPr>
                    </w:pPr>
                    <w:r>
                      <w:rPr>
                        <w:sz w:val="36"/>
                      </w:rPr>
                      <w:t xml:space="preserve">最高可采灰分 </w:t>
                    </w:r>
                    <w:r>
                      <w:rPr>
                        <w:rFonts w:ascii="Tahoma" w:eastAsia="Tahoma"/>
                        <w:sz w:val="36"/>
                      </w:rPr>
                      <w:t>A</w:t>
                    </w:r>
                    <w:r>
                      <w:rPr>
                        <w:rFonts w:ascii="Arial" w:eastAsia="Arial"/>
                        <w:position w:val="-12"/>
                        <w:sz w:val="24"/>
                      </w:rPr>
                      <w:t>d</w:t>
                    </w:r>
                    <w:r>
                      <w:rPr>
                        <w:sz w:val="36"/>
                      </w:rPr>
                      <w:t>（</w:t>
                    </w:r>
                    <w:r>
                      <w:rPr>
                        <w:rFonts w:ascii="Arial" w:eastAsia="Arial"/>
                        <w:sz w:val="36"/>
                      </w:rPr>
                      <w:t>%</w:t>
                    </w:r>
                    <w:r>
                      <w:rPr>
                        <w:sz w:val="36"/>
                      </w:rPr>
                      <w:t>）</w:t>
                    </w:r>
                  </w:p>
                </w:txbxContent>
              </v:textbox>
            </v:shape>
            <v:shape id="_x0000_s1057" type="#_x0000_t202" style="width:650;height:398;left:9173;position:absolute;top:4731" filled="f" stroked="f">
              <v:textbox inset="0,0,0,0">
                <w:txbxContent>
                  <w:p>
                    <w:pPr>
                      <w:spacing w:before="0" w:line="395" w:lineRule="exact"/>
                      <w:ind w:left="0" w:right="0" w:firstLine="0"/>
                      <w:jc w:val="left"/>
                      <w:rPr>
                        <w:rFonts w:ascii="Arial"/>
                        <w:sz w:val="36"/>
                      </w:rPr>
                    </w:pPr>
                    <w:r>
                      <w:rPr>
                        <w:rFonts w:ascii="Arial"/>
                        <w:w w:val="90"/>
                        <w:sz w:val="36"/>
                      </w:rPr>
                      <w:t>10.5</w:t>
                    </w:r>
                  </w:p>
                </w:txbxContent>
              </v:textbox>
            </v:shape>
            <v:shape id="_x0000_s1058" type="#_x0000_t202" style="width:380;height:398;left:5824;position:absolute;top:5425" filled="f" stroked="f">
              <v:textbox inset="0,0,0,0">
                <w:txbxContent>
                  <w:p>
                    <w:pPr>
                      <w:spacing w:before="0" w:line="395" w:lineRule="exact"/>
                      <w:ind w:left="0" w:right="0" w:firstLine="0"/>
                      <w:jc w:val="left"/>
                      <w:rPr>
                        <w:rFonts w:ascii="Arial"/>
                        <w:sz w:val="36"/>
                      </w:rPr>
                    </w:pPr>
                    <w:r>
                      <w:rPr>
                        <w:rFonts w:ascii="Arial"/>
                        <w:w w:val="90"/>
                        <w:sz w:val="36"/>
                      </w:rPr>
                      <w:t>40</w:t>
                    </w:r>
                  </w:p>
                </w:txbxContent>
              </v:textbox>
            </v:shape>
            <v:shape id="_x0000_s1059" type="#_x0000_t202" style="width:2180;height:360;left:7539;position:absolute;top:5439" filled="f" stroked="f">
              <v:textbox inset="0,0,0,0">
                <w:txbxContent>
                  <w:p>
                    <w:pPr>
                      <w:spacing w:before="0" w:line="360" w:lineRule="exact"/>
                      <w:ind w:left="0" w:right="0" w:firstLine="0"/>
                      <w:jc w:val="left"/>
                      <w:rPr>
                        <w:sz w:val="36"/>
                      </w:rPr>
                    </w:pPr>
                    <w:r>
                      <w:rPr>
                        <w:sz w:val="36"/>
                      </w:rPr>
                      <w:t>不做具体规定</w:t>
                    </w:r>
                  </w:p>
                </w:txbxContent>
              </v:textbox>
            </v:shape>
            <w10:wrap type="none"/>
          </v:group>
        </w:pict>
      </w:r>
    </w:p>
    <w:p>
      <w:pPr>
        <w:pStyle w:val="BodyText"/>
        <w:spacing w:before="91" w:line="417" w:lineRule="auto"/>
        <w:ind w:right="292" w:firstLine="838"/>
      </w:pPr>
      <w:r>
        <w:t>可选性差的高灰、高硫的炼焦煤种，不能作为炼焦煤使用时，应按非炼焦用煤标准计算储量。</w:t>
      </w:r>
    </w:p>
    <w:p>
      <w:pPr>
        <w:pStyle w:val="BodyText"/>
        <w:spacing w:line="417" w:lineRule="auto"/>
        <w:ind w:right="280" w:firstLine="838"/>
        <w:jc w:val="both"/>
      </w:pPr>
      <w:r>
        <w:rPr>
          <w:spacing w:val="-23"/>
        </w:rPr>
        <w:t xml:space="preserve">不符合表 </w:t>
      </w:r>
      <w:r>
        <w:rPr>
          <w:rFonts w:ascii="Arial" w:eastAsia="Arial"/>
        </w:rPr>
        <w:t>1</w:t>
      </w:r>
      <w:r>
        <w:rPr>
          <w:rFonts w:ascii="Arial" w:eastAsia="Arial"/>
          <w:spacing w:val="-15"/>
        </w:rPr>
        <w:t xml:space="preserve"> </w:t>
      </w:r>
      <w:r>
        <w:rPr>
          <w:spacing w:val="-38"/>
        </w:rPr>
        <w:t xml:space="preserve">和表 </w:t>
      </w:r>
      <w:r>
        <w:rPr>
          <w:rFonts w:ascii="Arial" w:eastAsia="Arial"/>
        </w:rPr>
        <w:t>2</w:t>
      </w:r>
      <w:r>
        <w:rPr>
          <w:rFonts w:ascii="Arial" w:eastAsia="Arial"/>
          <w:spacing w:val="-19"/>
        </w:rPr>
        <w:t xml:space="preserve"> </w:t>
      </w:r>
      <w:r>
        <w:t>中所列指标的煤层和低热值燃料，经省（区） 煤炭局（厅、公司）</w:t>
      </w:r>
      <w:r>
        <w:rPr>
          <w:spacing w:val="-1"/>
        </w:rPr>
        <w:t>批准，也可以计算储量，在矿产储量表中单独列</w:t>
      </w:r>
      <w:r>
        <w:t>出。</w:t>
      </w:r>
    </w:p>
    <w:p>
      <w:pPr>
        <w:pStyle w:val="BodyText"/>
        <w:ind w:left="1119"/>
      </w:pPr>
      <w:r>
        <w:t>经济可采储量是从开采的经济效益出发，在具体地质、技术、经</w:t>
      </w:r>
    </w:p>
    <w:p>
      <w:pPr>
        <w:pStyle w:val="BodyText"/>
        <w:spacing w:before="6" w:line="930" w:lineRule="atLeast"/>
        <w:ind w:right="280"/>
      </w:pPr>
      <w:r>
        <w:rPr>
          <w:spacing w:val="-19"/>
        </w:rPr>
        <w:t xml:space="preserve">济条件下，可供开采利用的储量，煤层厚度虽符合表 </w:t>
      </w:r>
      <w:r>
        <w:rPr>
          <w:rFonts w:ascii="Arial" w:eastAsia="Arial"/>
        </w:rPr>
        <w:t>1</w:t>
      </w:r>
      <w:r>
        <w:rPr>
          <w:rFonts w:ascii="Arial" w:eastAsia="Arial"/>
          <w:spacing w:val="-16"/>
        </w:rPr>
        <w:t xml:space="preserve"> </w:t>
      </w:r>
      <w:r>
        <w:rPr>
          <w:spacing w:val="-36"/>
        </w:rPr>
        <w:t xml:space="preserve">和表 </w:t>
      </w:r>
      <w:r>
        <w:rPr>
          <w:rFonts w:ascii="Arial" w:eastAsia="Arial"/>
        </w:rPr>
        <w:t>2</w:t>
      </w:r>
      <w:r>
        <w:rPr>
          <w:rFonts w:ascii="Arial" w:eastAsia="Arial"/>
          <w:spacing w:val="-13"/>
        </w:rPr>
        <w:t xml:space="preserve"> </w:t>
      </w:r>
      <w:r>
        <w:t>中所列</w:t>
      </w:r>
      <w:r>
        <w:rPr>
          <w:spacing w:val="-1"/>
        </w:rPr>
        <w:t>指标，但由于灰分高、没有销路的低劣质煤以及开采条件复杂、采后</w:t>
      </w:r>
    </w:p>
    <w:p>
      <w:pPr>
        <w:spacing w:before="284"/>
        <w:ind w:left="0" w:right="178" w:firstLine="0"/>
        <w:jc w:val="center"/>
        <w:rPr>
          <w:rFonts w:ascii="Arial"/>
          <w:sz w:val="31"/>
        </w:rPr>
      </w:pPr>
      <w:r>
        <w:rPr>
          <w:rFonts w:ascii="Arial"/>
          <w:w w:val="91"/>
          <w:sz w:val="31"/>
        </w:rPr>
        <w:t>4</w:t>
      </w:r>
    </w:p>
    <w:p>
      <w:pPr>
        <w:spacing w:after="0"/>
        <w:jc w:val="center"/>
        <w:rPr>
          <w:rFonts w:ascii="Arial"/>
          <w:sz w:val="31"/>
        </w:rPr>
        <w:sectPr>
          <w:footerReference w:type="default" r:id="rId10"/>
          <w:pgSz w:w="17860" w:h="25260"/>
          <w:pgMar w:top="1940" w:right="2240" w:bottom="280" w:left="2420" w:header="0" w:footer="0"/>
          <w:pgNumType w:start="5"/>
          <w:cols w:space="708"/>
        </w:sectPr>
      </w:pPr>
    </w:p>
    <w:p>
      <w:pPr>
        <w:pStyle w:val="BodyText"/>
        <w:spacing w:before="20" w:line="417" w:lineRule="auto"/>
        <w:ind w:right="439"/>
      </w:pPr>
      <w:r>
        <w:rPr>
          <w:spacing w:val="-15"/>
        </w:rPr>
        <w:t>亏损严重的煤层，原则上可以不采。如与优质煤配采可取得较好的经</w:t>
      </w:r>
      <w:r>
        <w:t>济效益时，应进行配采。</w:t>
      </w:r>
    </w:p>
    <w:p>
      <w:pPr>
        <w:pStyle w:val="BodyText"/>
        <w:spacing w:line="417" w:lineRule="auto"/>
        <w:ind w:right="280" w:firstLine="838"/>
      </w:pPr>
      <w:r>
        <w:rPr>
          <w:spacing w:val="-7"/>
        </w:rPr>
        <w:t>新建矿井经济可采储量的煤层可采厚度下限与煤质指标，由设计</w:t>
      </w:r>
      <w:r>
        <w:rPr>
          <w:spacing w:val="-16"/>
        </w:rPr>
        <w:t>部门综合考虑矿井的地质开采条件、洗选和加工利用、地理位置和外</w:t>
      </w:r>
      <w:r>
        <w:rPr>
          <w:spacing w:val="-21"/>
        </w:rPr>
        <w:t>运条件以及市场销售和煤价等因素，通过可行性研究后选定，经技术咨询部门进行评估审议，报部或省（区）煤炭局（厅、公司）</w:t>
      </w:r>
      <w:r>
        <w:rPr>
          <w:spacing w:val="-20"/>
        </w:rPr>
        <w:t>审定批</w:t>
      </w:r>
      <w:r>
        <w:t>准。</w:t>
      </w:r>
    </w:p>
    <w:p>
      <w:pPr>
        <w:pStyle w:val="BodyText"/>
        <w:spacing w:line="417" w:lineRule="auto"/>
        <w:ind w:right="280" w:firstLine="838"/>
      </w:pPr>
      <w:r>
        <w:t>现有生产矿井经济可采储量由开采单位进行可行性研究后，经技术咨询部门进行评估审议，省（区）煤炭局（厅、公司）平衡确定， 报部备案。</w:t>
      </w:r>
    </w:p>
    <w:p>
      <w:pPr>
        <w:pStyle w:val="BodyText"/>
        <w:spacing w:line="417" w:lineRule="auto"/>
        <w:ind w:right="452" w:firstLine="838"/>
      </w:pPr>
      <w:r>
        <w:rPr>
          <w:spacing w:val="-14"/>
        </w:rPr>
        <w:t>对主焦煤、肥煤以及本地区的稀缺煤种和优质煤种，要实行保护</w:t>
      </w:r>
      <w:r>
        <w:t>政策，不得乱采乱掘，优质劣用。</w:t>
      </w:r>
    </w:p>
    <w:p>
      <w:pPr>
        <w:pStyle w:val="BodyText"/>
        <w:spacing w:line="417" w:lineRule="auto"/>
        <w:ind w:right="445" w:firstLine="838"/>
      </w:pPr>
      <w:r>
        <w:rPr>
          <w:spacing w:val="-14"/>
        </w:rPr>
        <w:t>各局、矿因特殊需要开采的非经济可采储量，可不列入指令性计</w:t>
      </w:r>
      <w:r>
        <w:t>划。</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4 </w:t>
      </w:r>
      <w:r>
        <w:rPr>
          <w:rFonts w:ascii="黑体" w:eastAsia="黑体" w:hint="eastAsia"/>
        </w:rPr>
        <w:t>条地质勘探程度和质量</w:t>
      </w:r>
    </w:p>
    <w:p>
      <w:pPr>
        <w:pStyle w:val="BodyText"/>
        <w:spacing w:before="395" w:line="417" w:lineRule="auto"/>
        <w:ind w:right="459" w:firstLine="838"/>
      </w:pPr>
      <w:r>
        <w:rPr>
          <w:spacing w:val="-10"/>
        </w:rPr>
        <w:t>地质勘探工作必须正确掌握勘探程度，保证勘探工程质量，注重</w:t>
      </w:r>
      <w:r>
        <w:t>地质效果，讲究经济效益。</w:t>
      </w:r>
    </w:p>
    <w:p>
      <w:pPr>
        <w:pStyle w:val="BodyText"/>
        <w:spacing w:line="417" w:lineRule="auto"/>
        <w:ind w:right="280" w:firstLine="838"/>
      </w:pPr>
      <w:r>
        <w:t xml:space="preserve">精查勘探应着重查明第一水平和初期采区的地质条件和开采技 </w:t>
      </w:r>
      <w:r>
        <w:rPr>
          <w:spacing w:val="-14"/>
        </w:rPr>
        <w:t>术条件；要加强水文地质和瓦斯地质工作；全井田工作程度应保证井</w:t>
      </w:r>
      <w:r>
        <w:rPr>
          <w:spacing w:val="-15"/>
        </w:rPr>
        <w:t>田境界、矿井井型以及煤的既定工业用途不致因地质资料而发生重大</w:t>
      </w:r>
      <w:r>
        <w:rPr>
          <w:spacing w:val="-16"/>
        </w:rPr>
        <w:t xml:space="preserve">变化，并满足矿井合理开拓部署的需要。老矿扩建延深的地质勘探， </w:t>
      </w:r>
      <w:r>
        <w:rPr>
          <w:spacing w:val="-10"/>
        </w:rPr>
        <w:t>要在对已有地质资料分析研究的基础上，解决需要查明的主要地质问</w:t>
      </w:r>
    </w:p>
    <w:p>
      <w:pPr>
        <w:spacing w:after="0" w:line="417" w:lineRule="auto"/>
        <w:sectPr>
          <w:footerReference w:type="default" r:id="rId11"/>
          <w:pgSz w:w="17860" w:h="25260"/>
          <w:pgMar w:top="1960" w:right="2240" w:bottom="2400" w:left="2420" w:header="0" w:footer="2213"/>
          <w:pgNumType w:start="5"/>
          <w:cols w:space="708"/>
        </w:sectPr>
      </w:pPr>
    </w:p>
    <w:p>
      <w:pPr>
        <w:pStyle w:val="BodyText"/>
        <w:spacing w:before="20"/>
      </w:pPr>
      <w:r>
        <w:t>题，满足扩建延深设计的需要。</w:t>
      </w:r>
    </w:p>
    <w:p>
      <w:pPr>
        <w:pStyle w:val="BodyText"/>
        <w:spacing w:before="1"/>
        <w:ind w:left="0"/>
        <w:rPr>
          <w:sz w:val="31"/>
        </w:rPr>
      </w:pPr>
    </w:p>
    <w:p>
      <w:pPr>
        <w:pStyle w:val="BodyText"/>
        <w:ind w:left="0" w:right="4622"/>
        <w:jc w:val="right"/>
      </w:pPr>
      <w:r>
        <w:t xml:space="preserve">精查报告各类井型高级储量要求见表 </w:t>
      </w:r>
      <w:r>
        <w:rPr>
          <w:rFonts w:ascii="Arial" w:eastAsia="Arial"/>
        </w:rPr>
        <w:t>3</w:t>
      </w:r>
      <w:r>
        <w:t>。</w:t>
      </w:r>
    </w:p>
    <w:p>
      <w:pPr>
        <w:tabs>
          <w:tab w:val="left" w:pos="993"/>
        </w:tabs>
        <w:spacing w:before="373"/>
        <w:ind w:left="0" w:right="4578" w:firstLine="0"/>
        <w:jc w:val="right"/>
        <w:rPr>
          <w:b/>
          <w:sz w:val="36"/>
        </w:rPr>
      </w:pPr>
      <w:r>
        <w:pict>
          <v:group id="_x0000_s1060" style="width:651pt;height:236pt;margin-top:47.36pt;margin-left:121pt;mso-position-horizontal-relative:page;position:absolute;z-index:-251657216" coordorigin="2420,947" coordsize="13020,4720">
            <v:shape id="_x0000_s1061" type="#_x0000_t75" style="width:13020;height:4720;left:2420;position:absolute;top:947" stroked="f">
              <v:imagedata r:id="rId12" o:title=""/>
            </v:shape>
            <v:shape id="_x0000_s1062" type="#_x0000_t202" style="width:1288;height:1131;left:2610;position:absolute;top:1980" filled="f" stroked="f">
              <v:textbox inset="0,0,0,0">
                <w:txbxContent>
                  <w:p>
                    <w:pPr>
                      <w:spacing w:before="0" w:line="359" w:lineRule="exact"/>
                      <w:ind w:left="0" w:right="0" w:firstLine="0"/>
                      <w:jc w:val="left"/>
                      <w:rPr>
                        <w:sz w:val="31"/>
                      </w:rPr>
                    </w:pPr>
                    <w:r>
                      <w:rPr>
                        <w:sz w:val="31"/>
                      </w:rPr>
                      <w:t>储量</w:t>
                    </w:r>
                  </w:p>
                  <w:p>
                    <w:pPr>
                      <w:spacing w:before="9"/>
                      <w:ind w:left="0" w:right="0" w:firstLine="0"/>
                      <w:jc w:val="left"/>
                      <w:rPr>
                        <w:sz w:val="31"/>
                      </w:rPr>
                    </w:pPr>
                    <w:r>
                      <w:rPr>
                        <w:sz w:val="31"/>
                      </w:rPr>
                      <w:t>级别比例</w:t>
                    </w:r>
                  </w:p>
                  <w:p>
                    <w:pPr>
                      <w:spacing w:before="10" w:line="355" w:lineRule="exact"/>
                      <w:ind w:left="0" w:right="0" w:firstLine="0"/>
                      <w:jc w:val="left"/>
                      <w:rPr>
                        <w:sz w:val="31"/>
                      </w:rPr>
                    </w:pPr>
                    <w:r>
                      <w:rPr>
                        <w:sz w:val="31"/>
                      </w:rPr>
                      <w:t>（</w:t>
                    </w:r>
                    <w:r>
                      <w:rPr>
                        <w:rFonts w:ascii="Arial" w:eastAsia="Arial"/>
                        <w:sz w:val="31"/>
                      </w:rPr>
                      <w:t>%</w:t>
                    </w:r>
                    <w:r>
                      <w:rPr>
                        <w:sz w:val="31"/>
                      </w:rPr>
                      <w:t>）</w:t>
                    </w:r>
                  </w:p>
                </w:txbxContent>
              </v:textbox>
            </v:shape>
            <v:shape id="_x0000_s1063" type="#_x0000_t202" style="width:1604;height:1656;left:4882;position:absolute;top:1048" filled="f" stroked="f">
              <v:textbox inset="0,0,0,0">
                <w:txbxContent>
                  <w:p>
                    <w:pPr>
                      <w:spacing w:before="0" w:line="359" w:lineRule="exact"/>
                      <w:ind w:left="0" w:right="18" w:firstLine="0"/>
                      <w:jc w:val="right"/>
                      <w:rPr>
                        <w:sz w:val="31"/>
                      </w:rPr>
                    </w:pPr>
                    <w:r>
                      <w:rPr>
                        <w:spacing w:val="-4"/>
                        <w:sz w:val="31"/>
                      </w:rPr>
                      <w:t>地质及开采</w:t>
                    </w:r>
                  </w:p>
                  <w:p>
                    <w:pPr>
                      <w:spacing w:before="24"/>
                      <w:ind w:left="0" w:right="20" w:firstLine="0"/>
                      <w:jc w:val="right"/>
                      <w:rPr>
                        <w:sz w:val="31"/>
                      </w:rPr>
                    </w:pPr>
                    <w:r>
                      <w:rPr>
                        <w:sz w:val="31"/>
                      </w:rPr>
                      <w:t>条件</w:t>
                    </w:r>
                  </w:p>
                  <w:p>
                    <w:pPr>
                      <w:spacing w:before="114"/>
                      <w:ind w:left="406" w:right="0" w:firstLine="0"/>
                      <w:jc w:val="left"/>
                      <w:rPr>
                        <w:sz w:val="31"/>
                      </w:rPr>
                    </w:pPr>
                    <w:r>
                      <w:rPr>
                        <w:w w:val="102"/>
                        <w:sz w:val="31"/>
                      </w:rPr>
                      <w:t>井</w:t>
                    </w:r>
                  </w:p>
                  <w:p>
                    <w:pPr>
                      <w:spacing w:before="9" w:line="355" w:lineRule="exact"/>
                      <w:ind w:left="983" w:right="0" w:firstLine="0"/>
                      <w:jc w:val="left"/>
                      <w:rPr>
                        <w:sz w:val="31"/>
                      </w:rPr>
                    </w:pPr>
                    <w:r>
                      <w:rPr>
                        <w:w w:val="102"/>
                        <w:sz w:val="31"/>
                      </w:rPr>
                      <w:t>型</w:t>
                    </w:r>
                  </w:p>
                </w:txbxContent>
              </v:textbox>
            </v:shape>
            <v:shape id="_x0000_s1064" type="#_x0000_t202" style="width:3883;height:2432;left:2610;position:absolute;top:3179" filled="f" stroked="f">
              <v:textbox inset="0,0,0,0">
                <w:txbxContent>
                  <w:p>
                    <w:pPr>
                      <w:spacing w:before="2" w:line="247" w:lineRule="auto"/>
                      <w:ind w:left="0" w:right="18" w:firstLine="0"/>
                      <w:jc w:val="left"/>
                      <w:rPr>
                        <w:rFonts w:ascii="Arial" w:eastAsia="Arial"/>
                        <w:sz w:val="31"/>
                      </w:rPr>
                    </w:pPr>
                    <w:r>
                      <w:rPr>
                        <w:sz w:val="31"/>
                      </w:rPr>
                      <w:t>井田内</w:t>
                    </w:r>
                    <w:r>
                      <w:rPr>
                        <w:rFonts w:ascii="Arial" w:eastAsia="Arial"/>
                        <w:sz w:val="31"/>
                      </w:rPr>
                      <w:t>A+B</w:t>
                    </w:r>
                    <w:r>
                      <w:rPr>
                        <w:sz w:val="31"/>
                      </w:rPr>
                      <w:t>级储量总量的比例，</w:t>
                    </w:r>
                    <w:r>
                      <w:rPr>
                        <w:rFonts w:ascii="Arial" w:eastAsia="Arial"/>
                        <w:sz w:val="31"/>
                      </w:rPr>
                      <w:t>%</w:t>
                    </w:r>
                  </w:p>
                  <w:p>
                    <w:pPr>
                      <w:spacing w:before="14" w:line="247" w:lineRule="auto"/>
                      <w:ind w:left="0" w:right="18" w:firstLine="0"/>
                      <w:jc w:val="left"/>
                      <w:rPr>
                        <w:rFonts w:ascii="Arial" w:eastAsia="Arial"/>
                        <w:sz w:val="31"/>
                      </w:rPr>
                    </w:pPr>
                    <w:r>
                      <w:rPr>
                        <w:sz w:val="31"/>
                      </w:rPr>
                      <w:t>第一水平</w:t>
                    </w:r>
                    <w:r>
                      <w:rPr>
                        <w:rFonts w:ascii="Arial" w:eastAsia="Arial"/>
                        <w:sz w:val="31"/>
                      </w:rPr>
                      <w:t>A+B</w:t>
                    </w:r>
                    <w:r>
                      <w:rPr>
                        <w:sz w:val="31"/>
                      </w:rPr>
                      <w:t>级储量占本水平储量的比例，</w:t>
                    </w:r>
                    <w:r>
                      <w:rPr>
                        <w:rFonts w:ascii="Arial" w:eastAsia="Arial"/>
                        <w:sz w:val="31"/>
                      </w:rPr>
                      <w:t>%</w:t>
                    </w:r>
                  </w:p>
                  <w:p>
                    <w:pPr>
                      <w:spacing w:before="1" w:line="410" w:lineRule="atLeast"/>
                      <w:ind w:left="0" w:right="18" w:firstLine="0"/>
                      <w:jc w:val="left"/>
                      <w:rPr>
                        <w:rFonts w:ascii="Arial" w:eastAsia="Arial"/>
                        <w:sz w:val="31"/>
                      </w:rPr>
                    </w:pPr>
                    <w:r>
                      <w:rPr>
                        <w:spacing w:val="17"/>
                        <w:sz w:val="31"/>
                      </w:rPr>
                      <w:t>第一水平</w:t>
                    </w:r>
                    <w:r>
                      <w:rPr>
                        <w:rFonts w:ascii="Arial" w:eastAsia="Arial"/>
                        <w:sz w:val="31"/>
                      </w:rPr>
                      <w:t>A</w:t>
                    </w:r>
                    <w:r>
                      <w:rPr>
                        <w:rFonts w:ascii="Arial" w:eastAsia="Arial"/>
                        <w:spacing w:val="68"/>
                        <w:sz w:val="31"/>
                      </w:rPr>
                      <w:t xml:space="preserve"> </w:t>
                    </w:r>
                    <w:r>
                      <w:rPr>
                        <w:spacing w:val="-3"/>
                        <w:sz w:val="31"/>
                      </w:rPr>
                      <w:t>级储量占本水平</w:t>
                    </w:r>
                    <w:r>
                      <w:rPr>
                        <w:spacing w:val="-1"/>
                        <w:sz w:val="31"/>
                      </w:rPr>
                      <w:t>储量的比例，</w:t>
                    </w:r>
                    <w:r>
                      <w:rPr>
                        <w:rFonts w:ascii="Arial" w:eastAsia="Arial"/>
                        <w:spacing w:val="-4"/>
                        <w:sz w:val="31"/>
                      </w:rPr>
                      <w:t>%</w:t>
                    </w:r>
                  </w:p>
                </w:txbxContent>
              </v:textbox>
            </v:shape>
          </v:group>
        </w:pict>
      </w:r>
      <w:r>
        <w:rPr>
          <w:b/>
          <w:sz w:val="36"/>
        </w:rPr>
        <w:t>表</w:t>
      </w:r>
      <w:r>
        <w:rPr>
          <w:b/>
          <w:spacing w:val="-94"/>
          <w:sz w:val="36"/>
        </w:rPr>
        <w:t xml:space="preserve"> </w:t>
      </w:r>
      <w:r>
        <w:rPr>
          <w:rFonts w:ascii="Arial" w:eastAsia="Arial"/>
          <w:b/>
          <w:sz w:val="36"/>
        </w:rPr>
        <w:t>3</w:t>
        <w:tab/>
      </w:r>
      <w:r>
        <w:rPr>
          <w:b/>
          <w:w w:val="95"/>
          <w:sz w:val="36"/>
        </w:rPr>
        <w:t>矿井高级储量比例表</w:t>
      </w:r>
    </w:p>
    <w:p>
      <w:pPr>
        <w:pStyle w:val="BodyText"/>
        <w:ind w:left="0"/>
        <w:rPr>
          <w:b/>
          <w:sz w:val="20"/>
        </w:rPr>
      </w:pPr>
    </w:p>
    <w:p>
      <w:pPr>
        <w:pStyle w:val="BodyText"/>
        <w:spacing w:before="7"/>
        <w:ind w:left="0"/>
        <w:rPr>
          <w:b/>
          <w:sz w:val="24"/>
        </w:rPr>
      </w:pPr>
    </w:p>
    <w:tbl>
      <w:tblPr>
        <w:tblStyle w:val="TableNormal0"/>
        <w:tblW w:w="0" w:type="auto"/>
        <w:jc w:val="left"/>
        <w:tblInd w:w="44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030"/>
        <w:gridCol w:w="952"/>
        <w:gridCol w:w="1048"/>
        <w:gridCol w:w="1062"/>
        <w:gridCol w:w="1064"/>
        <w:gridCol w:w="1065"/>
        <w:gridCol w:w="851"/>
        <w:gridCol w:w="1378"/>
      </w:tblGrid>
      <w:tr>
        <w:tblPrEx>
          <w:tblW w:w="0" w:type="auto"/>
          <w:jc w:val="left"/>
          <w:tblInd w:w="44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6"/>
          <w:jc w:val="left"/>
        </w:trPr>
        <w:tc>
          <w:tcPr>
            <w:tcW w:w="1982" w:type="dxa"/>
            <w:gridSpan w:val="2"/>
          </w:tcPr>
          <w:p>
            <w:pPr>
              <w:pStyle w:val="TableParagraph"/>
              <w:spacing w:line="297" w:lineRule="exact"/>
              <w:ind w:left="1079"/>
              <w:rPr>
                <w:sz w:val="31"/>
              </w:rPr>
            </w:pPr>
            <w:r>
              <w:rPr>
                <w:sz w:val="31"/>
              </w:rPr>
              <w:t>简单</w:t>
            </w:r>
          </w:p>
        </w:tc>
        <w:tc>
          <w:tcPr>
            <w:tcW w:w="3174" w:type="dxa"/>
            <w:gridSpan w:val="3"/>
          </w:tcPr>
          <w:p>
            <w:pPr>
              <w:pStyle w:val="TableParagraph"/>
              <w:spacing w:line="297" w:lineRule="exact"/>
              <w:ind w:right="214"/>
              <w:jc w:val="right"/>
              <w:rPr>
                <w:sz w:val="31"/>
              </w:rPr>
            </w:pPr>
            <w:r>
              <w:rPr>
                <w:sz w:val="31"/>
              </w:rPr>
              <w:t>中等</w:t>
            </w:r>
          </w:p>
        </w:tc>
        <w:tc>
          <w:tcPr>
            <w:tcW w:w="3294" w:type="dxa"/>
            <w:gridSpan w:val="3"/>
          </w:tcPr>
          <w:p>
            <w:pPr>
              <w:pStyle w:val="TableParagraph"/>
              <w:spacing w:line="297" w:lineRule="exact"/>
              <w:ind w:left="1915"/>
              <w:rPr>
                <w:sz w:val="31"/>
              </w:rPr>
            </w:pPr>
            <w:r>
              <w:rPr>
                <w:sz w:val="31"/>
              </w:rPr>
              <w:t>复杂</w:t>
            </w:r>
          </w:p>
        </w:tc>
      </w:tr>
      <w:tr>
        <w:tblPrEx>
          <w:tblW w:w="0" w:type="auto"/>
          <w:jc w:val="left"/>
          <w:tblInd w:w="4443" w:type="dxa"/>
          <w:tblLayout w:type="fixed"/>
          <w:tblCellMar>
            <w:top w:w="0" w:type="dxa"/>
            <w:left w:w="0" w:type="dxa"/>
            <w:bottom w:w="0" w:type="dxa"/>
            <w:right w:w="0" w:type="dxa"/>
          </w:tblCellMar>
          <w:tblLook w:val="01E0"/>
        </w:tblPrEx>
        <w:trPr>
          <w:trHeight w:val="1375"/>
          <w:jc w:val="left"/>
        </w:trPr>
        <w:tc>
          <w:tcPr>
            <w:tcW w:w="1030" w:type="dxa"/>
          </w:tcPr>
          <w:p>
            <w:pPr>
              <w:pStyle w:val="TableParagraph"/>
              <w:rPr>
                <w:b/>
                <w:sz w:val="32"/>
              </w:rPr>
            </w:pPr>
          </w:p>
          <w:p>
            <w:pPr>
              <w:pStyle w:val="TableParagraph"/>
              <w:spacing w:before="2"/>
              <w:rPr>
                <w:b/>
                <w:sz w:val="25"/>
              </w:rPr>
            </w:pPr>
          </w:p>
          <w:p>
            <w:pPr>
              <w:pStyle w:val="TableParagraph"/>
              <w:ind w:left="38" w:right="332"/>
              <w:jc w:val="center"/>
              <w:rPr>
                <w:sz w:val="31"/>
              </w:rPr>
            </w:pPr>
            <w:r>
              <w:rPr>
                <w:sz w:val="31"/>
              </w:rPr>
              <w:t>大型</w:t>
            </w:r>
          </w:p>
        </w:tc>
        <w:tc>
          <w:tcPr>
            <w:tcW w:w="952" w:type="dxa"/>
          </w:tcPr>
          <w:p>
            <w:pPr>
              <w:pStyle w:val="TableParagraph"/>
              <w:rPr>
                <w:b/>
                <w:sz w:val="32"/>
              </w:rPr>
            </w:pPr>
          </w:p>
          <w:p>
            <w:pPr>
              <w:pStyle w:val="TableParagraph"/>
              <w:spacing w:before="2"/>
              <w:rPr>
                <w:b/>
                <w:sz w:val="25"/>
              </w:rPr>
            </w:pPr>
          </w:p>
          <w:p>
            <w:pPr>
              <w:pStyle w:val="TableParagraph"/>
              <w:ind w:left="106" w:right="186"/>
              <w:jc w:val="center"/>
              <w:rPr>
                <w:sz w:val="31"/>
              </w:rPr>
            </w:pPr>
            <w:r>
              <w:rPr>
                <w:sz w:val="31"/>
              </w:rPr>
              <w:t>中型</w:t>
            </w:r>
          </w:p>
        </w:tc>
        <w:tc>
          <w:tcPr>
            <w:tcW w:w="1048" w:type="dxa"/>
          </w:tcPr>
          <w:p>
            <w:pPr>
              <w:pStyle w:val="TableParagraph"/>
              <w:rPr>
                <w:b/>
                <w:sz w:val="32"/>
              </w:rPr>
            </w:pPr>
          </w:p>
          <w:p>
            <w:pPr>
              <w:pStyle w:val="TableParagraph"/>
              <w:spacing w:before="2"/>
              <w:rPr>
                <w:b/>
                <w:sz w:val="25"/>
              </w:rPr>
            </w:pPr>
          </w:p>
          <w:p>
            <w:pPr>
              <w:pStyle w:val="TableParagraph"/>
              <w:ind w:left="187" w:right="200"/>
              <w:jc w:val="center"/>
              <w:rPr>
                <w:sz w:val="31"/>
              </w:rPr>
            </w:pPr>
            <w:r>
              <w:rPr>
                <w:sz w:val="31"/>
              </w:rPr>
              <w:t>小型</w:t>
            </w:r>
          </w:p>
        </w:tc>
        <w:tc>
          <w:tcPr>
            <w:tcW w:w="1062" w:type="dxa"/>
          </w:tcPr>
          <w:p>
            <w:pPr>
              <w:pStyle w:val="TableParagraph"/>
              <w:rPr>
                <w:b/>
                <w:sz w:val="32"/>
              </w:rPr>
            </w:pPr>
          </w:p>
          <w:p>
            <w:pPr>
              <w:pStyle w:val="TableParagraph"/>
              <w:spacing w:before="2"/>
              <w:rPr>
                <w:b/>
                <w:sz w:val="25"/>
              </w:rPr>
            </w:pPr>
          </w:p>
          <w:p>
            <w:pPr>
              <w:pStyle w:val="TableParagraph"/>
              <w:ind w:left="201" w:right="201"/>
              <w:jc w:val="center"/>
              <w:rPr>
                <w:sz w:val="31"/>
              </w:rPr>
            </w:pPr>
            <w:r>
              <w:rPr>
                <w:sz w:val="31"/>
              </w:rPr>
              <w:t>大型</w:t>
            </w:r>
          </w:p>
        </w:tc>
        <w:tc>
          <w:tcPr>
            <w:tcW w:w="1064" w:type="dxa"/>
          </w:tcPr>
          <w:p>
            <w:pPr>
              <w:pStyle w:val="TableParagraph"/>
              <w:rPr>
                <w:b/>
                <w:sz w:val="32"/>
              </w:rPr>
            </w:pPr>
          </w:p>
          <w:p>
            <w:pPr>
              <w:pStyle w:val="TableParagraph"/>
              <w:spacing w:before="2"/>
              <w:rPr>
                <w:b/>
                <w:sz w:val="25"/>
              </w:rPr>
            </w:pPr>
          </w:p>
          <w:p>
            <w:pPr>
              <w:pStyle w:val="TableParagraph"/>
              <w:ind w:left="202" w:right="202"/>
              <w:jc w:val="center"/>
              <w:rPr>
                <w:sz w:val="31"/>
              </w:rPr>
            </w:pPr>
            <w:r>
              <w:rPr>
                <w:sz w:val="31"/>
              </w:rPr>
              <w:t>中型</w:t>
            </w:r>
          </w:p>
        </w:tc>
        <w:tc>
          <w:tcPr>
            <w:tcW w:w="1065" w:type="dxa"/>
          </w:tcPr>
          <w:p>
            <w:pPr>
              <w:pStyle w:val="TableParagraph"/>
              <w:rPr>
                <w:b/>
                <w:sz w:val="32"/>
              </w:rPr>
            </w:pPr>
          </w:p>
          <w:p>
            <w:pPr>
              <w:pStyle w:val="TableParagraph"/>
              <w:spacing w:before="2"/>
              <w:rPr>
                <w:b/>
                <w:sz w:val="25"/>
              </w:rPr>
            </w:pPr>
          </w:p>
          <w:p>
            <w:pPr>
              <w:pStyle w:val="TableParagraph"/>
              <w:ind w:left="202" w:right="202"/>
              <w:jc w:val="center"/>
              <w:rPr>
                <w:sz w:val="31"/>
              </w:rPr>
            </w:pPr>
            <w:r>
              <w:rPr>
                <w:sz w:val="31"/>
              </w:rPr>
              <w:t>小型</w:t>
            </w:r>
          </w:p>
        </w:tc>
        <w:tc>
          <w:tcPr>
            <w:tcW w:w="851" w:type="dxa"/>
          </w:tcPr>
          <w:p>
            <w:pPr>
              <w:pStyle w:val="TableParagraph"/>
              <w:rPr>
                <w:b/>
                <w:sz w:val="32"/>
              </w:rPr>
            </w:pPr>
          </w:p>
          <w:p>
            <w:pPr>
              <w:pStyle w:val="TableParagraph"/>
              <w:spacing w:before="2"/>
              <w:rPr>
                <w:b/>
                <w:sz w:val="25"/>
              </w:rPr>
            </w:pPr>
          </w:p>
          <w:p>
            <w:pPr>
              <w:pStyle w:val="TableParagraph"/>
              <w:ind w:left="209"/>
              <w:jc w:val="center"/>
              <w:rPr>
                <w:sz w:val="31"/>
              </w:rPr>
            </w:pPr>
            <w:r>
              <w:rPr>
                <w:sz w:val="31"/>
              </w:rPr>
              <w:t>中型</w:t>
            </w:r>
          </w:p>
        </w:tc>
        <w:tc>
          <w:tcPr>
            <w:tcW w:w="1378" w:type="dxa"/>
          </w:tcPr>
          <w:p>
            <w:pPr>
              <w:pStyle w:val="TableParagraph"/>
              <w:rPr>
                <w:b/>
                <w:sz w:val="32"/>
              </w:rPr>
            </w:pPr>
          </w:p>
          <w:p>
            <w:pPr>
              <w:pStyle w:val="TableParagraph"/>
              <w:spacing w:before="2"/>
              <w:rPr>
                <w:b/>
                <w:sz w:val="25"/>
              </w:rPr>
            </w:pPr>
          </w:p>
          <w:p>
            <w:pPr>
              <w:pStyle w:val="TableParagraph"/>
              <w:ind w:left="364" w:right="44"/>
              <w:jc w:val="center"/>
              <w:rPr>
                <w:sz w:val="31"/>
              </w:rPr>
            </w:pPr>
            <w:r>
              <w:rPr>
                <w:sz w:val="31"/>
              </w:rPr>
              <w:t>小型</w:t>
            </w:r>
          </w:p>
        </w:tc>
      </w:tr>
      <w:tr>
        <w:tblPrEx>
          <w:tblW w:w="0" w:type="auto"/>
          <w:jc w:val="left"/>
          <w:tblInd w:w="4443" w:type="dxa"/>
          <w:tblLayout w:type="fixed"/>
          <w:tblCellMar>
            <w:top w:w="0" w:type="dxa"/>
            <w:left w:w="0" w:type="dxa"/>
            <w:bottom w:w="0" w:type="dxa"/>
            <w:right w:w="0" w:type="dxa"/>
          </w:tblCellMar>
          <w:tblLook w:val="01E0"/>
        </w:tblPrEx>
        <w:trPr>
          <w:trHeight w:val="779"/>
          <w:jc w:val="left"/>
        </w:trPr>
        <w:tc>
          <w:tcPr>
            <w:tcW w:w="1030" w:type="dxa"/>
          </w:tcPr>
          <w:p>
            <w:pPr>
              <w:pStyle w:val="TableParagraph"/>
              <w:spacing w:before="1"/>
              <w:rPr>
                <w:b/>
                <w:sz w:val="24"/>
              </w:rPr>
            </w:pPr>
          </w:p>
          <w:p>
            <w:pPr>
              <w:pStyle w:val="TableParagraph"/>
              <w:ind w:left="31" w:right="332"/>
              <w:jc w:val="center"/>
              <w:rPr>
                <w:rFonts w:ascii="Arial"/>
                <w:sz w:val="31"/>
              </w:rPr>
            </w:pPr>
            <w:r>
              <w:rPr>
                <w:rFonts w:ascii="Arial"/>
                <w:sz w:val="31"/>
              </w:rPr>
              <w:t>40</w:t>
            </w:r>
          </w:p>
        </w:tc>
        <w:tc>
          <w:tcPr>
            <w:tcW w:w="952" w:type="dxa"/>
          </w:tcPr>
          <w:p>
            <w:pPr>
              <w:pStyle w:val="TableParagraph"/>
              <w:spacing w:before="1"/>
              <w:rPr>
                <w:b/>
                <w:sz w:val="24"/>
              </w:rPr>
            </w:pPr>
          </w:p>
          <w:p>
            <w:pPr>
              <w:pStyle w:val="TableParagraph"/>
              <w:ind w:left="105" w:right="186"/>
              <w:jc w:val="center"/>
              <w:rPr>
                <w:rFonts w:ascii="Arial"/>
                <w:sz w:val="31"/>
              </w:rPr>
            </w:pPr>
            <w:r>
              <w:rPr>
                <w:rFonts w:ascii="Arial"/>
                <w:sz w:val="31"/>
              </w:rPr>
              <w:t>35</w:t>
            </w:r>
          </w:p>
        </w:tc>
        <w:tc>
          <w:tcPr>
            <w:tcW w:w="1048" w:type="dxa"/>
          </w:tcPr>
          <w:p>
            <w:pPr>
              <w:pStyle w:val="TableParagraph"/>
              <w:spacing w:before="1"/>
              <w:rPr>
                <w:b/>
                <w:sz w:val="24"/>
              </w:rPr>
            </w:pPr>
          </w:p>
          <w:p>
            <w:pPr>
              <w:pStyle w:val="TableParagraph"/>
              <w:ind w:left="179" w:right="200"/>
              <w:jc w:val="center"/>
              <w:rPr>
                <w:rFonts w:ascii="Arial"/>
                <w:sz w:val="31"/>
              </w:rPr>
            </w:pPr>
            <w:r>
              <w:rPr>
                <w:rFonts w:ascii="Arial"/>
                <w:sz w:val="31"/>
              </w:rPr>
              <w:t>25</w:t>
            </w:r>
          </w:p>
        </w:tc>
        <w:tc>
          <w:tcPr>
            <w:tcW w:w="1062" w:type="dxa"/>
          </w:tcPr>
          <w:p>
            <w:pPr>
              <w:pStyle w:val="TableParagraph"/>
              <w:spacing w:before="1"/>
              <w:rPr>
                <w:b/>
                <w:sz w:val="24"/>
              </w:rPr>
            </w:pPr>
          </w:p>
          <w:p>
            <w:pPr>
              <w:pStyle w:val="TableParagraph"/>
              <w:ind w:left="194" w:right="201"/>
              <w:jc w:val="center"/>
              <w:rPr>
                <w:rFonts w:ascii="Arial"/>
                <w:sz w:val="31"/>
              </w:rPr>
            </w:pPr>
            <w:r>
              <w:rPr>
                <w:rFonts w:ascii="Arial"/>
                <w:sz w:val="31"/>
              </w:rPr>
              <w:t>35</w:t>
            </w:r>
          </w:p>
        </w:tc>
        <w:tc>
          <w:tcPr>
            <w:tcW w:w="1064" w:type="dxa"/>
          </w:tcPr>
          <w:p>
            <w:pPr>
              <w:pStyle w:val="TableParagraph"/>
              <w:spacing w:before="1"/>
              <w:rPr>
                <w:b/>
                <w:sz w:val="24"/>
              </w:rPr>
            </w:pPr>
          </w:p>
          <w:p>
            <w:pPr>
              <w:pStyle w:val="TableParagraph"/>
              <w:ind w:left="193" w:right="202"/>
              <w:jc w:val="center"/>
              <w:rPr>
                <w:rFonts w:ascii="Arial"/>
                <w:sz w:val="31"/>
              </w:rPr>
            </w:pPr>
            <w:r>
              <w:rPr>
                <w:rFonts w:ascii="Arial"/>
                <w:sz w:val="31"/>
              </w:rPr>
              <w:t>30</w:t>
            </w:r>
          </w:p>
        </w:tc>
        <w:tc>
          <w:tcPr>
            <w:tcW w:w="1065" w:type="dxa"/>
          </w:tcPr>
          <w:p>
            <w:pPr>
              <w:pStyle w:val="TableParagraph"/>
              <w:spacing w:before="1"/>
              <w:rPr>
                <w:b/>
                <w:sz w:val="24"/>
              </w:rPr>
            </w:pPr>
          </w:p>
          <w:p>
            <w:pPr>
              <w:pStyle w:val="TableParagraph"/>
              <w:ind w:left="197" w:right="202"/>
              <w:jc w:val="center"/>
              <w:rPr>
                <w:rFonts w:ascii="Arial"/>
                <w:sz w:val="31"/>
              </w:rPr>
            </w:pPr>
            <w:r>
              <w:rPr>
                <w:rFonts w:ascii="Arial"/>
                <w:sz w:val="31"/>
              </w:rPr>
              <w:t>20</w:t>
            </w:r>
          </w:p>
        </w:tc>
        <w:tc>
          <w:tcPr>
            <w:tcW w:w="851" w:type="dxa"/>
          </w:tcPr>
          <w:p>
            <w:pPr>
              <w:pStyle w:val="TableParagraph"/>
              <w:spacing w:before="1"/>
              <w:rPr>
                <w:b/>
                <w:sz w:val="24"/>
              </w:rPr>
            </w:pPr>
          </w:p>
          <w:p>
            <w:pPr>
              <w:pStyle w:val="TableParagraph"/>
              <w:ind w:left="202"/>
              <w:jc w:val="center"/>
              <w:rPr>
                <w:rFonts w:ascii="Arial"/>
                <w:sz w:val="31"/>
              </w:rPr>
            </w:pPr>
            <w:r>
              <w:rPr>
                <w:rFonts w:ascii="Arial"/>
                <w:sz w:val="31"/>
              </w:rPr>
              <w:t>25</w:t>
            </w:r>
          </w:p>
        </w:tc>
        <w:tc>
          <w:tcPr>
            <w:tcW w:w="1378" w:type="dxa"/>
          </w:tcPr>
          <w:p>
            <w:pPr>
              <w:pStyle w:val="TableParagraph"/>
              <w:spacing w:before="1"/>
              <w:rPr>
                <w:b/>
                <w:sz w:val="24"/>
              </w:rPr>
            </w:pPr>
          </w:p>
          <w:p>
            <w:pPr>
              <w:pStyle w:val="TableParagraph"/>
              <w:ind w:left="364" w:right="44"/>
              <w:jc w:val="center"/>
              <w:rPr>
                <w:rFonts w:ascii="Arial"/>
                <w:sz w:val="31"/>
              </w:rPr>
            </w:pPr>
            <w:r>
              <w:rPr>
                <w:rFonts w:ascii="Arial"/>
                <w:sz w:val="31"/>
              </w:rPr>
              <w:t>15</w:t>
            </w:r>
          </w:p>
        </w:tc>
      </w:tr>
      <w:tr>
        <w:tblPrEx>
          <w:tblW w:w="0" w:type="auto"/>
          <w:jc w:val="left"/>
          <w:tblInd w:w="4443" w:type="dxa"/>
          <w:tblLayout w:type="fixed"/>
          <w:tblCellMar>
            <w:top w:w="0" w:type="dxa"/>
            <w:left w:w="0" w:type="dxa"/>
            <w:bottom w:w="0" w:type="dxa"/>
            <w:right w:w="0" w:type="dxa"/>
          </w:tblCellMar>
          <w:tblLook w:val="01E0"/>
        </w:tblPrEx>
        <w:trPr>
          <w:trHeight w:val="902"/>
          <w:jc w:val="left"/>
        </w:trPr>
        <w:tc>
          <w:tcPr>
            <w:tcW w:w="1030" w:type="dxa"/>
          </w:tcPr>
          <w:p>
            <w:pPr>
              <w:pStyle w:val="TableParagraph"/>
              <w:spacing w:before="3"/>
              <w:rPr>
                <w:b/>
                <w:sz w:val="28"/>
              </w:rPr>
            </w:pPr>
          </w:p>
          <w:p>
            <w:pPr>
              <w:pStyle w:val="TableParagraph"/>
              <w:ind w:left="31" w:right="332"/>
              <w:jc w:val="center"/>
              <w:rPr>
                <w:rFonts w:ascii="Arial"/>
                <w:sz w:val="31"/>
              </w:rPr>
            </w:pPr>
            <w:r>
              <w:rPr>
                <w:rFonts w:ascii="Arial"/>
                <w:sz w:val="31"/>
              </w:rPr>
              <w:t>70</w:t>
            </w:r>
          </w:p>
        </w:tc>
        <w:tc>
          <w:tcPr>
            <w:tcW w:w="952" w:type="dxa"/>
          </w:tcPr>
          <w:p>
            <w:pPr>
              <w:pStyle w:val="TableParagraph"/>
              <w:spacing w:before="3"/>
              <w:rPr>
                <w:b/>
                <w:sz w:val="28"/>
              </w:rPr>
            </w:pPr>
          </w:p>
          <w:p>
            <w:pPr>
              <w:pStyle w:val="TableParagraph"/>
              <w:ind w:left="105" w:right="186"/>
              <w:jc w:val="center"/>
              <w:rPr>
                <w:rFonts w:ascii="Arial"/>
                <w:sz w:val="31"/>
              </w:rPr>
            </w:pPr>
            <w:r>
              <w:rPr>
                <w:rFonts w:ascii="Arial"/>
                <w:sz w:val="31"/>
              </w:rPr>
              <w:t>60</w:t>
            </w:r>
          </w:p>
        </w:tc>
        <w:tc>
          <w:tcPr>
            <w:tcW w:w="1048" w:type="dxa"/>
          </w:tcPr>
          <w:p>
            <w:pPr>
              <w:pStyle w:val="TableParagraph"/>
              <w:spacing w:before="3"/>
              <w:rPr>
                <w:b/>
                <w:sz w:val="28"/>
              </w:rPr>
            </w:pPr>
          </w:p>
          <w:p>
            <w:pPr>
              <w:pStyle w:val="TableParagraph"/>
              <w:ind w:left="179" w:right="200"/>
              <w:jc w:val="center"/>
              <w:rPr>
                <w:rFonts w:ascii="Arial"/>
                <w:sz w:val="31"/>
              </w:rPr>
            </w:pPr>
            <w:r>
              <w:rPr>
                <w:rFonts w:ascii="Arial"/>
                <w:sz w:val="31"/>
              </w:rPr>
              <w:t>40</w:t>
            </w:r>
          </w:p>
        </w:tc>
        <w:tc>
          <w:tcPr>
            <w:tcW w:w="1062" w:type="dxa"/>
          </w:tcPr>
          <w:p>
            <w:pPr>
              <w:pStyle w:val="TableParagraph"/>
              <w:spacing w:before="3"/>
              <w:rPr>
                <w:b/>
                <w:sz w:val="28"/>
              </w:rPr>
            </w:pPr>
          </w:p>
          <w:p>
            <w:pPr>
              <w:pStyle w:val="TableParagraph"/>
              <w:ind w:left="194" w:right="201"/>
              <w:jc w:val="center"/>
              <w:rPr>
                <w:rFonts w:ascii="Arial"/>
                <w:sz w:val="31"/>
              </w:rPr>
            </w:pPr>
            <w:r>
              <w:rPr>
                <w:rFonts w:ascii="Arial"/>
                <w:sz w:val="31"/>
              </w:rPr>
              <w:t>60</w:t>
            </w:r>
          </w:p>
        </w:tc>
        <w:tc>
          <w:tcPr>
            <w:tcW w:w="1064" w:type="dxa"/>
          </w:tcPr>
          <w:p>
            <w:pPr>
              <w:pStyle w:val="TableParagraph"/>
              <w:spacing w:before="3"/>
              <w:rPr>
                <w:b/>
                <w:sz w:val="28"/>
              </w:rPr>
            </w:pPr>
          </w:p>
          <w:p>
            <w:pPr>
              <w:pStyle w:val="TableParagraph"/>
              <w:ind w:left="193" w:right="202"/>
              <w:jc w:val="center"/>
              <w:rPr>
                <w:rFonts w:ascii="Arial"/>
                <w:sz w:val="31"/>
              </w:rPr>
            </w:pPr>
            <w:r>
              <w:rPr>
                <w:rFonts w:ascii="Arial"/>
                <w:sz w:val="31"/>
              </w:rPr>
              <w:t>50</w:t>
            </w:r>
          </w:p>
        </w:tc>
        <w:tc>
          <w:tcPr>
            <w:tcW w:w="1065" w:type="dxa"/>
          </w:tcPr>
          <w:p>
            <w:pPr>
              <w:pStyle w:val="TableParagraph"/>
              <w:spacing w:before="3"/>
              <w:rPr>
                <w:b/>
                <w:sz w:val="28"/>
              </w:rPr>
            </w:pPr>
          </w:p>
          <w:p>
            <w:pPr>
              <w:pStyle w:val="TableParagraph"/>
              <w:ind w:left="197" w:right="202"/>
              <w:jc w:val="center"/>
              <w:rPr>
                <w:rFonts w:ascii="Arial"/>
                <w:sz w:val="31"/>
              </w:rPr>
            </w:pPr>
            <w:r>
              <w:rPr>
                <w:rFonts w:ascii="Arial"/>
                <w:sz w:val="31"/>
              </w:rPr>
              <w:t>30</w:t>
            </w:r>
          </w:p>
        </w:tc>
        <w:tc>
          <w:tcPr>
            <w:tcW w:w="851" w:type="dxa"/>
          </w:tcPr>
          <w:p>
            <w:pPr>
              <w:pStyle w:val="TableParagraph"/>
              <w:spacing w:before="3"/>
              <w:rPr>
                <w:b/>
                <w:sz w:val="28"/>
              </w:rPr>
            </w:pPr>
          </w:p>
          <w:p>
            <w:pPr>
              <w:pStyle w:val="TableParagraph"/>
              <w:ind w:left="202"/>
              <w:jc w:val="center"/>
              <w:rPr>
                <w:rFonts w:ascii="Arial"/>
                <w:sz w:val="31"/>
              </w:rPr>
            </w:pPr>
            <w:r>
              <w:rPr>
                <w:rFonts w:ascii="Arial"/>
                <w:sz w:val="31"/>
              </w:rPr>
              <w:t>40</w:t>
            </w:r>
          </w:p>
        </w:tc>
        <w:tc>
          <w:tcPr>
            <w:tcW w:w="1378" w:type="dxa"/>
          </w:tcPr>
          <w:p>
            <w:pPr>
              <w:pStyle w:val="TableParagraph"/>
              <w:spacing w:before="124" w:line="410" w:lineRule="atLeast"/>
              <w:ind w:left="374" w:right="51"/>
              <w:rPr>
                <w:sz w:val="31"/>
              </w:rPr>
            </w:pPr>
            <w:r>
              <w:rPr>
                <w:sz w:val="31"/>
              </w:rPr>
              <w:t>不作具体规定</w:t>
            </w:r>
          </w:p>
        </w:tc>
      </w:tr>
      <w:tr>
        <w:tblPrEx>
          <w:tblW w:w="0" w:type="auto"/>
          <w:jc w:val="left"/>
          <w:tblInd w:w="4443" w:type="dxa"/>
          <w:tblLayout w:type="fixed"/>
          <w:tblCellMar>
            <w:top w:w="0" w:type="dxa"/>
            <w:left w:w="0" w:type="dxa"/>
            <w:bottom w:w="0" w:type="dxa"/>
            <w:right w:w="0" w:type="dxa"/>
          </w:tblCellMar>
          <w:tblLook w:val="01E0"/>
        </w:tblPrEx>
        <w:trPr>
          <w:trHeight w:val="789"/>
          <w:jc w:val="left"/>
        </w:trPr>
        <w:tc>
          <w:tcPr>
            <w:tcW w:w="1030" w:type="dxa"/>
          </w:tcPr>
          <w:p>
            <w:pPr>
              <w:pStyle w:val="TableParagraph"/>
              <w:spacing w:before="249"/>
              <w:ind w:left="31" w:right="332"/>
              <w:jc w:val="center"/>
              <w:rPr>
                <w:rFonts w:ascii="Arial"/>
                <w:sz w:val="31"/>
              </w:rPr>
            </w:pPr>
            <w:r>
              <w:rPr>
                <w:rFonts w:ascii="Arial"/>
                <w:sz w:val="31"/>
              </w:rPr>
              <w:t>40</w:t>
            </w:r>
          </w:p>
        </w:tc>
        <w:tc>
          <w:tcPr>
            <w:tcW w:w="952" w:type="dxa"/>
          </w:tcPr>
          <w:p>
            <w:pPr>
              <w:pStyle w:val="TableParagraph"/>
              <w:spacing w:before="249"/>
              <w:ind w:left="105" w:right="186"/>
              <w:jc w:val="center"/>
              <w:rPr>
                <w:rFonts w:ascii="Arial"/>
                <w:sz w:val="31"/>
              </w:rPr>
            </w:pPr>
            <w:r>
              <w:rPr>
                <w:rFonts w:ascii="Arial"/>
                <w:sz w:val="31"/>
              </w:rPr>
              <w:t>30</w:t>
            </w:r>
          </w:p>
        </w:tc>
        <w:tc>
          <w:tcPr>
            <w:tcW w:w="1048" w:type="dxa"/>
          </w:tcPr>
          <w:p>
            <w:pPr>
              <w:pStyle w:val="TableParagraph"/>
              <w:spacing w:before="249"/>
              <w:ind w:left="179" w:right="200"/>
              <w:jc w:val="center"/>
              <w:rPr>
                <w:rFonts w:ascii="Arial"/>
                <w:sz w:val="31"/>
              </w:rPr>
            </w:pPr>
            <w:r>
              <w:rPr>
                <w:rFonts w:ascii="Arial"/>
                <w:sz w:val="31"/>
              </w:rPr>
              <w:t>15</w:t>
            </w:r>
          </w:p>
        </w:tc>
        <w:tc>
          <w:tcPr>
            <w:tcW w:w="1062" w:type="dxa"/>
          </w:tcPr>
          <w:p>
            <w:pPr>
              <w:pStyle w:val="TableParagraph"/>
              <w:spacing w:before="249"/>
              <w:ind w:left="194" w:right="201"/>
              <w:jc w:val="center"/>
              <w:rPr>
                <w:rFonts w:ascii="Arial"/>
                <w:sz w:val="31"/>
              </w:rPr>
            </w:pPr>
            <w:r>
              <w:rPr>
                <w:rFonts w:ascii="Arial"/>
                <w:sz w:val="31"/>
              </w:rPr>
              <w:t>30</w:t>
            </w:r>
          </w:p>
        </w:tc>
        <w:tc>
          <w:tcPr>
            <w:tcW w:w="1064" w:type="dxa"/>
          </w:tcPr>
          <w:p>
            <w:pPr>
              <w:pStyle w:val="TableParagraph"/>
              <w:spacing w:before="249"/>
              <w:ind w:left="193" w:right="202"/>
              <w:jc w:val="center"/>
              <w:rPr>
                <w:rFonts w:ascii="Arial"/>
                <w:sz w:val="31"/>
              </w:rPr>
            </w:pPr>
            <w:r>
              <w:rPr>
                <w:rFonts w:ascii="Arial"/>
                <w:sz w:val="31"/>
              </w:rPr>
              <w:t>20</w:t>
            </w:r>
          </w:p>
        </w:tc>
        <w:tc>
          <w:tcPr>
            <w:tcW w:w="1916" w:type="dxa"/>
            <w:gridSpan w:val="2"/>
          </w:tcPr>
          <w:p>
            <w:pPr>
              <w:pStyle w:val="TableParagraph"/>
              <w:spacing w:before="12" w:line="410" w:lineRule="atLeast"/>
              <w:ind w:left="903" w:right="56" w:hanging="630"/>
              <w:rPr>
                <w:sz w:val="31"/>
              </w:rPr>
            </w:pPr>
            <w:r>
              <w:rPr>
                <w:sz w:val="31"/>
              </w:rPr>
              <w:t>不作具体规定</w:t>
            </w:r>
          </w:p>
        </w:tc>
        <w:tc>
          <w:tcPr>
            <w:tcW w:w="1378" w:type="dxa"/>
          </w:tcPr>
          <w:p>
            <w:pPr>
              <w:pStyle w:val="TableParagraph"/>
              <w:spacing w:before="230"/>
              <w:ind w:left="364" w:right="44"/>
              <w:jc w:val="center"/>
              <w:rPr>
                <w:sz w:val="31"/>
              </w:rPr>
            </w:pPr>
            <w:r>
              <w:rPr>
                <w:sz w:val="31"/>
              </w:rPr>
              <w:t>不要求</w:t>
            </w:r>
          </w:p>
        </w:tc>
      </w:tr>
    </w:tbl>
    <w:p>
      <w:pPr>
        <w:pStyle w:val="BodyText"/>
        <w:spacing w:before="10"/>
        <w:ind w:left="0"/>
        <w:rPr>
          <w:b/>
          <w:sz w:val="5"/>
        </w:rPr>
      </w:pPr>
    </w:p>
    <w:p>
      <w:pPr>
        <w:pStyle w:val="BodyText"/>
        <w:spacing w:before="95"/>
        <w:ind w:left="1119"/>
        <w:rPr>
          <w:rFonts w:ascii="黑体" w:eastAsia="黑体" w:hint="eastAsia"/>
        </w:rPr>
      </w:pPr>
      <w:r>
        <w:rPr>
          <w:rFonts w:ascii="黑体" w:eastAsia="黑体" w:hint="eastAsia"/>
          <w:spacing w:val="-54"/>
        </w:rPr>
        <w:t xml:space="preserve">第 </w:t>
      </w:r>
      <w:r>
        <w:rPr>
          <w:rFonts w:ascii="Arial" w:eastAsia="Arial"/>
        </w:rPr>
        <w:t xml:space="preserve">5 </w:t>
      </w:r>
      <w:r>
        <w:rPr>
          <w:rFonts w:ascii="黑体" w:eastAsia="黑体" w:hint="eastAsia"/>
        </w:rPr>
        <w:t>条露天矿地质勘探</w:t>
      </w:r>
    </w:p>
    <w:p>
      <w:pPr>
        <w:pStyle w:val="BodyText"/>
        <w:spacing w:before="398" w:line="417" w:lineRule="auto"/>
        <w:ind w:right="284" w:firstLine="838"/>
      </w:pPr>
      <w:r>
        <w:t>在勘探过程中，适于露天开采的地段，要按露天矿勘探的要求。单独地行勘探。</w:t>
      </w:r>
    </w:p>
    <w:p>
      <w:pPr>
        <w:pStyle w:val="BodyText"/>
        <w:spacing w:line="417" w:lineRule="auto"/>
        <w:ind w:right="447" w:firstLine="838"/>
      </w:pPr>
      <w:r>
        <w:rPr>
          <w:spacing w:val="-11"/>
        </w:rPr>
        <w:t>露天矿初期开采地段的高级储量比例，应比对矿井第一水平的要</w:t>
      </w:r>
      <w:r>
        <w:rPr>
          <w:spacing w:val="34"/>
        </w:rPr>
        <w:t>求提高</w:t>
      </w:r>
      <w:r>
        <w:rPr>
          <w:rFonts w:ascii="Arial" w:eastAsia="Arial"/>
        </w:rPr>
        <w:t>l0</w:t>
      </w:r>
      <w:r>
        <w:t>％。</w:t>
      </w:r>
    </w:p>
    <w:p>
      <w:pPr>
        <w:pStyle w:val="BodyText"/>
        <w:spacing w:line="417" w:lineRule="auto"/>
        <w:ind w:right="284" w:firstLine="838"/>
      </w:pPr>
      <w:r>
        <w:t>对拉沟地段的煤层露头线、煤质、水文地质、工程地质等，均应按《煤炭资源地质勘探规范》以及有关规范的规定进行勘探。</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6 </w:t>
      </w:r>
      <w:r>
        <w:rPr>
          <w:rFonts w:ascii="黑体" w:eastAsia="黑体" w:hint="eastAsia"/>
        </w:rPr>
        <w:t>条地质勘探技术和装备</w:t>
      </w:r>
    </w:p>
    <w:p>
      <w:pPr>
        <w:pStyle w:val="BodyText"/>
        <w:spacing w:before="397" w:line="417" w:lineRule="auto"/>
        <w:ind w:right="280" w:firstLine="838"/>
      </w:pPr>
      <w:r>
        <w:rPr>
          <w:spacing w:val="-13"/>
        </w:rPr>
        <w:t>根据煤田地质、地形和物性条件因地制宜地选用勘探手段。在平</w:t>
      </w:r>
      <w:r>
        <w:rPr>
          <w:spacing w:val="-14"/>
        </w:rPr>
        <w:t>原地区，对物性较好的隐伏煤田，要充分发挥物探的作用；对煤系地</w:t>
      </w:r>
      <w:r>
        <w:t>层露头表露好的地区要做好地表地质工作。勘探钻孔均应测井。</w:t>
      </w:r>
    </w:p>
    <w:p>
      <w:pPr>
        <w:pStyle w:val="BodyText"/>
        <w:spacing w:line="417" w:lineRule="auto"/>
        <w:ind w:right="280" w:firstLine="838"/>
      </w:pPr>
      <w:r>
        <w:rPr>
          <w:spacing w:val="-13"/>
        </w:rPr>
        <w:t>积极采用先进技术，提高技术和装备水平。开发遥感地质应用技</w:t>
      </w:r>
      <w:r>
        <w:rPr>
          <w:spacing w:val="-14"/>
        </w:rPr>
        <w:t>术；物探要逐步实现仪器方法系列化，现场采集数字化，资料处理自</w:t>
      </w:r>
      <w:r>
        <w:rPr>
          <w:spacing w:val="-1"/>
        </w:rPr>
        <w:t>动化；钻探要逐步采用液压、半液压、落地与车装钻机和先进的钻进</w:t>
      </w:r>
    </w:p>
    <w:p>
      <w:pPr>
        <w:spacing w:after="0" w:line="417" w:lineRule="auto"/>
        <w:sectPr>
          <w:footerReference w:type="default" r:id="rId13"/>
          <w:pgSz w:w="17860" w:h="25260"/>
          <w:pgMar w:top="1960" w:right="2240" w:bottom="2460" w:left="2420" w:header="0" w:footer="2213"/>
          <w:pgNumType w:start="6"/>
          <w:cols w:space="708"/>
        </w:sectPr>
      </w:pPr>
    </w:p>
    <w:p>
      <w:pPr>
        <w:pStyle w:val="BodyText"/>
        <w:spacing w:before="20" w:line="417" w:lineRule="auto"/>
        <w:ind w:right="280"/>
      </w:pPr>
      <w:r>
        <w:rPr>
          <w:spacing w:val="-13"/>
        </w:rPr>
        <w:t>工艺；地面地形一般使用航空摄影和地面测绘相结合的方法测绘；水</w:t>
      </w:r>
      <w:r>
        <w:rPr>
          <w:spacing w:val="-18"/>
        </w:rPr>
        <w:t>文地质勘探除常规方法外，应积极发展超声成像测井、数字测井和遥感、示踪等技术。建立数据储存和数据处理中心。充实加强水文、水</w:t>
      </w:r>
      <w:r>
        <w:rPr>
          <w:spacing w:val="-1"/>
        </w:rPr>
        <w:t>源勘探技术装备和分析、化验、测试设备。研制并采用各种查清小构</w:t>
      </w:r>
      <w:r>
        <w:t>造、围岩性质、瓦斯、地温以及煤、岩鉴定的先进技术装备。</w:t>
      </w:r>
    </w:p>
    <w:p>
      <w:pPr>
        <w:pStyle w:val="Heading1"/>
        <w:spacing w:before="54"/>
      </w:pPr>
      <w:bookmarkStart w:id="2" w:name="_TOC_250012"/>
      <w:bookmarkEnd w:id="2"/>
      <w:r>
        <w:t>第二章煤炭开发</w:t>
      </w:r>
    </w:p>
    <w:p>
      <w:pPr>
        <w:pStyle w:val="BodyText"/>
        <w:spacing w:before="4"/>
        <w:ind w:left="0"/>
        <w:rPr>
          <w:rFonts w:ascii="幼圆"/>
          <w:sz w:val="51"/>
        </w:rPr>
      </w:pPr>
    </w:p>
    <w:p>
      <w:pPr>
        <w:pStyle w:val="BodyText"/>
        <w:ind w:left="1119"/>
        <w:rPr>
          <w:rFonts w:ascii="黑体" w:eastAsia="黑体" w:hint="eastAsia"/>
        </w:rPr>
      </w:pPr>
      <w:r>
        <w:rPr>
          <w:rFonts w:ascii="黑体" w:eastAsia="黑体" w:hint="eastAsia"/>
          <w:spacing w:val="-54"/>
        </w:rPr>
        <w:t xml:space="preserve">第 </w:t>
      </w:r>
      <w:r>
        <w:rPr>
          <w:rFonts w:ascii="Arial" w:eastAsia="Arial"/>
        </w:rPr>
        <w:t xml:space="preserve">7 </w:t>
      </w:r>
      <w:r>
        <w:rPr>
          <w:rFonts w:ascii="黑体" w:eastAsia="黑体" w:hint="eastAsia"/>
        </w:rPr>
        <w:t>条煤炭工业战略布局的原则</w:t>
      </w:r>
    </w:p>
    <w:p>
      <w:pPr>
        <w:pStyle w:val="BodyText"/>
        <w:ind w:left="0"/>
        <w:rPr>
          <w:rFonts w:ascii="黑体"/>
          <w:sz w:val="31"/>
        </w:rPr>
      </w:pPr>
    </w:p>
    <w:p>
      <w:pPr>
        <w:pStyle w:val="BodyText"/>
        <w:spacing w:before="1" w:line="417" w:lineRule="auto"/>
        <w:ind w:right="280" w:firstLine="838"/>
      </w:pPr>
      <w:r>
        <w:t>煤炭工业战略布局总的原则是：要从我国资源分布特点出发，根据国家需要，全面规划，统筹兼顾，合理布局，择优开发，合理利用煤炭资源，讲究经济效果。要充分发挥中央和地方两个积极性，大、中、小相结合。大力建设一批重点煤炭基地，支援全国；同时积极发展地方煤矿，尽可能就近解决产销平衡。</w:t>
      </w:r>
    </w:p>
    <w:p>
      <w:pPr>
        <w:pStyle w:val="BodyText"/>
        <w:spacing w:line="417" w:lineRule="auto"/>
        <w:ind w:right="456" w:firstLine="838"/>
        <w:jc w:val="both"/>
      </w:pPr>
      <w:r>
        <w:rPr>
          <w:spacing w:val="-10"/>
        </w:rPr>
        <w:t>重点煤炭基地必须拥有一批储量丰富，具有现代化开采手段，能</w:t>
      </w:r>
      <w:r>
        <w:rPr>
          <w:w w:val="100"/>
        </w:rPr>
        <w:t>长期稳产的大、中型骨干矿井（露天</w:t>
      </w:r>
      <w:r>
        <w:rPr>
          <w:spacing w:val="-186"/>
          <w:w w:val="100"/>
        </w:rPr>
        <w:t>）</w:t>
      </w:r>
      <w:r>
        <w:rPr>
          <w:w w:val="100"/>
        </w:rPr>
        <w:t>，作为国民经济发展所需煤炭</w:t>
      </w:r>
      <w:r>
        <w:rPr>
          <w:spacing w:val="-2"/>
        </w:rPr>
        <w:t xml:space="preserve">的主要保证。为了就地充分利用资源，在规划大型煤炭基地时 </w:t>
      </w:r>
      <w:r>
        <w:rPr>
          <w:rFonts w:ascii="Arial" w:eastAsia="Arial"/>
        </w:rPr>
        <w:t>,</w:t>
      </w:r>
      <w:r>
        <w:rPr>
          <w:spacing w:val="-9"/>
        </w:rPr>
        <w:t>必须</w:t>
      </w:r>
      <w:r>
        <w:t>报国家统一考虑煤、电、钢、化、建材和交通运输等综合布局。</w:t>
      </w:r>
    </w:p>
    <w:p>
      <w:pPr>
        <w:pStyle w:val="BodyText"/>
        <w:spacing w:line="417" w:lineRule="auto"/>
        <w:ind w:right="488" w:firstLine="838"/>
        <w:jc w:val="both"/>
      </w:pPr>
      <w:r>
        <w:t>对地力煤矿要贯彻</w:t>
      </w:r>
      <w:r>
        <w:rPr>
          <w:rFonts w:ascii="Times New Roman" w:eastAsia="Times New Roman" w:hAnsi="Times New Roman"/>
        </w:rPr>
        <w:t>“</w:t>
      </w:r>
      <w:r>
        <w:t>放开、搞活、管好</w:t>
      </w:r>
      <w:r>
        <w:rPr>
          <w:rFonts w:ascii="Times New Roman" w:eastAsia="Times New Roman" w:hAnsi="Times New Roman"/>
        </w:rPr>
        <w:t>”</w:t>
      </w:r>
      <w:r>
        <w:t>和</w:t>
      </w:r>
      <w:r>
        <w:rPr>
          <w:rFonts w:ascii="Times New Roman" w:eastAsia="Times New Roman" w:hAnsi="Times New Roman"/>
        </w:rPr>
        <w:t>“</w:t>
      </w:r>
      <w:r>
        <w:t>扶持、整顿、改造、联合</w:t>
      </w:r>
      <w:r>
        <w:rPr>
          <w:rFonts w:ascii="Times New Roman" w:eastAsia="Times New Roman" w:hAnsi="Times New Roman"/>
        </w:rPr>
        <w:t>”</w:t>
      </w:r>
      <w:r>
        <w:t>的方针；乡镇煤矿要通过技术改造，形成生产能力，使其向持续稳定、正规生产的方向发展。</w:t>
      </w:r>
    </w:p>
    <w:p>
      <w:pPr>
        <w:pStyle w:val="BodyText"/>
        <w:ind w:left="1119"/>
        <w:rPr>
          <w:rFonts w:ascii="黑体" w:eastAsia="黑体" w:hint="eastAsia"/>
        </w:rPr>
      </w:pPr>
      <w:r>
        <w:rPr>
          <w:rFonts w:ascii="黑体" w:eastAsia="黑体" w:hint="eastAsia"/>
          <w:spacing w:val="-54"/>
        </w:rPr>
        <w:t xml:space="preserve">第 </w:t>
      </w:r>
      <w:r>
        <w:rPr>
          <w:rFonts w:ascii="Arial" w:eastAsia="Arial"/>
        </w:rPr>
        <w:t xml:space="preserve">8 </w:t>
      </w:r>
      <w:r>
        <w:rPr>
          <w:rFonts w:ascii="黑体" w:eastAsia="黑体" w:hint="eastAsia"/>
        </w:rPr>
        <w:t>条择优建设煤炭基地</w:t>
      </w:r>
    </w:p>
    <w:p>
      <w:pPr>
        <w:pStyle w:val="BodyText"/>
        <w:spacing w:before="3" w:line="930" w:lineRule="atLeast"/>
        <w:ind w:right="428" w:firstLine="838"/>
      </w:pPr>
      <w:r>
        <w:rPr>
          <w:spacing w:val="-10"/>
        </w:rPr>
        <w:t>在满足国民经济发展对煤炭的需要，力求提高投资效益和生产经</w:t>
      </w:r>
      <w:r>
        <w:rPr>
          <w:spacing w:val="-17"/>
        </w:rPr>
        <w:t>营效益的前提下，优先开发关系国民经济战略布局的缺煤地区或邻近</w:t>
      </w:r>
    </w:p>
    <w:p>
      <w:pPr>
        <w:spacing w:after="0" w:line="930" w:lineRule="atLeast"/>
        <w:sectPr>
          <w:footerReference w:type="default" r:id="rId14"/>
          <w:pgSz w:w="17860" w:h="25260"/>
          <w:pgMar w:top="1960" w:right="2240" w:bottom="2400" w:left="2420" w:header="0" w:footer="2213"/>
          <w:pgNumType w:start="7"/>
          <w:cols w:space="708"/>
        </w:sectPr>
      </w:pPr>
    </w:p>
    <w:p>
      <w:pPr>
        <w:pStyle w:val="BodyText"/>
        <w:spacing w:before="20" w:line="417" w:lineRule="auto"/>
        <w:ind w:right="280"/>
      </w:pPr>
      <w:r>
        <w:t>缺煤地区的条件较好的煤田；优先开发储量丰富，有较好基础的老矿区及其深部或外围井田；优先开发资源丰富，煤质和开采条件好，交通运输方便，能少投资，早见效的煤田；优先开发露天煤矿，首先集中力量以尽可能快的速度把资源条件好的露天矿建设起来。</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9 </w:t>
      </w:r>
      <w:r>
        <w:rPr>
          <w:rFonts w:ascii="黑体" w:eastAsia="黑体" w:hint="eastAsia"/>
        </w:rPr>
        <w:t>条基本建设程序</w:t>
      </w:r>
    </w:p>
    <w:p>
      <w:pPr>
        <w:pStyle w:val="BodyText"/>
        <w:spacing w:before="398" w:line="417" w:lineRule="auto"/>
        <w:ind w:right="446" w:firstLine="838"/>
      </w:pPr>
      <w:r>
        <w:rPr>
          <w:spacing w:val="-10"/>
        </w:rPr>
        <w:t>对纳入基本建设计划的项目或单项工程，限额以上的扩建或技术</w:t>
      </w:r>
      <w:r>
        <w:t>改造工程，必须执行基建设序。</w:t>
      </w:r>
    </w:p>
    <w:p>
      <w:pPr>
        <w:pStyle w:val="BodyText"/>
        <w:spacing w:line="417" w:lineRule="auto"/>
        <w:ind w:right="705" w:firstLine="838"/>
      </w:pPr>
      <w:r>
        <w:t>基本建设项目必须按国家规定和长远规划的安排提前作好前期准备工作。</w:t>
      </w:r>
    </w:p>
    <w:p>
      <w:pPr>
        <w:pStyle w:val="BodyText"/>
        <w:spacing w:line="417" w:lineRule="auto"/>
        <w:ind w:right="280" w:firstLine="838"/>
      </w:pPr>
      <w:r>
        <w:rPr>
          <w:spacing w:val="-16"/>
        </w:rPr>
        <w:t xml:space="preserve">新建矿区应具有经批准的详查地质报告，还必须有 </w:t>
      </w:r>
      <w:r>
        <w:rPr>
          <w:rFonts w:ascii="Arial" w:eastAsia="Arial"/>
        </w:rPr>
        <w:t xml:space="preserve">1~2 </w:t>
      </w:r>
      <w:r>
        <w:t>个井田的</w:t>
      </w:r>
      <w:r>
        <w:rPr>
          <w:spacing w:val="-1"/>
        </w:rPr>
        <w:t xml:space="preserve">精查报告。应及早编制矿区建设可行性研究报告和环境影响报告书， </w:t>
      </w:r>
      <w:r>
        <w:rPr>
          <w:spacing w:val="-13"/>
        </w:rPr>
        <w:t>经审查批准后，作为编制矿区总体设计任务书的依据。矿区总体设计</w:t>
      </w:r>
      <w:r>
        <w:rPr>
          <w:spacing w:val="-19"/>
        </w:rPr>
        <w:t>应根据已批准的矿区总体设计任务书、矿区建设可行性研究报告和环境影响报告书进行编制。</w:t>
      </w:r>
    </w:p>
    <w:p>
      <w:pPr>
        <w:pStyle w:val="BodyText"/>
        <w:spacing w:line="417" w:lineRule="auto"/>
        <w:ind w:right="280" w:firstLine="838"/>
      </w:pPr>
      <w:r>
        <w:t>矿区总体设计应阐明建设的指导思想，从技术上、经济上分析建设和生产的合理性，确定矿区内矿井、工厂、生活设施等单项工程的安排，以及与矿区开发建设有关的各项原则、方案。</w:t>
      </w:r>
    </w:p>
    <w:p>
      <w:pPr>
        <w:pStyle w:val="BodyText"/>
        <w:spacing w:line="417" w:lineRule="auto"/>
        <w:ind w:right="441" w:firstLine="838"/>
        <w:jc w:val="both"/>
      </w:pPr>
      <w:r>
        <w:rPr>
          <w:spacing w:val="-13"/>
        </w:rPr>
        <w:t>矿区总体设计经审查批准后，作为矿区建设组织设计和单项工程设计的依据。单项工程设计及其施工组织设计未经审查批准，该项工程不得列入年度开工计划。</w:t>
      </w:r>
    </w:p>
    <w:p>
      <w:pPr>
        <w:pStyle w:val="BodyText"/>
        <w:spacing w:line="417" w:lineRule="auto"/>
        <w:ind w:right="280" w:firstLine="838"/>
      </w:pPr>
      <w:r>
        <w:t>为使矿区内部各单项工程和外部配套工程协调建设，及早形成综合生产能力，提高投资效益。要认真编好矿区建设组织设计，明确各</w:t>
      </w:r>
    </w:p>
    <w:p>
      <w:pPr>
        <w:spacing w:after="0" w:line="417" w:lineRule="auto"/>
        <w:sectPr>
          <w:footerReference w:type="default" r:id="rId15"/>
          <w:pgSz w:w="17860" w:h="25260"/>
          <w:pgMar w:top="1960" w:right="2240" w:bottom="2420" w:left="2420" w:header="0" w:footer="2213"/>
          <w:pgNumType w:start="8"/>
          <w:cols w:space="708"/>
        </w:sectPr>
      </w:pPr>
    </w:p>
    <w:p>
      <w:pPr>
        <w:pStyle w:val="BodyText"/>
        <w:spacing w:before="20" w:line="417" w:lineRule="auto"/>
        <w:ind w:right="428"/>
        <w:jc w:val="both"/>
      </w:pPr>
      <w:r>
        <w:rPr>
          <w:spacing w:val="-13"/>
        </w:rPr>
        <w:t>项工程的建设顺序，确定矿区建设的合理总工期。矿区建设组织设计</w:t>
      </w:r>
      <w:r>
        <w:rPr>
          <w:spacing w:val="-17"/>
        </w:rPr>
        <w:t>经审查批准后，作为进行矿区建设施工准备和安排矿区建设年度计划</w:t>
      </w:r>
      <w:r>
        <w:t>的依据。</w:t>
      </w:r>
    </w:p>
    <w:p>
      <w:pPr>
        <w:pStyle w:val="BodyText"/>
        <w:spacing w:line="417" w:lineRule="auto"/>
        <w:ind w:right="242" w:firstLine="838"/>
      </w:pPr>
      <w:r>
        <w:rPr>
          <w:spacing w:val="-22"/>
        </w:rPr>
        <w:t>各个阶段的设计文件，由国家授权的机关组织评估、审议和审批。</w:t>
      </w:r>
      <w:r>
        <w:t>经审查批准的设计文件，未经原审批机关同意，不得随意修改。</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10 </w:t>
      </w:r>
      <w:r>
        <w:rPr>
          <w:rFonts w:ascii="黑体" w:eastAsia="黑体" w:hint="eastAsia"/>
        </w:rPr>
        <w:t>条矿区总体规划</w:t>
      </w:r>
    </w:p>
    <w:p>
      <w:pPr>
        <w:pStyle w:val="BodyText"/>
        <w:spacing w:before="398" w:line="417" w:lineRule="auto"/>
        <w:ind w:right="280" w:firstLine="838"/>
      </w:pPr>
      <w:r>
        <w:t>矿区总体规划是指导整个矿区技术、经济和社会全面发展的重要文件。必须根据国民经济发展的要求，依据本矿区的煤炭资源条件， 对本矿区的建设规模和布局进行综合分析研究和技术经济论证，以保证规划布局的合理性和稳定性。</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11 </w:t>
      </w:r>
      <w:r>
        <w:rPr>
          <w:rFonts w:ascii="黑体" w:eastAsia="黑体" w:hint="eastAsia"/>
        </w:rPr>
        <w:t>条矿区建设规模和均衡生产年限</w:t>
      </w:r>
    </w:p>
    <w:p>
      <w:pPr>
        <w:pStyle w:val="BodyText"/>
        <w:spacing w:before="398"/>
        <w:ind w:left="1119"/>
      </w:pPr>
      <w:r>
        <w:t xml:space="preserve">新建矿区建设规模和均衡生产年限的一般规定见表 </w:t>
      </w:r>
      <w:r>
        <w:rPr>
          <w:rFonts w:ascii="Arial" w:eastAsia="Arial"/>
        </w:rPr>
        <w:t>4</w:t>
      </w:r>
      <w:r>
        <w:t>。</w:t>
      </w:r>
    </w:p>
    <w:p>
      <w:pPr>
        <w:tabs>
          <w:tab w:val="left" w:pos="1518"/>
        </w:tabs>
        <w:spacing w:before="374"/>
        <w:ind w:left="524" w:right="0" w:firstLine="0"/>
        <w:jc w:val="center"/>
        <w:rPr>
          <w:b/>
          <w:sz w:val="36"/>
        </w:rPr>
      </w:pPr>
      <w:r>
        <w:rPr>
          <w:b/>
          <w:sz w:val="36"/>
        </w:rPr>
        <w:t>表</w:t>
      </w:r>
      <w:r>
        <w:rPr>
          <w:b/>
          <w:spacing w:val="-94"/>
          <w:sz w:val="36"/>
        </w:rPr>
        <w:t xml:space="preserve"> </w:t>
      </w:r>
      <w:r>
        <w:rPr>
          <w:rFonts w:ascii="Arial" w:eastAsia="Arial"/>
          <w:b/>
          <w:sz w:val="36"/>
        </w:rPr>
        <w:t>4</w:t>
        <w:tab/>
      </w:r>
      <w:r>
        <w:rPr>
          <w:b/>
          <w:sz w:val="36"/>
        </w:rPr>
        <w:t>矿区建设规模和服务年限</w:t>
      </w:r>
    </w:p>
    <w:p>
      <w:pPr>
        <w:pStyle w:val="BodyText"/>
        <w:spacing w:before="10"/>
        <w:ind w:left="0"/>
        <w:rPr>
          <w:b/>
          <w:sz w:val="12"/>
        </w:rPr>
      </w:pPr>
    </w:p>
    <w:p>
      <w:pPr>
        <w:spacing w:after="0"/>
        <w:rPr>
          <w:sz w:val="12"/>
        </w:rPr>
        <w:sectPr>
          <w:footerReference w:type="default" r:id="rId16"/>
          <w:pgSz w:w="17860" w:h="25260"/>
          <w:pgMar w:top="1960" w:right="2240" w:bottom="2420" w:left="2420" w:header="0" w:footer="2213"/>
          <w:pgNumType w:start="9"/>
          <w:cols w:space="708"/>
        </w:sectPr>
      </w:pPr>
    </w:p>
    <w:p>
      <w:pPr>
        <w:spacing w:before="91" w:line="372" w:lineRule="auto"/>
        <w:ind w:left="1641" w:right="38" w:firstLine="0"/>
        <w:jc w:val="center"/>
        <w:rPr>
          <w:sz w:val="36"/>
        </w:rPr>
      </w:pPr>
      <w:r>
        <w:drawing>
          <wp:anchor distT="0" distB="0" distL="0" distR="0" simplePos="0" relativeHeight="251660288" behindDoc="1" locked="0" layoutInCell="1" allowOverlap="1">
            <wp:simplePos x="0" y="0"/>
            <wp:positionH relativeFrom="page">
              <wp:posOffset>1587500</wp:posOffset>
            </wp:positionH>
            <wp:positionV relativeFrom="paragraph">
              <wp:posOffset>-33400</wp:posOffset>
            </wp:positionV>
            <wp:extent cx="7950200" cy="2311400"/>
            <wp:effectExtent l="0" t="0" r="0" b="0"/>
            <wp:wrapNone/>
            <wp:docPr id="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4.png"/>
                    <pic:cNvPicPr/>
                  </pic:nvPicPr>
                  <pic:blipFill>
                    <a:blip xmlns:r="http://schemas.openxmlformats.org/officeDocument/2006/relationships" r:embed="rId17" cstate="print"/>
                    <a:stretch>
                      <a:fillRect/>
                    </a:stretch>
                  </pic:blipFill>
                  <pic:spPr>
                    <a:xfrm>
                      <a:off x="0" y="0"/>
                      <a:ext cx="7950200" cy="2311400"/>
                    </a:xfrm>
                    <a:prstGeom prst="rect">
                      <a:avLst/>
                    </a:prstGeom>
                  </pic:spPr>
                </pic:pic>
              </a:graphicData>
            </a:graphic>
          </wp:anchor>
        </w:drawing>
      </w:r>
      <w:r>
        <w:rPr>
          <w:sz w:val="36"/>
        </w:rPr>
        <w:t>矿区规模（</w:t>
      </w:r>
      <w:r>
        <w:rPr>
          <w:spacing w:val="-45"/>
          <w:sz w:val="36"/>
        </w:rPr>
        <w:t xml:space="preserve">万 </w:t>
      </w:r>
      <w:r>
        <w:rPr>
          <w:rFonts w:ascii="Arial" w:eastAsia="Arial"/>
          <w:sz w:val="36"/>
        </w:rPr>
        <w:t>t/</w:t>
      </w:r>
      <w:r>
        <w:rPr>
          <w:sz w:val="36"/>
        </w:rPr>
        <w:t>年</w:t>
      </w:r>
      <w:r>
        <w:rPr>
          <w:spacing w:val="-17"/>
          <w:sz w:val="36"/>
        </w:rPr>
        <w:t xml:space="preserve">） </w:t>
      </w:r>
      <w:r>
        <w:rPr>
          <w:rFonts w:ascii="Arial" w:eastAsia="Arial"/>
          <w:sz w:val="36"/>
        </w:rPr>
        <w:t xml:space="preserve">800 </w:t>
      </w:r>
      <w:r>
        <w:rPr>
          <w:sz w:val="36"/>
        </w:rPr>
        <w:t>以上</w:t>
      </w:r>
    </w:p>
    <w:p>
      <w:pPr>
        <w:spacing w:before="3"/>
        <w:ind w:left="1639" w:right="38" w:firstLine="0"/>
        <w:jc w:val="center"/>
        <w:rPr>
          <w:rFonts w:ascii="Arial" w:eastAsia="Arial"/>
          <w:sz w:val="36"/>
        </w:rPr>
      </w:pPr>
      <w:r>
        <w:rPr>
          <w:rFonts w:ascii="Arial" w:eastAsia="Arial"/>
          <w:w w:val="95"/>
          <w:sz w:val="36"/>
        </w:rPr>
        <w:t>500</w:t>
      </w:r>
      <w:r>
        <w:rPr>
          <w:rFonts w:ascii="Arial" w:eastAsia="Arial"/>
          <w:spacing w:val="-36"/>
          <w:w w:val="95"/>
          <w:sz w:val="36"/>
        </w:rPr>
        <w:t xml:space="preserve"> </w:t>
      </w:r>
      <w:r>
        <w:rPr>
          <w:w w:val="95"/>
          <w:sz w:val="36"/>
        </w:rPr>
        <w:t>以上</w:t>
      </w:r>
      <w:r>
        <w:rPr>
          <w:rFonts w:ascii="Arial" w:eastAsia="Arial"/>
          <w:w w:val="95"/>
          <w:sz w:val="36"/>
        </w:rPr>
        <w:t>~800</w:t>
      </w:r>
    </w:p>
    <w:p>
      <w:pPr>
        <w:spacing w:before="259"/>
        <w:ind w:left="1639" w:right="38" w:firstLine="0"/>
        <w:jc w:val="center"/>
        <w:rPr>
          <w:rFonts w:ascii="Arial" w:eastAsia="Arial"/>
          <w:sz w:val="36"/>
        </w:rPr>
      </w:pPr>
      <w:r>
        <w:rPr>
          <w:rFonts w:ascii="Arial" w:eastAsia="Arial"/>
          <w:w w:val="95"/>
          <w:sz w:val="36"/>
        </w:rPr>
        <w:t>300</w:t>
      </w:r>
      <w:r>
        <w:rPr>
          <w:rFonts w:ascii="Arial" w:eastAsia="Arial"/>
          <w:spacing w:val="-36"/>
          <w:w w:val="95"/>
          <w:sz w:val="36"/>
        </w:rPr>
        <w:t xml:space="preserve"> </w:t>
      </w:r>
      <w:r>
        <w:rPr>
          <w:w w:val="95"/>
          <w:sz w:val="36"/>
        </w:rPr>
        <w:t>以上</w:t>
      </w:r>
      <w:r>
        <w:rPr>
          <w:rFonts w:ascii="Arial" w:eastAsia="Arial"/>
          <w:w w:val="95"/>
          <w:sz w:val="36"/>
        </w:rPr>
        <w:t>~500</w:t>
      </w:r>
    </w:p>
    <w:p>
      <w:pPr>
        <w:spacing w:before="274"/>
        <w:ind w:left="1638" w:right="38" w:firstLine="0"/>
        <w:jc w:val="center"/>
        <w:rPr>
          <w:rFonts w:ascii="Arial"/>
          <w:sz w:val="36"/>
        </w:rPr>
      </w:pPr>
      <w:r>
        <w:rPr>
          <w:rFonts w:ascii="Arial"/>
          <w:sz w:val="36"/>
        </w:rPr>
        <w:t>100 ~300</w:t>
      </w:r>
    </w:p>
    <w:p>
      <w:pPr>
        <w:spacing w:before="91"/>
        <w:ind w:left="1622" w:right="2108" w:firstLine="0"/>
        <w:jc w:val="center"/>
        <w:rPr>
          <w:sz w:val="36"/>
        </w:rPr>
      </w:pPr>
      <w:r>
        <w:br w:type="column"/>
      </w:r>
      <w:r>
        <w:rPr>
          <w:sz w:val="36"/>
        </w:rPr>
        <w:t>均衡生产年限（年）</w:t>
      </w:r>
    </w:p>
    <w:p>
      <w:pPr>
        <w:spacing w:before="255"/>
        <w:ind w:left="1620" w:right="2108" w:firstLine="0"/>
        <w:jc w:val="center"/>
        <w:rPr>
          <w:sz w:val="36"/>
        </w:rPr>
      </w:pPr>
      <w:r>
        <w:rPr>
          <w:rFonts w:ascii="Arial" w:eastAsia="Arial"/>
          <w:sz w:val="36"/>
        </w:rPr>
        <w:t>90</w:t>
      </w:r>
      <w:r>
        <w:rPr>
          <w:rFonts w:ascii="Arial" w:eastAsia="Arial"/>
          <w:spacing w:val="-52"/>
          <w:sz w:val="36"/>
        </w:rPr>
        <w:t xml:space="preserve"> </w:t>
      </w:r>
      <w:r>
        <w:rPr>
          <w:sz w:val="36"/>
        </w:rPr>
        <w:t>以上</w:t>
      </w:r>
    </w:p>
    <w:p>
      <w:pPr>
        <w:spacing w:before="256"/>
        <w:ind w:left="1620" w:right="2108" w:firstLine="0"/>
        <w:jc w:val="center"/>
        <w:rPr>
          <w:sz w:val="36"/>
        </w:rPr>
      </w:pPr>
      <w:r>
        <w:rPr>
          <w:rFonts w:ascii="Arial" w:eastAsia="Arial"/>
          <w:sz w:val="36"/>
        </w:rPr>
        <w:t>70</w:t>
      </w:r>
      <w:r>
        <w:rPr>
          <w:rFonts w:ascii="Arial" w:eastAsia="Arial"/>
          <w:spacing w:val="-52"/>
          <w:sz w:val="36"/>
        </w:rPr>
        <w:t xml:space="preserve"> </w:t>
      </w:r>
      <w:r>
        <w:rPr>
          <w:sz w:val="36"/>
        </w:rPr>
        <w:t>以上</w:t>
      </w:r>
    </w:p>
    <w:p>
      <w:pPr>
        <w:spacing w:before="258"/>
        <w:ind w:left="1620" w:right="2108" w:firstLine="0"/>
        <w:jc w:val="center"/>
        <w:rPr>
          <w:sz w:val="36"/>
        </w:rPr>
      </w:pPr>
      <w:r>
        <w:rPr>
          <w:rFonts w:ascii="Arial" w:eastAsia="Arial"/>
          <w:sz w:val="36"/>
        </w:rPr>
        <w:t>50</w:t>
      </w:r>
      <w:r>
        <w:rPr>
          <w:rFonts w:ascii="Arial" w:eastAsia="Arial"/>
          <w:spacing w:val="-52"/>
          <w:sz w:val="36"/>
        </w:rPr>
        <w:t xml:space="preserve"> </w:t>
      </w:r>
      <w:r>
        <w:rPr>
          <w:sz w:val="36"/>
        </w:rPr>
        <w:t>以上</w:t>
      </w:r>
    </w:p>
    <w:p>
      <w:pPr>
        <w:spacing w:before="256"/>
        <w:ind w:left="1620" w:right="2108" w:firstLine="0"/>
        <w:jc w:val="center"/>
        <w:rPr>
          <w:sz w:val="36"/>
        </w:rPr>
      </w:pPr>
      <w:r>
        <w:rPr>
          <w:rFonts w:ascii="Arial" w:eastAsia="Arial"/>
          <w:sz w:val="36"/>
        </w:rPr>
        <w:t>40</w:t>
      </w:r>
      <w:r>
        <w:rPr>
          <w:rFonts w:ascii="Arial" w:eastAsia="Arial"/>
          <w:spacing w:val="-52"/>
          <w:sz w:val="36"/>
        </w:rPr>
        <w:t xml:space="preserve"> </w:t>
      </w:r>
      <w:r>
        <w:rPr>
          <w:sz w:val="36"/>
        </w:rPr>
        <w:t>以上</w:t>
      </w:r>
    </w:p>
    <w:p>
      <w:pPr>
        <w:spacing w:after="0"/>
        <w:jc w:val="center"/>
        <w:rPr>
          <w:sz w:val="36"/>
        </w:rPr>
        <w:sectPr>
          <w:footerReference w:type="default" r:id="rId18"/>
          <w:type w:val="continuous"/>
          <w:pgSz w:w="17860" w:h="25260"/>
          <w:pgMar w:top="2420" w:right="2240" w:bottom="280" w:left="2420" w:header="708" w:footer="708"/>
          <w:pgNumType w:start="10"/>
          <w:cols w:num="2" w:space="708" w:equalWidth="0">
            <w:col w:w="4855" w:space="1335"/>
            <w:col w:w="7010" w:space="0"/>
          </w:cols>
        </w:sectPr>
      </w:pPr>
    </w:p>
    <w:p>
      <w:pPr>
        <w:pStyle w:val="BodyText"/>
        <w:spacing w:before="8"/>
        <w:ind w:left="0"/>
        <w:rPr>
          <w:sz w:val="14"/>
        </w:rPr>
      </w:pPr>
    </w:p>
    <w:p>
      <w:pPr>
        <w:pStyle w:val="BodyText"/>
        <w:spacing w:before="91" w:line="417" w:lineRule="auto"/>
        <w:ind w:right="451" w:firstLine="838"/>
      </w:pPr>
      <w:r>
        <w:rPr>
          <w:spacing w:val="-18"/>
        </w:rPr>
        <w:t xml:space="preserve">对缺煤地区，其均衡生产年限可适当缩短，但不得小于表 </w:t>
      </w:r>
      <w:r>
        <w:rPr>
          <w:rFonts w:ascii="Arial" w:eastAsia="Arial"/>
        </w:rPr>
        <w:t xml:space="preserve">4 </w:t>
      </w:r>
      <w:r>
        <w:rPr>
          <w:spacing w:val="-8"/>
        </w:rPr>
        <w:t>规定</w:t>
      </w:r>
      <w:r>
        <w:rPr>
          <w:spacing w:val="-54"/>
        </w:rPr>
        <w:t xml:space="preserve">的 </w:t>
      </w:r>
      <w:r>
        <w:rPr>
          <w:rFonts w:ascii="Arial" w:eastAsia="Arial"/>
        </w:rPr>
        <w:t>85</w:t>
      </w:r>
      <w:r>
        <w:t>％。</w:t>
      </w:r>
    </w:p>
    <w:p>
      <w:pPr>
        <w:pStyle w:val="BodyText"/>
        <w:spacing w:before="1"/>
        <w:ind w:left="1119"/>
        <w:rPr>
          <w:rFonts w:ascii="黑体" w:eastAsia="黑体" w:hint="eastAsia"/>
        </w:rPr>
      </w:pPr>
      <w:r>
        <w:rPr>
          <w:rFonts w:ascii="黑体" w:eastAsia="黑体" w:hint="eastAsia"/>
          <w:spacing w:val="-54"/>
        </w:rPr>
        <w:t xml:space="preserve">第 </w:t>
      </w:r>
      <w:r>
        <w:rPr>
          <w:rFonts w:ascii="Arial" w:eastAsia="Arial"/>
        </w:rPr>
        <w:t xml:space="preserve">12 </w:t>
      </w:r>
      <w:r>
        <w:rPr>
          <w:rFonts w:ascii="黑体" w:eastAsia="黑体" w:hint="eastAsia"/>
        </w:rPr>
        <w:t>条矿井、矿区的衔接</w:t>
      </w:r>
    </w:p>
    <w:p>
      <w:pPr>
        <w:pStyle w:val="BodyText"/>
        <w:spacing w:before="398" w:line="417" w:lineRule="auto"/>
        <w:ind w:right="251" w:firstLine="838"/>
      </w:pPr>
      <w:r>
        <w:rPr>
          <w:spacing w:val="-32"/>
        </w:rPr>
        <w:t>矿务局、矿负责水平、采区、工作面的衔接，省</w:t>
      </w:r>
      <w:r>
        <w:t>（区</w:t>
      </w:r>
      <w:r>
        <w:rPr>
          <w:spacing w:val="-112"/>
        </w:rPr>
        <w:t>）</w:t>
      </w:r>
      <w:r>
        <w:rPr>
          <w:spacing w:val="-40"/>
        </w:rPr>
        <w:t>煤炭局</w:t>
      </w:r>
      <w:r>
        <w:t>（</w:t>
      </w:r>
      <w:r>
        <w:rPr>
          <w:spacing w:val="-8"/>
        </w:rPr>
        <w:t>厅、</w:t>
      </w:r>
      <w:r>
        <w:t>公司）负责矿井、矿区的衔接，部侧重负责矿区的衔接。要建立生产</w:t>
      </w:r>
    </w:p>
    <w:p>
      <w:pPr>
        <w:spacing w:after="0" w:line="417" w:lineRule="auto"/>
        <w:sectPr>
          <w:footerReference w:type="default" r:id="rId19"/>
          <w:type w:val="continuous"/>
          <w:pgSz w:w="17860" w:h="25260"/>
          <w:pgMar w:top="2420" w:right="2240" w:bottom="280" w:left="2420" w:header="708" w:footer="708"/>
          <w:pgNumType w:start="11"/>
          <w:cols w:space="708"/>
        </w:sectPr>
      </w:pPr>
    </w:p>
    <w:p>
      <w:pPr>
        <w:pStyle w:val="BodyText"/>
        <w:spacing w:before="20" w:line="417" w:lineRule="auto"/>
        <w:ind w:right="280"/>
      </w:pPr>
      <w:r>
        <w:t>矿区可采储量数据库，并及时更新其内容，经常摸底排队，提高预见性，搞好生产建设的接续。</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13 </w:t>
      </w:r>
      <w:r>
        <w:rPr>
          <w:rFonts w:ascii="黑体" w:eastAsia="黑体" w:hint="eastAsia"/>
        </w:rPr>
        <w:t>条资源管理</w:t>
      </w:r>
    </w:p>
    <w:p>
      <w:pPr>
        <w:pStyle w:val="BodyText"/>
        <w:spacing w:before="398" w:line="417" w:lineRule="auto"/>
        <w:ind w:right="284" w:firstLine="838"/>
      </w:pPr>
      <w:r>
        <w:rPr>
          <w:spacing w:val="-1"/>
        </w:rPr>
        <w:t>煤炭资源为国家所有。开办煤矿，必须按国家规定进行审批。所</w:t>
      </w:r>
      <w:r>
        <w:t>有煤矿都要贯彻执行《矿产资源法</w:t>
      </w:r>
      <w:r>
        <w:rPr>
          <w:spacing w:val="-114"/>
        </w:rPr>
        <w:t>》。</w:t>
      </w:r>
    </w:p>
    <w:p>
      <w:pPr>
        <w:pStyle w:val="BodyText"/>
        <w:spacing w:line="417" w:lineRule="auto"/>
        <w:ind w:right="280" w:firstLine="838"/>
      </w:pPr>
      <w:r>
        <w:rPr>
          <w:spacing w:val="-11"/>
        </w:rPr>
        <w:t>煤田或矿区的开发必须统一规划。任何地方和部门都根据批准的</w:t>
      </w:r>
      <w:r>
        <w:rPr>
          <w:spacing w:val="-12"/>
        </w:rPr>
        <w:t>矿区总体规划或矿区总体设计划分的井田范围，有计划地建矿开采。</w:t>
      </w:r>
      <w:r>
        <w:rPr>
          <w:spacing w:val="-7"/>
        </w:rPr>
        <w:t>现有国营煤矿矿区内部或外围的地方国营煤矿和乡镇煤矿，都要根据</w:t>
      </w:r>
      <w:r>
        <w:rPr>
          <w:spacing w:val="-16"/>
        </w:rPr>
        <w:t>总体规划和总体设计合理划分井田范围，既要保证大型骨干煤矿的建</w:t>
      </w:r>
      <w:r>
        <w:rPr>
          <w:spacing w:val="-17"/>
        </w:rPr>
        <w:t>设和安全生产，又更促进地方、乡镇煤矿的协调发展；严禁在正规矿</w:t>
      </w:r>
      <w:r>
        <w:t>井井田内私开小煤矿。</w:t>
      </w:r>
    </w:p>
    <w:p>
      <w:pPr>
        <w:pStyle w:val="BodyText"/>
        <w:spacing w:line="417" w:lineRule="auto"/>
        <w:ind w:right="280" w:firstLine="838"/>
      </w:pPr>
      <w:r>
        <w:rPr>
          <w:spacing w:val="-12"/>
        </w:rPr>
        <w:t>在蕴藏煤炭资源的地区，其埋藏深度在开采可及范围以内的，地</w:t>
      </w:r>
      <w:r>
        <w:rPr>
          <w:spacing w:val="-13"/>
        </w:rPr>
        <w:t>面不得建设大型永久性建筑，如工厂、电厂、水库、铁路、桥梁、住</w:t>
      </w:r>
      <w:r>
        <w:rPr>
          <w:spacing w:val="-1"/>
        </w:rPr>
        <w:t>宅区、运输管道等。在煤矿附近兴建大型建筑时，应事先与煤炭主管</w:t>
      </w:r>
      <w:r>
        <w:t>部门商讨，选择适当地点，避免压煤。</w:t>
      </w:r>
    </w:p>
    <w:p>
      <w:pPr>
        <w:pStyle w:val="BodyText"/>
        <w:spacing w:line="417" w:lineRule="auto"/>
        <w:ind w:right="443" w:firstLine="838"/>
      </w:pPr>
      <w:r>
        <w:rPr>
          <w:spacing w:val="-12"/>
        </w:rPr>
        <w:t>所有煤矿都要合理开采煤炭资源，各级主管部门应对煤炭的回采</w:t>
      </w:r>
      <w:r>
        <w:t>率进行监督。</w:t>
      </w:r>
    </w:p>
    <w:p>
      <w:pPr>
        <w:pStyle w:val="Heading1"/>
      </w:pPr>
      <w:bookmarkStart w:id="3" w:name="_TOC_250011"/>
      <w:bookmarkEnd w:id="3"/>
      <w:r>
        <w:t>第三章矿井建设</w:t>
      </w:r>
    </w:p>
    <w:p>
      <w:pPr>
        <w:pStyle w:val="BodyText"/>
        <w:spacing w:before="3"/>
        <w:ind w:left="0"/>
        <w:rPr>
          <w:rFonts w:ascii="幼圆"/>
          <w:sz w:val="51"/>
        </w:rPr>
      </w:pPr>
    </w:p>
    <w:p>
      <w:pPr>
        <w:pStyle w:val="BodyText"/>
        <w:ind w:left="1119"/>
        <w:rPr>
          <w:rFonts w:ascii="黑体" w:eastAsia="黑体" w:hint="eastAsia"/>
        </w:rPr>
      </w:pPr>
      <w:r>
        <w:rPr>
          <w:rFonts w:ascii="黑体" w:eastAsia="黑体" w:hint="eastAsia"/>
          <w:spacing w:val="-54"/>
        </w:rPr>
        <w:t xml:space="preserve">第 </w:t>
      </w:r>
      <w:r>
        <w:rPr>
          <w:rFonts w:ascii="Arial" w:eastAsia="Arial"/>
        </w:rPr>
        <w:t xml:space="preserve">14 </w:t>
      </w:r>
      <w:r>
        <w:rPr>
          <w:rFonts w:ascii="黑体" w:eastAsia="黑体" w:hint="eastAsia"/>
        </w:rPr>
        <w:t>条矿井的井型和服务年限</w:t>
      </w:r>
    </w:p>
    <w:p>
      <w:pPr>
        <w:pStyle w:val="BodyText"/>
        <w:spacing w:before="6" w:line="930" w:lineRule="atLeast"/>
        <w:ind w:right="280" w:firstLine="838"/>
        <w:jc w:val="both"/>
      </w:pPr>
      <w:r>
        <w:t>矿井井型应根据煤田资源条件、地形地貌和产、运、销等开发条件，经过可行性研究，按照投资少、出煤快、经济效益好的原则来确定。对储量丰富、煤层赋存稳定、构造简单。开采条件好的煤田，特</w:t>
      </w:r>
    </w:p>
    <w:p>
      <w:pPr>
        <w:spacing w:after="0" w:line="930" w:lineRule="atLeast"/>
        <w:jc w:val="both"/>
        <w:sectPr>
          <w:footerReference w:type="default" r:id="rId20"/>
          <w:pgSz w:w="17860" w:h="25260"/>
          <w:pgMar w:top="1960" w:right="2240" w:bottom="2440" w:left="2420" w:header="0" w:footer="2213"/>
          <w:pgNumType w:start="12"/>
          <w:cols w:space="708"/>
        </w:sectPr>
      </w:pPr>
    </w:p>
    <w:p>
      <w:pPr>
        <w:pStyle w:val="BodyText"/>
        <w:spacing w:before="20" w:line="417" w:lineRule="auto"/>
        <w:ind w:right="280"/>
      </w:pPr>
      <w:r>
        <w:t>别是冲积层厚、井筒深的煤田，宜建设大型骨干矿井；对储量分散、埋藏校浅、煤层较薄、地质条件较复杂的煤田，应建设中小型矿井。</w:t>
      </w:r>
    </w:p>
    <w:p>
      <w:pPr>
        <w:pStyle w:val="BodyText"/>
        <w:spacing w:line="537" w:lineRule="exact"/>
        <w:ind w:left="1119"/>
      </w:pPr>
      <w:r>
        <w:t xml:space="preserve">矿井井型和服务年限的规定见表 </w:t>
      </w:r>
      <w:r>
        <w:rPr>
          <w:rFonts w:ascii="Times New Roman" w:eastAsia="Times New Roman"/>
        </w:rPr>
        <w:t>5</w:t>
      </w:r>
      <w:r>
        <w:t>。</w:t>
      </w:r>
    </w:p>
    <w:p>
      <w:pPr>
        <w:tabs>
          <w:tab w:val="left" w:pos="989"/>
        </w:tabs>
        <w:spacing w:before="374"/>
        <w:ind w:left="0" w:right="175" w:firstLine="0"/>
        <w:jc w:val="center"/>
        <w:rPr>
          <w:sz w:val="36"/>
        </w:rPr>
      </w:pPr>
      <w:r>
        <w:pict>
          <v:group id="_x0000_s1065" style="width:626pt;height:182pt;margin-top:47.61pt;margin-left:125pt;mso-position-horizontal-relative:page;mso-wrap-distance-left:0;mso-wrap-distance-right:0;position:absolute;z-index:-251655168" coordorigin="2500,952" coordsize="12520,3640">
            <v:shape id="_x0000_s1066" type="#_x0000_t75" style="width:12520;height:3640;left:2500;position:absolute;top:952" stroked="f">
              <v:imagedata r:id="rId21" o:title=""/>
            </v:shape>
            <v:shape id="_x0000_s1067" type="#_x0000_t202" style="width:740;height:360;left:3449;position:absolute;top:1141" filled="f" stroked="f">
              <v:textbox inset="0,0,0,0">
                <w:txbxContent>
                  <w:p>
                    <w:pPr>
                      <w:spacing w:before="0" w:line="360" w:lineRule="exact"/>
                      <w:ind w:left="0" w:right="0" w:firstLine="0"/>
                      <w:jc w:val="left"/>
                      <w:rPr>
                        <w:sz w:val="36"/>
                      </w:rPr>
                    </w:pPr>
                    <w:r>
                      <w:rPr>
                        <w:sz w:val="36"/>
                      </w:rPr>
                      <w:t>井型</w:t>
                    </w:r>
                  </w:p>
                </w:txbxContent>
              </v:textbox>
            </v:shape>
            <v:shape id="_x0000_s1068" type="#_x0000_t202" style="width:4633;height:1790;left:5328;position:absolute;top:1099" filled="f" stroked="f">
              <v:textbox inset="0,0,0,0">
                <w:txbxContent>
                  <w:p>
                    <w:pPr>
                      <w:spacing w:before="0" w:line="372" w:lineRule="auto"/>
                      <w:ind w:left="0" w:right="18" w:firstLine="0"/>
                      <w:jc w:val="center"/>
                      <w:rPr>
                        <w:sz w:val="36"/>
                      </w:rPr>
                    </w:pPr>
                    <w:r>
                      <w:rPr>
                        <w:sz w:val="36"/>
                      </w:rPr>
                      <w:t>矿井设计生产能力（</w:t>
                    </w:r>
                    <w:r>
                      <w:rPr>
                        <w:spacing w:val="-44"/>
                        <w:sz w:val="36"/>
                      </w:rPr>
                      <w:t xml:space="preserve">万 </w:t>
                    </w:r>
                    <w:r>
                      <w:rPr>
                        <w:rFonts w:ascii="Times New Roman" w:eastAsia="Times New Roman"/>
                        <w:sz w:val="36"/>
                      </w:rPr>
                      <w:t>t/</w:t>
                    </w:r>
                    <w:r>
                      <w:rPr>
                        <w:sz w:val="36"/>
                      </w:rPr>
                      <w:t>年</w:t>
                    </w:r>
                    <w:r>
                      <w:rPr>
                        <w:spacing w:val="-18"/>
                        <w:sz w:val="36"/>
                      </w:rPr>
                      <w:t xml:space="preserve">） </w:t>
                    </w:r>
                    <w:r>
                      <w:rPr>
                        <w:rFonts w:ascii="Times New Roman" w:eastAsia="Times New Roman"/>
                        <w:sz w:val="36"/>
                      </w:rPr>
                      <w:t xml:space="preserve">300 </w:t>
                    </w:r>
                    <w:r>
                      <w:rPr>
                        <w:sz w:val="36"/>
                      </w:rPr>
                      <w:t>及以上</w:t>
                    </w:r>
                  </w:p>
                  <w:p>
                    <w:pPr>
                      <w:spacing w:before="14" w:line="345" w:lineRule="exact"/>
                      <w:ind w:left="0" w:right="13" w:firstLine="0"/>
                      <w:jc w:val="center"/>
                      <w:rPr>
                        <w:rFonts w:ascii="Times New Roman"/>
                        <w:sz w:val="36"/>
                      </w:rPr>
                    </w:pPr>
                    <w:r>
                      <w:rPr>
                        <w:rFonts w:ascii="Times New Roman"/>
                        <w:sz w:val="36"/>
                      </w:rPr>
                      <w:t>120~240</w:t>
                    </w:r>
                  </w:p>
                </w:txbxContent>
              </v:textbox>
            </v:shape>
            <v:shape id="_x0000_s1069" type="#_x0000_t202" style="width:3260;height:360;left:10964;position:absolute;top:1141" filled="f" stroked="f">
              <v:textbox inset="0,0,0,0">
                <w:txbxContent>
                  <w:p>
                    <w:pPr>
                      <w:spacing w:before="0" w:line="360" w:lineRule="exact"/>
                      <w:ind w:left="0" w:right="0" w:firstLine="0"/>
                      <w:jc w:val="left"/>
                      <w:rPr>
                        <w:sz w:val="36"/>
                      </w:rPr>
                    </w:pPr>
                    <w:r>
                      <w:rPr>
                        <w:sz w:val="36"/>
                      </w:rPr>
                      <w:t>矿井服务年限（年）</w:t>
                    </w:r>
                  </w:p>
                </w:txbxContent>
              </v:textbox>
            </v:shape>
            <v:shape id="_x0000_s1070" type="#_x0000_t202" style="width:740;height:360;left:3449;position:absolute;top:2217" filled="f" stroked="f">
              <v:textbox inset="0,0,0,0">
                <w:txbxContent>
                  <w:p>
                    <w:pPr>
                      <w:spacing w:before="0" w:line="360" w:lineRule="exact"/>
                      <w:ind w:left="0" w:right="0" w:firstLine="0"/>
                      <w:jc w:val="left"/>
                      <w:rPr>
                        <w:sz w:val="36"/>
                      </w:rPr>
                    </w:pPr>
                    <w:r>
                      <w:rPr>
                        <w:sz w:val="36"/>
                      </w:rPr>
                      <w:t>大型</w:t>
                    </w:r>
                  </w:p>
                </w:txbxContent>
              </v:textbox>
            </v:shape>
            <v:shape id="_x0000_s1071" type="#_x0000_t202" style="width:740;height:360;left:3449;position:absolute;top:3294" filled="f" stroked="f">
              <v:textbox inset="0,0,0,0">
                <w:txbxContent>
                  <w:p>
                    <w:pPr>
                      <w:spacing w:before="0" w:line="360" w:lineRule="exact"/>
                      <w:ind w:left="0" w:right="0" w:firstLine="0"/>
                      <w:jc w:val="left"/>
                      <w:rPr>
                        <w:sz w:val="36"/>
                      </w:rPr>
                    </w:pPr>
                    <w:r>
                      <w:rPr>
                        <w:sz w:val="36"/>
                      </w:rPr>
                      <w:t>中型</w:t>
                    </w:r>
                  </w:p>
                </w:txbxContent>
              </v:textbox>
            </v:shape>
            <v:shape id="_x0000_s1072" type="#_x0000_t202" style="width:935;height:360;left:7179;position:absolute;top:3249" filled="f" stroked="f">
              <v:textbox inset="0,0,0,0">
                <w:txbxContent>
                  <w:p>
                    <w:pPr>
                      <w:spacing w:before="15" w:line="345" w:lineRule="exact"/>
                      <w:ind w:left="0" w:right="0" w:firstLine="0"/>
                      <w:jc w:val="left"/>
                      <w:rPr>
                        <w:rFonts w:ascii="Times New Roman"/>
                        <w:sz w:val="36"/>
                      </w:rPr>
                    </w:pPr>
                    <w:r>
                      <w:rPr>
                        <w:rFonts w:ascii="Times New Roman"/>
                        <w:sz w:val="36"/>
                      </w:rPr>
                      <w:t>45~90</w:t>
                    </w:r>
                  </w:p>
                </w:txbxContent>
              </v:textbox>
            </v:shape>
            <v:shape id="_x0000_s1073" type="#_x0000_t202" style="width:1550;height:1840;left:11820;position:absolute;top:1815" filled="f" stroked="f">
              <v:textbox inset="0,0,0,0">
                <w:txbxContent>
                  <w:p>
                    <w:pPr>
                      <w:spacing w:before="0" w:line="372" w:lineRule="auto"/>
                      <w:ind w:left="0" w:right="18" w:firstLine="0"/>
                      <w:jc w:val="left"/>
                      <w:rPr>
                        <w:rFonts w:ascii="Times New Roman" w:eastAsia="Times New Roman"/>
                        <w:sz w:val="36"/>
                      </w:rPr>
                    </w:pPr>
                    <w:r>
                      <w:rPr>
                        <w:spacing w:val="-23"/>
                        <w:sz w:val="36"/>
                      </w:rPr>
                      <w:t xml:space="preserve">不少于 </w:t>
                    </w:r>
                    <w:r>
                      <w:rPr>
                        <w:rFonts w:ascii="Times New Roman" w:eastAsia="Times New Roman"/>
                        <w:spacing w:val="-9"/>
                        <w:sz w:val="36"/>
                      </w:rPr>
                      <w:t xml:space="preserve">70 </w:t>
                    </w:r>
                    <w:r>
                      <w:rPr>
                        <w:spacing w:val="-23"/>
                        <w:sz w:val="36"/>
                      </w:rPr>
                      <w:t xml:space="preserve">不少于 </w:t>
                    </w:r>
                    <w:r>
                      <w:rPr>
                        <w:rFonts w:ascii="Times New Roman" w:eastAsia="Times New Roman"/>
                        <w:spacing w:val="-9"/>
                        <w:sz w:val="36"/>
                      </w:rPr>
                      <w:t>60</w:t>
                    </w:r>
                  </w:p>
                  <w:p>
                    <w:pPr>
                      <w:spacing w:before="0" w:line="411" w:lineRule="exact"/>
                      <w:ind w:left="0" w:right="0" w:firstLine="0"/>
                      <w:jc w:val="left"/>
                      <w:rPr>
                        <w:rFonts w:ascii="Times New Roman" w:eastAsia="Times New Roman"/>
                        <w:sz w:val="36"/>
                      </w:rPr>
                    </w:pPr>
                    <w:r>
                      <w:rPr>
                        <w:spacing w:val="-23"/>
                        <w:sz w:val="36"/>
                      </w:rPr>
                      <w:t xml:space="preserve">不少于 </w:t>
                    </w:r>
                    <w:r>
                      <w:rPr>
                        <w:rFonts w:ascii="Times New Roman" w:eastAsia="Times New Roman"/>
                        <w:sz w:val="36"/>
                      </w:rPr>
                      <w:t>50</w:t>
                    </w:r>
                  </w:p>
                </w:txbxContent>
              </v:textbox>
            </v:shape>
            <v:shape id="_x0000_s1074" type="#_x0000_t202" style="width:740;height:360;left:3449;position:absolute;top:4011" filled="f" stroked="f">
              <v:textbox inset="0,0,0,0">
                <w:txbxContent>
                  <w:p>
                    <w:pPr>
                      <w:spacing w:before="0" w:line="360" w:lineRule="exact"/>
                      <w:ind w:left="0" w:right="0" w:firstLine="0"/>
                      <w:jc w:val="left"/>
                      <w:rPr>
                        <w:sz w:val="36"/>
                      </w:rPr>
                    </w:pPr>
                    <w:r>
                      <w:rPr>
                        <w:sz w:val="36"/>
                      </w:rPr>
                      <w:t>小型</w:t>
                    </w:r>
                  </w:p>
                </w:txbxContent>
              </v:textbox>
            </v:shape>
            <v:shape id="_x0000_s1075" type="#_x0000_t202" style="width:1550;height:402;left:6870;position:absolute;top:3969" filled="f" stroked="f">
              <v:textbox inset="0,0,0,0">
                <w:txbxContent>
                  <w:p>
                    <w:pPr>
                      <w:spacing w:before="0" w:line="402" w:lineRule="exact"/>
                      <w:ind w:left="0" w:right="0" w:firstLine="0"/>
                      <w:jc w:val="left"/>
                      <w:rPr>
                        <w:sz w:val="36"/>
                      </w:rPr>
                    </w:pPr>
                    <w:r>
                      <w:rPr>
                        <w:rFonts w:ascii="Times New Roman" w:eastAsia="Times New Roman"/>
                        <w:sz w:val="36"/>
                      </w:rPr>
                      <w:t xml:space="preserve">30 </w:t>
                    </w:r>
                    <w:r>
                      <w:rPr>
                        <w:sz w:val="36"/>
                      </w:rPr>
                      <w:t>及以下</w:t>
                    </w:r>
                  </w:p>
                </w:txbxContent>
              </v:textbox>
            </v:shape>
            <v:shape id="_x0000_s1076" type="#_x0000_t202" style="width:4456;height:317;left:10377;position:absolute;top:4067" filled="f" stroked="f">
              <v:textbox inset="0,0,0,0">
                <w:txbxContent>
                  <w:p>
                    <w:pPr>
                      <w:spacing w:before="0" w:line="317" w:lineRule="exact"/>
                      <w:ind w:left="0" w:right="0" w:firstLine="0"/>
                      <w:jc w:val="left"/>
                      <w:rPr>
                        <w:sz w:val="31"/>
                      </w:rPr>
                    </w:pPr>
                    <w:r>
                      <w:rPr>
                        <w:sz w:val="31"/>
                      </w:rPr>
                      <w:t>由各省煤炭局（厅、公司）自定</w:t>
                    </w:r>
                  </w:p>
                </w:txbxContent>
              </v:textbox>
            </v:shape>
            <w10:wrap type="topAndBottom"/>
          </v:group>
        </w:pict>
      </w:r>
      <w:r>
        <w:rPr>
          <w:sz w:val="36"/>
        </w:rPr>
        <w:t>表</w:t>
      </w:r>
      <w:r>
        <w:rPr>
          <w:spacing w:val="-90"/>
          <w:sz w:val="36"/>
        </w:rPr>
        <w:t xml:space="preserve"> </w:t>
      </w:r>
      <w:r>
        <w:rPr>
          <w:rFonts w:ascii="Times New Roman" w:eastAsia="Times New Roman"/>
          <w:sz w:val="36"/>
        </w:rPr>
        <w:t>5</w:t>
        <w:tab/>
      </w:r>
      <w:r>
        <w:rPr>
          <w:sz w:val="36"/>
        </w:rPr>
        <w:t>矿井井型和服务年限</w:t>
      </w:r>
    </w:p>
    <w:p>
      <w:pPr>
        <w:pStyle w:val="BodyText"/>
        <w:spacing w:before="79"/>
        <w:ind w:left="1119"/>
      </w:pPr>
      <w:r>
        <w:t>对缺煤地区，其服务年限可适当缩短。</w:t>
      </w:r>
    </w:p>
    <w:p>
      <w:pPr>
        <w:pStyle w:val="BodyText"/>
        <w:spacing w:before="1"/>
        <w:ind w:left="0"/>
        <w:rPr>
          <w:sz w:val="31"/>
        </w:rPr>
      </w:pPr>
    </w:p>
    <w:p>
      <w:pPr>
        <w:pStyle w:val="BodyText"/>
        <w:spacing w:line="417" w:lineRule="auto"/>
        <w:ind w:right="448" w:firstLine="838"/>
      </w:pPr>
      <w:r>
        <w:rPr>
          <w:spacing w:val="-8"/>
        </w:rPr>
        <w:t xml:space="preserve">在设计时，根据地质条件按表 </w:t>
      </w:r>
      <w:r>
        <w:rPr>
          <w:rFonts w:ascii="Times New Roman" w:eastAsia="Times New Roman"/>
        </w:rPr>
        <w:t xml:space="preserve">5 </w:t>
      </w:r>
      <w:r>
        <w:rPr>
          <w:spacing w:val="-19"/>
        </w:rPr>
        <w:t xml:space="preserve">规定采用 </w:t>
      </w:r>
      <w:r>
        <w:rPr>
          <w:rFonts w:ascii="Times New Roman" w:eastAsia="Times New Roman"/>
        </w:rPr>
        <w:t xml:space="preserve">1.2~1.4 </w:t>
      </w:r>
      <w:r>
        <w:rPr>
          <w:spacing w:val="-3"/>
        </w:rPr>
        <w:t>的储量备用系</w:t>
      </w:r>
      <w:r>
        <w:t>数。</w:t>
      </w:r>
    </w:p>
    <w:p>
      <w:pPr>
        <w:pStyle w:val="BodyText"/>
        <w:spacing w:line="417" w:lineRule="auto"/>
        <w:ind w:left="1119" w:right="312"/>
      </w:pPr>
      <w:r>
        <w:rPr>
          <w:spacing w:val="-8"/>
        </w:rPr>
        <w:t xml:space="preserve">水平服务年限，大型矿井不少于 </w:t>
      </w:r>
      <w:r>
        <w:rPr>
          <w:rFonts w:ascii="Times New Roman" w:eastAsia="Times New Roman"/>
        </w:rPr>
        <w:t xml:space="preserve">30 </w:t>
      </w:r>
      <w:r>
        <w:rPr>
          <w:spacing w:val="-11"/>
        </w:rPr>
        <w:t xml:space="preserve">年，中型矿井不少于 </w:t>
      </w:r>
      <w:r>
        <w:rPr>
          <w:rFonts w:ascii="Times New Roman" w:eastAsia="Times New Roman"/>
        </w:rPr>
        <w:t xml:space="preserve">20 </w:t>
      </w:r>
      <w:r>
        <w:rPr>
          <w:spacing w:val="-9"/>
        </w:rPr>
        <w:t>年。</w:t>
      </w:r>
      <w:r>
        <w:rPr>
          <w:spacing w:val="-10"/>
        </w:rPr>
        <w:t xml:space="preserve">矿井设计能力按年工作日 </w:t>
      </w:r>
      <w:r>
        <w:rPr>
          <w:rFonts w:ascii="Times New Roman" w:eastAsia="Times New Roman"/>
        </w:rPr>
        <w:t>300d</w:t>
      </w:r>
      <w:r>
        <w:rPr>
          <w:spacing w:val="-18"/>
        </w:rPr>
        <w:t xml:space="preserve">，每天提升 </w:t>
      </w:r>
      <w:r>
        <w:rPr>
          <w:rFonts w:ascii="Times New Roman" w:eastAsia="Times New Roman"/>
        </w:rPr>
        <w:t xml:space="preserve">14h </w:t>
      </w:r>
      <w:r>
        <w:t>计算。</w:t>
      </w:r>
    </w:p>
    <w:p>
      <w:pPr>
        <w:pStyle w:val="BodyText"/>
        <w:ind w:left="1119"/>
        <w:rPr>
          <w:rFonts w:ascii="黑体" w:eastAsia="黑体" w:hint="eastAsia"/>
        </w:rPr>
      </w:pPr>
      <w:r>
        <w:rPr>
          <w:rFonts w:ascii="黑体" w:eastAsia="黑体" w:hint="eastAsia"/>
          <w:spacing w:val="-53"/>
        </w:rPr>
        <w:t xml:space="preserve">第 </w:t>
      </w:r>
      <w:r>
        <w:rPr>
          <w:rFonts w:ascii="Times New Roman" w:eastAsia="Times New Roman"/>
        </w:rPr>
        <w:t xml:space="preserve">15 </w:t>
      </w:r>
      <w:r>
        <w:rPr>
          <w:rFonts w:ascii="黑体" w:eastAsia="黑体" w:hint="eastAsia"/>
        </w:rPr>
        <w:t>条矿井设计</w:t>
      </w:r>
    </w:p>
    <w:p>
      <w:pPr>
        <w:pStyle w:val="BodyText"/>
        <w:spacing w:before="397" w:line="417" w:lineRule="auto"/>
        <w:ind w:right="280" w:firstLine="838"/>
      </w:pPr>
      <w:r>
        <w:rPr>
          <w:spacing w:val="-12"/>
        </w:rPr>
        <w:t>矿井设计应贯彻集中化、机械化和技术经济合理化原则，做到工</w:t>
      </w:r>
      <w:r>
        <w:rPr>
          <w:spacing w:val="-13"/>
        </w:rPr>
        <w:t>期短，投资省，达产快，综合经济效益好。开采条件好的骨干矿井应</w:t>
      </w:r>
      <w:r>
        <w:t>按现代化煤矿标准进行建设。</w:t>
      </w:r>
    </w:p>
    <w:p>
      <w:pPr>
        <w:pStyle w:val="BodyText"/>
        <w:spacing w:line="417" w:lineRule="auto"/>
        <w:ind w:right="280" w:firstLine="838"/>
      </w:pPr>
      <w:r>
        <w:t>井口位置的选择要综合研究，主要考虑有利于加快建井速度，缩短贯通距离，提高经济效益；有利于第一水平开采，兼顾其他水平， 并尽可能减少石门工程量。</w:t>
      </w:r>
    </w:p>
    <w:p>
      <w:pPr>
        <w:pStyle w:val="BodyText"/>
        <w:ind w:left="1119"/>
      </w:pPr>
      <w:r>
        <w:t>井口一般不布置在断层、破碎带及受洪水威胁的位置。</w:t>
      </w:r>
    </w:p>
    <w:p>
      <w:pPr>
        <w:pStyle w:val="BodyText"/>
        <w:ind w:left="0"/>
        <w:rPr>
          <w:sz w:val="31"/>
        </w:rPr>
      </w:pPr>
    </w:p>
    <w:p>
      <w:pPr>
        <w:pStyle w:val="BodyText"/>
        <w:ind w:left="1119"/>
      </w:pPr>
      <w:r>
        <w:t>按照采区布置前进式的原则，矿井的初期采区应尽量布置在井筒</w:t>
      </w:r>
    </w:p>
    <w:p>
      <w:pPr>
        <w:spacing w:after="0"/>
        <w:sectPr>
          <w:footerReference w:type="default" r:id="rId22"/>
          <w:pgSz w:w="17860" w:h="25260"/>
          <w:pgMar w:top="1960" w:right="2240" w:bottom="2460" w:left="2420" w:header="0" w:footer="2213"/>
          <w:pgNumType w:start="13"/>
          <w:cols w:space="708"/>
        </w:sectPr>
      </w:pPr>
    </w:p>
    <w:p>
      <w:pPr>
        <w:pStyle w:val="BodyText"/>
        <w:spacing w:before="20" w:line="417" w:lineRule="auto"/>
        <w:ind w:right="234"/>
      </w:pPr>
      <w:r>
        <w:rPr>
          <w:spacing w:val="-21"/>
        </w:rPr>
        <w:t>附近的富煤地段，逐步向井田边界扩展，以利于尽快达产和持续稳产。</w:t>
      </w:r>
      <w:r>
        <w:t>一般不用跳越式开采。禁止采用采区从边界大后退的开采顺序。</w:t>
      </w:r>
    </w:p>
    <w:p>
      <w:pPr>
        <w:pStyle w:val="BodyText"/>
        <w:spacing w:line="417" w:lineRule="auto"/>
        <w:ind w:right="447" w:firstLine="838"/>
      </w:pPr>
      <w:r>
        <w:rPr>
          <w:spacing w:val="-10"/>
        </w:rPr>
        <w:t>在保证安全生产和采区正常接替的前提下，风井可设在初期采区</w:t>
      </w:r>
      <w:r>
        <w:t>附近，采用中央式通风系统。</w:t>
      </w:r>
    </w:p>
    <w:p>
      <w:pPr>
        <w:pStyle w:val="BodyText"/>
        <w:spacing w:line="417" w:lineRule="auto"/>
        <w:ind w:left="439" w:right="456" w:firstLine="629"/>
        <w:jc w:val="both"/>
      </w:pPr>
      <w:r>
        <w:rPr>
          <w:spacing w:val="-6"/>
        </w:rPr>
        <w:t>井底车场和主要运输巷道一般宜布置在稳定的岩层中。煤层和围</w:t>
      </w:r>
      <w:r>
        <w:t>岩条件适合时，主要运输巷道也可布置在煤层中。采区尽可能不做或少做岩巷。</w:t>
      </w:r>
    </w:p>
    <w:p>
      <w:pPr>
        <w:pStyle w:val="BodyText"/>
        <w:spacing w:line="417" w:lineRule="auto"/>
        <w:ind w:right="460" w:firstLine="838"/>
      </w:pPr>
      <w:r>
        <w:rPr>
          <w:spacing w:val="-8"/>
        </w:rPr>
        <w:t>统配煤矿新设计矿井的普采工作面一律采用单体液压支柱，不采</w:t>
      </w:r>
      <w:r>
        <w:t>用金属摩擦支柱。</w:t>
      </w:r>
    </w:p>
    <w:p>
      <w:pPr>
        <w:pStyle w:val="BodyText"/>
        <w:spacing w:line="417" w:lineRule="auto"/>
        <w:ind w:right="438" w:firstLine="838"/>
      </w:pPr>
      <w:r>
        <w:rPr>
          <w:spacing w:val="-11"/>
        </w:rPr>
        <w:t>设计单位在建设单位同意的前提下，必要时可委托科研单位承担设计中计划采用的新技术科研任务。科研单位要保证在移交生产前提</w:t>
      </w:r>
      <w:r>
        <w:t>供经鉴定成熟的技术成果。科研设计单位完不成任务要承担经济责任。</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18 </w:t>
      </w:r>
      <w:r>
        <w:rPr>
          <w:rFonts w:ascii="黑体" w:eastAsia="黑体" w:hint="eastAsia"/>
        </w:rPr>
        <w:t>条矿井建设前期准备工作</w:t>
      </w:r>
    </w:p>
    <w:p>
      <w:pPr>
        <w:pStyle w:val="BodyText"/>
        <w:spacing w:before="396" w:line="417" w:lineRule="auto"/>
        <w:ind w:right="280" w:firstLine="838"/>
      </w:pPr>
      <w:r>
        <w:rPr>
          <w:spacing w:val="-1"/>
        </w:rPr>
        <w:t>矿井建设必须加强施工准备工作，首先安排场内外运输、供水、</w:t>
      </w:r>
      <w:r>
        <w:rPr>
          <w:spacing w:val="-13"/>
        </w:rPr>
        <w:t>供电、通讯以及施工期间必要的住宅和其他生活福利设施的建设。机</w:t>
      </w:r>
      <w:r>
        <w:rPr>
          <w:spacing w:val="-14"/>
        </w:rPr>
        <w:t>修、仓库等公用工程的建设，应根据施工组织设计安排，分期分批进</w:t>
      </w:r>
      <w:r>
        <w:rPr>
          <w:spacing w:val="-1"/>
        </w:rPr>
        <w:t>行。建设单位要与施工、设计单位密切配合，尽量利用地面及井下永久性工程和设备、设施施工，严格控制临时性建筑的工程量、建筑标</w:t>
      </w:r>
      <w:r>
        <w:rPr>
          <w:spacing w:val="-13"/>
        </w:rPr>
        <w:t>准和造价。发展和采用移动或装配式凿井设备、装配式设备基础和便于拆装船活动房屋施工。</w:t>
      </w:r>
    </w:p>
    <w:p>
      <w:pPr>
        <w:pStyle w:val="BodyText"/>
        <w:spacing w:line="537" w:lineRule="exact"/>
        <w:ind w:left="1119"/>
      </w:pPr>
      <w:r>
        <w:t>场外公路要达到规定的标准，要能适应矿井生产建设需要，并考</w:t>
      </w:r>
    </w:p>
    <w:p>
      <w:pPr>
        <w:spacing w:after="0" w:line="537" w:lineRule="exact"/>
        <w:sectPr>
          <w:footerReference w:type="default" r:id="rId23"/>
          <w:pgSz w:w="17860" w:h="25260"/>
          <w:pgMar w:top="1960" w:right="2240" w:bottom="2440" w:left="2420" w:header="0" w:footer="2213"/>
          <w:pgNumType w:start="14"/>
          <w:cols w:space="708"/>
        </w:sectPr>
      </w:pPr>
    </w:p>
    <w:p>
      <w:pPr>
        <w:pStyle w:val="BodyText"/>
        <w:spacing w:before="20" w:line="417" w:lineRule="auto"/>
        <w:ind w:right="445"/>
      </w:pPr>
      <w:r>
        <w:rPr>
          <w:spacing w:val="-12"/>
        </w:rPr>
        <w:t>虑居民区集中布置后的要求。场外公路选线要合理，一般不选在近期</w:t>
      </w:r>
      <w:r>
        <w:t>塌陷区内。</w:t>
      </w:r>
    </w:p>
    <w:p>
      <w:pPr>
        <w:pStyle w:val="BodyText"/>
        <w:spacing w:line="537" w:lineRule="exact"/>
        <w:ind w:left="1119"/>
      </w:pPr>
      <w:r>
        <w:t>新井开工所需解决的特殊技术问题，应列前期工作计划。</w:t>
      </w:r>
    </w:p>
    <w:p>
      <w:pPr>
        <w:pStyle w:val="BodyText"/>
        <w:spacing w:before="1"/>
        <w:ind w:left="0"/>
        <w:rPr>
          <w:sz w:val="31"/>
        </w:rPr>
      </w:pPr>
    </w:p>
    <w:p>
      <w:pPr>
        <w:pStyle w:val="BodyText"/>
        <w:ind w:left="1119"/>
        <w:rPr>
          <w:rFonts w:ascii="黑体" w:eastAsia="黑体" w:hint="eastAsia"/>
        </w:rPr>
      </w:pPr>
      <w:r>
        <w:rPr>
          <w:rFonts w:ascii="黑体" w:eastAsia="黑体" w:hint="eastAsia"/>
          <w:spacing w:val="-54"/>
        </w:rPr>
        <w:t xml:space="preserve">第 </w:t>
      </w:r>
      <w:r>
        <w:rPr>
          <w:rFonts w:ascii="Arial" w:eastAsia="Arial"/>
        </w:rPr>
        <w:t xml:space="preserve">17 </w:t>
      </w:r>
      <w:r>
        <w:rPr>
          <w:rFonts w:ascii="黑体" w:eastAsia="黑体" w:hint="eastAsia"/>
        </w:rPr>
        <w:t>条矿井施工组织设计</w:t>
      </w:r>
    </w:p>
    <w:p>
      <w:pPr>
        <w:pStyle w:val="BodyText"/>
        <w:spacing w:before="398" w:line="417" w:lineRule="auto"/>
        <w:ind w:right="703" w:firstLine="838"/>
      </w:pPr>
      <w:r>
        <w:t>矿井建设必须做好施工组织设计，严格按施工组织设计进行施工。经批准的矿井施工组织设计是安排矿井建设年度计划的依据。</w:t>
      </w:r>
    </w:p>
    <w:p>
      <w:pPr>
        <w:pStyle w:val="BodyText"/>
        <w:spacing w:line="417" w:lineRule="auto"/>
        <w:ind w:right="236" w:firstLine="838"/>
      </w:pPr>
      <w:r>
        <w:rPr>
          <w:spacing w:val="-7"/>
        </w:rPr>
        <w:t>编制矿井施工组织设计要在经批准的初步设计的基础上，运用先进的方法和手段，细致地安排各单位工程的施工顺序及其相互衔接， 优化施工方案，确定矿井的合理工期。保证安全、优质、快速施工。</w:t>
      </w:r>
      <w:r>
        <w:rPr>
          <w:spacing w:val="-23"/>
        </w:rPr>
        <w:t xml:space="preserve">要因地制宜地采用新技术、新工艺、新装备、新材料，采取有效措施， </w:t>
      </w:r>
      <w:r>
        <w:t>严格控制并尽可能地降低工程造价，缩短建井周期，提高经济效益。</w:t>
      </w:r>
    </w:p>
    <w:p>
      <w:pPr>
        <w:pStyle w:val="BodyText"/>
        <w:spacing w:line="536" w:lineRule="exact"/>
        <w:ind w:left="1119"/>
        <w:rPr>
          <w:rFonts w:ascii="黑体" w:eastAsia="黑体" w:hint="eastAsia"/>
        </w:rPr>
      </w:pPr>
      <w:r>
        <w:rPr>
          <w:rFonts w:ascii="黑体" w:eastAsia="黑体" w:hint="eastAsia"/>
          <w:spacing w:val="-54"/>
        </w:rPr>
        <w:t xml:space="preserve">第 </w:t>
      </w:r>
      <w:r>
        <w:rPr>
          <w:rFonts w:ascii="Arial" w:eastAsia="Arial"/>
        </w:rPr>
        <w:t xml:space="preserve">18 </w:t>
      </w:r>
      <w:r>
        <w:rPr>
          <w:rFonts w:ascii="黑体" w:eastAsia="黑体" w:hint="eastAsia"/>
        </w:rPr>
        <w:t>条立井井筒施工</w:t>
      </w:r>
    </w:p>
    <w:p>
      <w:pPr>
        <w:pStyle w:val="BodyText"/>
        <w:spacing w:before="398" w:line="417" w:lineRule="auto"/>
        <w:ind w:right="280" w:firstLine="838"/>
        <w:jc w:val="both"/>
      </w:pPr>
      <w:r>
        <w:t>井筒开工前应按照规定打检查孔，切实弄清井筒地质水文情况。涌水量超过规定时，要根据效果好、费用省、速度快、占用井口时间短的原则，采取各种治水措施，保证施工速度。</w:t>
      </w:r>
    </w:p>
    <w:p>
      <w:pPr>
        <w:pStyle w:val="BodyText"/>
        <w:spacing w:line="417" w:lineRule="auto"/>
        <w:ind w:right="383" w:firstLine="838"/>
      </w:pPr>
      <w:r>
        <w:rPr>
          <w:spacing w:val="-10"/>
        </w:rPr>
        <w:t>普通凿井以钻爆法施工为主。根据井径及井深选用大绞车、大吊</w:t>
      </w:r>
      <w:r>
        <w:rPr>
          <w:spacing w:val="-15"/>
        </w:rPr>
        <w:t>桶、大抓岩机、伞型钻架及重型凿岩机等配套装备，完善现有立井掘</w:t>
      </w:r>
      <w:r>
        <w:t>进机械化作业线，提高进度和综合技术经济指标，研制适用于井深</w:t>
      </w:r>
      <w:r>
        <w:rPr>
          <w:rFonts w:ascii="Arial" w:eastAsia="Arial"/>
        </w:rPr>
        <w:t xml:space="preserve">800~1000m </w:t>
      </w:r>
      <w:r>
        <w:t>的凿井配套设备。</w:t>
      </w:r>
    </w:p>
    <w:p>
      <w:pPr>
        <w:pStyle w:val="BodyText"/>
        <w:spacing w:line="417" w:lineRule="auto"/>
        <w:ind w:right="447" w:firstLine="838"/>
      </w:pPr>
      <w:r>
        <w:rPr>
          <w:spacing w:val="-14"/>
        </w:rPr>
        <w:t>改进立井施工工艺，积极发展混合作业，根据条件分别采用单行</w:t>
      </w:r>
      <w:r>
        <w:t>作业和平行作业，推广井内吊挂施工工艺。</w:t>
      </w:r>
    </w:p>
    <w:p>
      <w:pPr>
        <w:pStyle w:val="BodyText"/>
        <w:spacing w:line="537" w:lineRule="exact"/>
        <w:ind w:left="1119"/>
      </w:pPr>
      <w:r>
        <w:t>特殊凿井应根据表土冲积层厚度、含水量大小及含水层赋存状态</w:t>
      </w:r>
    </w:p>
    <w:p>
      <w:pPr>
        <w:spacing w:after="0" w:line="537" w:lineRule="exact"/>
        <w:sectPr>
          <w:footerReference w:type="default" r:id="rId24"/>
          <w:pgSz w:w="17860" w:h="25260"/>
          <w:pgMar w:top="1960" w:right="2240" w:bottom="2440" w:left="2420" w:header="0" w:footer="2213"/>
          <w:pgNumType w:start="15"/>
          <w:cols w:space="708"/>
        </w:sectPr>
      </w:pPr>
    </w:p>
    <w:p>
      <w:pPr>
        <w:pStyle w:val="BodyText"/>
        <w:spacing w:before="20" w:line="417" w:lineRule="auto"/>
        <w:ind w:right="280"/>
      </w:pPr>
      <w:r>
        <w:rPr>
          <w:spacing w:val="-1"/>
        </w:rPr>
        <w:t>等条件，因地制宜合理选用沉井法、帷幕法、冻结法或钻井法和注浆</w:t>
      </w:r>
      <w:r>
        <w:rPr>
          <w:spacing w:val="-13"/>
        </w:rPr>
        <w:t>法施工。钻井法是特殊凿井的技术发展方向之一，要完善现有钻井设</w:t>
      </w:r>
      <w:r>
        <w:rPr>
          <w:spacing w:val="-16"/>
        </w:rPr>
        <w:t>备和工艺，进一步研究解决钻硬岩、纠偏和壁后充填以及泥浆处理等</w:t>
      </w:r>
      <w:r>
        <w:rPr>
          <w:spacing w:val="-17"/>
        </w:rPr>
        <w:t>技术关键，提高基岩的钻进效率，推广应用深井冻结技术，研究解决</w:t>
      </w:r>
      <w:r>
        <w:rPr>
          <w:spacing w:val="-1"/>
        </w:rPr>
        <w:t>深井冻结管断裂问题。帷幕法和沉井法，应提高施工工艺、机具及泥</w:t>
      </w:r>
      <w:r>
        <w:t>浆性能。改进检测及防偏、纠偏、防漏技术。</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19 </w:t>
      </w:r>
      <w:r>
        <w:rPr>
          <w:rFonts w:ascii="黑体" w:eastAsia="黑体" w:hint="eastAsia"/>
        </w:rPr>
        <w:t>条斜井和岩巷施工</w:t>
      </w:r>
    </w:p>
    <w:p>
      <w:pPr>
        <w:pStyle w:val="BodyText"/>
        <w:spacing w:before="398"/>
        <w:ind w:left="1119"/>
      </w:pPr>
      <w:r>
        <w:t>斜井和岩巷掘进以钻爆法为主。</w:t>
      </w:r>
    </w:p>
    <w:p>
      <w:pPr>
        <w:pStyle w:val="BodyText"/>
        <w:ind w:left="0"/>
        <w:rPr>
          <w:sz w:val="31"/>
        </w:rPr>
      </w:pPr>
    </w:p>
    <w:p>
      <w:pPr>
        <w:pStyle w:val="BodyText"/>
        <w:spacing w:before="1" w:line="417" w:lineRule="auto"/>
        <w:ind w:right="284" w:firstLine="838"/>
      </w:pPr>
      <w:r>
        <w:t>斜井井筒施工发展绞车、耙斗、箕斗和自卸式矿车、锚喷、激光导向等配套的机械化作业线。</w:t>
      </w:r>
    </w:p>
    <w:p>
      <w:pPr>
        <w:pStyle w:val="BodyText"/>
        <w:spacing w:line="417" w:lineRule="auto"/>
        <w:ind w:right="232" w:firstLine="838"/>
        <w:jc w:val="right"/>
      </w:pPr>
      <w:r>
        <w:t>岩巷掘进发展以钻车、侧卸式装岩机为主体的钻、装、运、支成</w:t>
      </w:r>
      <w:r>
        <w:rPr>
          <w:spacing w:val="-21"/>
        </w:rPr>
        <w:t>套机械化作业线，研制与完善全液压钻车、钻装锚机组和液压凿岩机。</w:t>
      </w:r>
      <w:r>
        <w:t>积极推广应用光爆锚喷技术。发展深孔光爆，提高爆破效率。推</w:t>
      </w:r>
    </w:p>
    <w:p>
      <w:pPr>
        <w:pStyle w:val="BodyText"/>
        <w:spacing w:line="417" w:lineRule="auto"/>
        <w:ind w:right="442"/>
      </w:pPr>
      <w:r>
        <w:rPr>
          <w:spacing w:val="-14"/>
        </w:rPr>
        <w:t>广应用湿式喷射机，降低粉尘和回弹率，提高锚杆锚固力和锚喷混凝</w:t>
      </w:r>
      <w:r>
        <w:t>土的强度，推广应用喷射机械手。</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20 </w:t>
      </w:r>
      <w:r>
        <w:rPr>
          <w:rFonts w:ascii="黑体" w:eastAsia="黑体" w:hint="eastAsia"/>
        </w:rPr>
        <w:t>条矿井移交标准</w:t>
      </w:r>
    </w:p>
    <w:p>
      <w:pPr>
        <w:pStyle w:val="BodyText"/>
        <w:spacing w:before="396"/>
        <w:ind w:left="1119"/>
      </w:pPr>
      <w:r>
        <w:t>要严格工程验收，按投产标准移交生产。</w:t>
      </w:r>
    </w:p>
    <w:p>
      <w:pPr>
        <w:pStyle w:val="BodyText"/>
        <w:spacing w:before="1"/>
        <w:ind w:left="0"/>
        <w:rPr>
          <w:sz w:val="31"/>
        </w:rPr>
      </w:pPr>
    </w:p>
    <w:p>
      <w:pPr>
        <w:pStyle w:val="BodyText"/>
        <w:spacing w:line="417" w:lineRule="auto"/>
        <w:ind w:right="284" w:firstLine="838"/>
      </w:pPr>
      <w:r>
        <w:rPr>
          <w:spacing w:val="-1"/>
        </w:rPr>
        <w:t>大型矿井可实行一次设计，分期建设，分期投产，提前出煤，连</w:t>
      </w:r>
      <w:r>
        <w:rPr>
          <w:spacing w:val="-13"/>
        </w:rPr>
        <w:t>续施工。首次投产必须完成设计规定的地面和井下生产系统第一期工</w:t>
      </w:r>
      <w:r>
        <w:rPr>
          <w:spacing w:val="-14"/>
        </w:rPr>
        <w:t>程量、相应的生活福利设施以及设计规定的第一期投产时的工作面长</w:t>
      </w:r>
      <w:r>
        <w:rPr>
          <w:spacing w:val="-17"/>
        </w:rPr>
        <w:t>度和三个煤量；中型矿井除必须完成设计规定的地面和井下生产系统</w:t>
      </w:r>
      <w:r>
        <w:rPr>
          <w:spacing w:val="-16"/>
        </w:rPr>
        <w:t xml:space="preserve">外，投产工作面长度不应少于设计规定达产时总长度的 </w:t>
      </w:r>
      <w:r>
        <w:rPr>
          <w:rFonts w:ascii="Arial" w:eastAsia="Arial"/>
        </w:rPr>
        <w:t>50</w:t>
      </w:r>
      <w:r>
        <w:t>％。小型</w:t>
      </w:r>
    </w:p>
    <w:p>
      <w:pPr>
        <w:spacing w:after="0" w:line="417" w:lineRule="auto"/>
        <w:sectPr>
          <w:footerReference w:type="default" r:id="rId25"/>
          <w:pgSz w:w="17860" w:h="25260"/>
          <w:pgMar w:top="1960" w:right="2240" w:bottom="2420" w:left="2420" w:header="0" w:footer="2213"/>
          <w:pgNumType w:start="16"/>
          <w:cols w:space="708"/>
        </w:sectPr>
      </w:pPr>
    </w:p>
    <w:p>
      <w:pPr>
        <w:pStyle w:val="BodyText"/>
        <w:spacing w:before="20" w:line="417" w:lineRule="auto"/>
        <w:ind w:right="280"/>
        <w:jc w:val="both"/>
      </w:pPr>
      <w:r>
        <w:t>矿井要求一次建成投产。后期投资、设备、材料要按设计概算列入计划，予以保证，不准挪作他用。矿井安全技术装备必须按设计规定装备齐全。</w:t>
      </w:r>
    </w:p>
    <w:p>
      <w:pPr>
        <w:pStyle w:val="BodyText"/>
        <w:spacing w:line="417" w:lineRule="auto"/>
        <w:ind w:right="280" w:firstLine="838"/>
      </w:pPr>
      <w:r>
        <w:rPr>
          <w:spacing w:val="-12"/>
        </w:rPr>
        <w:t>大型矿井在一次设计时，应明确规定从开工到分期投产之前必须</w:t>
      </w:r>
      <w:r>
        <w:rPr>
          <w:spacing w:val="-13"/>
        </w:rPr>
        <w:t>完成的工程项目和工程量、工作量和逐年的产量。保证连续施工，禁</w:t>
      </w:r>
      <w:r>
        <w:t>止简易投产。</w:t>
      </w:r>
    </w:p>
    <w:p>
      <w:pPr>
        <w:pStyle w:val="Heading1"/>
        <w:spacing w:before="54"/>
      </w:pPr>
      <w:bookmarkStart w:id="4" w:name="_TOC_250010"/>
      <w:bookmarkEnd w:id="4"/>
      <w:r>
        <w:t>第四章露天开采</w:t>
      </w:r>
    </w:p>
    <w:p>
      <w:pPr>
        <w:pStyle w:val="BodyText"/>
        <w:spacing w:before="3"/>
        <w:ind w:left="0"/>
        <w:rPr>
          <w:rFonts w:ascii="幼圆"/>
          <w:sz w:val="51"/>
        </w:rPr>
      </w:pPr>
    </w:p>
    <w:p>
      <w:pPr>
        <w:pStyle w:val="BodyText"/>
        <w:spacing w:before="1"/>
        <w:ind w:left="1119"/>
        <w:rPr>
          <w:rFonts w:ascii="黑体" w:eastAsia="黑体" w:hint="eastAsia"/>
        </w:rPr>
      </w:pPr>
      <w:r>
        <w:rPr>
          <w:rFonts w:ascii="黑体" w:eastAsia="黑体" w:hint="eastAsia"/>
          <w:spacing w:val="-54"/>
        </w:rPr>
        <w:t xml:space="preserve">第 </w:t>
      </w:r>
      <w:r>
        <w:rPr>
          <w:rFonts w:ascii="Arial" w:eastAsia="Arial"/>
        </w:rPr>
        <w:t xml:space="preserve">21 </w:t>
      </w:r>
      <w:r>
        <w:rPr>
          <w:rFonts w:ascii="黑体" w:eastAsia="黑体" w:hint="eastAsia"/>
        </w:rPr>
        <w:t>条露天矿建设的原则</w:t>
      </w:r>
    </w:p>
    <w:p>
      <w:pPr>
        <w:pStyle w:val="BodyText"/>
        <w:spacing w:before="397" w:line="417" w:lineRule="auto"/>
        <w:ind w:right="432" w:firstLine="838"/>
        <w:jc w:val="both"/>
      </w:pPr>
      <w:r>
        <w:rPr>
          <w:spacing w:val="-8"/>
        </w:rPr>
        <w:t>露天矿的建设要以获得最佳经济效益为前提。建设大、中型露天</w:t>
      </w:r>
      <w:r>
        <w:rPr>
          <w:spacing w:val="-17"/>
        </w:rPr>
        <w:t>矿的可行性研究报告，应对企业经济效益和宏观经济效益进行综合分</w:t>
      </w:r>
      <w:r>
        <w:rPr>
          <w:spacing w:val="-14"/>
        </w:rPr>
        <w:t>析和论证。优先建设企业经济效益好，即基本建设投资少及经营费用低的露天矿。</w:t>
      </w:r>
    </w:p>
    <w:p>
      <w:pPr>
        <w:pStyle w:val="BodyText"/>
        <w:spacing w:line="537" w:lineRule="exact"/>
        <w:ind w:left="1119"/>
      </w:pPr>
      <w:r>
        <w:t>露天矿选用的主要采、剥、运等设备应基本立足国内。</w:t>
      </w:r>
    </w:p>
    <w:p>
      <w:pPr>
        <w:pStyle w:val="BodyText"/>
        <w:spacing w:before="1"/>
        <w:ind w:left="0"/>
        <w:rPr>
          <w:sz w:val="31"/>
        </w:rPr>
      </w:pPr>
    </w:p>
    <w:p>
      <w:pPr>
        <w:pStyle w:val="BodyText"/>
        <w:spacing w:line="417" w:lineRule="auto"/>
        <w:ind w:right="244" w:firstLine="838"/>
      </w:pPr>
      <w:r>
        <w:rPr>
          <w:spacing w:val="-22"/>
        </w:rPr>
        <w:t xml:space="preserve">大、中型褐煤露天矿的开发必须和矿区电厂同步建设，协调生产， </w:t>
      </w:r>
      <w:r>
        <w:t>实行煤电综合经营，或煤电联营。</w:t>
      </w:r>
    </w:p>
    <w:p>
      <w:pPr>
        <w:pStyle w:val="BodyText"/>
        <w:spacing w:line="537" w:lineRule="exact"/>
        <w:ind w:left="1119"/>
        <w:rPr>
          <w:rFonts w:ascii="黑体" w:eastAsia="黑体" w:hint="eastAsia"/>
        </w:rPr>
      </w:pPr>
      <w:r>
        <w:rPr>
          <w:rFonts w:ascii="黑体" w:eastAsia="黑体" w:hint="eastAsia"/>
          <w:spacing w:val="-61"/>
        </w:rPr>
        <w:t xml:space="preserve">第 </w:t>
      </w:r>
      <w:r>
        <w:rPr>
          <w:rFonts w:ascii="Arial" w:eastAsia="Arial"/>
        </w:rPr>
        <w:t>22</w:t>
      </w:r>
      <w:r>
        <w:rPr>
          <w:rFonts w:ascii="Arial" w:eastAsia="Arial"/>
          <w:spacing w:val="-29"/>
        </w:rPr>
        <w:t xml:space="preserve"> </w:t>
      </w:r>
      <w:r>
        <w:rPr>
          <w:rFonts w:ascii="黑体" w:eastAsia="黑体" w:hint="eastAsia"/>
        </w:rPr>
        <w:t>条露天矿规模和服务年限</w:t>
      </w:r>
    </w:p>
    <w:p>
      <w:pPr>
        <w:pStyle w:val="BodyText"/>
        <w:spacing w:before="398"/>
        <w:ind w:left="1119"/>
      </w:pPr>
      <w:r>
        <w:drawing>
          <wp:anchor distT="0" distB="0" distL="0" distR="0" simplePos="0" relativeHeight="251662336" behindDoc="1" locked="0" layoutInCell="1" allowOverlap="1">
            <wp:simplePos x="0" y="0"/>
            <wp:positionH relativeFrom="page">
              <wp:posOffset>1600200</wp:posOffset>
            </wp:positionH>
            <wp:positionV relativeFrom="paragraph">
              <wp:posOffset>1193545</wp:posOffset>
            </wp:positionV>
            <wp:extent cx="7917656" cy="2305621"/>
            <wp:effectExtent l="0" t="0" r="0" b="0"/>
            <wp:wrapNone/>
            <wp:docPr id="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6.png"/>
                    <pic:cNvPicPr/>
                  </pic:nvPicPr>
                  <pic:blipFill>
                    <a:blip xmlns:r="http://schemas.openxmlformats.org/officeDocument/2006/relationships" r:embed="rId26" cstate="print"/>
                    <a:stretch>
                      <a:fillRect/>
                    </a:stretch>
                  </pic:blipFill>
                  <pic:spPr>
                    <a:xfrm>
                      <a:off x="0" y="0"/>
                      <a:ext cx="7917656" cy="2305621"/>
                    </a:xfrm>
                    <a:prstGeom prst="rect">
                      <a:avLst/>
                    </a:prstGeom>
                  </pic:spPr>
                </pic:pic>
              </a:graphicData>
            </a:graphic>
          </wp:anchor>
        </w:drawing>
      </w:r>
      <w:r>
        <w:t xml:space="preserve">露天矿规模和服务年限应符合表 </w:t>
      </w:r>
      <w:r>
        <w:rPr>
          <w:rFonts w:ascii="Arial" w:eastAsia="Arial"/>
        </w:rPr>
        <w:t xml:space="preserve">6 </w:t>
      </w:r>
      <w:r>
        <w:t>的规定。</w:t>
      </w:r>
    </w:p>
    <w:p>
      <w:pPr>
        <w:pStyle w:val="BodyText"/>
        <w:spacing w:before="8"/>
        <w:ind w:left="0"/>
        <w:rPr>
          <w:sz w:val="29"/>
        </w:rPr>
      </w:pPr>
    </w:p>
    <w:tbl>
      <w:tblPr>
        <w:tblStyle w:val="TableNormal1"/>
        <w:tblW w:w="0" w:type="auto"/>
        <w:jc w:val="left"/>
        <w:tblInd w:w="13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24"/>
        <w:gridCol w:w="6791"/>
        <w:gridCol w:w="2836"/>
      </w:tblGrid>
      <w:tr>
        <w:tblPrEx>
          <w:tblW w:w="0" w:type="auto"/>
          <w:jc w:val="left"/>
          <w:tblInd w:w="13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2"/>
          <w:jc w:val="left"/>
        </w:trPr>
        <w:tc>
          <w:tcPr>
            <w:tcW w:w="1424" w:type="dxa"/>
            <w:vMerge w:val="restart"/>
          </w:tcPr>
          <w:p>
            <w:pPr>
              <w:pStyle w:val="TableParagraph"/>
              <w:rPr>
                <w:rFonts w:ascii="Times New Roman"/>
                <w:sz w:val="38"/>
              </w:rPr>
            </w:pPr>
          </w:p>
        </w:tc>
        <w:tc>
          <w:tcPr>
            <w:tcW w:w="6791" w:type="dxa"/>
          </w:tcPr>
          <w:p>
            <w:pPr>
              <w:pStyle w:val="TableParagraph"/>
              <w:tabs>
                <w:tab w:val="left" w:pos="1716"/>
              </w:tabs>
              <w:spacing w:line="456" w:lineRule="exact"/>
              <w:ind w:left="722"/>
              <w:jc w:val="center"/>
              <w:rPr>
                <w:b/>
                <w:sz w:val="36"/>
              </w:rPr>
            </w:pPr>
            <w:r>
              <w:rPr>
                <w:b/>
                <w:sz w:val="36"/>
              </w:rPr>
              <w:t>表</w:t>
            </w:r>
            <w:r>
              <w:rPr>
                <w:b/>
                <w:spacing w:val="-94"/>
                <w:sz w:val="36"/>
              </w:rPr>
              <w:t xml:space="preserve"> </w:t>
            </w:r>
            <w:r>
              <w:rPr>
                <w:rFonts w:ascii="Arial" w:eastAsia="Arial"/>
                <w:b/>
                <w:sz w:val="36"/>
              </w:rPr>
              <w:t>6</w:t>
              <w:tab/>
            </w:r>
            <w:r>
              <w:rPr>
                <w:b/>
                <w:sz w:val="36"/>
              </w:rPr>
              <w:t>露天矿规模和服务年限</w:t>
            </w:r>
          </w:p>
        </w:tc>
        <w:tc>
          <w:tcPr>
            <w:tcW w:w="2836" w:type="dxa"/>
          </w:tcPr>
          <w:p>
            <w:pPr>
              <w:pStyle w:val="TableParagraph"/>
              <w:rPr>
                <w:rFonts w:ascii="Times New Roman"/>
                <w:sz w:val="38"/>
              </w:rPr>
            </w:pPr>
          </w:p>
        </w:tc>
      </w:tr>
      <w:tr>
        <w:tblPrEx>
          <w:tblW w:w="0" w:type="auto"/>
          <w:jc w:val="left"/>
          <w:tblInd w:w="1328" w:type="dxa"/>
          <w:tblLayout w:type="fixed"/>
          <w:tblCellMar>
            <w:top w:w="0" w:type="dxa"/>
            <w:left w:w="0" w:type="dxa"/>
            <w:bottom w:w="0" w:type="dxa"/>
            <w:right w:w="0" w:type="dxa"/>
          </w:tblCellMar>
          <w:tblLook w:val="01E0"/>
        </w:tblPrEx>
        <w:trPr>
          <w:trHeight w:val="560"/>
          <w:jc w:val="left"/>
        </w:trPr>
        <w:tc>
          <w:tcPr>
            <w:tcW w:w="1424" w:type="dxa"/>
            <w:vMerge/>
            <w:tcBorders>
              <w:top w:val="nil"/>
            </w:tcBorders>
          </w:tcPr>
          <w:p>
            <w:pPr>
              <w:rPr>
                <w:sz w:val="2"/>
                <w:szCs w:val="2"/>
              </w:rPr>
            </w:pPr>
          </w:p>
        </w:tc>
        <w:tc>
          <w:tcPr>
            <w:tcW w:w="6791" w:type="dxa"/>
          </w:tcPr>
          <w:p>
            <w:pPr>
              <w:pStyle w:val="TableParagraph"/>
              <w:tabs>
                <w:tab w:val="left" w:pos="4005"/>
              </w:tabs>
              <w:spacing w:before="188" w:line="353" w:lineRule="exact"/>
              <w:ind w:left="740"/>
              <w:rPr>
                <w:sz w:val="31"/>
              </w:rPr>
            </w:pPr>
            <w:r>
              <w:rPr>
                <w:sz w:val="31"/>
              </w:rPr>
              <w:t>设计生产能力（</w:t>
            </w:r>
            <w:r>
              <w:rPr>
                <w:spacing w:val="68"/>
                <w:sz w:val="31"/>
              </w:rPr>
              <w:t>万</w:t>
            </w:r>
            <w:r>
              <w:rPr>
                <w:rFonts w:ascii="Arial" w:eastAsia="Arial"/>
                <w:sz w:val="31"/>
              </w:rPr>
              <w:t>t/</w:t>
              <w:tab/>
            </w:r>
            <w:r>
              <w:rPr>
                <w:sz w:val="31"/>
              </w:rPr>
              <w:t>新建露天矿服务年</w:t>
            </w:r>
          </w:p>
        </w:tc>
        <w:tc>
          <w:tcPr>
            <w:tcW w:w="2836" w:type="dxa"/>
          </w:tcPr>
          <w:p>
            <w:pPr>
              <w:pStyle w:val="TableParagraph"/>
              <w:spacing w:before="188" w:line="353" w:lineRule="exact"/>
              <w:ind w:left="256" w:right="59"/>
              <w:jc w:val="center"/>
              <w:rPr>
                <w:sz w:val="31"/>
              </w:rPr>
            </w:pPr>
            <w:r>
              <w:rPr>
                <w:sz w:val="31"/>
              </w:rPr>
              <w:t>改扩建露天矿服务</w:t>
            </w:r>
          </w:p>
        </w:tc>
      </w:tr>
      <w:tr>
        <w:tblPrEx>
          <w:tblW w:w="0" w:type="auto"/>
          <w:jc w:val="left"/>
          <w:tblInd w:w="1328" w:type="dxa"/>
          <w:tblLayout w:type="fixed"/>
          <w:tblCellMar>
            <w:top w:w="0" w:type="dxa"/>
            <w:left w:w="0" w:type="dxa"/>
            <w:bottom w:w="0" w:type="dxa"/>
            <w:right w:w="0" w:type="dxa"/>
          </w:tblCellMar>
          <w:tblLook w:val="01E0"/>
        </w:tblPrEx>
        <w:trPr>
          <w:trHeight w:val="863"/>
          <w:jc w:val="left"/>
        </w:trPr>
        <w:tc>
          <w:tcPr>
            <w:tcW w:w="1424" w:type="dxa"/>
          </w:tcPr>
          <w:p>
            <w:pPr>
              <w:pStyle w:val="TableParagraph"/>
              <w:spacing w:line="377" w:lineRule="exact"/>
              <w:ind w:left="50"/>
              <w:rPr>
                <w:sz w:val="31"/>
              </w:rPr>
            </w:pPr>
            <w:r>
              <w:rPr>
                <w:sz w:val="31"/>
              </w:rPr>
              <w:t>井型</w:t>
            </w:r>
          </w:p>
        </w:tc>
        <w:tc>
          <w:tcPr>
            <w:tcW w:w="6791" w:type="dxa"/>
          </w:tcPr>
          <w:p>
            <w:pPr>
              <w:pStyle w:val="TableParagraph"/>
              <w:spacing w:before="9"/>
              <w:rPr>
                <w:sz w:val="25"/>
              </w:rPr>
            </w:pPr>
          </w:p>
          <w:p>
            <w:pPr>
              <w:pStyle w:val="TableParagraph"/>
              <w:tabs>
                <w:tab w:val="left" w:pos="4635"/>
              </w:tabs>
              <w:ind w:left="1812"/>
              <w:rPr>
                <w:sz w:val="31"/>
              </w:rPr>
            </w:pPr>
            <w:r>
              <w:rPr>
                <w:sz w:val="31"/>
              </w:rPr>
              <w:t>年）</w:t>
              <w:tab/>
              <w:t>限（年）</w:t>
            </w:r>
          </w:p>
        </w:tc>
        <w:tc>
          <w:tcPr>
            <w:tcW w:w="2836" w:type="dxa"/>
          </w:tcPr>
          <w:p>
            <w:pPr>
              <w:pStyle w:val="TableParagraph"/>
              <w:spacing w:before="9"/>
              <w:rPr>
                <w:sz w:val="25"/>
              </w:rPr>
            </w:pPr>
          </w:p>
          <w:p>
            <w:pPr>
              <w:pStyle w:val="TableParagraph"/>
              <w:ind w:left="249" w:right="59"/>
              <w:jc w:val="center"/>
              <w:rPr>
                <w:sz w:val="31"/>
              </w:rPr>
            </w:pPr>
            <w:r>
              <w:rPr>
                <w:sz w:val="31"/>
              </w:rPr>
              <w:t>年限（年）</w:t>
            </w:r>
          </w:p>
        </w:tc>
      </w:tr>
      <w:tr>
        <w:tblPrEx>
          <w:tblW w:w="0" w:type="auto"/>
          <w:jc w:val="left"/>
          <w:tblInd w:w="1328" w:type="dxa"/>
          <w:tblLayout w:type="fixed"/>
          <w:tblCellMar>
            <w:top w:w="0" w:type="dxa"/>
            <w:left w:w="0" w:type="dxa"/>
            <w:bottom w:w="0" w:type="dxa"/>
            <w:right w:w="0" w:type="dxa"/>
          </w:tblCellMar>
          <w:tblLook w:val="01E0"/>
        </w:tblPrEx>
        <w:trPr>
          <w:trHeight w:val="716"/>
          <w:jc w:val="left"/>
        </w:trPr>
        <w:tc>
          <w:tcPr>
            <w:tcW w:w="1424" w:type="dxa"/>
          </w:tcPr>
          <w:p>
            <w:pPr>
              <w:pStyle w:val="TableParagraph"/>
              <w:rPr>
                <w:rFonts w:ascii="Times New Roman"/>
                <w:sz w:val="38"/>
              </w:rPr>
            </w:pPr>
          </w:p>
        </w:tc>
        <w:tc>
          <w:tcPr>
            <w:tcW w:w="6791" w:type="dxa"/>
          </w:tcPr>
          <w:p>
            <w:pPr>
              <w:pStyle w:val="TableParagraph"/>
              <w:tabs>
                <w:tab w:val="left" w:pos="3744"/>
              </w:tabs>
              <w:spacing w:before="182"/>
              <w:ind w:left="450"/>
              <w:jc w:val="center"/>
              <w:rPr>
                <w:rFonts w:ascii="Arial" w:eastAsia="Arial"/>
                <w:sz w:val="31"/>
              </w:rPr>
            </w:pPr>
            <w:r>
              <w:rPr>
                <w:rFonts w:ascii="Arial" w:eastAsia="Arial"/>
                <w:sz w:val="31"/>
              </w:rPr>
              <w:t>1000</w:t>
            </w:r>
            <w:r>
              <w:rPr>
                <w:rFonts w:ascii="Arial" w:eastAsia="Arial"/>
                <w:spacing w:val="-21"/>
                <w:sz w:val="31"/>
              </w:rPr>
              <w:t xml:space="preserve"> </w:t>
            </w:r>
            <w:r>
              <w:rPr>
                <w:sz w:val="31"/>
              </w:rPr>
              <w:t>及以上</w:t>
              <w:tab/>
              <w:t>不少于</w:t>
            </w:r>
            <w:r>
              <w:rPr>
                <w:spacing w:val="-80"/>
                <w:sz w:val="31"/>
              </w:rPr>
              <w:t xml:space="preserve"> </w:t>
            </w:r>
            <w:r>
              <w:rPr>
                <w:rFonts w:ascii="Arial" w:eastAsia="Arial"/>
                <w:sz w:val="31"/>
              </w:rPr>
              <w:t>50</w:t>
            </w:r>
          </w:p>
        </w:tc>
        <w:tc>
          <w:tcPr>
            <w:tcW w:w="2836" w:type="dxa"/>
          </w:tcPr>
          <w:p>
            <w:pPr>
              <w:pStyle w:val="TableParagraph"/>
              <w:spacing w:before="182"/>
              <w:ind w:left="247" w:right="59"/>
              <w:jc w:val="center"/>
              <w:rPr>
                <w:rFonts w:ascii="Arial" w:eastAsia="Arial"/>
                <w:sz w:val="31"/>
              </w:rPr>
            </w:pPr>
            <w:r>
              <w:rPr>
                <w:sz w:val="31"/>
              </w:rPr>
              <w:t xml:space="preserve">不少于 </w:t>
            </w:r>
            <w:r>
              <w:rPr>
                <w:rFonts w:ascii="Arial" w:eastAsia="Arial"/>
                <w:sz w:val="31"/>
              </w:rPr>
              <w:t>40</w:t>
            </w:r>
          </w:p>
        </w:tc>
      </w:tr>
      <w:tr>
        <w:tblPrEx>
          <w:tblW w:w="0" w:type="auto"/>
          <w:jc w:val="left"/>
          <w:tblInd w:w="1328" w:type="dxa"/>
          <w:tblLayout w:type="fixed"/>
          <w:tblCellMar>
            <w:top w:w="0" w:type="dxa"/>
            <w:left w:w="0" w:type="dxa"/>
            <w:bottom w:w="0" w:type="dxa"/>
            <w:right w:w="0" w:type="dxa"/>
          </w:tblCellMar>
          <w:tblLook w:val="01E0"/>
        </w:tblPrEx>
        <w:trPr>
          <w:trHeight w:val="718"/>
          <w:jc w:val="left"/>
        </w:trPr>
        <w:tc>
          <w:tcPr>
            <w:tcW w:w="1424" w:type="dxa"/>
          </w:tcPr>
          <w:p>
            <w:pPr>
              <w:pStyle w:val="TableParagraph"/>
              <w:spacing w:before="182"/>
              <w:ind w:left="50"/>
              <w:rPr>
                <w:sz w:val="31"/>
              </w:rPr>
            </w:pPr>
            <w:r>
              <w:rPr>
                <w:sz w:val="31"/>
              </w:rPr>
              <w:t>大型</w:t>
            </w:r>
          </w:p>
        </w:tc>
        <w:tc>
          <w:tcPr>
            <w:tcW w:w="6791" w:type="dxa"/>
          </w:tcPr>
          <w:p>
            <w:pPr>
              <w:pStyle w:val="TableParagraph"/>
              <w:tabs>
                <w:tab w:val="left" w:pos="3744"/>
              </w:tabs>
              <w:spacing w:before="182"/>
              <w:ind w:left="640"/>
              <w:jc w:val="center"/>
              <w:rPr>
                <w:rFonts w:ascii="Arial" w:eastAsia="Arial"/>
                <w:sz w:val="31"/>
              </w:rPr>
            </w:pPr>
            <w:r>
              <w:rPr>
                <w:rFonts w:ascii="Arial" w:eastAsia="Arial"/>
                <w:sz w:val="31"/>
              </w:rPr>
              <w:t>500~1000</w:t>
              <w:tab/>
            </w:r>
            <w:r>
              <w:rPr>
                <w:spacing w:val="-21"/>
                <w:sz w:val="31"/>
              </w:rPr>
              <w:t xml:space="preserve">不少于 </w:t>
            </w:r>
            <w:r>
              <w:rPr>
                <w:rFonts w:ascii="Arial" w:eastAsia="Arial"/>
                <w:sz w:val="31"/>
              </w:rPr>
              <w:t>40</w:t>
            </w:r>
          </w:p>
        </w:tc>
        <w:tc>
          <w:tcPr>
            <w:tcW w:w="2836" w:type="dxa"/>
          </w:tcPr>
          <w:p>
            <w:pPr>
              <w:pStyle w:val="TableParagraph"/>
              <w:spacing w:before="182"/>
              <w:ind w:left="247" w:right="59"/>
              <w:jc w:val="center"/>
              <w:rPr>
                <w:rFonts w:ascii="Arial" w:eastAsia="Arial"/>
                <w:sz w:val="31"/>
              </w:rPr>
            </w:pPr>
            <w:r>
              <w:rPr>
                <w:sz w:val="31"/>
              </w:rPr>
              <w:t xml:space="preserve">不少于 </w:t>
            </w:r>
            <w:r>
              <w:rPr>
                <w:rFonts w:ascii="Arial" w:eastAsia="Arial"/>
                <w:sz w:val="31"/>
              </w:rPr>
              <w:t>30</w:t>
            </w:r>
          </w:p>
        </w:tc>
      </w:tr>
      <w:tr>
        <w:tblPrEx>
          <w:tblW w:w="0" w:type="auto"/>
          <w:jc w:val="left"/>
          <w:tblInd w:w="1328" w:type="dxa"/>
          <w:tblLayout w:type="fixed"/>
          <w:tblCellMar>
            <w:top w:w="0" w:type="dxa"/>
            <w:left w:w="0" w:type="dxa"/>
            <w:bottom w:w="0" w:type="dxa"/>
            <w:right w:w="0" w:type="dxa"/>
          </w:tblCellMar>
          <w:tblLook w:val="01E0"/>
        </w:tblPrEx>
        <w:trPr>
          <w:trHeight w:val="538"/>
          <w:jc w:val="left"/>
        </w:trPr>
        <w:tc>
          <w:tcPr>
            <w:tcW w:w="1424" w:type="dxa"/>
          </w:tcPr>
          <w:p>
            <w:pPr>
              <w:pStyle w:val="TableParagraph"/>
              <w:rPr>
                <w:rFonts w:ascii="Times New Roman"/>
                <w:sz w:val="38"/>
              </w:rPr>
            </w:pPr>
          </w:p>
        </w:tc>
        <w:tc>
          <w:tcPr>
            <w:tcW w:w="6791" w:type="dxa"/>
          </w:tcPr>
          <w:p>
            <w:pPr>
              <w:pStyle w:val="TableParagraph"/>
              <w:tabs>
                <w:tab w:val="left" w:pos="4596"/>
              </w:tabs>
              <w:spacing w:before="183" w:line="335" w:lineRule="exact"/>
              <w:ind w:left="1571"/>
              <w:rPr>
                <w:rFonts w:ascii="Arial" w:eastAsia="Arial"/>
                <w:sz w:val="31"/>
              </w:rPr>
            </w:pPr>
            <w:r>
              <w:rPr>
                <w:rFonts w:ascii="Arial" w:eastAsia="Arial"/>
                <w:sz w:val="31"/>
              </w:rPr>
              <w:t>300~500</w:t>
              <w:tab/>
            </w:r>
            <w:r>
              <w:rPr>
                <w:spacing w:val="-21"/>
                <w:sz w:val="31"/>
              </w:rPr>
              <w:t xml:space="preserve">不少于 </w:t>
            </w:r>
            <w:r>
              <w:rPr>
                <w:rFonts w:ascii="Arial" w:eastAsia="Arial"/>
                <w:sz w:val="31"/>
              </w:rPr>
              <w:t>35</w:t>
            </w:r>
          </w:p>
        </w:tc>
        <w:tc>
          <w:tcPr>
            <w:tcW w:w="2836" w:type="dxa"/>
          </w:tcPr>
          <w:p>
            <w:pPr>
              <w:pStyle w:val="TableParagraph"/>
              <w:spacing w:before="183" w:line="335" w:lineRule="exact"/>
              <w:ind w:left="247" w:right="59"/>
              <w:jc w:val="center"/>
              <w:rPr>
                <w:rFonts w:ascii="Arial" w:eastAsia="Arial"/>
                <w:sz w:val="31"/>
              </w:rPr>
            </w:pPr>
            <w:r>
              <w:rPr>
                <w:sz w:val="31"/>
              </w:rPr>
              <w:t xml:space="preserve">不少于 </w:t>
            </w:r>
            <w:r>
              <w:rPr>
                <w:rFonts w:ascii="Arial" w:eastAsia="Arial"/>
                <w:sz w:val="31"/>
              </w:rPr>
              <w:t>25</w:t>
            </w:r>
          </w:p>
        </w:tc>
      </w:tr>
    </w:tbl>
    <w:p>
      <w:pPr>
        <w:spacing w:after="0" w:line="335" w:lineRule="exact"/>
        <w:jc w:val="center"/>
        <w:rPr>
          <w:rFonts w:ascii="Arial" w:eastAsia="Arial"/>
          <w:sz w:val="31"/>
        </w:rPr>
        <w:sectPr>
          <w:footerReference w:type="default" r:id="rId27"/>
          <w:pgSz w:w="17860" w:h="25260"/>
          <w:pgMar w:top="1960" w:right="2240" w:bottom="2460" w:left="2420" w:header="0" w:footer="2213"/>
          <w:pgNumType w:start="17"/>
          <w:cols w:space="708"/>
        </w:sectPr>
      </w:pPr>
    </w:p>
    <w:p>
      <w:pPr>
        <w:pStyle w:val="BodyText"/>
        <w:ind w:left="80"/>
        <w:rPr>
          <w:sz w:val="20"/>
        </w:rPr>
      </w:pPr>
      <w:r>
        <w:rPr>
          <w:sz w:val="20"/>
        </w:rPr>
        <w:pict>
          <v:group id="_x0000_i1077" style="width:626pt;height:75pt;mso-position-horizontal-relative:char;mso-position-vertical-relative:line" coordorigin="0,0" coordsize="12520,1500">
            <v:shape id="_x0000_s1078" type="#_x0000_t75" style="width:12520;height:1500;position:absolute" stroked="f">
              <v:imagedata r:id="rId28" o:title=""/>
            </v:shape>
            <v:shape id="_x0000_s1079" type="#_x0000_t202" style="width:654;height:317;left:1291;position:absolute;top:249" filled="f" stroked="f">
              <v:textbox inset="0,0,0,0">
                <w:txbxContent>
                  <w:p>
                    <w:pPr>
                      <w:spacing w:before="0" w:line="317" w:lineRule="exact"/>
                      <w:ind w:left="0" w:right="0" w:firstLine="0"/>
                      <w:jc w:val="left"/>
                      <w:rPr>
                        <w:sz w:val="31"/>
                      </w:rPr>
                    </w:pPr>
                    <w:r>
                      <w:rPr>
                        <w:sz w:val="31"/>
                      </w:rPr>
                      <w:t>中型</w:t>
                    </w:r>
                  </w:p>
                </w:txbxContent>
              </v:textbox>
            </v:shape>
            <v:shape id="_x0000_s1080" type="#_x0000_t202" style="width:1142;height:317;left:4237;position:absolute;top:213" filled="f" stroked="f">
              <v:textbox inset="0,0,0,0">
                <w:txbxContent>
                  <w:p>
                    <w:pPr>
                      <w:spacing w:before="21" w:line="296" w:lineRule="exact"/>
                      <w:ind w:left="0" w:right="0" w:firstLine="0"/>
                      <w:jc w:val="left"/>
                      <w:rPr>
                        <w:rFonts w:ascii="Arial"/>
                        <w:sz w:val="31"/>
                      </w:rPr>
                    </w:pPr>
                    <w:r>
                      <w:rPr>
                        <w:rFonts w:ascii="Arial"/>
                        <w:w w:val="90"/>
                        <w:sz w:val="31"/>
                      </w:rPr>
                      <w:t>100~300</w:t>
                    </w:r>
                  </w:p>
                </w:txbxContent>
              </v:textbox>
            </v:shape>
            <v:shape id="_x0000_s1081" type="#_x0000_t202" style="width:1363;height:357;left:7261;position:absolute;top:209" filled="f" stroked="f">
              <v:textbox inset="0,0,0,0">
                <w:txbxContent>
                  <w:p>
                    <w:pPr>
                      <w:spacing w:before="2" w:line="355" w:lineRule="exact"/>
                      <w:ind w:left="0" w:right="0" w:firstLine="0"/>
                      <w:jc w:val="left"/>
                      <w:rPr>
                        <w:rFonts w:ascii="Arial" w:eastAsia="Arial"/>
                        <w:sz w:val="31"/>
                      </w:rPr>
                    </w:pPr>
                    <w:r>
                      <w:rPr>
                        <w:spacing w:val="-22"/>
                        <w:sz w:val="31"/>
                      </w:rPr>
                      <w:t xml:space="preserve">不少于 </w:t>
                    </w:r>
                    <w:r>
                      <w:rPr>
                        <w:rFonts w:ascii="Arial" w:eastAsia="Arial"/>
                        <w:sz w:val="31"/>
                      </w:rPr>
                      <w:t>30</w:t>
                    </w:r>
                  </w:p>
                </w:txbxContent>
              </v:textbox>
            </v:shape>
            <v:shape id="_x0000_s1082" type="#_x0000_t202" style="width:1364;height:357;left:10296;position:absolute;top:209" filled="f" stroked="f">
              <v:textbox inset="0,0,0,0">
                <w:txbxContent>
                  <w:p>
                    <w:pPr>
                      <w:spacing w:before="2" w:line="355" w:lineRule="exact"/>
                      <w:ind w:left="0" w:right="0" w:firstLine="0"/>
                      <w:jc w:val="left"/>
                      <w:rPr>
                        <w:rFonts w:ascii="Arial" w:eastAsia="Arial"/>
                        <w:sz w:val="31"/>
                      </w:rPr>
                    </w:pPr>
                    <w:r>
                      <w:rPr>
                        <w:spacing w:val="-22"/>
                        <w:sz w:val="31"/>
                      </w:rPr>
                      <w:t xml:space="preserve">不少于 </w:t>
                    </w:r>
                    <w:r>
                      <w:rPr>
                        <w:rFonts w:ascii="Arial" w:eastAsia="Arial"/>
                        <w:sz w:val="31"/>
                      </w:rPr>
                      <w:t>20</w:t>
                    </w:r>
                  </w:p>
                </w:txbxContent>
              </v:textbox>
            </v:shape>
            <v:shape id="_x0000_s1083" type="#_x0000_t202" style="width:654;height:317;left:1291;position:absolute;top:966" filled="f" stroked="f">
              <v:textbox inset="0,0,0,0">
                <w:txbxContent>
                  <w:p>
                    <w:pPr>
                      <w:spacing w:before="0" w:line="317" w:lineRule="exact"/>
                      <w:ind w:left="0" w:right="0" w:firstLine="0"/>
                      <w:jc w:val="left"/>
                      <w:rPr>
                        <w:sz w:val="31"/>
                      </w:rPr>
                    </w:pPr>
                    <w:r>
                      <w:rPr>
                        <w:sz w:val="31"/>
                      </w:rPr>
                      <w:t>小型</w:t>
                    </w:r>
                  </w:p>
                </w:txbxContent>
              </v:textbox>
            </v:shape>
            <v:shape id="_x0000_s1084" type="#_x0000_t202" style="width:1209;height:357;left:4204;position:absolute;top:926" filled="f" stroked="f">
              <v:textbox inset="0,0,0,0">
                <w:txbxContent>
                  <w:p>
                    <w:pPr>
                      <w:spacing w:before="2" w:line="355" w:lineRule="exact"/>
                      <w:ind w:left="0" w:right="0" w:firstLine="0"/>
                      <w:jc w:val="left"/>
                      <w:rPr>
                        <w:rFonts w:ascii="Arial" w:eastAsia="Arial"/>
                        <w:sz w:val="31"/>
                      </w:rPr>
                    </w:pPr>
                    <w:r>
                      <w:rPr>
                        <w:spacing w:val="-34"/>
                        <w:sz w:val="31"/>
                      </w:rPr>
                      <w:t xml:space="preserve">小于 </w:t>
                    </w:r>
                    <w:r>
                      <w:rPr>
                        <w:rFonts w:ascii="Arial" w:eastAsia="Arial"/>
                        <w:sz w:val="31"/>
                      </w:rPr>
                      <w:t>100</w:t>
                    </w:r>
                  </w:p>
                </w:txbxContent>
              </v:textbox>
            </v:shape>
            <v:shape id="_x0000_s1085" type="#_x0000_t202" style="width:2555;height:317;left:8190;position:absolute;top:966" filled="f" stroked="f">
              <v:textbox inset="0,0,0,0">
                <w:txbxContent>
                  <w:p>
                    <w:pPr>
                      <w:spacing w:before="0" w:line="317" w:lineRule="exact"/>
                      <w:ind w:left="0" w:right="0" w:firstLine="0"/>
                      <w:jc w:val="left"/>
                      <w:rPr>
                        <w:sz w:val="31"/>
                      </w:rPr>
                    </w:pPr>
                    <w:r>
                      <w:rPr>
                        <w:sz w:val="31"/>
                      </w:rPr>
                      <w:t>由各省煤炭局自定</w:t>
                    </w:r>
                  </w:p>
                </w:txbxContent>
              </v:textbox>
            </v:shape>
            <w10:wrap type="none"/>
          </v:group>
        </w:pict>
      </w:r>
    </w:p>
    <w:p>
      <w:pPr>
        <w:pStyle w:val="BodyText"/>
        <w:spacing w:before="97" w:line="417" w:lineRule="auto"/>
        <w:ind w:left="1119" w:right="284"/>
      </w:pPr>
      <w:r>
        <w:rPr>
          <w:spacing w:val="-1"/>
        </w:rPr>
        <w:t>对缺煤地区或矿区内有接续露天矿的，其服务年限可适当缩短。</w:t>
      </w:r>
      <w:r>
        <w:rPr>
          <w:spacing w:val="-16"/>
        </w:rPr>
        <w:t xml:space="preserve">在设计时，按表 </w:t>
      </w:r>
      <w:r>
        <w:rPr>
          <w:rFonts w:ascii="Arial" w:eastAsia="Arial"/>
        </w:rPr>
        <w:t xml:space="preserve">6 </w:t>
      </w:r>
      <w:r>
        <w:rPr>
          <w:spacing w:val="-24"/>
        </w:rPr>
        <w:t xml:space="preserve">规定采用 </w:t>
      </w:r>
      <w:r>
        <w:rPr>
          <w:rFonts w:ascii="Arial" w:eastAsia="Arial"/>
        </w:rPr>
        <w:t xml:space="preserve">1.0~1.2 </w:t>
      </w:r>
      <w:r>
        <w:t>的储量备用系数。设计能力</w:t>
      </w:r>
    </w:p>
    <w:p>
      <w:pPr>
        <w:pStyle w:val="BodyText"/>
        <w:spacing w:line="417" w:lineRule="auto"/>
        <w:ind w:right="427"/>
      </w:pPr>
      <w:r>
        <w:rPr>
          <w:spacing w:val="-18"/>
        </w:rPr>
        <w:t xml:space="preserve">按年工作日 </w:t>
      </w:r>
      <w:r>
        <w:rPr>
          <w:rFonts w:ascii="Arial" w:eastAsia="Arial"/>
        </w:rPr>
        <w:t xml:space="preserve">300d </w:t>
      </w:r>
      <w:r>
        <w:rPr>
          <w:spacing w:val="-1"/>
        </w:rPr>
        <w:t>计算，严寒或有大风和暴雨等气候异常地区，根据</w:t>
      </w:r>
      <w:r>
        <w:t>实际情况确定。</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23 </w:t>
      </w:r>
      <w:r>
        <w:rPr>
          <w:rFonts w:ascii="黑体" w:eastAsia="黑体" w:hint="eastAsia"/>
        </w:rPr>
        <w:t>条露天矿的设计</w:t>
      </w:r>
    </w:p>
    <w:p>
      <w:pPr>
        <w:pStyle w:val="BodyText"/>
        <w:spacing w:before="398" w:line="417" w:lineRule="auto"/>
        <w:ind w:right="280" w:firstLine="838"/>
      </w:pPr>
      <w:r>
        <w:t>露天矿建设规模应根据煤炭储量、煤层赋存情况、产品需求等条件在矿区总体设计中合理确定。大型露天煤矿建设可贯彻一次设计， 分期建设，分期投产，由小到大的原则。</w:t>
      </w:r>
    </w:p>
    <w:p>
      <w:pPr>
        <w:pStyle w:val="BodyText"/>
        <w:spacing w:line="417" w:lineRule="auto"/>
        <w:ind w:right="244" w:firstLine="838"/>
      </w:pPr>
      <w:r>
        <w:rPr>
          <w:spacing w:val="-22"/>
        </w:rPr>
        <w:t>根据煤层赋存条件、煤种、煤质、覆盖层和围岩性质、资源回收、</w:t>
      </w:r>
      <w:r>
        <w:rPr>
          <w:spacing w:val="-11"/>
        </w:rPr>
        <w:t>市场情况以及选用的工艺装备，合理确定经济剥采比。为适应露天开</w:t>
      </w:r>
      <w:r>
        <w:rPr>
          <w:spacing w:val="-17"/>
        </w:rPr>
        <w:t>采技术的发展，露天矿的设计应确定近期和远期的开采境界。经济合</w:t>
      </w:r>
      <w:r>
        <w:rPr>
          <w:spacing w:val="-33"/>
        </w:rPr>
        <w:t xml:space="preserve">理剥采比一般不超过 </w:t>
      </w:r>
      <w:r>
        <w:rPr>
          <w:rFonts w:ascii="Arial" w:eastAsia="Arial"/>
        </w:rPr>
        <w:t>5~10m</w:t>
      </w:r>
      <w:r>
        <w:rPr>
          <w:rFonts w:ascii="Arial" w:eastAsia="Arial"/>
          <w:position w:val="2"/>
          <w:sz w:val="27"/>
        </w:rPr>
        <w:t>3</w:t>
      </w:r>
      <w:r>
        <w:rPr>
          <w:rFonts w:ascii="Arial" w:eastAsia="Arial"/>
        </w:rPr>
        <w:t>/t</w:t>
      </w:r>
      <w:r>
        <w:t>。初期生产剥采比，对褐煤、烟煤、炼</w:t>
      </w:r>
      <w:r>
        <w:rPr>
          <w:spacing w:val="-15"/>
        </w:rPr>
        <w:t xml:space="preserve">焦煤一般不大于 </w:t>
      </w:r>
      <w:r>
        <w:rPr>
          <w:rFonts w:ascii="Arial" w:eastAsia="Arial"/>
        </w:rPr>
        <w:t>4</w:t>
      </w:r>
      <w:r>
        <w:rPr>
          <w:spacing w:val="-4"/>
        </w:rPr>
        <w:t>、</w:t>
      </w:r>
      <w:r>
        <w:rPr>
          <w:rFonts w:ascii="Arial" w:eastAsia="Arial"/>
        </w:rPr>
        <w:t>6</w:t>
      </w:r>
      <w:r>
        <w:rPr>
          <w:spacing w:val="-4"/>
        </w:rPr>
        <w:t>、</w:t>
      </w:r>
      <w:r>
        <w:rPr>
          <w:rFonts w:ascii="Arial" w:eastAsia="Arial"/>
        </w:rPr>
        <w:t>8 m</w:t>
      </w:r>
      <w:r>
        <w:rPr>
          <w:rFonts w:ascii="Arial" w:eastAsia="Arial"/>
          <w:position w:val="2"/>
          <w:sz w:val="27"/>
        </w:rPr>
        <w:t>3</w:t>
      </w:r>
      <w:r>
        <w:rPr>
          <w:rFonts w:ascii="Arial" w:eastAsia="Arial"/>
        </w:rPr>
        <w:t>/t</w:t>
      </w:r>
      <w:r>
        <w:t>。</w:t>
      </w:r>
    </w:p>
    <w:p>
      <w:pPr>
        <w:pStyle w:val="BodyText"/>
        <w:spacing w:line="417" w:lineRule="auto"/>
        <w:ind w:right="280" w:firstLine="838"/>
      </w:pPr>
      <w:r>
        <w:t>露天矿井开采工艺应根据矿区自然条件、设计能力、国内技术经济条件，合理选择经济效益好，技术先进，并能立足国内或便于消化吸收引进设备的开采工艺。</w:t>
      </w:r>
    </w:p>
    <w:p>
      <w:pPr>
        <w:pStyle w:val="BodyText"/>
        <w:spacing w:line="417" w:lineRule="auto"/>
        <w:ind w:right="280" w:firstLine="838"/>
        <w:sectPr>
          <w:footerReference w:type="default" r:id="rId29"/>
          <w:pgSz w:w="17860" w:h="25260"/>
          <w:pgMar w:top="1820" w:right="2240" w:bottom="2460" w:left="2420" w:header="0" w:footer="2213"/>
          <w:pgNumType w:start="18"/>
          <w:cols w:space="708"/>
        </w:sectPr>
      </w:pPr>
      <w:r>
        <w:t>铁道运输在我国露天矿应用多年，积累了丰富的经验。它具有运输可靠，便于维修，运营费用低及设备立足国内等优点；虽然基建工程量大，建设工期长，采场运输比较复杂，但在条件适宜矿区，仍应优先采用。采用铁道运输，必须解决辅助作业机械化问题，运输管理</w:t>
      </w:r>
    </w:p>
    <w:p>
      <w:pPr>
        <w:pStyle w:val="BodyText"/>
        <w:spacing w:line="537" w:lineRule="exact"/>
      </w:pPr>
      <w:r>
        <w:t>工作要跟上去。</w:t>
      </w:r>
    </w:p>
    <w:p>
      <w:pPr>
        <w:spacing w:after="0" w:line="537" w:lineRule="exact"/>
        <w:sectPr>
          <w:footerReference w:type="default" r:id="rId30"/>
          <w:type w:val="nextPage"/>
          <w:pgSz w:w="17860" w:h="25260"/>
          <w:pgMar w:top="1820" w:right="2240" w:bottom="2460" w:left="2420" w:header="0" w:footer="2213"/>
          <w:pgNumType w:start="19"/>
          <w:cols w:space="708"/>
          <w:titlePg w:val="0"/>
        </w:sectPr>
      </w:pPr>
    </w:p>
    <w:p>
      <w:pPr>
        <w:pStyle w:val="BodyText"/>
        <w:spacing w:before="20" w:line="417" w:lineRule="auto"/>
        <w:ind w:right="280" w:firstLine="838"/>
      </w:pPr>
      <w:r>
        <w:rPr>
          <w:spacing w:val="-10"/>
        </w:rPr>
        <w:t>轮斗胶带工艺是一种运输能力大，劳动生产率高，可实现自动化</w:t>
      </w:r>
      <w:r>
        <w:rPr>
          <w:spacing w:val="-11"/>
        </w:rPr>
        <w:t>的连续作业系统。尽管设备投资多，制造技术要求高，受气候影响较</w:t>
      </w:r>
      <w:r>
        <w:rPr>
          <w:spacing w:val="-13"/>
        </w:rPr>
        <w:t>大，但国内已能制造并正在试用中小型轮斗挖掘机及其配套设备，因</w:t>
      </w:r>
      <w:r>
        <w:rPr>
          <w:spacing w:val="-14"/>
        </w:rPr>
        <w:t>此在煤岩松软、条件适宜的矿区，应积极试用，以突破露天连续开采</w:t>
      </w:r>
      <w:r>
        <w:t>的技术关键。</w:t>
      </w:r>
    </w:p>
    <w:p>
      <w:pPr>
        <w:pStyle w:val="BodyText"/>
        <w:spacing w:line="417" w:lineRule="auto"/>
        <w:ind w:right="280" w:firstLine="838"/>
      </w:pPr>
      <w:r>
        <w:rPr>
          <w:spacing w:val="-11"/>
        </w:rPr>
        <w:t>单斗汽车工艺具有机动灵活，采场运输系统简单。生产效率高等</w:t>
      </w:r>
      <w:r>
        <w:rPr>
          <w:spacing w:val="-12"/>
        </w:rPr>
        <w:t>优点，但运营费用高，轮胎和燃油消耗大，特别是油料和国外设备配</w:t>
      </w:r>
      <w:r>
        <w:rPr>
          <w:spacing w:val="-14"/>
        </w:rPr>
        <w:t>件昂贵，适用于运距短机动性强的条件。现用单斗汽车开采的露天矿</w:t>
      </w:r>
      <w:r>
        <w:rPr>
          <w:spacing w:val="-15"/>
        </w:rPr>
        <w:t>要加强管理，总结经验，降低运行费用。在条件适宜的露天矿积极试</w:t>
      </w:r>
      <w:r>
        <w:t>验单斗胶带半连续作业系统。</w:t>
      </w:r>
    </w:p>
    <w:p>
      <w:pPr>
        <w:pStyle w:val="BodyText"/>
        <w:spacing w:line="417" w:lineRule="auto"/>
        <w:ind w:right="459" w:firstLine="838"/>
      </w:pPr>
      <w:r>
        <w:rPr>
          <w:spacing w:val="-9"/>
        </w:rPr>
        <w:t>对大型和条件复杂的露天矿可因地制宜同时采用几种剥、采、运</w:t>
      </w:r>
      <w:r>
        <w:t>输设备的综合作业方式。在露天矿设计中应考虑尽早实现采空区内排。</w:t>
      </w:r>
    </w:p>
    <w:p>
      <w:pPr>
        <w:pStyle w:val="BodyText"/>
        <w:spacing w:line="538" w:lineRule="exact"/>
        <w:ind w:left="1119"/>
      </w:pPr>
      <w:r>
        <w:t>大型露矿设计中必须有现代化管理的内容。</w:t>
      </w:r>
    </w:p>
    <w:p>
      <w:pPr>
        <w:pStyle w:val="BodyText"/>
        <w:spacing w:before="11"/>
        <w:ind w:left="0"/>
        <w:rPr>
          <w:sz w:val="30"/>
        </w:rPr>
      </w:pPr>
    </w:p>
    <w:p>
      <w:pPr>
        <w:pStyle w:val="BodyText"/>
        <w:ind w:left="1119"/>
        <w:rPr>
          <w:rFonts w:ascii="黑体" w:eastAsia="黑体" w:hint="eastAsia"/>
        </w:rPr>
      </w:pPr>
      <w:r>
        <w:rPr>
          <w:rFonts w:ascii="黑体" w:eastAsia="黑体" w:hint="eastAsia"/>
          <w:spacing w:val="-54"/>
        </w:rPr>
        <w:t xml:space="preserve">第 </w:t>
      </w:r>
      <w:r>
        <w:rPr>
          <w:rFonts w:ascii="Arial" w:eastAsia="Arial"/>
        </w:rPr>
        <w:t xml:space="preserve">24 </w:t>
      </w:r>
      <w:r>
        <w:rPr>
          <w:rFonts w:ascii="黑体" w:eastAsia="黑体" w:hint="eastAsia"/>
        </w:rPr>
        <w:t>条露天矿施工和移交</w:t>
      </w:r>
    </w:p>
    <w:p>
      <w:pPr>
        <w:pStyle w:val="BodyText"/>
        <w:spacing w:before="398" w:line="417" w:lineRule="auto"/>
        <w:ind w:right="458" w:firstLine="838"/>
      </w:pPr>
      <w:r>
        <w:t>露天矿施工前必须作好施工准备。矿建工程开工前，除完成</w:t>
      </w:r>
      <w:r>
        <w:rPr>
          <w:rFonts w:ascii="Times New Roman" w:eastAsia="Times New Roman" w:hAnsi="Times New Roman"/>
        </w:rPr>
        <w:t>“</w:t>
      </w:r>
      <w:r>
        <w:t>四通一平</w:t>
      </w:r>
      <w:r>
        <w:rPr>
          <w:rFonts w:ascii="Times New Roman" w:eastAsia="Times New Roman" w:hAnsi="Times New Roman"/>
        </w:rPr>
        <w:t>”</w:t>
      </w:r>
      <w:r>
        <w:t>外，还必须具备相应的机修设施。</w:t>
      </w:r>
    </w:p>
    <w:p>
      <w:pPr>
        <w:pStyle w:val="BodyText"/>
        <w:spacing w:line="417" w:lineRule="auto"/>
        <w:ind w:right="446" w:firstLine="838"/>
        <w:jc w:val="both"/>
      </w:pPr>
      <w:r>
        <w:rPr>
          <w:spacing w:val="-15"/>
        </w:rPr>
        <w:t>要严格工程验收，按投产标准移交生产，露天矿移交标准以批准</w:t>
      </w:r>
      <w:r>
        <w:rPr>
          <w:spacing w:val="-14"/>
        </w:rPr>
        <w:t>的设计为依据。设备完好率要达到部规定的要求。生产人员要经培训</w:t>
      </w:r>
      <w:r>
        <w:t>合格。</w:t>
      </w:r>
    </w:p>
    <w:p>
      <w:pPr>
        <w:pStyle w:val="BodyText"/>
        <w:ind w:left="1119"/>
        <w:rPr>
          <w:rFonts w:ascii="黑体" w:eastAsia="黑体" w:hint="eastAsia"/>
        </w:rPr>
      </w:pPr>
      <w:r>
        <w:rPr>
          <w:rFonts w:ascii="黑体" w:eastAsia="黑体" w:hint="eastAsia"/>
          <w:spacing w:val="-54"/>
        </w:rPr>
        <w:t xml:space="preserve">第 </w:t>
      </w:r>
      <w:r>
        <w:rPr>
          <w:rFonts w:ascii="Arial" w:eastAsia="Arial"/>
        </w:rPr>
        <w:t xml:space="preserve">25 </w:t>
      </w:r>
      <w:r>
        <w:rPr>
          <w:rFonts w:ascii="黑体" w:eastAsia="黑体" w:hint="eastAsia"/>
        </w:rPr>
        <w:t>条生产露天矿的技术改造</w:t>
      </w:r>
    </w:p>
    <w:p>
      <w:pPr>
        <w:pStyle w:val="BodyText"/>
        <w:spacing w:before="397"/>
        <w:ind w:left="1119"/>
      </w:pPr>
      <w:r>
        <w:t>根据需煤情况，把储量丰富，开采、运输条件好的露天矿作为技</w:t>
      </w:r>
    </w:p>
    <w:p>
      <w:pPr>
        <w:spacing w:after="0"/>
        <w:sectPr>
          <w:footerReference w:type="default" r:id="rId31"/>
          <w:pgSz w:w="17860" w:h="25260"/>
          <w:pgMar w:top="1960" w:right="2240" w:bottom="2440" w:left="2420" w:header="0" w:footer="2213"/>
          <w:pgNumType w:start="20"/>
          <w:cols w:space="708"/>
        </w:sectPr>
      </w:pPr>
    </w:p>
    <w:p>
      <w:pPr>
        <w:pStyle w:val="BodyText"/>
        <w:spacing w:before="20" w:line="417" w:lineRule="auto"/>
        <w:ind w:right="231"/>
      </w:pPr>
      <w:r>
        <w:rPr>
          <w:spacing w:val="-21"/>
        </w:rPr>
        <w:t xml:space="preserve">术改造的重点。通过技术改造，提高产量、技术装备水平和经济效益， </w:t>
      </w:r>
      <w:r>
        <w:t>改善安全条件，改变技术面貌。</w:t>
      </w:r>
    </w:p>
    <w:p>
      <w:pPr>
        <w:pStyle w:val="BodyText"/>
        <w:spacing w:line="417" w:lineRule="auto"/>
        <w:ind w:right="280" w:firstLine="838"/>
      </w:pPr>
      <w:r>
        <w:rPr>
          <w:spacing w:val="-11"/>
        </w:rPr>
        <w:t>技术改造要尽量利用原有设备。技术改造的内容应包括：改造工</w:t>
      </w:r>
      <w:r>
        <w:rPr>
          <w:spacing w:val="-12"/>
        </w:rPr>
        <w:t xml:space="preserve">程，提高机械化水平，同时实现辅助作业的机械化，增加产品种类， </w:t>
      </w:r>
      <w:r>
        <w:t>提高质量；改善调度通讯系统。</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26 </w:t>
      </w:r>
      <w:r>
        <w:rPr>
          <w:rFonts w:ascii="黑体" w:eastAsia="黑体" w:hint="eastAsia"/>
        </w:rPr>
        <w:t>条生产露天矿的采剥关系</w:t>
      </w:r>
    </w:p>
    <w:p>
      <w:pPr>
        <w:pStyle w:val="BodyText"/>
        <w:spacing w:before="398" w:line="417" w:lineRule="auto"/>
        <w:ind w:right="446" w:firstLine="838"/>
        <w:jc w:val="both"/>
      </w:pPr>
      <w:r>
        <w:rPr>
          <w:spacing w:val="-10"/>
        </w:rPr>
        <w:t>生产露天矿要按设计的采剥比进行生产，露天矿的两个煤量要根</w:t>
      </w:r>
      <w:r>
        <w:rPr>
          <w:spacing w:val="-9"/>
        </w:rPr>
        <w:t>据不同的煤层条件和开采工艺分别确定，保持采剥关系的平衡，保证采区的正常接替和平盘的正常规格。</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27 </w:t>
      </w:r>
      <w:r>
        <w:rPr>
          <w:rFonts w:ascii="黑体" w:eastAsia="黑体" w:hint="eastAsia"/>
        </w:rPr>
        <w:t>条露天矿的技术装备</w:t>
      </w:r>
    </w:p>
    <w:p>
      <w:pPr>
        <w:pStyle w:val="BodyText"/>
        <w:spacing w:before="398" w:line="417" w:lineRule="auto"/>
        <w:ind w:right="280" w:firstLine="838"/>
      </w:pPr>
      <w:r>
        <w:rPr>
          <w:spacing w:val="-1"/>
        </w:rPr>
        <w:t>根据确定的开采工艺、建设规模和速度，选择合理的技术装备。</w:t>
      </w:r>
      <w:r>
        <w:t xml:space="preserve">大型露天矿应积极选用大型高效机械设备。为了发挥大型设备的效 </w:t>
      </w:r>
      <w:r>
        <w:rPr>
          <w:spacing w:val="-1"/>
        </w:rPr>
        <w:t>能，必须配备足够的推土机、前装机、铺路机、吊车等辅助作业设备</w:t>
      </w:r>
      <w:r>
        <w:t>和边坡稳定性的监测仪表。</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28 </w:t>
      </w:r>
      <w:r>
        <w:rPr>
          <w:rFonts w:ascii="黑体" w:eastAsia="黑体" w:hint="eastAsia"/>
        </w:rPr>
        <w:t>条露天开采的科研工作</w:t>
      </w:r>
    </w:p>
    <w:p>
      <w:pPr>
        <w:pStyle w:val="BodyText"/>
        <w:spacing w:before="398" w:line="417" w:lineRule="auto"/>
        <w:ind w:right="280" w:firstLine="838"/>
      </w:pPr>
      <w:r>
        <w:t>加强露天开采的基础科研工作，围绕露天矿特别是新建大露天矿存在的技术问题，研究解决多煤层选择开采、泥岩的剥离和运输、寒冷地区的设备启动、防冻和防粘、高段松动爆破、露天坑和排土场边坡稳定、地下水治理、内排土、深露天矿的烟雾、粉尘等关键技术问题，形成具有我国特色的露天开采技术体系。</w:t>
      </w:r>
    </w:p>
    <w:p>
      <w:pPr>
        <w:pStyle w:val="Heading1"/>
        <w:spacing w:before="54"/>
      </w:pPr>
      <w:bookmarkStart w:id="5" w:name="_TOC_250009"/>
      <w:bookmarkEnd w:id="5"/>
      <w:r>
        <w:t>第五章生产矿井</w:t>
      </w:r>
    </w:p>
    <w:p>
      <w:pPr>
        <w:pStyle w:val="BodyText"/>
        <w:spacing w:before="3"/>
        <w:ind w:left="0"/>
        <w:rPr>
          <w:rFonts w:ascii="幼圆"/>
          <w:sz w:val="51"/>
        </w:rPr>
      </w:pPr>
    </w:p>
    <w:p>
      <w:pPr>
        <w:pStyle w:val="BodyText"/>
        <w:spacing w:before="1"/>
        <w:ind w:left="1119"/>
        <w:rPr>
          <w:rFonts w:ascii="黑体" w:eastAsia="黑体" w:hint="eastAsia"/>
        </w:rPr>
      </w:pPr>
      <w:r>
        <w:rPr>
          <w:rFonts w:ascii="黑体" w:eastAsia="黑体" w:hint="eastAsia"/>
          <w:spacing w:val="-54"/>
        </w:rPr>
        <w:t xml:space="preserve">第 </w:t>
      </w:r>
      <w:r>
        <w:rPr>
          <w:rFonts w:ascii="Arial" w:eastAsia="Arial"/>
        </w:rPr>
        <w:t xml:space="preserve">29 </w:t>
      </w:r>
      <w:r>
        <w:rPr>
          <w:rFonts w:ascii="黑体" w:eastAsia="黑体" w:hint="eastAsia"/>
        </w:rPr>
        <w:t>条矿井技术改造</w:t>
      </w:r>
    </w:p>
    <w:p>
      <w:pPr>
        <w:spacing w:after="0"/>
        <w:rPr>
          <w:rFonts w:ascii="黑体" w:eastAsia="黑体" w:hint="eastAsia"/>
        </w:rPr>
        <w:sectPr>
          <w:footerReference w:type="default" r:id="rId32"/>
          <w:pgSz w:w="17860" w:h="25260"/>
          <w:pgMar w:top="1960" w:right="2240" w:bottom="2420" w:left="2420" w:header="0" w:footer="2213"/>
          <w:pgNumType w:start="21"/>
          <w:cols w:space="708"/>
        </w:sectPr>
      </w:pPr>
    </w:p>
    <w:p>
      <w:pPr>
        <w:pStyle w:val="BodyText"/>
        <w:spacing w:before="20" w:line="417" w:lineRule="auto"/>
        <w:ind w:right="280" w:firstLine="838"/>
      </w:pPr>
      <w:r>
        <w:rPr>
          <w:spacing w:val="-13"/>
        </w:rPr>
        <w:t>采用先进的科学技术，对现有生产矿井进行技术改冶，是发展煤</w:t>
      </w:r>
      <w:r>
        <w:rPr>
          <w:spacing w:val="-14"/>
        </w:rPr>
        <w:t>炭工业的一项重要的长期的方针。矿井技术改造的目的是提高产量、</w:t>
      </w:r>
      <w:r>
        <w:rPr>
          <w:spacing w:val="-1"/>
        </w:rPr>
        <w:t>质量、效率和回采率，增加经济效益。改善安全生产条件，改变煤矿</w:t>
      </w:r>
      <w:r>
        <w:t>面貌。</w:t>
      </w:r>
    </w:p>
    <w:p>
      <w:pPr>
        <w:pStyle w:val="BodyText"/>
        <w:spacing w:line="417" w:lineRule="auto"/>
        <w:ind w:right="280" w:firstLine="838"/>
      </w:pPr>
      <w:r>
        <w:rPr>
          <w:spacing w:val="-14"/>
        </w:rPr>
        <w:t>储量丰富、开采和运输条件较好、通过技术改造能大幅度增产的</w:t>
      </w:r>
      <w:r>
        <w:rPr>
          <w:spacing w:val="-15"/>
        </w:rPr>
        <w:t>矿井，应作为技术改造的重点；有一定储量的矿井要尽可能向深部和</w:t>
      </w:r>
      <w:r>
        <w:rPr>
          <w:spacing w:val="-16"/>
        </w:rPr>
        <w:t xml:space="preserve">外围发展，通过革新和环节改造，使生产水平保持在设计能力以上， </w:t>
      </w:r>
      <w:r>
        <w:rPr>
          <w:spacing w:val="-1"/>
        </w:rPr>
        <w:t>并维持一定的服务年限；衰老矿井要积极找煤，力争延长稳产期，缩</w:t>
      </w:r>
      <w:r>
        <w:t>短递减期。</w:t>
      </w:r>
    </w:p>
    <w:p>
      <w:pPr>
        <w:pStyle w:val="BodyText"/>
        <w:spacing w:line="537" w:lineRule="exact"/>
        <w:ind w:left="1119"/>
      </w:pPr>
      <w:r>
        <w:t>生产矿井技术改造的主要内容是：</w:t>
      </w:r>
    </w:p>
    <w:p>
      <w:pPr>
        <w:pStyle w:val="BodyText"/>
        <w:spacing w:before="12"/>
        <w:ind w:left="0"/>
        <w:rPr>
          <w:sz w:val="30"/>
        </w:rPr>
      </w:pPr>
    </w:p>
    <w:p>
      <w:pPr>
        <w:pStyle w:val="BodyText"/>
        <w:spacing w:line="417" w:lineRule="auto"/>
        <w:ind w:right="291" w:firstLine="838"/>
      </w:pPr>
      <w:r>
        <w:t>改进开拓布置，合理集中生产，采用先进的采煤工艺，根据工艺和设备的特点和要求布置采区；</w:t>
      </w:r>
    </w:p>
    <w:p>
      <w:pPr>
        <w:pStyle w:val="BodyText"/>
        <w:ind w:left="1119"/>
      </w:pPr>
      <w:r>
        <w:t>实现以采、掘、运为中心的矿井机械化；</w:t>
      </w:r>
    </w:p>
    <w:p>
      <w:pPr>
        <w:pStyle w:val="BodyText"/>
        <w:spacing w:before="1"/>
        <w:ind w:left="0"/>
        <w:rPr>
          <w:sz w:val="31"/>
        </w:rPr>
      </w:pPr>
    </w:p>
    <w:p>
      <w:pPr>
        <w:pStyle w:val="BodyText"/>
        <w:ind w:left="1119"/>
      </w:pPr>
      <w:r>
        <w:t>对生产系统的薄弱环节进行改造，提高矿井综合生产能力；</w:t>
      </w:r>
    </w:p>
    <w:p>
      <w:pPr>
        <w:pStyle w:val="BodyText"/>
        <w:ind w:left="0"/>
        <w:rPr>
          <w:sz w:val="31"/>
        </w:rPr>
      </w:pPr>
    </w:p>
    <w:p>
      <w:pPr>
        <w:pStyle w:val="BodyText"/>
        <w:spacing w:before="1" w:line="417" w:lineRule="auto"/>
        <w:ind w:left="1119" w:right="284"/>
      </w:pPr>
      <w:r>
        <w:t>改善安全生产设施，配备安全监测装备，提高矿井安全可靠性； 发展洗选加工和综合利用，增加品种，提高质量；</w:t>
      </w:r>
    </w:p>
    <w:p>
      <w:pPr>
        <w:pStyle w:val="BodyText"/>
        <w:spacing w:line="417" w:lineRule="auto"/>
        <w:ind w:left="1119" w:right="1969"/>
      </w:pPr>
      <w:r>
        <w:t>有步骤地更新老、旧、杂设备，提高效率，降低能耗； 采用科学管理方法，应用电子计算机等现代科学技术。</w:t>
      </w:r>
    </w:p>
    <w:p>
      <w:pPr>
        <w:pStyle w:val="BodyText"/>
        <w:ind w:left="1119"/>
      </w:pPr>
      <w:r>
        <w:t>通过矿井技术改造，逐步把一批骨干煤矿建设成为现代化煤矿。</w:t>
      </w:r>
    </w:p>
    <w:p>
      <w:pPr>
        <w:pStyle w:val="BodyText"/>
        <w:ind w:left="0"/>
        <w:rPr>
          <w:sz w:val="31"/>
        </w:rPr>
      </w:pPr>
    </w:p>
    <w:p>
      <w:pPr>
        <w:pStyle w:val="BodyText"/>
        <w:ind w:left="1119"/>
        <w:rPr>
          <w:rFonts w:ascii="黑体" w:eastAsia="黑体" w:hint="eastAsia"/>
        </w:rPr>
      </w:pPr>
      <w:r>
        <w:rPr>
          <w:rFonts w:ascii="黑体" w:eastAsia="黑体" w:hint="eastAsia"/>
          <w:spacing w:val="-54"/>
        </w:rPr>
        <w:t xml:space="preserve">第 </w:t>
      </w:r>
      <w:r>
        <w:rPr>
          <w:rFonts w:ascii="Arial" w:eastAsia="Arial"/>
        </w:rPr>
        <w:t xml:space="preserve">30 </w:t>
      </w:r>
      <w:r>
        <w:rPr>
          <w:rFonts w:ascii="黑体" w:eastAsia="黑体" w:hint="eastAsia"/>
        </w:rPr>
        <w:t>条矿区改造</w:t>
      </w:r>
    </w:p>
    <w:p>
      <w:pPr>
        <w:pStyle w:val="BodyText"/>
        <w:spacing w:before="398" w:line="417" w:lineRule="auto"/>
        <w:ind w:right="280" w:firstLine="838"/>
      </w:pPr>
      <w:r>
        <w:t>现有生产矿及辅助生产部门要有计划、有步骤地进行技术改造。辅助生产部门包括机修厂、材料库、坑木场、建材厂等，应逐步向专</w:t>
      </w:r>
    </w:p>
    <w:p>
      <w:pPr>
        <w:spacing w:after="0" w:line="417" w:lineRule="auto"/>
        <w:sectPr>
          <w:footerReference w:type="default" r:id="rId33"/>
          <w:pgSz w:w="17860" w:h="25260"/>
          <w:pgMar w:top="1960" w:right="2240" w:bottom="2420" w:left="2420" w:header="0" w:footer="2213"/>
          <w:pgNumType w:start="22"/>
          <w:cols w:space="708"/>
        </w:sectPr>
      </w:pPr>
    </w:p>
    <w:p>
      <w:pPr>
        <w:pStyle w:val="BodyText"/>
        <w:spacing w:before="20" w:line="417" w:lineRule="auto"/>
        <w:ind w:right="240"/>
        <w:jc w:val="both"/>
      </w:pPr>
      <w:r>
        <w:rPr>
          <w:spacing w:val="-23"/>
        </w:rPr>
        <w:t>业化和集中化发展。老矿区要把矿井接续、技术难题攻关，矿区供电、</w:t>
      </w:r>
      <w:r>
        <w:t>供热、供气、供水、通讯、交通、煤炭外运、环境保护、职工培训、文教卫生和生活福利配套等纳入矿区改造规划。</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31 </w:t>
      </w:r>
      <w:r>
        <w:rPr>
          <w:rFonts w:ascii="黑体" w:eastAsia="黑体" w:hint="eastAsia"/>
        </w:rPr>
        <w:t>条改扩建矿井服务年限</w:t>
      </w:r>
    </w:p>
    <w:p>
      <w:pPr>
        <w:pStyle w:val="BodyText"/>
        <w:spacing w:before="10"/>
        <w:ind w:left="0"/>
        <w:rPr>
          <w:rFonts w:ascii="黑体"/>
          <w:sz w:val="27"/>
        </w:rPr>
      </w:pPr>
    </w:p>
    <w:p>
      <w:pPr>
        <w:pStyle w:val="BodyText"/>
        <w:spacing w:before="42"/>
        <w:ind w:left="1119"/>
      </w:pPr>
      <w:r>
        <w:t>通过技术改造扩大生产能力的矿井，改造后服务年限的规定见表</w:t>
      </w:r>
    </w:p>
    <w:p>
      <w:pPr>
        <w:pStyle w:val="BodyText"/>
        <w:spacing w:before="1"/>
        <w:ind w:left="0"/>
        <w:rPr>
          <w:sz w:val="31"/>
        </w:rPr>
      </w:pPr>
    </w:p>
    <w:p>
      <w:pPr>
        <w:pStyle w:val="BodyText"/>
      </w:pPr>
      <w:r>
        <w:rPr>
          <w:rFonts w:ascii="Arial" w:eastAsia="Arial"/>
        </w:rPr>
        <w:t>7</w:t>
      </w:r>
      <w:r>
        <w:t>。</w:t>
      </w:r>
    </w:p>
    <w:p>
      <w:pPr>
        <w:pStyle w:val="BodyText"/>
        <w:spacing w:before="1"/>
        <w:ind w:left="0"/>
        <w:rPr>
          <w:sz w:val="22"/>
        </w:rPr>
      </w:pPr>
    </w:p>
    <w:p>
      <w:pPr>
        <w:tabs>
          <w:tab w:val="left" w:pos="1532"/>
        </w:tabs>
        <w:spacing w:before="91"/>
        <w:ind w:left="542" w:right="0" w:firstLine="0"/>
        <w:jc w:val="center"/>
        <w:rPr>
          <w:sz w:val="36"/>
        </w:rPr>
      </w:pPr>
      <w:r>
        <w:rPr>
          <w:sz w:val="36"/>
        </w:rPr>
        <w:t>表</w:t>
      </w:r>
      <w:r>
        <w:rPr>
          <w:spacing w:val="-96"/>
          <w:sz w:val="36"/>
        </w:rPr>
        <w:t xml:space="preserve"> </w:t>
      </w:r>
      <w:r>
        <w:rPr>
          <w:rFonts w:ascii="Arial" w:eastAsia="Arial"/>
          <w:sz w:val="36"/>
        </w:rPr>
        <w:t>7</w:t>
        <w:tab/>
      </w:r>
      <w:r>
        <w:rPr>
          <w:sz w:val="36"/>
        </w:rPr>
        <w:t>改扩建矿井服务年限下限的规定</w:t>
      </w:r>
    </w:p>
    <w:p>
      <w:pPr>
        <w:pStyle w:val="BodyText"/>
        <w:spacing w:before="10"/>
        <w:ind w:left="0"/>
        <w:rPr>
          <w:sz w:val="12"/>
        </w:rPr>
      </w:pPr>
    </w:p>
    <w:p>
      <w:pPr>
        <w:spacing w:after="0"/>
        <w:rPr>
          <w:sz w:val="12"/>
        </w:rPr>
        <w:sectPr>
          <w:footerReference w:type="default" r:id="rId34"/>
          <w:pgSz w:w="17860" w:h="25260"/>
          <w:pgMar w:top="1960" w:right="2240" w:bottom="2460" w:left="2420" w:header="0" w:footer="2213"/>
          <w:pgNumType w:start="23"/>
          <w:cols w:space="708"/>
        </w:sectPr>
      </w:pPr>
    </w:p>
    <w:p>
      <w:pPr>
        <w:spacing w:before="92" w:line="372" w:lineRule="auto"/>
        <w:ind w:left="1101" w:right="38" w:firstLine="0"/>
        <w:jc w:val="center"/>
        <w:rPr>
          <w:sz w:val="36"/>
        </w:rPr>
      </w:pPr>
      <w:r>
        <w:drawing>
          <wp:anchor distT="0" distB="0" distL="0" distR="0" simplePos="0" relativeHeight="251663360" behindDoc="1" locked="0" layoutInCell="1" allowOverlap="1">
            <wp:simplePos x="0" y="0"/>
            <wp:positionH relativeFrom="page">
              <wp:posOffset>1587500</wp:posOffset>
            </wp:positionH>
            <wp:positionV relativeFrom="paragraph">
              <wp:posOffset>-34924</wp:posOffset>
            </wp:positionV>
            <wp:extent cx="7950200" cy="2311400"/>
            <wp:effectExtent l="0" t="0" r="0" b="0"/>
            <wp:wrapNone/>
            <wp:docPr id="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8.png"/>
                    <pic:cNvPicPr/>
                  </pic:nvPicPr>
                  <pic:blipFill>
                    <a:blip xmlns:r="http://schemas.openxmlformats.org/officeDocument/2006/relationships" r:embed="rId35" cstate="print"/>
                    <a:stretch>
                      <a:fillRect/>
                    </a:stretch>
                  </pic:blipFill>
                  <pic:spPr>
                    <a:xfrm>
                      <a:off x="0" y="0"/>
                      <a:ext cx="7950200" cy="2311400"/>
                    </a:xfrm>
                    <a:prstGeom prst="rect">
                      <a:avLst/>
                    </a:prstGeom>
                  </pic:spPr>
                </pic:pic>
              </a:graphicData>
            </a:graphic>
          </wp:anchor>
        </w:drawing>
      </w:r>
      <w:r>
        <w:rPr>
          <w:sz w:val="36"/>
        </w:rPr>
        <w:t>改造后设计能力（</w:t>
      </w:r>
      <w:r>
        <w:rPr>
          <w:spacing w:val="-45"/>
          <w:sz w:val="36"/>
        </w:rPr>
        <w:t xml:space="preserve">万 </w:t>
      </w:r>
      <w:r>
        <w:rPr>
          <w:rFonts w:ascii="Arial" w:eastAsia="Arial"/>
          <w:sz w:val="36"/>
        </w:rPr>
        <w:t>t/</w:t>
      </w:r>
      <w:r>
        <w:rPr>
          <w:sz w:val="36"/>
        </w:rPr>
        <w:t>年</w:t>
      </w:r>
      <w:r>
        <w:rPr>
          <w:spacing w:val="-17"/>
          <w:sz w:val="36"/>
        </w:rPr>
        <w:t xml:space="preserve">） </w:t>
      </w:r>
      <w:r>
        <w:rPr>
          <w:rFonts w:ascii="Arial" w:eastAsia="Arial"/>
          <w:sz w:val="36"/>
        </w:rPr>
        <w:t xml:space="preserve">300 </w:t>
      </w:r>
      <w:r>
        <w:rPr>
          <w:sz w:val="36"/>
        </w:rPr>
        <w:t>及以上</w:t>
      </w:r>
    </w:p>
    <w:p>
      <w:pPr>
        <w:spacing w:before="21"/>
        <w:ind w:left="1101" w:right="37" w:firstLine="0"/>
        <w:jc w:val="center"/>
        <w:rPr>
          <w:rFonts w:ascii="Arial"/>
          <w:sz w:val="36"/>
        </w:rPr>
      </w:pPr>
      <w:r>
        <w:rPr>
          <w:rFonts w:ascii="Arial"/>
          <w:sz w:val="36"/>
        </w:rPr>
        <w:t>120~240</w:t>
      </w:r>
    </w:p>
    <w:p>
      <w:pPr>
        <w:spacing w:before="306"/>
        <w:ind w:left="1101" w:right="37" w:firstLine="0"/>
        <w:jc w:val="center"/>
        <w:rPr>
          <w:rFonts w:ascii="Arial"/>
          <w:sz w:val="36"/>
        </w:rPr>
      </w:pPr>
      <w:r>
        <w:rPr>
          <w:rFonts w:ascii="Arial"/>
          <w:sz w:val="36"/>
        </w:rPr>
        <w:t>45~90</w:t>
      </w:r>
    </w:p>
    <w:p>
      <w:pPr>
        <w:spacing w:before="284"/>
        <w:ind w:left="1098" w:right="38" w:firstLine="0"/>
        <w:jc w:val="center"/>
        <w:rPr>
          <w:sz w:val="36"/>
        </w:rPr>
      </w:pPr>
      <w:r>
        <w:rPr>
          <w:rFonts w:ascii="Arial" w:eastAsia="Arial"/>
          <w:sz w:val="36"/>
        </w:rPr>
        <w:t xml:space="preserve">30 </w:t>
      </w:r>
      <w:r>
        <w:rPr>
          <w:sz w:val="36"/>
        </w:rPr>
        <w:t>及以下</w:t>
      </w:r>
    </w:p>
    <w:p>
      <w:pPr>
        <w:pStyle w:val="BodyText"/>
        <w:spacing w:before="279"/>
        <w:ind w:left="1119"/>
        <w:rPr>
          <w:rFonts w:ascii="黑体" w:eastAsia="黑体" w:hint="eastAsia"/>
        </w:rPr>
      </w:pPr>
      <w:r>
        <w:rPr>
          <w:rFonts w:ascii="黑体" w:eastAsia="黑体" w:hint="eastAsia"/>
          <w:spacing w:val="-55"/>
        </w:rPr>
        <w:t xml:space="preserve">第 </w:t>
      </w:r>
      <w:r>
        <w:rPr>
          <w:rFonts w:ascii="Arial" w:eastAsia="Arial"/>
        </w:rPr>
        <w:t xml:space="preserve">32 </w:t>
      </w:r>
      <w:r>
        <w:rPr>
          <w:rFonts w:ascii="黑体" w:eastAsia="黑体" w:hint="eastAsia"/>
        </w:rPr>
        <w:t>条采掘关系</w:t>
      </w:r>
    </w:p>
    <w:p>
      <w:pPr>
        <w:spacing w:before="92"/>
        <w:ind w:left="1082" w:right="1206" w:firstLine="0"/>
        <w:jc w:val="center"/>
        <w:rPr>
          <w:sz w:val="36"/>
        </w:rPr>
      </w:pPr>
      <w:r>
        <w:br w:type="column"/>
      </w:r>
      <w:r>
        <w:rPr>
          <w:sz w:val="36"/>
        </w:rPr>
        <w:t>改造后服务年限（年）</w:t>
      </w:r>
    </w:p>
    <w:p>
      <w:pPr>
        <w:spacing w:before="274"/>
        <w:ind w:left="1082" w:right="1206" w:firstLine="0"/>
        <w:jc w:val="center"/>
        <w:rPr>
          <w:rFonts w:ascii="Arial"/>
          <w:sz w:val="36"/>
        </w:rPr>
      </w:pPr>
      <w:r>
        <w:rPr>
          <w:rFonts w:ascii="Arial"/>
          <w:sz w:val="36"/>
        </w:rPr>
        <w:t>40~50</w:t>
      </w:r>
    </w:p>
    <w:p>
      <w:pPr>
        <w:spacing w:before="187"/>
        <w:ind w:left="1082" w:right="1206" w:firstLine="0"/>
        <w:jc w:val="center"/>
        <w:rPr>
          <w:rFonts w:ascii="Arial"/>
          <w:sz w:val="36"/>
        </w:rPr>
      </w:pPr>
      <w:r>
        <w:rPr>
          <w:rFonts w:ascii="Arial"/>
          <w:sz w:val="36"/>
        </w:rPr>
        <w:t>30~40</w:t>
      </w:r>
    </w:p>
    <w:p>
      <w:pPr>
        <w:spacing w:before="306"/>
        <w:ind w:left="1082" w:right="1206" w:firstLine="0"/>
        <w:jc w:val="center"/>
        <w:rPr>
          <w:rFonts w:ascii="Arial"/>
          <w:sz w:val="36"/>
        </w:rPr>
      </w:pPr>
      <w:r>
        <w:rPr>
          <w:rFonts w:ascii="Arial"/>
          <w:sz w:val="36"/>
        </w:rPr>
        <w:t>20~30</w:t>
      </w:r>
    </w:p>
    <w:p>
      <w:pPr>
        <w:pStyle w:val="BodyText"/>
        <w:spacing w:before="8"/>
        <w:ind w:left="0"/>
        <w:rPr>
          <w:rFonts w:ascii="Arial"/>
          <w:sz w:val="34"/>
        </w:rPr>
      </w:pPr>
    </w:p>
    <w:p>
      <w:pPr>
        <w:spacing w:before="0"/>
        <w:ind w:left="1082" w:right="1207" w:firstLine="0"/>
        <w:jc w:val="center"/>
        <w:rPr>
          <w:sz w:val="36"/>
        </w:rPr>
      </w:pPr>
      <w:r>
        <w:rPr>
          <w:sz w:val="36"/>
        </w:rPr>
        <w:t>由各省煤炭局（厅、公司）自定</w:t>
      </w:r>
    </w:p>
    <w:p>
      <w:pPr>
        <w:spacing w:after="0"/>
        <w:jc w:val="center"/>
        <w:rPr>
          <w:sz w:val="36"/>
        </w:rPr>
        <w:sectPr>
          <w:footerReference w:type="default" r:id="rId36"/>
          <w:type w:val="continuous"/>
          <w:pgSz w:w="17860" w:h="25260"/>
          <w:pgMar w:top="2420" w:right="2240" w:bottom="280" w:left="2420" w:header="708" w:footer="708"/>
          <w:pgNumType w:start="24"/>
          <w:cols w:num="2" w:space="708" w:equalWidth="0">
            <w:col w:w="5395" w:space="435"/>
            <w:col w:w="7370" w:space="0"/>
          </w:cols>
        </w:sectPr>
      </w:pPr>
    </w:p>
    <w:p>
      <w:pPr>
        <w:pStyle w:val="BodyText"/>
        <w:spacing w:before="11"/>
        <w:ind w:left="0"/>
        <w:rPr>
          <w:sz w:val="27"/>
        </w:rPr>
      </w:pPr>
    </w:p>
    <w:p>
      <w:pPr>
        <w:pStyle w:val="BodyText"/>
        <w:spacing w:before="42" w:line="417" w:lineRule="auto"/>
        <w:ind w:right="112" w:firstLine="838"/>
      </w:pPr>
      <w:r>
        <w:t>生产矿井要采掘并举，掘进先行，经常平衡采掘关系。每个矿井都要根据条件，保证合理的采掘比例关系（采掘人员比、采掘工作面个数比、掘进率</w:t>
      </w:r>
      <w:r>
        <w:rPr>
          <w:spacing w:val="-252"/>
        </w:rPr>
        <w:t>）</w:t>
      </w:r>
      <w:r>
        <w:rPr>
          <w:spacing w:val="-1"/>
        </w:rPr>
        <w:t>。局、矿要经常进行采掘关系分析，按矿井的采区、</w:t>
      </w:r>
      <w:r>
        <w:t>水平施工期限和采煤工作面接替图表进行检查，保证工作面、采区、</w:t>
      </w:r>
      <w:r>
        <w:rPr>
          <w:spacing w:val="-16"/>
        </w:rPr>
        <w:t>水平的正常接替。矿井的三个煤量</w:t>
      </w:r>
      <w:r>
        <w:t>（</w:t>
      </w:r>
      <w:r>
        <w:rPr>
          <w:spacing w:val="-17"/>
        </w:rPr>
        <w:t>开拓煤量、准备煤量、回采煤量</w:t>
      </w:r>
      <w:r>
        <w:t>） 达到国家规定。</w:t>
      </w:r>
    </w:p>
    <w:p>
      <w:pPr>
        <w:pStyle w:val="BodyText"/>
        <w:spacing w:line="537" w:lineRule="exact"/>
        <w:ind w:left="1119"/>
        <w:rPr>
          <w:rFonts w:ascii="黑体" w:eastAsia="黑体" w:hint="eastAsia"/>
        </w:rPr>
      </w:pPr>
      <w:r>
        <w:rPr>
          <w:rFonts w:ascii="黑体" w:eastAsia="黑体" w:hint="eastAsia"/>
          <w:spacing w:val="-54"/>
        </w:rPr>
        <w:t xml:space="preserve">第 </w:t>
      </w:r>
      <w:r>
        <w:rPr>
          <w:rFonts w:ascii="Arial" w:eastAsia="Arial"/>
        </w:rPr>
        <w:t xml:space="preserve">33 </w:t>
      </w:r>
      <w:r>
        <w:rPr>
          <w:rFonts w:ascii="黑体" w:eastAsia="黑体" w:hint="eastAsia"/>
        </w:rPr>
        <w:t>条生产矿井的地质测量工作</w:t>
      </w:r>
    </w:p>
    <w:p>
      <w:pPr>
        <w:pStyle w:val="BodyText"/>
        <w:spacing w:before="398" w:line="417" w:lineRule="auto"/>
        <w:ind w:right="280" w:firstLine="838"/>
      </w:pPr>
      <w:r>
        <w:t xml:space="preserve">生产矿井的地质测量工作要对每个矿井的深部和外围资源及时 </w:t>
      </w:r>
      <w:r>
        <w:rPr>
          <w:spacing w:val="-1"/>
        </w:rPr>
        <w:t>勘探清楚，以增加可采储量，延长矿井服务年限。在生产过程中，要不断搞清煤层赋存条件、地质构造、水文地质和瓦斯地质，充分利用</w:t>
      </w:r>
    </w:p>
    <w:p>
      <w:pPr>
        <w:spacing w:after="0" w:line="417" w:lineRule="auto"/>
        <w:sectPr>
          <w:footerReference w:type="default" r:id="rId37"/>
          <w:type w:val="continuous"/>
          <w:pgSz w:w="17860" w:h="25260"/>
          <w:pgMar w:top="2420" w:right="2240" w:bottom="280" w:left="2420" w:header="708" w:footer="708"/>
          <w:pgNumType w:start="25"/>
          <w:cols w:space="708"/>
        </w:sectPr>
      </w:pPr>
    </w:p>
    <w:p>
      <w:pPr>
        <w:pStyle w:val="BodyText"/>
        <w:spacing w:before="20" w:line="417" w:lineRule="auto"/>
        <w:ind w:right="280"/>
      </w:pPr>
      <w:r>
        <w:rPr>
          <w:spacing w:val="-1"/>
        </w:rPr>
        <w:t>地质勘探和井巷工程资料，分析研究、预测地质构造，作出分组分层的煤层等厚线图、煤层底板等高线图、煤质等灰分线图、覆盖层等厚</w:t>
      </w:r>
      <w:r>
        <w:rPr>
          <w:spacing w:val="-14"/>
        </w:rPr>
        <w:t>线图等，作为制定矿井开拓延深方案、划分采区和发展采掘机械化的依据。</w:t>
      </w:r>
    </w:p>
    <w:p>
      <w:pPr>
        <w:pStyle w:val="BodyText"/>
        <w:spacing w:line="417" w:lineRule="auto"/>
        <w:ind w:right="231" w:firstLine="838"/>
        <w:jc w:val="both"/>
      </w:pPr>
      <w:r>
        <w:rPr>
          <w:spacing w:val="-8"/>
        </w:rPr>
        <w:t>要加强储量管理，提高图纸质量，严格监督储量的合理使用，认</w:t>
      </w:r>
      <w:r>
        <w:rPr>
          <w:spacing w:val="-23"/>
        </w:rPr>
        <w:t xml:space="preserve">真核算每个工作面、采区、水平的储量和回采率。储量的报损和注销， </w:t>
      </w:r>
      <w:r>
        <w:t>应按规定上报审批。</w:t>
      </w:r>
    </w:p>
    <w:p>
      <w:pPr>
        <w:pStyle w:val="Heading1"/>
        <w:spacing w:before="54"/>
      </w:pPr>
      <w:bookmarkStart w:id="6" w:name="_TOC_250008"/>
      <w:bookmarkEnd w:id="6"/>
      <w:r>
        <w:t>第六章开拓部署和采煤方法</w:t>
      </w:r>
    </w:p>
    <w:p>
      <w:pPr>
        <w:pStyle w:val="BodyText"/>
        <w:spacing w:before="3"/>
        <w:ind w:left="0"/>
        <w:rPr>
          <w:rFonts w:ascii="幼圆"/>
          <w:sz w:val="51"/>
        </w:rPr>
      </w:pPr>
    </w:p>
    <w:p>
      <w:pPr>
        <w:pStyle w:val="BodyText"/>
        <w:ind w:left="1119"/>
        <w:rPr>
          <w:rFonts w:ascii="黑体" w:eastAsia="黑体" w:hint="eastAsia"/>
        </w:rPr>
      </w:pPr>
      <w:r>
        <w:rPr>
          <w:rFonts w:ascii="黑体" w:eastAsia="黑体" w:hint="eastAsia"/>
          <w:spacing w:val="-54"/>
        </w:rPr>
        <w:t xml:space="preserve">第 </w:t>
      </w:r>
      <w:r>
        <w:rPr>
          <w:rFonts w:ascii="Arial" w:eastAsia="Arial"/>
        </w:rPr>
        <w:t xml:space="preserve">34 </w:t>
      </w:r>
      <w:r>
        <w:rPr>
          <w:rFonts w:ascii="黑体" w:eastAsia="黑体" w:hint="eastAsia"/>
        </w:rPr>
        <w:t>条改进开拓部署，合理集中生产</w:t>
      </w:r>
    </w:p>
    <w:p>
      <w:pPr>
        <w:pStyle w:val="BodyText"/>
        <w:spacing w:before="398"/>
        <w:ind w:left="1119"/>
      </w:pPr>
      <w:r>
        <w:t>矿井开拓部署，要贯彻集中化的原则。</w:t>
      </w:r>
    </w:p>
    <w:p>
      <w:pPr>
        <w:pStyle w:val="BodyText"/>
        <w:spacing w:before="1"/>
        <w:ind w:left="0"/>
        <w:rPr>
          <w:sz w:val="31"/>
        </w:rPr>
      </w:pPr>
    </w:p>
    <w:p>
      <w:pPr>
        <w:pStyle w:val="BodyText"/>
        <w:tabs>
          <w:tab w:val="left" w:pos="9757"/>
        </w:tabs>
        <w:spacing w:line="417" w:lineRule="auto"/>
        <w:ind w:right="280" w:firstLine="838"/>
      </w:pPr>
      <w:r>
        <w:t>首先是采区和采煤工作面要根据所用的机械装备合理集中布置</w:t>
      </w:r>
      <w:r>
        <w:rPr>
          <w:spacing w:val="-13"/>
        </w:rPr>
        <w:t>。</w:t>
      </w:r>
      <w:r>
        <w:t>配备综采设备的矿井应按综采的特点进行开拓部署</w:t>
      </w:r>
      <w:r>
        <w:rPr>
          <w:spacing w:val="-171"/>
        </w:rPr>
        <w:t>。</w:t>
      </w:r>
      <w:r>
        <w:t>适当加大水平阶段高度、采区走向长度和工作面长度。简化采区的巷道系统，减少</w:t>
      </w:r>
      <w:r>
        <w:rPr>
          <w:spacing w:val="-17"/>
        </w:rPr>
        <w:t>岩</w:t>
      </w:r>
      <w:r>
        <w:t>巷，降低掘进率</w:t>
      </w:r>
      <w:r>
        <w:rPr>
          <w:spacing w:val="-106"/>
        </w:rPr>
        <w:t>。</w:t>
      </w:r>
      <w:r>
        <w:t>巷道断面要满足通风、运输和行人安全以及安装设备的需要。综采采区运输机巷道的断面一般不小于</w:t>
        <w:tab/>
      </w:r>
      <w:r>
        <w:rPr>
          <w:rFonts w:ascii="Arial" w:eastAsia="Arial"/>
        </w:rPr>
        <w:t>12m</w:t>
      </w:r>
      <w:r>
        <w:rPr>
          <w:rFonts w:ascii="Arial" w:eastAsia="Arial"/>
          <w:position w:val="2"/>
          <w:sz w:val="27"/>
        </w:rPr>
        <w:t>2</w:t>
      </w:r>
      <w:r>
        <w:t>，回风巷道的断面一般不小于</w:t>
      </w:r>
      <w:r>
        <w:rPr>
          <w:spacing w:val="-31"/>
        </w:rPr>
        <w:t xml:space="preserve"> </w:t>
      </w:r>
      <w:r>
        <w:rPr>
          <w:rFonts w:ascii="Arial" w:eastAsia="Arial"/>
        </w:rPr>
        <w:t>10m</w:t>
      </w:r>
      <w:r>
        <w:rPr>
          <w:rFonts w:ascii="Arial" w:eastAsia="Arial"/>
          <w:position w:val="2"/>
          <w:sz w:val="27"/>
        </w:rPr>
        <w:t>2</w:t>
      </w:r>
      <w:r>
        <w:t>，以确保工作面稳产、高产。提高工作面和采区的生产能力，减少工作面和采区的个数。</w:t>
      </w:r>
    </w:p>
    <w:p>
      <w:pPr>
        <w:pStyle w:val="BodyText"/>
        <w:spacing w:line="417" w:lineRule="auto"/>
        <w:ind w:right="280" w:firstLine="838"/>
        <w:sectPr>
          <w:footerReference w:type="default" r:id="rId38"/>
          <w:pgSz w:w="17860" w:h="25260"/>
          <w:pgMar w:top="1960" w:right="2240" w:bottom="2440" w:left="2420" w:header="0" w:footer="2213"/>
          <w:pgNumType w:start="26"/>
          <w:cols w:space="708"/>
        </w:sectPr>
      </w:pPr>
      <w:r>
        <w:rPr>
          <w:spacing w:val="-12"/>
        </w:rPr>
        <w:t>尽量发挥水平的生产潜力。矿井的设计生产能力，一般以一个生</w:t>
      </w:r>
      <w:r>
        <w:rPr>
          <w:spacing w:val="-13"/>
        </w:rPr>
        <w:t>产水平来保证。现有多水平、多井筒的矿井，可根据条件适当集中。</w:t>
      </w:r>
      <w:r>
        <w:rPr>
          <w:spacing w:val="-1"/>
        </w:rPr>
        <w:t>走向长度短、可采煤层多、层间距离小、储量丰富的大型矿井，可以</w:t>
      </w:r>
      <w:r>
        <w:t>两个水平同时生产。</w:t>
      </w:r>
    </w:p>
    <w:p>
      <w:pPr>
        <w:pStyle w:val="BodyText"/>
        <w:spacing w:line="537" w:lineRule="exact"/>
        <w:ind w:left="1119"/>
      </w:pPr>
      <w:r>
        <w:t xml:space="preserve">倾角 </w:t>
      </w:r>
      <w:r>
        <w:rPr>
          <w:rFonts w:ascii="Arial" w:eastAsia="Arial" w:hAnsi="Arial"/>
        </w:rPr>
        <w:t>16°</w:t>
      </w:r>
      <w:r>
        <w:t>以下的缓倾斜煤层，瓦斯含量低、涌水量小的，可采用</w:t>
      </w:r>
    </w:p>
    <w:p>
      <w:pPr>
        <w:spacing w:after="0" w:line="537" w:lineRule="exact"/>
        <w:sectPr>
          <w:footerReference w:type="default" r:id="rId39"/>
          <w:type w:val="nextPage"/>
          <w:pgSz w:w="17860" w:h="25260"/>
          <w:pgMar w:top="1960" w:right="2240" w:bottom="2440" w:left="2420" w:header="0" w:footer="2213"/>
          <w:pgNumType w:start="27"/>
          <w:cols w:space="708"/>
          <w:titlePg w:val="0"/>
        </w:sectPr>
      </w:pPr>
    </w:p>
    <w:p>
      <w:pPr>
        <w:pStyle w:val="BodyText"/>
        <w:spacing w:before="20" w:line="417" w:lineRule="auto"/>
        <w:ind w:right="280"/>
      </w:pPr>
      <w:r>
        <w:rPr>
          <w:spacing w:val="-1"/>
        </w:rPr>
        <w:t>上、下山开采相结合的方式，以减少井田开采水平的个数，节省开拓</w:t>
      </w:r>
      <w:r>
        <w:rPr>
          <w:spacing w:val="-13"/>
        </w:rPr>
        <w:t>工程量。缓倾斜近距离煤层群或条件适合的厚煤层，可以采用长壁跨巷的连续开采方式，不留中间煤柱。</w:t>
      </w:r>
    </w:p>
    <w:p>
      <w:pPr>
        <w:pStyle w:val="BodyText"/>
        <w:spacing w:line="417" w:lineRule="auto"/>
        <w:ind w:right="280" w:firstLine="838"/>
        <w:jc w:val="both"/>
      </w:pPr>
      <w:r>
        <w:t>走向短、井口密的两个以上相邻矿井，要逐步进行合理集中，合并井下和地面生产系统。片盘斜井发展到深部，井口要进行合并，打立井或胶带斜井延深，集中出煤。</w:t>
      </w:r>
    </w:p>
    <w:p>
      <w:pPr>
        <w:pStyle w:val="BodyText"/>
        <w:spacing w:line="538" w:lineRule="exact"/>
        <w:ind w:left="1119"/>
        <w:rPr>
          <w:rFonts w:ascii="黑体" w:eastAsia="黑体" w:hint="eastAsia"/>
        </w:rPr>
      </w:pPr>
      <w:r>
        <w:rPr>
          <w:rFonts w:ascii="黑体" w:eastAsia="黑体" w:hint="eastAsia"/>
          <w:spacing w:val="-54"/>
        </w:rPr>
        <w:t xml:space="preserve">第 </w:t>
      </w:r>
      <w:r>
        <w:rPr>
          <w:rFonts w:ascii="Arial" w:eastAsia="Arial"/>
        </w:rPr>
        <w:t xml:space="preserve">35 </w:t>
      </w:r>
      <w:r>
        <w:rPr>
          <w:rFonts w:ascii="黑体" w:eastAsia="黑体" w:hint="eastAsia"/>
        </w:rPr>
        <w:t>条采煤方法</w:t>
      </w:r>
    </w:p>
    <w:p>
      <w:pPr>
        <w:pStyle w:val="BodyText"/>
        <w:spacing w:before="397" w:line="417" w:lineRule="auto"/>
        <w:ind w:right="456" w:firstLine="838"/>
      </w:pPr>
      <w:r>
        <w:rPr>
          <w:spacing w:val="-6"/>
        </w:rPr>
        <w:t xml:space="preserve">缓倾斜和倾斜煤层，一般采用走向长壁采煤法。倾角小于 </w:t>
      </w:r>
      <w:r>
        <w:rPr>
          <w:rFonts w:ascii="Arial" w:eastAsia="Arial" w:hAnsi="Arial"/>
          <w:spacing w:val="-5"/>
        </w:rPr>
        <w:t>12°</w:t>
      </w:r>
      <w:r>
        <w:rPr>
          <w:spacing w:val="-5"/>
        </w:rPr>
        <w:t xml:space="preserve">， </w:t>
      </w:r>
      <w:r>
        <w:t>条件适宜的煤层，采用倾斜长壁采煤法，并相应地改进巷道布置。</w:t>
      </w:r>
    </w:p>
    <w:p>
      <w:pPr>
        <w:pStyle w:val="BodyText"/>
        <w:spacing w:line="417" w:lineRule="auto"/>
        <w:ind w:right="427" w:firstLine="838"/>
      </w:pPr>
      <w:r>
        <w:rPr>
          <w:spacing w:val="-23"/>
        </w:rPr>
        <w:t xml:space="preserve">倾角小于 </w:t>
      </w:r>
      <w:r>
        <w:rPr>
          <w:rFonts w:ascii="Arial" w:eastAsia="Arial" w:hAnsi="Arial"/>
        </w:rPr>
        <w:t>12°</w:t>
      </w:r>
      <w:r>
        <w:rPr>
          <w:spacing w:val="-1"/>
        </w:rPr>
        <w:t>，条件适宜的煤层，可布置对拉工作面。对拉工作</w:t>
      </w:r>
      <w:r>
        <w:t>面既适用于走向长壁采煤法，亦适用于倾斜长壁采煤法。</w:t>
      </w:r>
    </w:p>
    <w:p>
      <w:pPr>
        <w:pStyle w:val="BodyText"/>
        <w:tabs>
          <w:tab w:val="left" w:pos="5562"/>
        </w:tabs>
        <w:spacing w:line="417" w:lineRule="auto"/>
        <w:ind w:right="242" w:firstLine="838"/>
      </w:pPr>
      <w:r>
        <w:t>厚度</w:t>
      </w:r>
      <w:r>
        <w:rPr>
          <w:spacing w:val="-75"/>
        </w:rPr>
        <w:t xml:space="preserve"> </w:t>
      </w:r>
      <w:r>
        <w:rPr>
          <w:rFonts w:ascii="Arial" w:eastAsia="Arial"/>
        </w:rPr>
        <w:t>3.2~4.5m</w:t>
      </w:r>
      <w:r>
        <w:rPr>
          <w:rFonts w:ascii="Arial" w:eastAsia="Arial"/>
          <w:spacing w:val="14"/>
        </w:rPr>
        <w:t xml:space="preserve"> </w:t>
      </w:r>
      <w:r>
        <w:t>的缓倾斜煤层，应积极推广使用已鉴定的成套综采设备，一次采全厚</w:t>
      </w:r>
      <w:r>
        <w:rPr>
          <w:spacing w:val="2"/>
        </w:rPr>
        <w:t>；</w:t>
      </w:r>
      <w:r>
        <w:rPr>
          <w:rFonts w:ascii="Arial" w:eastAsia="Arial"/>
          <w:spacing w:val="2"/>
        </w:rPr>
        <w:t>3.2m</w:t>
        <w:tab/>
      </w:r>
      <w:r>
        <w:t>以上的煤层，如不具备采用一次采全厚综采设备的条件，应坚持分层开采。厚度小于</w:t>
      </w:r>
      <w:r>
        <w:rPr>
          <w:spacing w:val="-113"/>
        </w:rPr>
        <w:t xml:space="preserve"> </w:t>
      </w:r>
      <w:r>
        <w:rPr>
          <w:rFonts w:ascii="Arial" w:eastAsia="Arial"/>
        </w:rPr>
        <w:t>3.2m</w:t>
      </w:r>
      <w:r>
        <w:rPr>
          <w:rFonts w:ascii="Arial" w:eastAsia="Arial"/>
          <w:spacing w:val="-2"/>
        </w:rPr>
        <w:t xml:space="preserve"> </w:t>
      </w:r>
      <w:r>
        <w:t>的煤层，一般应一次采全厚</w:t>
      </w:r>
      <w:r>
        <w:rPr>
          <w:spacing w:val="-65"/>
        </w:rPr>
        <w:t>，</w:t>
      </w:r>
      <w:r>
        <w:t>如限于条件暂时做不到</w:t>
      </w:r>
      <w:r>
        <w:rPr>
          <w:spacing w:val="-71"/>
        </w:rPr>
        <w:t>，</w:t>
      </w:r>
      <w:r>
        <w:t>经</w:t>
      </w:r>
      <w:r>
        <w:rPr>
          <w:spacing w:val="-62"/>
        </w:rPr>
        <w:t>省</w:t>
      </w:r>
      <w:r>
        <w:t>（区</w:t>
      </w:r>
      <w:r>
        <w:rPr>
          <w:spacing w:val="-61"/>
        </w:rPr>
        <w:t>）</w:t>
      </w:r>
      <w:r>
        <w:t>煤炭</w:t>
      </w:r>
      <w:r>
        <w:rPr>
          <w:spacing w:val="-65"/>
        </w:rPr>
        <w:t>局</w:t>
      </w:r>
      <w:r>
        <w:t>（厅</w:t>
      </w:r>
      <w:r>
        <w:rPr>
          <w:spacing w:val="-61"/>
        </w:rPr>
        <w:t>、</w:t>
      </w:r>
      <w:r>
        <w:t>公司</w:t>
      </w:r>
      <w:r>
        <w:rPr>
          <w:spacing w:val="-15"/>
        </w:rPr>
        <w:t xml:space="preserve">） </w:t>
      </w:r>
      <w:r>
        <w:t>批准，可适当降低采高，但必须达到批准的回采率。</w:t>
      </w:r>
    </w:p>
    <w:p>
      <w:pPr>
        <w:pStyle w:val="BodyText"/>
        <w:spacing w:line="417" w:lineRule="auto"/>
        <w:ind w:right="280" w:firstLine="838"/>
      </w:pPr>
      <w:r>
        <w:t xml:space="preserve">在缓倾斜薄煤层和中厚煤层中推广沿空留巷或沿空掘巷的无煤 </w:t>
      </w:r>
      <w:r>
        <w:rPr>
          <w:spacing w:val="-1"/>
        </w:rPr>
        <w:t>柱开采工艺。对于高沼气煤层和自然发火厚煤层的无煤柱开采工艺、</w:t>
      </w:r>
      <w:r>
        <w:t>沿空留巷和沿空掘巷的支护技术等要继续研究攻关。</w:t>
      </w:r>
    </w:p>
    <w:p>
      <w:pPr>
        <w:pStyle w:val="BodyText"/>
        <w:spacing w:line="417" w:lineRule="auto"/>
        <w:ind w:right="460" w:firstLine="838"/>
      </w:pPr>
      <w:r>
        <w:rPr>
          <w:spacing w:val="-10"/>
        </w:rPr>
        <w:t>为了保护地面建筑物及其他特殊需要，可采用充填采煤法。煤层</w:t>
      </w:r>
      <w:r>
        <w:t>赋存条件适合的矿井也可采用连续采煤机房柱式采煤法。</w:t>
      </w:r>
    </w:p>
    <w:p>
      <w:pPr>
        <w:pStyle w:val="BodyText"/>
        <w:spacing w:line="537" w:lineRule="exact"/>
        <w:ind w:left="1119"/>
      </w:pPr>
      <w:r>
        <w:t>急倾斜煤层一般采用柔性掩护支架采煤法、水力采煤法、特厚煤</w:t>
      </w:r>
    </w:p>
    <w:p>
      <w:pPr>
        <w:spacing w:after="0" w:line="537"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0" w:history="1">
        <w:r>
          <w:rPr>
            <w:rFonts w:ascii="SimSun" w:eastAsia="SimSun" w:hAnsi="SimSun" w:cs="SimSun"/>
            <w:b/>
            <w:bCs/>
            <w:color w:val="0000EE"/>
            <w:sz w:val="30"/>
            <w:szCs w:val="30"/>
            <w:u w:val="single" w:color="0000EE"/>
          </w:rPr>
          <w:t>https://d.book118.com/085313204301011113</w:t>
        </w:r>
      </w:hyperlink>
    </w:p>
    <w:p>
      <w:pPr>
        <w:spacing w:after="0" w:line="537" w:lineRule="exact"/>
      </w:pPr>
    </w:p>
    <w:sectPr>
      <w:footerReference w:type="default" r:id="rId41"/>
      <w:pgSz w:w="17860" w:h="25260"/>
      <w:pgMar w:top="1960" w:right="2240" w:bottom="2440" w:left="2420" w:header="0" w:footer="2213"/>
      <w:pgNumType w:start="28"/>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Tahoma">
    <w:altName w:val="Tahoma"/>
    <w:charset w:val="00"/>
    <w:family w:val="swiss"/>
    <w:pitch w:val="variable"/>
    <w:sig w:usb0="00000000" w:usb1="00000000" w:usb2="00000000" w:usb3="00000000" w:csb0="00000001" w:csb1="00000000"/>
  </w:font>
  <w:font w:name="Bookman Old Style">
    <w:altName w:val="Bookman Old Style"/>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13.25pt;height:16.65pt;margin-top:1139.83pt;margin-left:439.52pt;mso-position-horizontal-relative:page;mso-position-vertical-relative:page;position:absolute;z-index:-251658240" filled="f" stroked="f">
          <v:textbox inset="0,0,0,0">
            <w:txbxContent>
              <w:p>
                <w:pPr>
                  <w:spacing w:before="33" w:line="299"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13.25pt;height:16.65pt;margin-top:1139.83pt;margin-left:439.52pt;mso-position-horizontal-relative:page;mso-position-vertical-relative:page;position:absolute;z-index:-251657216" filled="f" stroked="f">
          <v:textbox inset="0,0,0,0">
            <w:txbxContent>
              <w:p>
                <w:pPr>
                  <w:spacing w:before="33" w:line="299"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13.25pt;height:16.65pt;margin-top:1139.83pt;margin-left:439.52pt;mso-position-horizontal-relative:page;mso-position-vertical-relative:page;position:absolute;z-index:-251656192" filled="f" stroked="f">
          <v:textbox inset="0,0,0,0">
            <w:txbxContent>
              <w:p>
                <w:pPr>
                  <w:spacing w:before="33" w:line="299"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13.25pt;height:16.65pt;margin-top:1139.83pt;margin-left:439.52pt;mso-position-horizontal-relative:page;mso-position-vertical-relative:page;position:absolute;z-index:-251655168" filled="f" stroked="f">
          <v:textbox inset="0,0,0,0">
            <w:txbxContent>
              <w:p>
                <w:pPr>
                  <w:spacing w:before="33" w:line="299" w:lineRule="exact"/>
                  <w:ind w:left="60" w:right="0" w:firstLine="0"/>
                  <w:jc w:val="left"/>
                  <w:rPr>
                    <w:rFonts w:ascii="Arial"/>
                    <w:sz w:val="29"/>
                  </w:rPr>
                </w:pPr>
                <w:r>
                  <w:fldChar w:fldCharType="begin"/>
                </w:r>
                <w:r>
                  <w:rPr>
                    <w:rFonts w:ascii="Arial"/>
                    <w:w w:val="89"/>
                    <w:sz w:val="29"/>
                  </w:rPr>
                  <w:instrText xml:space="preserve"> PAGE </w:instrText>
                </w:r>
                <w:r>
                  <w:fldChar w:fldCharType="separate"/>
                </w:r>
                <w:r>
                  <w:rPr>
                    <w:rFonts w:ascii="Arial"/>
                    <w:w w:val="89"/>
                    <w:sz w:val="29"/>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22.25pt;height:20.8pt;margin-top:1138.51pt;margin-left:435.55pt;mso-position-horizontal-relative:page;mso-position-vertical-relative:page;position:absolute;z-index:-251654144"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5</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22.25pt;height:20.8pt;margin-top:1138.51pt;margin-left:435.55pt;mso-position-horizontal-relative:page;mso-position-vertical-relative:page;position:absolute;z-index:-251653120"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6</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22.25pt;height:20.8pt;margin-top:1138.51pt;margin-left:435.55pt;mso-position-horizontal-relative:page;mso-position-vertical-relative:page;position:absolute;z-index:-251652096"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7</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22.25pt;height:20.8pt;margin-top:1138.51pt;margin-left:435.55pt;mso-position-horizontal-relative:page;mso-position-vertical-relative:page;position:absolute;z-index:-251651072"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8</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22.25pt;height:20.8pt;margin-top:1138.51pt;margin-left:435.55pt;mso-position-horizontal-relative:page;mso-position-vertical-relative:page;position:absolute;z-index:-251650048"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9</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22.25pt;height:20.8pt;margin-top:1138.51pt;margin-left:435.55pt;mso-position-horizontal-relative:page;mso-position-vertical-relative:page;position:absolute;z-index:-251649024"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62</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22.25pt;height:20.8pt;margin-top:1138.51pt;margin-left:435.55pt;mso-position-horizontal-relative:page;mso-position-vertical-relative:page;position:absolute;z-index:-251648000"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62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22.25pt;height:20.8pt;margin-top:1138.51pt;margin-left:435.55pt;mso-position-horizontal-relative:page;mso-position-vertical-relative:page;position:absolute;z-index:-251646976"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12</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22.25pt;height:20.8pt;margin-top:1138.51pt;margin-left:435.55pt;mso-position-horizontal-relative:page;mso-position-vertical-relative:page;position:absolute;z-index:-251645952"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13</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22.25pt;height:20.8pt;margin-top:1138.51pt;margin-left:435.55pt;mso-position-horizontal-relative:page;mso-position-vertical-relative:page;position:absolute;z-index:-251644928"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14</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22.25pt;height:20.8pt;margin-top:1138.51pt;margin-left:435.55pt;mso-position-horizontal-relative:page;mso-position-vertical-relative:page;position:absolute;z-index:-251643904"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15</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22.25pt;height:20.8pt;margin-top:1138.51pt;margin-left:435.55pt;mso-position-horizontal-relative:page;mso-position-vertical-relative:page;position:absolute;z-index:-251642880"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16</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22.25pt;height:20.8pt;margin-top:1138.51pt;margin-left:435.55pt;mso-position-horizontal-relative:page;mso-position-vertical-relative:page;position:absolute;z-index:-251641856"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17</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22.25pt;height:20.8pt;margin-top:1138.51pt;margin-left:435.55pt;mso-position-horizontal-relative:page;mso-position-vertical-relative:page;position:absolute;z-index:-251640832"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18</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7" type="#_x0000_t202" style="width:22.25pt;height:20.8pt;margin-top:1138.51pt;margin-left:435.55pt;mso-position-horizontal-relative:page;mso-position-vertical-relative:page;position:absolute;z-index:-251639808"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19</w:t>
                </w:r>
                <w:r>
                  <w:fldChar w:fldCharType="end"/>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22.25pt;height:20.8pt;margin-top:1138.51pt;margin-left:435.55pt;mso-position-horizontal-relative:page;mso-position-vertical-relative:page;position:absolute;z-index:-251638784"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20</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9" type="#_x0000_t202" style="width:22.25pt;height:20.8pt;margin-top:1138.51pt;margin-left:435.55pt;mso-position-horizontal-relative:page;mso-position-vertical-relative:page;position:absolute;z-index:-251637760"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21</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0" type="#_x0000_t202" style="width:22.25pt;height:20.8pt;margin-top:1138.51pt;margin-left:435.55pt;mso-position-horizontal-relative:page;mso-position-vertical-relative:page;position:absolute;z-index:-251636736"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22</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1" type="#_x0000_t202" style="width:22.25pt;height:20.8pt;margin-top:1138.51pt;margin-left:435.55pt;mso-position-horizontal-relative:page;mso-position-vertical-relative:page;position:absolute;z-index:-251635712"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23</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2" type="#_x0000_t202" style="width:22.25pt;height:20.8pt;margin-top:1138.51pt;margin-left:435.55pt;mso-position-horizontal-relative:page;mso-position-vertical-relative:page;position:absolute;z-index:-251634688"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62</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3" type="#_x0000_t202" style="width:22.25pt;height:20.8pt;margin-top:1138.51pt;margin-left:435.55pt;mso-position-horizontal-relative:page;mso-position-vertical-relative:page;position:absolute;z-index:-251633664"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62</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4" type="#_x0000_t202" style="width:22.25pt;height:20.8pt;margin-top:1138.51pt;margin-left:435.55pt;mso-position-horizontal-relative:page;mso-position-vertical-relative:page;position:absolute;z-index:-251632640"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26</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5" type="#_x0000_t202" style="width:22.25pt;height:20.8pt;margin-top:1138.51pt;margin-left:435.55pt;mso-position-horizontal-relative:page;mso-position-vertical-relative:page;position:absolute;z-index:-251631616"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27</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6" type="#_x0000_t202" style="width:22.25pt;height:20.8pt;margin-top:1138.51pt;margin-left:435.55pt;mso-position-horizontal-relative:page;mso-position-vertical-relative:page;position:absolute;z-index:-251630592" filled="f" stroked="f">
          <v:textbox inset="0,0,0,0">
            <w:txbxContent>
              <w:p>
                <w:pPr>
                  <w:spacing w:before="42"/>
                  <w:ind w:left="67" w:right="0" w:firstLine="0"/>
                  <w:jc w:val="left"/>
                  <w:rPr>
                    <w:rFonts w:ascii="Times New Roman"/>
                    <w:sz w:val="31"/>
                  </w:rPr>
                </w:pPr>
                <w:r>
                  <w:fldChar w:fldCharType="begin"/>
                </w:r>
                <w:r>
                  <w:rPr>
                    <w:rFonts w:ascii="Times New Roman"/>
                    <w:sz w:val="31"/>
                  </w:rPr>
                  <w:instrText xml:space="preserve"> PAGE </w:instrText>
                </w:r>
                <w:r>
                  <w:fldChar w:fldCharType="separate"/>
                </w:r>
                <w:r>
                  <w:rPr>
                    <w:rFonts w:ascii="Times New Roman"/>
                    <w:sz w:val="31"/>
                  </w:rPr>
                  <w:t>29</w:t>
                </w:r>
                <w:r>
                  <w:fldChar w:fldCharType="end"/>
                </w:r>
              </w:p>
            </w:txbxContent>
          </v:textbox>
        </v:shape>
      </w:pic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53"/>
      <w:ind w:left="377" w:right="555"/>
      <w:jc w:val="center"/>
      <w:outlineLvl w:val="0"/>
    </w:pPr>
    <w:rPr>
      <w:rFonts w:ascii="幼圆" w:eastAsia="幼圆" w:hAnsi="幼圆" w:cs="幼圆"/>
      <w:sz w:val="54"/>
      <w:szCs w:val="54"/>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236"/>
      <w:ind w:left="280"/>
    </w:pPr>
    <w:rPr>
      <w:rFonts w:ascii="黑体" w:eastAsia="黑体" w:hAnsi="黑体" w:cs="黑体"/>
      <w:sz w:val="36"/>
      <w:szCs w:val="36"/>
    </w:rPr>
  </w:style>
  <w:style w:type="paragraph" w:styleId="TOC2">
    <w:name w:val="toc 2"/>
    <w:basedOn w:val="Normal"/>
    <w:uiPriority w:val="1"/>
    <w:qFormat/>
    <w:pPr>
      <w:spacing w:before="305"/>
      <w:ind w:left="910"/>
    </w:pPr>
    <w:rPr>
      <w:rFonts w:ascii="宋体" w:eastAsia="宋体" w:hAnsi="宋体" w:cs="宋体"/>
      <w:sz w:val="31"/>
      <w:szCs w:val="31"/>
    </w:rPr>
  </w:style>
  <w:style w:type="paragraph" w:styleId="BodyText">
    <w:name w:val="Body Text"/>
    <w:basedOn w:val="Normal"/>
    <w:uiPriority w:val="1"/>
    <w:qFormat/>
    <w:pPr>
      <w:ind w:left="280"/>
    </w:pPr>
    <w:rPr>
      <w:rFonts w:ascii="宋体" w:eastAsia="宋体" w:hAnsi="宋体" w:cs="宋体"/>
      <w:sz w:val="42"/>
      <w:szCs w:val="42"/>
    </w:rPr>
  </w:style>
  <w:style w:type="paragraph" w:styleId="ListParagraph">
    <w:name w:val="List Paragraph"/>
    <w:basedOn w:val="Normal"/>
    <w:uiPriority w:val="1"/>
    <w:qFormat/>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image" Target="media/image3.png" /><Relationship Id="rId13" Type="http://schemas.openxmlformats.org/officeDocument/2006/relationships/footer" Target="footer7.xml" /><Relationship Id="rId14" Type="http://schemas.openxmlformats.org/officeDocument/2006/relationships/footer" Target="footer8.xml" /><Relationship Id="rId15" Type="http://schemas.openxmlformats.org/officeDocument/2006/relationships/footer" Target="footer9.xml" /><Relationship Id="rId16" Type="http://schemas.openxmlformats.org/officeDocument/2006/relationships/footer" Target="footer10.xml" /><Relationship Id="rId17" Type="http://schemas.openxmlformats.org/officeDocument/2006/relationships/image" Target="media/image4.png" /><Relationship Id="rId18" Type="http://schemas.openxmlformats.org/officeDocument/2006/relationships/footer" Target="footer11.xml" /><Relationship Id="rId19" Type="http://schemas.openxmlformats.org/officeDocument/2006/relationships/footer" Target="footer12.xml" /><Relationship Id="rId2" Type="http://schemas.openxmlformats.org/officeDocument/2006/relationships/webSettings" Target="webSettings.xml" /><Relationship Id="rId20" Type="http://schemas.openxmlformats.org/officeDocument/2006/relationships/footer" Target="footer13.xml" /><Relationship Id="rId21" Type="http://schemas.openxmlformats.org/officeDocument/2006/relationships/image" Target="media/image5.png" /><Relationship Id="rId22" Type="http://schemas.openxmlformats.org/officeDocument/2006/relationships/footer" Target="footer14.xml" /><Relationship Id="rId23" Type="http://schemas.openxmlformats.org/officeDocument/2006/relationships/footer" Target="footer15.xml" /><Relationship Id="rId24" Type="http://schemas.openxmlformats.org/officeDocument/2006/relationships/footer" Target="footer16.xml" /><Relationship Id="rId25" Type="http://schemas.openxmlformats.org/officeDocument/2006/relationships/footer" Target="footer17.xml" /><Relationship Id="rId26" Type="http://schemas.openxmlformats.org/officeDocument/2006/relationships/image" Target="media/image6.png" /><Relationship Id="rId27" Type="http://schemas.openxmlformats.org/officeDocument/2006/relationships/footer" Target="footer18.xml" /><Relationship Id="rId28" Type="http://schemas.openxmlformats.org/officeDocument/2006/relationships/image" Target="media/image7.png" /><Relationship Id="rId29" Type="http://schemas.openxmlformats.org/officeDocument/2006/relationships/footer" Target="footer19.xml" /><Relationship Id="rId3" Type="http://schemas.openxmlformats.org/officeDocument/2006/relationships/fontTable" Target="fontTable.xml" /><Relationship Id="rId30" Type="http://schemas.openxmlformats.org/officeDocument/2006/relationships/footer" Target="footer20.xml" /><Relationship Id="rId31" Type="http://schemas.openxmlformats.org/officeDocument/2006/relationships/footer" Target="footer21.xml" /><Relationship Id="rId32" Type="http://schemas.openxmlformats.org/officeDocument/2006/relationships/footer" Target="footer22.xml" /><Relationship Id="rId33" Type="http://schemas.openxmlformats.org/officeDocument/2006/relationships/footer" Target="footer23.xml" /><Relationship Id="rId34" Type="http://schemas.openxmlformats.org/officeDocument/2006/relationships/footer" Target="footer24.xml" /><Relationship Id="rId35" Type="http://schemas.openxmlformats.org/officeDocument/2006/relationships/image" Target="media/image8.png" /><Relationship Id="rId36" Type="http://schemas.openxmlformats.org/officeDocument/2006/relationships/footer" Target="footer25.xml" /><Relationship Id="rId37" Type="http://schemas.openxmlformats.org/officeDocument/2006/relationships/footer" Target="footer26.xml" /><Relationship Id="rId38" Type="http://schemas.openxmlformats.org/officeDocument/2006/relationships/footer" Target="footer27.xml" /><Relationship Id="rId39" Type="http://schemas.openxmlformats.org/officeDocument/2006/relationships/footer" Target="footer28.xml" /><Relationship Id="rId4" Type="http://schemas.openxmlformats.org/officeDocument/2006/relationships/footer" Target="footer1.xml" /><Relationship Id="rId40" Type="http://schemas.openxmlformats.org/officeDocument/2006/relationships/hyperlink" Target="https://d.book118.com/085313204301011113" TargetMode="External" /><Relationship Id="rId41" Type="http://schemas.openxmlformats.org/officeDocument/2006/relationships/footer" Target="footer29.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image" Target="media/image1.png" /><Relationship Id="rId9"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2024-02-02T03:08:09Z</dcterms:created>
  <dcterms:modified xsi:type="dcterms:W3CDTF">2024-02-02T03:08:09Z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2022-11-18T00:00:00Z</vt:filetime>
  </property>
  <property fmtid="{D5CDD505-2E9C-101B-9397-08002B2CF9AE}" pid="3" name="LastSaved">
    <vt:filetime>2024-02-02T00:00:00Z</vt:filetime>
  </property>
</Properties>
</file>