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41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江苏筑港建设集团有限公司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26"/>
          <w:szCs w:val="26"/>
        </w:rPr>
        <w:t>QC</w:t>
      </w:r>
      <w:r>
        <w:rPr>
          <w:color w:val="000000"/>
          <w:spacing w:val="0"/>
          <w:w w:val="100"/>
          <w:position w:val="0"/>
        </w:rPr>
        <w:t>成果汇报材料</w:t>
      </w:r>
    </w:p>
    <w:p>
      <w:pPr>
        <w:pStyle w:val="5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提高石灰拌合土施工质量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内容简介</w:t>
      </w:r>
      <w:bookmarkEnd w:id="0"/>
      <w:bookmarkEnd w:id="1"/>
      <w:bookmarkEnd w:id="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45" w:lineRule="exact"/>
        <w:ind w:left="110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本文主要介绍了 </w:t>
      </w:r>
      <w:r>
        <w:rPr>
          <w:color w:val="000000"/>
          <w:spacing w:val="0"/>
          <w:w w:val="100"/>
          <w:position w:val="0"/>
        </w:rPr>
        <w:t>QC</w:t>
      </w:r>
      <w:r>
        <w:rPr>
          <w:color w:val="000000"/>
          <w:spacing w:val="0"/>
          <w:w w:val="100"/>
          <w:position w:val="0"/>
        </w:rPr>
        <w:t>小组灵活运用</w:t>
      </w:r>
      <w:r>
        <w:rPr>
          <w:color w:val="000000"/>
          <w:spacing w:val="0"/>
          <w:w w:val="100"/>
          <w:position w:val="0"/>
        </w:rPr>
        <w:t>QC</w:t>
      </w:r>
      <w:r>
        <w:rPr>
          <w:color w:val="000000"/>
          <w:spacing w:val="0"/>
          <w:w w:val="100"/>
          <w:position w:val="0"/>
        </w:rPr>
        <w:t>的思想和工具，针对 道堆工程的实际情况，探索求真，尝试解决攻关型课题。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140" w:line="821" w:lineRule="exact"/>
        <w:ind w:left="1100" w:right="0" w:firstLine="840"/>
        <w:jc w:val="both"/>
      </w:pPr>
      <w:r>
        <w:rPr>
          <w:color w:val="000000"/>
          <w:spacing w:val="0"/>
          <w:w w:val="100"/>
          <w:position w:val="0"/>
        </w:rPr>
        <w:t>本小组针对提高石灰拌合土施工质量开展技术攻关，在提 高质量和维持成本的同时，加快了石灰拌合土的施工，达到了 预期的效果。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60" w:line="542" w:lineRule="exact"/>
        <w:ind w:left="0" w:right="0" w:firstLine="0"/>
        <w:jc w:val="center"/>
        <w:sectPr>
          <w:pgSz w:w="17861" w:h="25258"/>
          <w:pgMar w:top="1022" w:right="2444" w:bottom="3136" w:left="2458" w:header="0" w:footer="3" w:gutter="0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江苏筑港建设集团有限公司</w:t>
        <w:br/>
        <w:t>徐州港新沂港区作业区码头三期工程堆场项目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QC</w:t>
      </w:r>
      <w:r>
        <w:rPr>
          <w:b/>
          <w:bCs/>
          <w:color w:val="000000"/>
          <w:spacing w:val="0"/>
          <w:w w:val="100"/>
          <w:position w:val="0"/>
        </w:rPr>
        <w:t>小组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二零一九年九月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39"/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3" w:name="bookmark3"/>
      <w:r>
        <w:rPr>
          <w:color w:val="000000"/>
          <w:spacing w:val="0"/>
          <w:w w:val="100"/>
          <w:position w:val="0"/>
          <w:sz w:val="42"/>
          <w:szCs w:val="42"/>
        </w:rPr>
        <w:t>一</w:t>
      </w:r>
      <w:bookmarkEnd w:id="3"/>
      <w:r>
        <w:rPr>
          <w:color w:val="000000"/>
          <w:spacing w:val="0"/>
          <w:w w:val="100"/>
          <w:position w:val="0"/>
          <w:sz w:val="42"/>
          <w:szCs w:val="42"/>
        </w:rPr>
        <w:t>、</w:t>
        <w:tab/>
        <w:t>小组概况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39"/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hyperlink w:anchor="bookmark16" w:tooltip="Current Document" w:history="1">
        <w:bookmarkStart w:id="4" w:name="bookmark4"/>
        <w:r>
          <w:rPr>
            <w:color w:val="000000"/>
            <w:spacing w:val="0"/>
            <w:w w:val="100"/>
            <w:position w:val="0"/>
            <w:sz w:val="42"/>
            <w:szCs w:val="42"/>
          </w:rPr>
          <w:t>二</w:t>
        </w:r>
        <w:bookmarkEnd w:id="4"/>
        <w:r>
          <w:rPr>
            <w:color w:val="000000"/>
            <w:spacing w:val="0"/>
            <w:w w:val="100"/>
            <w:position w:val="0"/>
            <w:sz w:val="42"/>
            <w:szCs w:val="42"/>
          </w:rPr>
          <w:t>、</w:t>
          <w:tab/>
          <w:t>工程概况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39"/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hyperlink w:anchor="bookmark20" w:tooltip="Current Document" w:history="1">
        <w:bookmarkStart w:id="5" w:name="bookmark5"/>
        <w:r>
          <w:rPr>
            <w:color w:val="000000"/>
            <w:spacing w:val="0"/>
            <w:w w:val="100"/>
            <w:position w:val="0"/>
            <w:sz w:val="42"/>
            <w:szCs w:val="42"/>
          </w:rPr>
          <w:t>三</w:t>
        </w:r>
        <w:bookmarkEnd w:id="5"/>
        <w:r>
          <w:rPr>
            <w:color w:val="000000"/>
            <w:spacing w:val="0"/>
            <w:w w:val="100"/>
            <w:position w:val="0"/>
            <w:sz w:val="42"/>
            <w:szCs w:val="42"/>
          </w:rPr>
          <w:t>、</w:t>
          <w:tab/>
          <w:t>选题理由及现状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39"/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hyperlink w:anchor="bookmark39" w:tooltip="Current Document" w:history="1">
        <w:bookmarkStart w:id="6" w:name="bookmark6"/>
        <w:r>
          <w:rPr>
            <w:color w:val="000000"/>
            <w:spacing w:val="0"/>
            <w:w w:val="100"/>
            <w:position w:val="0"/>
            <w:sz w:val="42"/>
            <w:szCs w:val="42"/>
          </w:rPr>
          <w:t>四</w:t>
        </w:r>
        <w:bookmarkEnd w:id="6"/>
        <w:r>
          <w:rPr>
            <w:color w:val="000000"/>
            <w:spacing w:val="0"/>
            <w:w w:val="100"/>
            <w:position w:val="0"/>
            <w:sz w:val="42"/>
            <w:szCs w:val="42"/>
          </w:rPr>
          <w:t>、</w:t>
          <w:tab/>
          <w:t>原因分析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39"/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hyperlink w:anchor="bookmark43" w:tooltip="Current Document" w:history="1">
        <w:bookmarkStart w:id="7" w:name="bookmark7"/>
        <w:r>
          <w:rPr>
            <w:color w:val="000000"/>
            <w:spacing w:val="0"/>
            <w:w w:val="100"/>
            <w:position w:val="0"/>
            <w:sz w:val="42"/>
            <w:szCs w:val="42"/>
          </w:rPr>
          <w:t>五</w:t>
        </w:r>
        <w:bookmarkEnd w:id="7"/>
        <w:r>
          <w:rPr>
            <w:color w:val="000000"/>
            <w:spacing w:val="0"/>
            <w:w w:val="100"/>
            <w:position w:val="0"/>
            <w:sz w:val="42"/>
            <w:szCs w:val="42"/>
          </w:rPr>
          <w:t>、</w:t>
          <w:tab/>
          <w:t>设定目标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6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39"/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hyperlink w:anchor="bookmark47" w:tooltip="Current Document" w:history="1">
        <w:bookmarkStart w:id="8" w:name="bookmark8"/>
        <w:r>
          <w:rPr>
            <w:color w:val="000000"/>
            <w:spacing w:val="0"/>
            <w:w w:val="100"/>
            <w:position w:val="0"/>
            <w:sz w:val="42"/>
            <w:szCs w:val="42"/>
          </w:rPr>
          <w:t>六</w:t>
        </w:r>
        <w:bookmarkEnd w:id="8"/>
        <w:r>
          <w:rPr>
            <w:color w:val="000000"/>
            <w:spacing w:val="0"/>
            <w:w w:val="100"/>
            <w:position w:val="0"/>
            <w:sz w:val="42"/>
            <w:szCs w:val="42"/>
          </w:rPr>
          <w:t>、</w:t>
          <w:tab/>
          <w:t>因果分析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7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39"/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hyperlink w:anchor="bookmark51" w:tooltip="Current Document" w:history="1">
        <w:bookmarkStart w:id="9" w:name="bookmark9"/>
        <w:r>
          <w:rPr>
            <w:color w:val="000000"/>
            <w:spacing w:val="0"/>
            <w:w w:val="100"/>
            <w:position w:val="0"/>
            <w:sz w:val="42"/>
            <w:szCs w:val="42"/>
          </w:rPr>
          <w:t>七</w:t>
        </w:r>
        <w:bookmarkEnd w:id="9"/>
        <w:r>
          <w:rPr>
            <w:color w:val="000000"/>
            <w:spacing w:val="0"/>
            <w:w w:val="100"/>
            <w:position w:val="0"/>
            <w:sz w:val="42"/>
            <w:szCs w:val="42"/>
          </w:rPr>
          <w:t>、</w:t>
          <w:tab/>
          <w:t>要因确认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7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39"/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hyperlink w:anchor="bookmark68" w:tooltip="Current Document" w:history="1">
        <w:bookmarkStart w:id="10" w:name="bookmark10"/>
        <w:r>
          <w:rPr>
            <w:color w:val="000000"/>
            <w:spacing w:val="0"/>
            <w:w w:val="100"/>
            <w:position w:val="0"/>
            <w:sz w:val="42"/>
            <w:szCs w:val="42"/>
          </w:rPr>
          <w:t>八</w:t>
        </w:r>
        <w:bookmarkEnd w:id="10"/>
        <w:r>
          <w:rPr>
            <w:color w:val="000000"/>
            <w:spacing w:val="0"/>
            <w:w w:val="100"/>
            <w:position w:val="0"/>
            <w:sz w:val="42"/>
            <w:szCs w:val="42"/>
          </w:rPr>
          <w:t>、</w:t>
          <w:tab/>
          <w:t>对策制定与实施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12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39"/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hyperlink w:anchor="bookmark85" w:tooltip="Current Document" w:history="1">
        <w:bookmarkStart w:id="11" w:name="bookmark11"/>
        <w:r>
          <w:rPr>
            <w:color w:val="000000"/>
            <w:spacing w:val="0"/>
            <w:w w:val="100"/>
            <w:position w:val="0"/>
            <w:sz w:val="42"/>
            <w:szCs w:val="42"/>
          </w:rPr>
          <w:t>九</w:t>
        </w:r>
        <w:bookmarkEnd w:id="11"/>
        <w:r>
          <w:rPr>
            <w:color w:val="000000"/>
            <w:spacing w:val="0"/>
            <w:w w:val="100"/>
            <w:position w:val="0"/>
            <w:sz w:val="42"/>
            <w:szCs w:val="42"/>
          </w:rPr>
          <w:t>、</w:t>
          <w:tab/>
          <w:t>效果检查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15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hyperlink w:anchor="bookmark89" w:tooltip="Current Document" w:history="1">
        <w:r>
          <w:rPr>
            <w:color w:val="000000"/>
            <w:spacing w:val="0"/>
            <w:w w:val="100"/>
            <w:position w:val="0"/>
            <w:sz w:val="42"/>
            <w:szCs w:val="42"/>
          </w:rPr>
          <w:t>十、总体效果与社会经济效益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15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十一、巩固措施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16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880"/>
        </w:tabs>
        <w:bidi w:val="0"/>
        <w:spacing w:before="0" w:line="240" w:lineRule="auto"/>
        <w:ind w:left="0" w:right="0" w:firstLine="0"/>
        <w:jc w:val="both"/>
        <w:rPr>
          <w:sz w:val="42"/>
          <w:szCs w:val="42"/>
        </w:rPr>
        <w:sectPr>
          <w:type w:val="nextPage"/>
          <w:pgSz w:w="17861" w:h="25258"/>
          <w:pgMar w:top="1022" w:right="2444" w:bottom="3136" w:left="2458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十二、总结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16</w:t>
      </w:r>
      <w:r>
        <w:fldChar w:fldCharType="end"/>
      </w:r>
    </w:p>
    <w:p>
      <w:pPr>
        <w:pStyle w:val="a4"/>
        <w:keepNext w:val="0"/>
        <w:keepLines w:val="0"/>
        <w:framePr w:w="2568" w:h="499" w:hRule="atLeast" w:wrap="none" w:hAnchor="page" w:x="268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一、小组概况</w:t>
      </w:r>
    </w:p>
    <w:p>
      <w:pPr>
        <w:pStyle w:val="a4"/>
        <w:keepNext w:val="0"/>
        <w:keepLines w:val="0"/>
        <w:framePr w:w="6773" w:h="466" w:hRule="atLeast" w:wrap="none" w:hAnchor="page" w:x="6159" w:y="156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课题名称：提高石灰拌合土施工质量</w:t>
      </w:r>
    </w:p>
    <w:p>
      <w:pPr>
        <w:pStyle w:val="42"/>
        <w:keepNext/>
        <w:keepLines/>
        <w:framePr w:w="840" w:h="18398" w:hRule="exact" w:wrap="none" w:hAnchor="page" w:x="2963" w:y="1297"/>
        <w:widowControl w:val="0"/>
        <w:shd w:val="clear" w:color="auto" w:fill="auto"/>
        <w:bidi w:val="0"/>
        <w:spacing w:after="0" w:line="240" w:lineRule="auto"/>
        <w:ind w:left="0" w:right="0"/>
        <w:jc w:val="left"/>
        <w:textDirection w:val="tbRlV"/>
      </w:pPr>
      <w:bookmarkStart w:id="12" w:name="bookmark12"/>
      <w:bookmarkStart w:id="13" w:name="bookmark13"/>
      <w:bookmarkStart w:id="14" w:name="bookmark14"/>
      <w:r>
        <w:rPr>
          <w:color w:val="000000"/>
          <w:spacing w:val="0"/>
          <w:w w:val="100"/>
          <w:position w:val="0"/>
        </w:rPr>
        <w:t>小组名称</w:t>
      </w:r>
      <w:r>
        <w:rPr>
          <w:color w:val="000000"/>
          <w:spacing w:val="0"/>
          <w:w w:val="100"/>
          <w:position w:val="0"/>
          <w:eastAsianLayout w:id="0" w:vert="1" w:vertCompress="0" w:combine="0"/>
        </w:rPr>
        <w:t>.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8"/>
          <w:szCs w:val="38"/>
          <w:eastAsianLayout w:id="1" w:vert="1" w:vertCompress="0" w:combine="0"/>
        </w:rPr>
        <w:t>•</w:t>
      </w:r>
      <w:r>
        <w:rPr>
          <w:color w:val="000000"/>
          <w:spacing w:val="0"/>
          <w:w w:val="100"/>
          <w:position w:val="0"/>
        </w:rPr>
        <w:t>徐州港新沂港区作业区码头三期工程堆场项目</w:t>
      </w:r>
      <w:r>
        <w:rPr>
          <w:color w:val="000000"/>
          <w:spacing w:val="0"/>
          <w:w w:val="100"/>
          <w:position w:val="0"/>
          <w:eastAsianLayout w:id="2" w:vert="1" w:vertCompress="0" w:combine="0"/>
        </w:rPr>
        <w:t>Q</w:t>
      </w:r>
      <w:r>
        <w:rPr>
          <w:color w:val="000000"/>
          <w:spacing w:val="0"/>
          <w:w w:val="100"/>
          <w:position w:val="0"/>
          <w:eastAsianLayout w:id="3" w:vert="1" w:vertCompress="0" w:combine="0"/>
        </w:rPr>
        <w:t>C</w:t>
      </w:r>
      <w:r>
        <w:rPr>
          <w:color w:val="000000"/>
          <w:spacing w:val="0"/>
          <w:w w:val="100"/>
          <w:position w:val="0"/>
        </w:rPr>
        <w:t>小组</w:t>
      </w:r>
      <w:bookmarkEnd w:id="12"/>
      <w:bookmarkEnd w:id="13"/>
      <w:bookmarkEnd w:id="14"/>
    </w:p>
    <w:p>
      <w:pPr>
        <w:pStyle w:val="a4"/>
        <w:keepNext w:val="0"/>
        <w:keepLines w:val="0"/>
        <w:framePr w:w="840" w:h="7258" w:hRule="atLeast" w:wrap="none" w:hAnchor="page" w:x="4580" w:y="1537"/>
        <w:widowControl w:val="0"/>
        <w:shd w:val="clear" w:color="auto" w:fill="auto"/>
        <w:bidi w:val="0"/>
        <w:spacing w:before="240" w:after="0" w:line="780" w:lineRule="exact"/>
        <w:ind w:left="24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本 次 课 题 活 动 情 况</w:t>
      </w:r>
    </w:p>
    <w:p>
      <w:pPr>
        <w:pStyle w:val="31"/>
        <w:keepNext w:val="0"/>
        <w:keepLines w:val="0"/>
        <w:framePr w:w="3638" w:h="432" w:hRule="atLeast" w:wrap="none" w:hAnchor="page" w:x="11823" w:y="281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成立时间：</w:t>
      </w:r>
      <w:r>
        <w:rPr>
          <w:color w:val="000000"/>
          <w:spacing w:val="0"/>
          <w:w w:val="100"/>
          <w:position w:val="0"/>
          <w:sz w:val="36"/>
          <w:szCs w:val="36"/>
        </w:rPr>
        <w:t>2019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color w:val="000000"/>
          <w:spacing w:val="0"/>
          <w:w w:val="100"/>
          <w:position w:val="0"/>
        </w:rPr>
        <w:t>月</w:t>
      </w:r>
    </w:p>
    <w:p>
      <w:pPr>
        <w:pStyle w:val="31"/>
        <w:keepNext w:val="0"/>
        <w:keepLines w:val="0"/>
        <w:framePr w:w="3638" w:h="432" w:hRule="atLeast" w:wrap="none" w:hAnchor="page" w:x="11823" w:y="401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课题类型：问题解决型</w:t>
      </w:r>
    </w:p>
    <w:p>
      <w:pPr>
        <w:pStyle w:val="31"/>
        <w:keepNext w:val="0"/>
        <w:keepLines w:val="0"/>
        <w:framePr w:w="2002" w:h="432" w:hRule="atLeast" w:wrap="none" w:hAnchor="page" w:x="12649" w:y="5156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出勤率：</w:t>
      </w:r>
      <w:r>
        <w:rPr>
          <w:color w:val="000000"/>
          <w:spacing w:val="0"/>
          <w:w w:val="100"/>
          <w:position w:val="0"/>
          <w:sz w:val="36"/>
          <w:szCs w:val="36"/>
        </w:rPr>
        <w:t>98%</w:t>
      </w:r>
    </w:p>
    <w:p>
      <w:pPr>
        <w:pStyle w:val="31"/>
        <w:keepNext w:val="0"/>
        <w:keepLines w:val="0"/>
        <w:framePr w:w="2851" w:h="432" w:hRule="atLeast" w:wrap="none" w:hAnchor="page" w:x="12222" w:y="636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活动频率：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  <w:sz w:val="32"/>
          <w:szCs w:val="32"/>
        </w:rPr>
        <w:t>次/月</w:t>
      </w:r>
    </w:p>
    <w:p>
      <w:pPr>
        <w:pStyle w:val="a4"/>
        <w:keepNext w:val="0"/>
        <w:keepLines w:val="0"/>
        <w:framePr w:w="840" w:h="9379" w:hRule="atLeast" w:wrap="none" w:hAnchor="page" w:x="4580" w:y="9476"/>
        <w:widowControl w:val="0"/>
        <w:shd w:val="clear" w:color="auto" w:fill="auto"/>
        <w:bidi w:val="0"/>
        <w:spacing w:before="800" w:after="0" w:line="780" w:lineRule="exact"/>
        <w:ind w:left="24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小 组 成 员 组 成 情 况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04"/>
        <w:gridCol w:w="1454"/>
        <w:gridCol w:w="1090"/>
        <w:gridCol w:w="1814"/>
        <w:gridCol w:w="2174"/>
        <w:gridCol w:w="2544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387"/>
          <w:jc w:val="left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D6D6D6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序号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D6D6D6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姓名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D6D6D6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性别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D6D6D6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文化程度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</w:tcBorders>
            <w:shd w:val="clear" w:color="auto" w:fill="D6D6D6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职称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小组分工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left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陈广飞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男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本科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高级工程师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组长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84"/>
          <w:jc w:val="left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孙中俊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男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大专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高级工程师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项目总工程师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left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朱冠泽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男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本科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助理工程师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现场实施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left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惠天翔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男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本科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助理工程师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现场实施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89"/>
          <w:jc w:val="left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周敬策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男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本科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助理工程师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framePr w:w="10181" w:h="6317" w:hRule="atLeast" w:wrap="none" w:hAnchor="page" w:x="5982" w:y="959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现场实施</w:t>
            </w:r>
          </w:p>
        </w:tc>
      </w:tr>
    </w:tbl>
    <w:p>
      <w:pPr>
        <w:framePr w:w="10181" w:h="6317" w:hRule="atLeast" w:wrap="none" w:hAnchor="page" w:x="5982" w:y="9596"/>
        <w:widowControl w:val="0"/>
        <w:spacing w:line="1" w:lineRule="exact"/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3770630</wp:posOffset>
            </wp:positionH>
            <wp:positionV relativeFrom="margin">
              <wp:posOffset>1710055</wp:posOffset>
            </wp:positionV>
            <wp:extent cx="3267710" cy="269430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7710" cy="269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13" w:line="1" w:lineRule="exact"/>
      </w:pPr>
    </w:p>
    <w:p>
      <w:pPr>
        <w:widowControl w:val="0"/>
        <w:spacing w:line="1" w:lineRule="exact"/>
        <w:sectPr>
          <w:pgSz w:w="17861" w:h="25258"/>
          <w:pgMar w:top="2026" w:right="1699" w:bottom="1854" w:left="2683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pStyle w:val="61"/>
        <w:keepNext/>
        <w:keepLines/>
        <w:widowControl w:val="0"/>
        <w:shd w:val="clear" w:color="auto" w:fill="auto"/>
        <w:bidi w:val="0"/>
        <w:spacing w:before="0" w:after="440" w:line="935" w:lineRule="exact"/>
        <w:ind w:left="0" w:right="0" w:firstLine="0"/>
        <w:jc w:val="both"/>
      </w:pPr>
      <w:bookmarkStart w:id="15" w:name="bookmark15"/>
      <w:bookmarkStart w:id="16" w:name="bookmark16"/>
      <w:bookmarkStart w:id="17" w:name="bookmark17"/>
      <w:bookmarkStart w:id="18" w:name="bookmark18"/>
      <w:r>
        <w:rPr>
          <w:color w:val="000000"/>
          <w:spacing w:val="0"/>
          <w:w w:val="100"/>
          <w:position w:val="0"/>
        </w:rPr>
        <w:t>二</w:t>
      </w:r>
      <w:bookmarkEnd w:id="17"/>
      <w:r>
        <w:rPr>
          <w:color w:val="000000"/>
          <w:spacing w:val="0"/>
          <w:w w:val="100"/>
          <w:position w:val="0"/>
        </w:rPr>
        <w:t>、工程概况</w:t>
      </w:r>
      <w:bookmarkEnd w:id="15"/>
      <w:bookmarkEnd w:id="16"/>
      <w:bookmarkEnd w:id="18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本工程位于徐州新沂市港头镇境内，新戴运河东岸,港头桥北侧， 港头一期工程北端至友好桥之间。工程位置距港头镇约</w:t>
      </w:r>
      <w:r>
        <w:rPr>
          <w:color w:val="000000"/>
          <w:spacing w:val="0"/>
          <w:w w:val="100"/>
          <w:position w:val="0"/>
        </w:rPr>
        <w:t>0.5km</w:t>
      </w:r>
      <w:r>
        <w:rPr>
          <w:color w:val="000000"/>
          <w:spacing w:val="0"/>
          <w:w w:val="100"/>
          <w:position w:val="0"/>
        </w:rPr>
        <w:t>，距新 沂市约</w:t>
      </w:r>
      <w:r>
        <w:rPr>
          <w:color w:val="000000"/>
          <w:spacing w:val="0"/>
          <w:w w:val="100"/>
          <w:position w:val="0"/>
        </w:rPr>
        <w:t>6km。</w:t>
      </w:r>
      <w:r>
        <w:rPr>
          <w:color w:val="000000"/>
          <w:spacing w:val="0"/>
          <w:w w:val="100"/>
          <w:position w:val="0"/>
        </w:rPr>
        <w:t>拟建场地总面积约</w:t>
      </w:r>
      <w:r>
        <w:rPr>
          <w:color w:val="000000"/>
          <w:spacing w:val="0"/>
          <w:w w:val="100"/>
          <w:position w:val="0"/>
        </w:rPr>
        <w:t>17.82</w:t>
      </w:r>
      <w:r>
        <w:rPr>
          <w:color w:val="000000"/>
          <w:spacing w:val="0"/>
          <w:w w:val="100"/>
          <w:position w:val="0"/>
        </w:rPr>
        <w:t xml:space="preserve">万血。根据功能分区共划分为 集装箱专用堆场、集装箱、件杂货兼用场地、仓库区（本次招标不含） 和辅助区四个分区。场内布置有四横纵七条内部道路 ，道路宽度 </w:t>
      </w:r>
      <w:r>
        <w:rPr>
          <w:color w:val="000000"/>
          <w:spacing w:val="0"/>
          <w:w w:val="100"/>
          <w:position w:val="0"/>
        </w:rPr>
        <w:t>9m-20m</w:t>
      </w:r>
      <w:r>
        <w:rPr>
          <w:color w:val="000000"/>
          <w:spacing w:val="0"/>
          <w:w w:val="100"/>
          <w:position w:val="0"/>
        </w:rPr>
        <w:t xml:space="preserve">。在港区东南布置有港区主入口，设闸口一座。堆场设计标高 </w:t>
      </w:r>
      <w:r>
        <w:rPr>
          <w:color w:val="000000"/>
          <w:spacing w:val="0"/>
          <w:w w:val="100"/>
          <w:position w:val="0"/>
        </w:rPr>
        <w:t>26m。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件杂货堆场采用</w:t>
      </w:r>
      <w:r>
        <w:rPr>
          <w:color w:val="000000"/>
          <w:spacing w:val="0"/>
          <w:w w:val="100"/>
          <w:position w:val="0"/>
        </w:rPr>
        <w:t>16t</w:t>
      </w:r>
      <w:r>
        <w:rPr>
          <w:color w:val="000000"/>
          <w:spacing w:val="0"/>
          <w:w w:val="100"/>
          <w:position w:val="0"/>
        </w:rPr>
        <w:t>轮胎式起重机和</w:t>
      </w:r>
      <w:r>
        <w:rPr>
          <w:color w:val="000000"/>
          <w:spacing w:val="0"/>
          <w:w w:val="100"/>
          <w:position w:val="0"/>
        </w:rPr>
        <w:t>5t</w:t>
      </w:r>
      <w:r>
        <w:rPr>
          <w:color w:val="000000"/>
          <w:spacing w:val="0"/>
          <w:w w:val="100"/>
          <w:position w:val="0"/>
        </w:rPr>
        <w:t>叉车进行作业。集装箱 专业堆场采用轨道式龙门起重机进行作业，集装箱、件杂货兼用堆场 可按需增配集装箱正面吊进行堆场作业，堆高4层。地基处理将表层 素填土开挖并掺石灰拌合后分层碾压回填密室密实;集装箱专用堆场、 道路、辅助区周边场地采用混凝土大板面层结构形式，集装箱、件杂 货兼用场地、件杂货堆场采用高强联锁块面层形式。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根据现有资料可知，本工程场地地形平均标高约</w:t>
      </w:r>
      <w:r>
        <w:rPr>
          <w:color w:val="000000"/>
          <w:spacing w:val="0"/>
          <w:w w:val="100"/>
          <w:position w:val="0"/>
        </w:rPr>
        <w:t>+25.3m,</w:t>
      </w:r>
      <w:r>
        <w:rPr>
          <w:color w:val="000000"/>
          <w:spacing w:val="0"/>
          <w:w w:val="100"/>
          <w:position w:val="0"/>
        </w:rPr>
        <w:t>根据总 平面布置，场地使用标高为</w:t>
      </w:r>
      <w:r>
        <w:rPr>
          <w:color w:val="000000"/>
          <w:spacing w:val="0"/>
          <w:w w:val="100"/>
          <w:position w:val="0"/>
        </w:rPr>
        <w:t>+26.0m。</w:t>
      </w:r>
      <w:r>
        <w:rPr>
          <w:color w:val="000000"/>
          <w:spacing w:val="0"/>
          <w:w w:val="100"/>
          <w:position w:val="0"/>
        </w:rPr>
        <w:t>扣除面层结构厚度，本工程场地 经地基处理后交工面平均标高约为</w:t>
      </w:r>
      <w:r>
        <w:rPr>
          <w:color w:val="000000"/>
          <w:spacing w:val="0"/>
          <w:w w:val="100"/>
          <w:position w:val="0"/>
        </w:rPr>
        <w:t>+25.2m。</w:t>
      </w:r>
      <w:r>
        <w:rPr>
          <w:color w:val="000000"/>
          <w:spacing w:val="0"/>
          <w:w w:val="100"/>
          <w:position w:val="0"/>
        </w:rPr>
        <w:t>故综合考虑场地地基使用 要求，本工程考虑将原场地开挖至标高</w:t>
      </w:r>
      <w:r>
        <w:rPr>
          <w:color w:val="000000"/>
          <w:spacing w:val="0"/>
          <w:w w:val="100"/>
          <w:position w:val="0"/>
        </w:rPr>
        <w:t>24.7m</w:t>
      </w:r>
      <w:r>
        <w:rPr>
          <w:color w:val="000000"/>
          <w:spacing w:val="0"/>
          <w:w w:val="100"/>
          <w:position w:val="0"/>
        </w:rPr>
        <w:t>，将土中的芦苇、草根 清除后，将开挖的表层素填土掺石灰拌合，掺灰量6%，之后分层碾 压回填至交地标高</w:t>
      </w:r>
      <w:r>
        <w:rPr>
          <w:color w:val="000000"/>
          <w:spacing w:val="0"/>
          <w:w w:val="100"/>
          <w:position w:val="0"/>
        </w:rPr>
        <w:t>+25.2m。</w:t>
      </w:r>
      <w:r>
        <w:rPr>
          <w:color w:val="000000"/>
          <w:spacing w:val="0"/>
          <w:w w:val="100"/>
          <w:position w:val="0"/>
        </w:rPr>
        <w:t>路基的上部结构为</w:t>
      </w:r>
      <w:r>
        <w:rPr>
          <w:color w:val="000000"/>
          <w:spacing w:val="0"/>
          <w:w w:val="100"/>
          <w:position w:val="0"/>
        </w:rPr>
        <w:t>17cm</w:t>
      </w:r>
      <w:r>
        <w:rPr>
          <w:color w:val="000000"/>
          <w:spacing w:val="0"/>
          <w:w w:val="100"/>
          <w:position w:val="0"/>
        </w:rPr>
        <w:t>级配碎石层、</w:t>
      </w:r>
      <w:r>
        <w:rPr>
          <w:color w:val="000000"/>
          <w:spacing w:val="0"/>
          <w:w w:val="100"/>
          <w:position w:val="0"/>
        </w:rPr>
        <w:t xml:space="preserve">30cm </w:t>
      </w:r>
      <w:r>
        <w:rPr>
          <w:color w:val="000000"/>
          <w:spacing w:val="0"/>
          <w:w w:val="100"/>
          <w:position w:val="0"/>
        </w:rPr>
        <w:t>水泥稳定碎石基层、</w:t>
      </w:r>
      <w:r>
        <w:rPr>
          <w:color w:val="000000"/>
          <w:spacing w:val="0"/>
          <w:w w:val="100"/>
          <w:position w:val="0"/>
        </w:rPr>
        <w:t>15cm</w:t>
      </w:r>
      <w:r>
        <w:rPr>
          <w:color w:val="000000"/>
          <w:spacing w:val="0"/>
          <w:w w:val="100"/>
          <w:position w:val="0"/>
        </w:rPr>
        <w:t>素砼垫层、</w:t>
      </w:r>
      <w:r>
        <w:rPr>
          <w:color w:val="000000"/>
          <w:spacing w:val="0"/>
          <w:w w:val="100"/>
          <w:position w:val="0"/>
        </w:rPr>
        <w:t>3cm</w:t>
      </w:r>
      <w:r>
        <w:rPr>
          <w:color w:val="000000"/>
          <w:spacing w:val="0"/>
          <w:w w:val="100"/>
          <w:position w:val="0"/>
        </w:rPr>
        <w:t>中粗砂垫层和</w:t>
      </w:r>
      <w:r>
        <w:rPr>
          <w:color w:val="000000"/>
          <w:spacing w:val="0"/>
          <w:w w:val="100"/>
          <w:position w:val="0"/>
        </w:rPr>
        <w:t>10cmC50</w:t>
      </w:r>
      <w:r>
        <w:rPr>
          <w:color w:val="000000"/>
          <w:spacing w:val="0"/>
          <w:w w:val="100"/>
          <w:position w:val="0"/>
        </w:rPr>
        <w:t>高强 联锁块。</w:t>
      </w:r>
    </w:p>
    <w:p>
      <w:pPr>
        <w:pStyle w:val="61"/>
        <w:keepNext/>
        <w:keepLines/>
        <w:widowControl w:val="0"/>
        <w:shd w:val="clear" w:color="auto" w:fill="auto"/>
        <w:bidi w:val="0"/>
        <w:spacing w:before="0" w:after="0" w:line="946" w:lineRule="exact"/>
        <w:ind w:left="0" w:right="0" w:firstLine="0"/>
        <w:jc w:val="left"/>
      </w:pPr>
      <w:bookmarkStart w:id="19" w:name="bookmark19"/>
      <w:bookmarkStart w:id="20" w:name="bookmark20"/>
      <w:bookmarkStart w:id="21" w:name="bookmark21"/>
      <w:bookmarkStart w:id="22" w:name="bookmark22"/>
      <w:r>
        <w:rPr>
          <w:color w:val="000000"/>
          <w:spacing w:val="0"/>
          <w:w w:val="100"/>
          <w:position w:val="0"/>
        </w:rPr>
        <w:t>三</w:t>
      </w:r>
      <w:bookmarkEnd w:id="21"/>
      <w:r>
        <w:rPr>
          <w:color w:val="000000"/>
          <w:spacing w:val="0"/>
          <w:w w:val="100"/>
          <w:position w:val="0"/>
        </w:rPr>
        <w:t>、选题理由及现状</w:t>
      </w:r>
      <w:bookmarkEnd w:id="19"/>
      <w:bookmarkEnd w:id="20"/>
      <w:bookmarkEnd w:id="22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781"/>
        </w:tabs>
        <w:bidi w:val="0"/>
        <w:spacing w:before="0" w:after="0" w:line="946" w:lineRule="exact"/>
        <w:ind w:left="0" w:right="0" w:firstLine="0"/>
        <w:jc w:val="left"/>
        <w:sectPr>
          <w:pgSz w:w="17861" w:h="25258"/>
          <w:pgMar w:top="1728" w:right="2335" w:bottom="2277" w:left="2591" w:header="0" w:footer="3" w:gutter="0"/>
          <w:pgNumType w:start="4"/>
          <w:cols w:space="720"/>
          <w:noEndnote/>
          <w:rtlGutter w:val="0"/>
          <w:docGrid w:linePitch="360"/>
        </w:sectPr>
      </w:pPr>
      <w:bookmarkStart w:id="23" w:name="bookmark23"/>
      <w:r>
        <w:rPr>
          <w:color w:val="000000"/>
          <w:spacing w:val="0"/>
          <w:w w:val="100"/>
          <w:position w:val="0"/>
        </w:rPr>
        <w:t>1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课题：提高石灰拌合土施工质量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781"/>
        </w:tabs>
        <w:bidi w:val="0"/>
        <w:spacing w:before="0" w:after="0" w:line="946" w:lineRule="exact"/>
        <w:ind w:left="0" w:right="0" w:firstLine="0"/>
        <w:jc w:val="left"/>
      </w:pPr>
      <w:bookmarkStart w:id="24" w:name="bookmark24"/>
      <w:r>
        <w:rPr>
          <w:color w:val="000000"/>
          <w:spacing w:val="0"/>
          <w:w w:val="100"/>
          <w:position w:val="0"/>
        </w:rPr>
        <w:t>2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选题理由：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98"/>
        </w:tabs>
        <w:bidi w:val="0"/>
        <w:spacing w:before="0" w:after="0" w:line="946" w:lineRule="exact"/>
        <w:ind w:left="0" w:right="0" w:firstLine="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（</w:t>
      </w:r>
      <w:bookmarkEnd w:id="25"/>
      <w:r>
        <w:rPr>
          <w:color w:val="000000"/>
          <w:spacing w:val="0"/>
          <w:w w:val="100"/>
          <w:position w:val="0"/>
        </w:rPr>
        <w:t>1）</w:t>
        <w:tab/>
        <w:t>本标段属于水运工程，堆场紧靠内河码头。场地面积大，设计 荷载及承载力要求较高，必须确保其施工质量。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781"/>
        </w:tabs>
        <w:bidi w:val="0"/>
        <w:spacing w:before="0" w:after="0" w:line="946" w:lineRule="exact"/>
        <w:ind w:left="0" w:right="0" w:firstLine="0"/>
        <w:jc w:val="left"/>
      </w:pPr>
      <w:bookmarkStart w:id="26" w:name="bookmark26"/>
      <w:r>
        <w:rPr>
          <w:color w:val="000000"/>
          <w:spacing w:val="0"/>
          <w:w w:val="100"/>
          <w:position w:val="0"/>
        </w:rPr>
        <w:t>（</w:t>
      </w:r>
      <w:bookmarkEnd w:id="26"/>
      <w:r>
        <w:rPr>
          <w:color w:val="000000"/>
          <w:spacing w:val="0"/>
          <w:w w:val="100"/>
          <w:position w:val="0"/>
        </w:rPr>
        <w:t>2）</w:t>
        <w:tab/>
        <w:t>工程检测要求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323"/>
        </w:tabs>
        <w:bidi w:val="0"/>
        <w:spacing w:before="0" w:after="0" w:line="946" w:lineRule="exact"/>
        <w:ind w:left="0" w:right="0" w:firstLine="440"/>
        <w:jc w:val="left"/>
      </w:pPr>
      <w:bookmarkStart w:id="27" w:name="bookmark27"/>
      <w:r>
        <w:rPr>
          <w:color w:val="000000"/>
          <w:spacing w:val="0"/>
          <w:w w:val="100"/>
          <w:position w:val="0"/>
        </w:rPr>
        <w:t>1</w:t>
      </w:r>
      <w:bookmarkEnd w:id="27"/>
      <w:r>
        <w:rPr>
          <w:color w:val="000000"/>
          <w:spacing w:val="0"/>
          <w:w w:val="100"/>
          <w:position w:val="0"/>
        </w:rPr>
        <w:t>）</w:t>
        <w:tab/>
        <w:t>压实度检测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98"/>
        </w:tabs>
        <w:bidi w:val="0"/>
        <w:spacing w:before="0" w:after="0" w:line="989" w:lineRule="exact"/>
        <w:ind w:left="0" w:right="0" w:firstLine="440"/>
        <w:jc w:val="left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压实度的检测频率为每2000血检验1个点；不足2000血至少 检验1点。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98"/>
        </w:tabs>
        <w:bidi w:val="0"/>
        <w:spacing w:before="0" w:after="0" w:line="955" w:lineRule="exact"/>
        <w:ind w:left="0" w:right="0" w:firstLine="440"/>
        <w:jc w:val="left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压实度要求：天然泥面压实度</w:t>
      </w:r>
      <w:r>
        <w:rPr>
          <w:color w:val="000000"/>
          <w:spacing w:val="0"/>
          <w:w w:val="100"/>
          <w:position w:val="0"/>
        </w:rPr>
        <w:t>N90%</w:t>
      </w:r>
      <w:r>
        <w:rPr>
          <w:color w:val="000000"/>
          <w:spacing w:val="0"/>
          <w:w w:val="100"/>
          <w:position w:val="0"/>
        </w:rPr>
        <w:t>，回填层压实度</w:t>
      </w:r>
      <w:r>
        <w:rPr>
          <w:color w:val="000000"/>
          <w:spacing w:val="0"/>
          <w:w w:val="100"/>
          <w:position w:val="0"/>
        </w:rPr>
        <w:t xml:space="preserve">N96% </w:t>
      </w:r>
      <w:r>
        <w:rPr>
          <w:color w:val="000000"/>
          <w:spacing w:val="0"/>
          <w:w w:val="100"/>
          <w:position w:val="0"/>
        </w:rPr>
        <w:t>（重 型击实标准）。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323"/>
        </w:tabs>
        <w:bidi w:val="0"/>
        <w:spacing w:before="0" w:after="0" w:line="946" w:lineRule="exact"/>
        <w:ind w:left="0" w:right="0" w:firstLine="440"/>
        <w:jc w:val="left"/>
      </w:pPr>
      <w:bookmarkStart w:id="30" w:name="bookmark30"/>
      <w:r>
        <w:rPr>
          <w:color w:val="000000"/>
          <w:spacing w:val="0"/>
          <w:w w:val="100"/>
          <w:position w:val="0"/>
        </w:rPr>
        <w:t>2</w:t>
      </w:r>
      <w:bookmarkEnd w:id="30"/>
      <w:r>
        <w:rPr>
          <w:color w:val="000000"/>
          <w:spacing w:val="0"/>
          <w:w w:val="100"/>
          <w:position w:val="0"/>
        </w:rPr>
        <w:t>）</w:t>
        <w:tab/>
        <w:t>回弹模量检测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098"/>
        </w:tabs>
        <w:bidi w:val="0"/>
        <w:spacing w:before="0" w:after="0" w:line="998" w:lineRule="exact"/>
        <w:ind w:left="0" w:right="0" w:firstLine="440"/>
        <w:jc w:val="left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回弹模量的检测频率为每2000血检验1个点；不足2000血至 少检验1点。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098"/>
        </w:tabs>
        <w:bidi w:val="0"/>
        <w:spacing w:before="0" w:after="0" w:line="946" w:lineRule="exact"/>
        <w:ind w:left="0" w:right="0" w:firstLine="44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要求回弹模量</w:t>
      </w:r>
      <w:r>
        <w:rPr>
          <w:color w:val="000000"/>
          <w:spacing w:val="0"/>
          <w:w w:val="100"/>
          <w:position w:val="0"/>
        </w:rPr>
        <w:t>N35MPa。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781"/>
        </w:tabs>
        <w:bidi w:val="0"/>
        <w:spacing w:before="0" w:after="0" w:line="946" w:lineRule="exact"/>
        <w:ind w:left="0" w:right="0" w:firstLine="0"/>
        <w:jc w:val="left"/>
      </w:pPr>
      <w:bookmarkStart w:id="33" w:name="bookmark33"/>
      <w:r>
        <w:rPr>
          <w:color w:val="000000"/>
          <w:spacing w:val="0"/>
          <w:w w:val="100"/>
          <w:position w:val="0"/>
        </w:rPr>
        <w:t>（</w:t>
      </w:r>
      <w:bookmarkEnd w:id="33"/>
      <w:r>
        <w:rPr>
          <w:color w:val="000000"/>
          <w:spacing w:val="0"/>
          <w:w w:val="100"/>
          <w:position w:val="0"/>
        </w:rPr>
        <w:t>3）</w:t>
        <w:tab/>
        <w:t>已施工的试验段所取的部分点压实度达不到设计要求。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781"/>
        </w:tabs>
        <w:bidi w:val="0"/>
        <w:spacing w:before="0" w:after="0" w:line="946" w:lineRule="exact"/>
        <w:ind w:left="0" w:right="0" w:firstLine="0"/>
        <w:jc w:val="left"/>
      </w:pPr>
      <w:bookmarkStart w:id="34" w:name="bookmark34"/>
      <w:r>
        <w:rPr>
          <w:color w:val="000000"/>
          <w:spacing w:val="0"/>
          <w:w w:val="100"/>
          <w:position w:val="0"/>
        </w:rPr>
        <w:t>3</w:t>
      </w:r>
      <w:bookmarkEnd w:id="34"/>
      <w:r>
        <w:rPr>
          <w:color w:val="000000"/>
          <w:spacing w:val="0"/>
          <w:w w:val="100"/>
          <w:position w:val="0"/>
        </w:rPr>
        <w:t>、</w:t>
        <w:tab/>
        <w:t>现状分析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740"/>
        <w:jc w:val="left"/>
        <w:sectPr>
          <w:type w:val="nextPage"/>
          <w:pgSz w:w="17861" w:h="25258"/>
          <w:pgMar w:top="1728" w:right="2335" w:bottom="2277" w:left="2591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由于石灰土便于就地取材，价格低廉,且石灰土具有较高的强度， 较强的板体性，较好的水稳性和抗冻性，因此，在我国高等级公路、普 通道路的建设中，石灰土得到广泛采用,分别用于道路的垫层、底基层、 基层等结构层。针对近几年石灰土施工过程中常见的一些病理现象， 如石灰土龟裂或开裂、灰土拌和不匀有夹层、表面坑洼起皮松散、含 </w:t>
      </w:r>
      <w:r>
        <w:rPr>
          <w:color w:val="000000"/>
          <w:spacing w:val="0"/>
          <w:w w:val="100"/>
          <w:position w:val="0"/>
        </w:rPr>
        <w:t>水量控制不严出现弹簧、压实度和无侧限抗压强度不易达到设计要求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 xml:space="preserve"> 等许多缺陷，由于其经常在施工过程中出现这些缺陷的存在不但影响</w:t>
      </w:r>
      <w:r>
        <w:rPr>
          <w:color w:val="000000"/>
          <w:spacing w:val="0"/>
          <w:w w:val="100"/>
          <w:position w:val="0"/>
        </w:rPr>
        <w:t xml:space="preserve"> 施工进度,更主要的是影响路面质量。因此，我</w:t>
      </w:r>
      <w:r>
        <w:rPr>
          <w:color w:val="000000"/>
          <w:spacing w:val="0"/>
          <w:w w:val="100"/>
          <w:position w:val="0"/>
        </w:rPr>
        <w:t>QC</w:t>
      </w:r>
      <w:r>
        <w:rPr>
          <w:color w:val="000000"/>
          <w:spacing w:val="0"/>
          <w:w w:val="100"/>
          <w:position w:val="0"/>
        </w:rPr>
        <w:t>小组在石灰拌和土 施工前，通过查阅有关资料和现场调查取样，对影响石灰拌和土施工 质量的各个因素进行了搜集、整理分析：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544"/>
        </w:tabs>
        <w:bidi w:val="0"/>
        <w:spacing w:before="0" w:after="0" w:line="936" w:lineRule="exact"/>
        <w:ind w:left="0" w:right="0" w:firstLine="720"/>
        <w:jc w:val="both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石灰：宿迁、临沂III级消石灰；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544"/>
        </w:tabs>
        <w:bidi w:val="0"/>
        <w:spacing w:before="0" w:after="0" w:line="936" w:lineRule="exact"/>
        <w:ind w:left="0" w:right="0" w:firstLine="720"/>
        <w:jc w:val="both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土：以低液限粘土为主，</w:t>
      </w:r>
      <w:r>
        <w:rPr>
          <w:color w:val="000000"/>
          <w:spacing w:val="0"/>
          <w:w w:val="100"/>
          <w:position w:val="0"/>
        </w:rPr>
        <w:t>WL=33.5~35.7, Ip=15.5~17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544"/>
        </w:tabs>
        <w:bidi w:val="0"/>
        <w:spacing w:before="0" w:after="420" w:line="936" w:lineRule="exact"/>
        <w:ind w:left="0" w:right="0" w:firstLine="720"/>
        <w:jc w:val="both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机械：石灰土专用施工设备齐全。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4285615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428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259" w:line="1" w:lineRule="exact"/>
      </w:pPr>
    </w:p>
    <w:p>
      <w:pPr>
        <w:pStyle w:val="61"/>
        <w:keepNext/>
        <w:keepLines/>
        <w:widowControl w:val="0"/>
        <w:shd w:val="clear" w:color="auto" w:fill="auto"/>
        <w:bidi w:val="0"/>
        <w:spacing w:before="0" w:after="0" w:line="929" w:lineRule="exact"/>
        <w:ind w:left="0" w:right="0" w:firstLine="0"/>
        <w:jc w:val="both"/>
      </w:pPr>
      <w:bookmarkStart w:id="38" w:name="bookmark38"/>
      <w:bookmarkStart w:id="39" w:name="bookmark39"/>
      <w:bookmarkStart w:id="40" w:name="bookmark40"/>
      <w:bookmarkStart w:id="41" w:name="bookmark41"/>
      <w:r>
        <w:rPr>
          <w:color w:val="000000"/>
          <w:spacing w:val="0"/>
          <w:w w:val="100"/>
          <w:position w:val="0"/>
        </w:rPr>
        <w:t>四</w:t>
      </w:r>
      <w:bookmarkEnd w:id="40"/>
      <w:r>
        <w:rPr>
          <w:color w:val="000000"/>
          <w:spacing w:val="0"/>
          <w:w w:val="100"/>
          <w:position w:val="0"/>
        </w:rPr>
        <w:t>、原因分析</w:t>
      </w:r>
      <w:bookmarkEnd w:id="38"/>
      <w:bookmarkEnd w:id="39"/>
      <w:bookmarkEnd w:id="4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本工程石灰土具体施工工艺流程：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929" w:lineRule="exact"/>
        <w:ind w:left="0" w:right="0" w:firstLine="780"/>
        <w:jc w:val="both"/>
        <w:sectPr>
          <w:type w:val="nextPage"/>
          <w:pgSz w:w="17861" w:h="25258"/>
          <w:pgMar w:top="1728" w:right="2335" w:bottom="2277" w:left="2591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施工准备一石灰消解一场地整平到要求标高一铺设6%石灰一耕 耙3~4遍一碾压一铺设</w:t>
      </w:r>
      <w:r>
        <w:rPr>
          <w:color w:val="000000"/>
          <w:spacing w:val="0"/>
          <w:w w:val="100"/>
          <w:position w:val="0"/>
        </w:rPr>
        <w:t>25cm</w:t>
      </w:r>
      <w:r>
        <w:rPr>
          <w:color w:val="000000"/>
          <w:spacing w:val="0"/>
          <w:w w:val="100"/>
          <w:position w:val="0"/>
        </w:rPr>
        <w:t>厚6%石灰土一碾压一再铺设</w:t>
      </w:r>
      <w:r>
        <w:rPr>
          <w:color w:val="000000"/>
          <w:spacing w:val="0"/>
          <w:w w:val="100"/>
          <w:position w:val="0"/>
        </w:rPr>
        <w:t>25cm</w:t>
      </w:r>
      <w:r>
        <w:rPr>
          <w:color w:val="000000"/>
          <w:spacing w:val="0"/>
          <w:w w:val="100"/>
          <w:position w:val="0"/>
        </w:rPr>
        <w:t>厚6% 石灰土一碾压一验收。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5833745"/>
            <wp:docPr id="4" name="Picut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583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通过有关资料调查分析，在施工试验路段前，我们进行了认真的 施工安排和小组分工，经过试验路段施工现场调查、取样分析，对影 响石灰拌和土质量的指标进行了统计和筛，统计结果如下表：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80" w:line="9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1、影响石灰拌和土质量的主要问题分析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78"/>
        <w:gridCol w:w="3562"/>
        <w:gridCol w:w="1838"/>
        <w:gridCol w:w="1699"/>
        <w:gridCol w:w="1742"/>
        <w:gridCol w:w="246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76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序号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检查项目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检查点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缺陷点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4"/>
                <w:szCs w:val="34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频率</w:t>
            </w:r>
            <w:r>
              <w:rPr>
                <w:rFonts w:ascii="Times New Roman" w:eastAsia="Times New Roman" w:hAnsi="Times New Roman" w:cs="Times New Roman"/>
                <w:color w:val="080000"/>
                <w:spacing w:val="0"/>
                <w:w w:val="100"/>
                <w:position w:val="0"/>
                <w:sz w:val="34"/>
                <w:szCs w:val="34"/>
              </w:rPr>
              <w:t>(</w:t>
            </w:r>
            <w:r>
              <w:rPr>
                <w:color w:val="080000"/>
                <w:spacing w:val="0"/>
                <w:w w:val="100"/>
                <w:position w:val="0"/>
                <w:sz w:val="34"/>
                <w:szCs w:val="34"/>
              </w:rPr>
              <w:t>％</w:t>
            </w:r>
            <w:r>
              <w:rPr>
                <w:rFonts w:ascii="Times New Roman" w:eastAsia="Times New Roman" w:hAnsi="Times New Roman" w:cs="Times New Roman"/>
                <w:color w:val="080000"/>
                <w:spacing w:val="0"/>
                <w:w w:val="100"/>
                <w:position w:val="0"/>
                <w:sz w:val="34"/>
                <w:szCs w:val="34"/>
              </w:rPr>
              <w:t>)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4"/>
                <w:szCs w:val="34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累计频率</w:t>
            </w:r>
            <w:r>
              <w:rPr>
                <w:rFonts w:ascii="Times New Roman" w:eastAsia="Times New Roman" w:hAnsi="Times New Roman" w:cs="Times New Roman"/>
                <w:color w:val="080000"/>
                <w:spacing w:val="0"/>
                <w:w w:val="100"/>
                <w:position w:val="0"/>
                <w:sz w:val="34"/>
                <w:szCs w:val="34"/>
              </w:rPr>
              <w:t>(</w:t>
            </w:r>
            <w:r>
              <w:rPr>
                <w:color w:val="080000"/>
                <w:spacing w:val="0"/>
                <w:w w:val="100"/>
                <w:position w:val="0"/>
                <w:sz w:val="34"/>
                <w:szCs w:val="34"/>
              </w:rPr>
              <w:t>％</w:t>
            </w:r>
            <w:r>
              <w:rPr>
                <w:rFonts w:ascii="Times New Roman" w:eastAsia="Times New Roman" w:hAnsi="Times New Roman" w:cs="Times New Roman"/>
                <w:color w:val="080000"/>
                <w:spacing w:val="0"/>
                <w:w w:val="100"/>
                <w:position w:val="0"/>
                <w:sz w:val="34"/>
                <w:szCs w:val="34"/>
              </w:rPr>
              <w:t>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4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压实度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25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40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强度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25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6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30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70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3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平整度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3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15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85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4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标高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30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3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15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100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5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合 计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100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20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6"/>
                <w:szCs w:val="36"/>
              </w:rPr>
            </w:pPr>
            <w:r>
              <w:rPr>
                <w:color w:val="080000"/>
                <w:spacing w:val="0"/>
                <w:w w:val="100"/>
                <w:position w:val="0"/>
                <w:sz w:val="36"/>
                <w:szCs w:val="36"/>
              </w:rPr>
              <w:t>100</w:t>
            </w:r>
          </w:p>
        </w:tc>
      </w:tr>
    </w:tbl>
    <w:p>
      <w:pPr>
        <w:sectPr>
          <w:type w:val="nextPage"/>
          <w:pgSz w:w="17861" w:h="25258"/>
          <w:pgMar w:top="1728" w:right="2335" w:bottom="2277" w:left="2591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2、影响石灰拌和土质量因素频率柱状图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  <w:rPr>
          <w:sz w:val="42"/>
          <w:szCs w:val="42"/>
        </w:rPr>
      </w:pPr>
      <w:r>
        <w:rPr>
          <w:spacing w:val="0"/>
          <w:w w:val="100"/>
          <w:position w:val="0"/>
          <w:sz w:val="42"/>
          <w:szCs w:val="42"/>
        </w:rPr>
        <w:t>频率（</w:t>
      </w:r>
      <w:r>
        <w:rPr>
          <w:rFonts w:ascii="Calibri" w:eastAsia="Calibri" w:hAnsi="Calibri" w:cs="Calibri"/>
          <w:spacing w:val="0"/>
          <w:w w:val="100"/>
          <w:position w:val="0"/>
          <w:sz w:val="42"/>
          <w:szCs w:val="42"/>
        </w:rPr>
        <w:t>%</w:t>
      </w:r>
      <w:r>
        <w:rPr>
          <w:spacing w:val="0"/>
          <w:w w:val="100"/>
          <w:position w:val="0"/>
          <w:sz w:val="42"/>
          <w:szCs w:val="42"/>
        </w:rPr>
        <w:t>）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1474"/>
          <w:tab w:val="left" w:leader="hyphen" w:pos="7354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Calibri" w:eastAsia="Calibri" w:hAnsi="Calibri" w:cs="Calibri"/>
          <w:spacing w:val="0"/>
          <w:w w:val="100"/>
          <w:position w:val="0"/>
          <w:sz w:val="26"/>
          <w:szCs w:val="26"/>
        </w:rPr>
        <w:t>45%</w:t>
        <w:tab/>
      </w:r>
      <w:r>
        <w:rPr>
          <w:rFonts w:ascii="Calibri" w:eastAsia="Calibri" w:hAnsi="Calibri" w:cs="Calibri"/>
          <w:color w:val="DADADA"/>
          <w:spacing w:val="0"/>
          <w:w w:val="100"/>
          <w:position w:val="0"/>
          <w:sz w:val="26"/>
          <w:szCs w:val="26"/>
        </w:rPr>
        <w:tab/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7278370" cy="4004945"/>
            <wp:docPr id="5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78370" cy="400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922" w:right="0" w:firstLine="0"/>
        <w:jc w:val="left"/>
      </w:pPr>
      <w:r>
        <w:rPr>
          <w:spacing w:val="0"/>
          <w:w w:val="100"/>
          <w:position w:val="0"/>
        </w:rPr>
        <w:t>压实度</w:t>
      </w:r>
      <w:r>
        <w:rPr>
          <w:color w:val="5988B0"/>
          <w:spacing w:val="0"/>
          <w:w w:val="100"/>
          <w:position w:val="0"/>
        </w:rPr>
        <w:t>■</w:t>
      </w:r>
      <w:r>
        <w:rPr>
          <w:spacing w:val="0"/>
          <w:w w:val="100"/>
          <w:position w:val="0"/>
        </w:rPr>
        <w:t>强度</w:t>
      </w:r>
      <w:r>
        <w:rPr>
          <w:color w:val="5988B0"/>
          <w:spacing w:val="0"/>
          <w:w w:val="100"/>
          <w:position w:val="0"/>
        </w:rPr>
        <w:t>■</w:t>
      </w:r>
      <w:r>
        <w:rPr>
          <w:spacing w:val="0"/>
          <w:w w:val="100"/>
          <w:position w:val="0"/>
        </w:rPr>
        <w:t>平整度</w:t>
      </w:r>
      <w:r>
        <w:rPr>
          <w:color w:val="5988B0"/>
          <w:spacing w:val="0"/>
          <w:w w:val="100"/>
          <w:position w:val="0"/>
        </w:rPr>
        <w:t>■</w:t>
      </w:r>
      <w:r>
        <w:rPr>
          <w:spacing w:val="0"/>
          <w:w w:val="100"/>
          <w:position w:val="0"/>
        </w:rPr>
        <w:t>标高</w:t>
      </w:r>
    </w:p>
    <w:p>
      <w:pPr>
        <w:widowControl w:val="0"/>
        <w:spacing w:after="69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4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结论：“压实度和强度”是影响石灰拌和土施工质量的主要问题。</w:t>
      </w:r>
    </w:p>
    <w:p>
      <w:pPr>
        <w:pStyle w:val="61"/>
        <w:keepNext/>
        <w:keepLines/>
        <w:widowControl w:val="0"/>
        <w:shd w:val="clear" w:color="auto" w:fill="auto"/>
        <w:bidi w:val="0"/>
        <w:spacing w:before="0" w:after="220" w:line="931" w:lineRule="exact"/>
        <w:ind w:left="0" w:right="0" w:firstLine="0"/>
        <w:jc w:val="left"/>
      </w:pPr>
      <w:bookmarkStart w:id="42" w:name="bookmark42"/>
      <w:bookmarkStart w:id="43" w:name="bookmark43"/>
      <w:bookmarkStart w:id="44" w:name="bookmark44"/>
      <w:bookmarkStart w:id="45" w:name="bookmark45"/>
      <w:r>
        <w:rPr>
          <w:color w:val="000000"/>
          <w:spacing w:val="0"/>
          <w:w w:val="100"/>
          <w:position w:val="0"/>
        </w:rPr>
        <w:t>五</w:t>
      </w:r>
      <w:bookmarkEnd w:id="44"/>
      <w:r>
        <w:rPr>
          <w:color w:val="000000"/>
          <w:spacing w:val="0"/>
          <w:w w:val="100"/>
          <w:position w:val="0"/>
        </w:rPr>
        <w:t>、设定目标</w:t>
      </w:r>
      <w:bookmarkEnd w:id="42"/>
      <w:bookmarkEnd w:id="43"/>
      <w:bookmarkEnd w:id="45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40" w:line="931" w:lineRule="exact"/>
        <w:ind w:left="0" w:right="0" w:firstLine="800"/>
        <w:jc w:val="both"/>
        <w:sectPr>
          <w:type w:val="nextPage"/>
          <w:pgSz w:w="17861" w:h="25258"/>
          <w:pgMar w:top="1728" w:right="2335" w:bottom="2277" w:left="2591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经过小组全体人员的认真分析及测算，认为压实度和强度这两个 因素为影响石灰拌和土施工质量的主要因素。小组成员结合现场的实 际情况和调查了解相关工程的施工情况，小组设定目标：路基压实度 一次性报验合格率达到95%以上。</w:t>
      </w:r>
    </w:p>
    <w:p>
      <w:pPr>
        <w:pStyle w:val="6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/>
        <w:jc w:val="left"/>
      </w:pPr>
      <w:bookmarkStart w:id="46" w:name="bookmark46"/>
      <w:bookmarkStart w:id="47" w:name="bookmark47"/>
      <w:bookmarkStart w:id="48" w:name="bookmark48"/>
      <w:bookmarkStart w:id="49" w:name="bookmark49"/>
      <w:r>
        <w:rPr>
          <w:color w:val="000000"/>
          <w:spacing w:val="0"/>
          <w:w w:val="100"/>
          <w:position w:val="0"/>
        </w:rPr>
        <w:t>六</w:t>
      </w:r>
      <w:bookmarkEnd w:id="48"/>
      <w:r>
        <w:rPr>
          <w:color w:val="000000"/>
          <w:spacing w:val="0"/>
          <w:w w:val="100"/>
          <w:position w:val="0"/>
        </w:rPr>
        <w:t>、因果分析</w:t>
      </w:r>
      <w:bookmarkEnd w:id="46"/>
      <w:bookmarkEnd w:id="47"/>
      <w:bookmarkEnd w:id="49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938" w:lineRule="exact"/>
        <w:ind w:left="660" w:right="0" w:firstLine="840"/>
        <w:jc w:val="left"/>
      </w:pPr>
      <w:r>
        <w:rPr>
          <w:color w:val="000000"/>
          <w:spacing w:val="0"/>
          <w:w w:val="100"/>
          <w:position w:val="0"/>
        </w:rPr>
        <w:t>小组成员充分运用头脑风暴法提出了 14条原因，组成思维导图。 对造成锚杆静压桩施工效率低的五个要因进行分析，并对造成这一结 果的原因反复讨论，确定了 9个末端因素。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6211570"/>
            <wp:docPr id="6" name="Picut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621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2959" w:line="1" w:lineRule="exact"/>
      </w:pPr>
    </w:p>
    <w:p>
      <w:pPr>
        <w:pStyle w:val="61"/>
        <w:keepNext/>
        <w:keepLines/>
        <w:widowControl w:val="0"/>
        <w:shd w:val="clear" w:color="auto" w:fill="auto"/>
        <w:bidi w:val="0"/>
        <w:spacing w:before="0" w:after="0" w:line="943" w:lineRule="exact"/>
        <w:ind w:left="0" w:right="0"/>
        <w:jc w:val="left"/>
      </w:pPr>
      <w:bookmarkStart w:id="50" w:name="bookmark50"/>
      <w:bookmarkStart w:id="51" w:name="bookmark51"/>
      <w:bookmarkStart w:id="52" w:name="bookmark52"/>
      <w:bookmarkStart w:id="53" w:name="bookmark53"/>
      <w:r>
        <w:rPr>
          <w:color w:val="000000"/>
          <w:spacing w:val="0"/>
          <w:w w:val="100"/>
          <w:position w:val="0"/>
        </w:rPr>
        <w:t>七</w:t>
      </w:r>
      <w:bookmarkEnd w:id="52"/>
      <w:r>
        <w:rPr>
          <w:color w:val="000000"/>
          <w:spacing w:val="0"/>
          <w:w w:val="100"/>
          <w:position w:val="0"/>
        </w:rPr>
        <w:t>、要因确认</w:t>
      </w:r>
      <w:bookmarkEnd w:id="50"/>
      <w:bookmarkEnd w:id="51"/>
      <w:bookmarkEnd w:id="5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660" w:right="0" w:firstLine="840"/>
        <w:jc w:val="both"/>
        <w:sectPr>
          <w:pgSz w:w="17861" w:h="25258"/>
          <w:pgMar w:top="2177" w:right="1339" w:bottom="2788" w:left="2021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小组成员根据思维导图，采取现场调查和分析等方法对导致石灰 拌合土压实度和强度低下的主要9个末端因素进行了逐个确认，并编 制了要因确认表。</w:t>
      </w:r>
    </w:p>
    <w:p>
      <w:pPr>
        <w:pStyle w:val="5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54" w:name="bookmark54"/>
      <w:bookmarkStart w:id="55" w:name="bookmark55"/>
      <w:bookmarkStart w:id="56" w:name="bookmark56"/>
      <w:r>
        <w:rPr>
          <w:color w:val="000000"/>
          <w:spacing w:val="0"/>
          <w:w w:val="100"/>
          <w:position w:val="0"/>
        </w:rPr>
        <w:t>要因确认表</w:t>
      </w:r>
      <w:bookmarkEnd w:id="54"/>
      <w:bookmarkEnd w:id="55"/>
      <w:bookmarkEnd w:id="56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70"/>
        <w:gridCol w:w="2280"/>
        <w:gridCol w:w="2338"/>
        <w:gridCol w:w="4382"/>
        <w:gridCol w:w="2280"/>
        <w:gridCol w:w="225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90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一序号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未端因素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确认方法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确认依据及标准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计划时间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确认人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82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驾驶员操作 不熟练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调查、分析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16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是否进行过专业技能培训 和技术交底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2019.4.19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朱冠泽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98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未严格执行 三检制度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调查、分析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16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是否进行自检、互检和内 部监理检查的三检制度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2019.4.19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惠天翔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00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机械组配不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JL-i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调查、分析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16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现场机械是否满足施工要 求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2019.4.20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周敬策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20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路拌机拌合 不均匀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调查、分析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6%石灰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2019.4.20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朱冠泽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98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6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光轮压路机 吨位偏轻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调查、分析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压实度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N96%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2019.4.21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惠天翔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62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4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石灰参里不 准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调查、分析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6%石灰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2019.4.22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周敬策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拌合方法不 当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调查、分析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是否按照工序进行施工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2019.4.22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朱冠泽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02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土质中含大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量的砂姜粒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调查、分析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查地勘报告、现场开挖土 质中存在大量的砂姜粒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2019.4.22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惠天翔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89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当地气候较 为湿润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调查、分析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施工逢当地雨季，降水量 大，降水频率高。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2019.4.22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周敬策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https://d.book118.com/086012101143010051</w:t>
        </w:r>
      </w:hyperlink>
    </w:p>
    <w:p/>
    <w:sectPr>
      <w:type w:val="nextPage"/>
      <w:pgSz w:w="17861" w:h="25258"/>
      <w:pgMar w:top="2177" w:right="1339" w:bottom="2788" w:left="2021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FAE3B44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2E9F56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5120470E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54A9675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668AF8E1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900C08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6E7DD1B4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791F6621"/>
    <w:multiLevelType w:val="multilevel"/>
    <w:tmpl w:val="00000000"/>
    <w:lvl w:ilvl="0">
      <w:start w:val="1"/>
      <w:numFmt w:val="bullet"/>
      <w:lvlText w:val="&lt;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1D1D1D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7"/>
  </w:num>
  <w:num w:numId="5">
    <w:abstractNumId w:val="6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正文文本 (4)_"/>
    <w:basedOn w:val="DefaultParagraphFont"/>
    <w:link w:val="41"/>
    <w:rPr>
      <w:rFonts w:ascii="SimHei" w:eastAsia="SimHei" w:hAnsi="SimHei" w:cs="SimHei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1"/>
    <w:rPr>
      <w:rFonts w:ascii="SimSun" w:eastAsia="SimSun" w:hAnsi="SimSun" w:cs="SimSu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2">
    <w:name w:val="标题 #2_"/>
    <w:basedOn w:val="DefaultParagraphFont"/>
    <w:link w:val="22"/>
    <w:rPr>
      <w:rFonts w:ascii="SimSun" w:eastAsia="SimSun" w:hAnsi="SimSun" w:cs="SimSun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a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0">
    <w:name w:val="目录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40">
    <w:name w:val="标题 #4_"/>
    <w:basedOn w:val="DefaultParagraphFont"/>
    <w:link w:val="42"/>
    <w:rPr>
      <w:rFonts w:ascii="SimHei" w:eastAsia="SimHei" w:hAnsi="SimHei" w:cs="SimHei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6">
    <w:name w:val="标题 #6_"/>
    <w:basedOn w:val="DefaultParagraphFont"/>
    <w:link w:val="61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color w:val="585858"/>
      <w:sz w:val="26"/>
      <w:szCs w:val="26"/>
      <w:u w:val="none"/>
      <w:shd w:val="clear" w:color="auto" w:fill="auto"/>
    </w:rPr>
  </w:style>
  <w:style w:type="character" w:customStyle="1" w:styleId="50">
    <w:name w:val="标题 #5_"/>
    <w:basedOn w:val="DefaultParagraphFont"/>
    <w:link w:val="52"/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0">
    <w:name w:val="其他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single"/>
      <w:shd w:val="clear" w:color="auto" w:fill="auto"/>
    </w:rPr>
  </w:style>
  <w:style w:type="character" w:customStyle="1" w:styleId="21">
    <w:name w:val="正文文本 (2)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/>
      <w:iCs/>
      <w:smallCaps w:val="0"/>
      <w:strike w:val="0"/>
      <w:color w:val="1D1D1D"/>
      <w:sz w:val="98"/>
      <w:szCs w:val="98"/>
      <w:u w:val="none"/>
      <w:shd w:val="clear" w:color="auto" w:fill="auto"/>
    </w:rPr>
  </w:style>
  <w:style w:type="character" w:customStyle="1" w:styleId="60">
    <w:name w:val="正文文本 (6)_"/>
    <w:basedOn w:val="DefaultParagraphFont"/>
    <w:link w:val="6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Hei" w:eastAsia="SimHei" w:hAnsi="SimHei" w:cs="SimHei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a3">
    <w:name w:val="表格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41">
    <w:name w:val="正文文本 (4)"/>
    <w:basedOn w:val="Normal"/>
    <w:link w:val="4"/>
    <w:pPr>
      <w:widowControl w:val="0"/>
      <w:shd w:val="clear" w:color="auto" w:fill="auto"/>
      <w:spacing w:after="3420"/>
    </w:pPr>
    <w:rPr>
      <w:rFonts w:ascii="SimHei" w:eastAsia="SimHei" w:hAnsi="SimHei" w:cs="SimHei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51">
    <w:name w:val="正文文本 (5)"/>
    <w:basedOn w:val="Normal"/>
    <w:link w:val="5"/>
    <w:pPr>
      <w:widowControl w:val="0"/>
      <w:shd w:val="clear" w:color="auto" w:fill="auto"/>
      <w:spacing w:after="6600"/>
      <w:ind w:firstLine="660"/>
    </w:pPr>
    <w:rPr>
      <w:rFonts w:ascii="SimSun" w:eastAsia="SimSun" w:hAnsi="SimSun" w:cs="SimSu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22">
    <w:name w:val="标题 #2"/>
    <w:basedOn w:val="Normal"/>
    <w:link w:val="2"/>
    <w:pPr>
      <w:widowControl w:val="0"/>
      <w:shd w:val="clear" w:color="auto" w:fill="auto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4">
    <w:name w:val="正文文本"/>
    <w:basedOn w:val="Normal"/>
    <w:link w:val="a"/>
    <w:pPr>
      <w:widowControl w:val="0"/>
      <w:shd w:val="clear" w:color="auto" w:fill="auto"/>
      <w:spacing w:line="46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5">
    <w:name w:val="目录"/>
    <w:basedOn w:val="Normal"/>
    <w:link w:val="a0"/>
    <w:pPr>
      <w:widowControl w:val="0"/>
      <w:shd w:val="clear" w:color="auto" w:fill="auto"/>
      <w:spacing w:after="3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42">
    <w:name w:val="标题 #4"/>
    <w:basedOn w:val="Normal"/>
    <w:link w:val="40"/>
    <w:pPr>
      <w:widowControl w:val="0"/>
      <w:shd w:val="clear" w:color="auto" w:fill="auto"/>
      <w:spacing w:before="140"/>
      <w:ind w:firstLine="920"/>
      <w:outlineLvl w:val="3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jc w:val="center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其他"/>
    <w:basedOn w:val="Normal"/>
    <w:link w:val="a1"/>
    <w:pPr>
      <w:widowControl w:val="0"/>
      <w:shd w:val="clear" w:color="auto" w:fill="auto"/>
      <w:spacing w:line="46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61">
    <w:name w:val="标题 #6"/>
    <w:basedOn w:val="Normal"/>
    <w:link w:val="6"/>
    <w:pPr>
      <w:widowControl w:val="0"/>
      <w:shd w:val="clear" w:color="auto" w:fill="auto"/>
      <w:spacing w:line="939" w:lineRule="exact"/>
      <w:ind w:firstLine="660"/>
      <w:outlineLvl w:val="5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7">
    <w:name w:val="图片标题"/>
    <w:basedOn w:val="Normal"/>
    <w:link w:val="a2"/>
    <w:pPr>
      <w:widowControl w:val="0"/>
      <w:shd w:val="clear" w:color="auto" w:fill="auto"/>
      <w:ind w:firstLine="31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585858"/>
      <w:sz w:val="26"/>
      <w:szCs w:val="26"/>
      <w:u w:val="none"/>
      <w:shd w:val="clear" w:color="auto" w:fill="auto"/>
    </w:rPr>
  </w:style>
  <w:style w:type="paragraph" w:customStyle="1" w:styleId="52">
    <w:name w:val="标题 #5"/>
    <w:basedOn w:val="Normal"/>
    <w:link w:val="50"/>
    <w:pPr>
      <w:widowControl w:val="0"/>
      <w:shd w:val="clear" w:color="auto" w:fill="auto"/>
      <w:spacing w:after="500"/>
      <w:jc w:val="center"/>
      <w:outlineLvl w:val="4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3">
    <w:name w:val="其他 (2)"/>
    <w:basedOn w:val="Normal"/>
    <w:link w:val="2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single"/>
      <w:shd w:val="clear" w:color="auto" w:fill="auto"/>
    </w:rPr>
  </w:style>
  <w:style w:type="paragraph" w:customStyle="1" w:styleId="24">
    <w:name w:val="正文文本 (2)"/>
    <w:basedOn w:val="Normal"/>
    <w:link w:val="21"/>
    <w:pPr>
      <w:widowControl w:val="0"/>
      <w:shd w:val="clear" w:color="auto" w:fill="auto"/>
      <w:spacing w:after="400" w:line="420" w:lineRule="exact"/>
      <w:ind w:left="680" w:firstLine="7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520"/>
      <w:ind w:firstLine="140"/>
      <w:outlineLvl w:val="0"/>
    </w:pPr>
    <w:rPr>
      <w:rFonts w:ascii="SimSun" w:eastAsia="SimSun" w:hAnsi="SimSun" w:cs="SimSun"/>
      <w:b w:val="0"/>
      <w:bCs w:val="0"/>
      <w:i/>
      <w:iCs/>
      <w:smallCaps w:val="0"/>
      <w:strike w:val="0"/>
      <w:color w:val="1D1D1D"/>
      <w:sz w:val="98"/>
      <w:szCs w:val="98"/>
      <w:u w:val="none"/>
      <w:shd w:val="clear" w:color="auto" w:fill="auto"/>
    </w:rPr>
  </w:style>
  <w:style w:type="paragraph" w:customStyle="1" w:styleId="62">
    <w:name w:val="正文文本 (6)"/>
    <w:basedOn w:val="Normal"/>
    <w:link w:val="60"/>
    <w:pPr>
      <w:widowControl w:val="0"/>
      <w:shd w:val="clear" w:color="auto" w:fill="auto"/>
      <w:spacing w:after="240"/>
      <w:ind w:firstLine="14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280"/>
      <w:jc w:val="center"/>
      <w:outlineLvl w:val="2"/>
    </w:pPr>
    <w:rPr>
      <w:rFonts w:ascii="SimHei" w:eastAsia="SimHei" w:hAnsi="SimHei" w:cs="SimHei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https://d.book118.com/08601210114301005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