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rPr>
          <w:rFonts w:ascii="Times New Roman"/>
          <w:sz w:val="20"/>
        </w:rPr>
      </w:pPr>
    </w:p>
    <w:p>
      <w:pPr>
        <w:spacing w:before="158"/>
        <w:ind w:left="10" w:right="0" w:firstLine="0"/>
        <w:jc w:val="center"/>
        <w:rPr>
          <w:rFonts w:ascii="等线" w:eastAsia="等线"/>
          <w:b/>
          <w:sz w:val="30"/>
        </w:rPr>
      </w:pPr>
      <w:r>
        <w:rPr>
          <w:rFonts w:ascii="等线" w:eastAsia="等线"/>
          <w:b/>
          <w:sz w:val="30"/>
        </w:rPr>
        <w:t>福建省莆田市技工学校教学楼勘察、设计（重新招标</w:t>
      </w:r>
      <w:r>
        <w:rPr>
          <w:rFonts w:ascii="等线" w:eastAsia="等线"/>
          <w:b/>
          <w:spacing w:val="-10"/>
          <w:sz w:val="30"/>
        </w:rPr>
        <w:t>）</w:t>
      </w:r>
    </w:p>
    <w:p>
      <w:pPr>
        <w:pStyle w:val="BodyText"/>
        <w:rPr>
          <w:rFonts w:ascii="等线"/>
          <w:b/>
          <w:sz w:val="30"/>
        </w:rPr>
      </w:pPr>
    </w:p>
    <w:p>
      <w:pPr>
        <w:pStyle w:val="BodyText"/>
        <w:spacing w:before="5"/>
        <w:rPr>
          <w:rFonts w:ascii="等线"/>
          <w:b/>
          <w:sz w:val="35"/>
        </w:rPr>
      </w:pPr>
    </w:p>
    <w:p>
      <w:pPr>
        <w:pStyle w:val="Title"/>
      </w:pPr>
      <w:r>
        <w:rPr>
          <w:spacing w:val="-7"/>
        </w:rPr>
        <w:t>招 标 文 件</w:t>
      </w:r>
    </w:p>
    <w:p>
      <w:pPr>
        <w:pStyle w:val="Heading3"/>
        <w:spacing w:before="831"/>
        <w:ind w:left="0" w:right="29"/>
        <w:rPr>
          <w:rFonts w:ascii="等线" w:eastAsia="等线"/>
        </w:rPr>
      </w:pPr>
      <w:r>
        <w:rPr>
          <w:rFonts w:ascii="等线" w:eastAsia="等线"/>
        </w:rPr>
        <w:t>（</w:t>
      </w:r>
      <w:r>
        <w:rPr>
          <w:rFonts w:ascii="等线" w:eastAsia="等线"/>
          <w:spacing w:val="17"/>
        </w:rPr>
        <w:t xml:space="preserve"> 专用本</w:t>
      </w:r>
      <w:r>
        <w:rPr>
          <w:rFonts w:ascii="等线" w:eastAsia="等线"/>
          <w:spacing w:val="-10"/>
        </w:rPr>
        <w:t>）</w:t>
      </w:r>
    </w:p>
    <w:p>
      <w:pPr>
        <w:pStyle w:val="BodyText"/>
        <w:rPr>
          <w:rFonts w:ascii="等线"/>
          <w:b/>
          <w:sz w:val="32"/>
        </w:rPr>
      </w:pPr>
    </w:p>
    <w:p>
      <w:pPr>
        <w:pStyle w:val="BodyText"/>
        <w:rPr>
          <w:rFonts w:ascii="等线"/>
          <w:b/>
          <w:sz w:val="32"/>
        </w:rPr>
      </w:pPr>
    </w:p>
    <w:p>
      <w:pPr>
        <w:pStyle w:val="BodyText"/>
        <w:spacing w:before="9"/>
        <w:rPr>
          <w:rFonts w:ascii="等线"/>
          <w:b/>
          <w:sz w:val="39"/>
        </w:rPr>
      </w:pPr>
    </w:p>
    <w:p>
      <w:pPr>
        <w:tabs>
          <w:tab w:val="left" w:pos="4064"/>
        </w:tabs>
        <w:spacing w:before="0"/>
        <w:ind w:left="925" w:right="0" w:firstLine="0"/>
        <w:jc w:val="left"/>
        <w:rPr>
          <w:rFonts w:ascii="等线" w:eastAsia="等线"/>
          <w:b/>
          <w:sz w:val="30"/>
        </w:rPr>
      </w:pPr>
      <w:r>
        <w:pict>
          <v:line id="_x0000_s1025" style="mso-position-horizontal-relative:page;position:absolute;z-index:-251658240" from="176.75pt,18.35pt" to="524.25pt,18.35pt" stroked="t" strokecolor="black" strokeweight="1.67pt">
            <v:stroke dashstyle="solid"/>
          </v:line>
        </w:pict>
      </w:r>
      <w:r>
        <w:rPr>
          <w:rFonts w:ascii="等线" w:eastAsia="等线"/>
          <w:b/>
          <w:sz w:val="30"/>
        </w:rPr>
        <w:t>招标</w:t>
      </w:r>
      <w:r>
        <w:rPr>
          <w:rFonts w:ascii="等线" w:eastAsia="等线"/>
          <w:b/>
          <w:spacing w:val="67"/>
          <w:sz w:val="30"/>
        </w:rPr>
        <w:t xml:space="preserve"> </w:t>
      </w:r>
      <w:r>
        <w:rPr>
          <w:rFonts w:ascii="等线" w:eastAsia="等线"/>
          <w:b/>
          <w:sz w:val="30"/>
        </w:rPr>
        <w:t>编号</w:t>
      </w:r>
      <w:r>
        <w:rPr>
          <w:rFonts w:ascii="等线" w:eastAsia="等线"/>
          <w:b/>
          <w:spacing w:val="-10"/>
          <w:sz w:val="30"/>
        </w:rPr>
        <w:t>：</w:t>
      </w:r>
      <w:r>
        <w:rPr>
          <w:rFonts w:ascii="等线" w:eastAsia="等线"/>
          <w:b/>
          <w:sz w:val="30"/>
        </w:rPr>
        <w:tab/>
        <w:t>仟羽莆招字[2014]006</w:t>
      </w:r>
      <w:r>
        <w:rPr>
          <w:rFonts w:ascii="等线" w:eastAsia="等线"/>
          <w:b/>
          <w:spacing w:val="-12"/>
          <w:sz w:val="30"/>
        </w:rPr>
        <w:t xml:space="preserve"> </w:t>
      </w:r>
      <w:r>
        <w:rPr>
          <w:rFonts w:ascii="等线" w:eastAsia="等线"/>
          <w:b/>
          <w:spacing w:val="-10"/>
          <w:sz w:val="30"/>
        </w:rPr>
        <w:t>号</w:t>
      </w:r>
    </w:p>
    <w:p>
      <w:pPr>
        <w:pStyle w:val="BodyText"/>
        <w:spacing w:before="7"/>
        <w:rPr>
          <w:rFonts w:ascii="等线"/>
          <w:b/>
          <w:sz w:val="15"/>
        </w:rPr>
      </w:pPr>
    </w:p>
    <w:p>
      <w:pPr>
        <w:spacing w:before="31"/>
        <w:ind w:left="928" w:right="0" w:firstLine="0"/>
        <w:jc w:val="left"/>
        <w:rPr>
          <w:rFonts w:ascii="等线" w:eastAsia="等线"/>
          <w:b/>
          <w:sz w:val="30"/>
        </w:rPr>
      </w:pPr>
      <w:r>
        <w:rPr>
          <w:rFonts w:ascii="等线" w:eastAsia="等线"/>
          <w:b/>
          <w:spacing w:val="-11"/>
          <w:sz w:val="30"/>
        </w:rPr>
        <w:t>项 目名 称：</w:t>
      </w:r>
      <w:r>
        <w:rPr>
          <w:rFonts w:ascii="等线" w:eastAsia="等线"/>
          <w:b/>
          <w:spacing w:val="-4"/>
          <w:sz w:val="30"/>
          <w:u w:val="thick"/>
        </w:rPr>
        <w:t>福建省莆田市技工学校教学楼勘察、设计</w:t>
      </w:r>
      <w:r>
        <w:rPr>
          <w:rFonts w:ascii="等线" w:eastAsia="等线"/>
          <w:b/>
          <w:sz w:val="30"/>
          <w:u w:val="thick"/>
        </w:rPr>
        <w:t>（重新招标</w:t>
      </w:r>
      <w:r>
        <w:rPr>
          <w:rFonts w:ascii="等线" w:eastAsia="等线"/>
          <w:b/>
          <w:spacing w:val="-10"/>
          <w:sz w:val="30"/>
          <w:u w:val="thick"/>
        </w:rPr>
        <w:t>）</w:t>
      </w:r>
    </w:p>
    <w:p>
      <w:pPr>
        <w:pStyle w:val="BodyText"/>
        <w:spacing w:before="11"/>
        <w:rPr>
          <w:rFonts w:ascii="等线"/>
          <w:b/>
          <w:sz w:val="19"/>
        </w:rPr>
      </w:pPr>
    </w:p>
    <w:p>
      <w:pPr>
        <w:tabs>
          <w:tab w:val="left" w:pos="1524"/>
          <w:tab w:val="left" w:pos="2124"/>
          <w:tab w:val="left" w:pos="3774"/>
          <w:tab w:val="left" w:pos="7974"/>
        </w:tabs>
        <w:spacing w:before="31"/>
        <w:ind w:left="925" w:right="0" w:firstLine="0"/>
        <w:jc w:val="left"/>
        <w:rPr>
          <w:rFonts w:ascii="等线" w:eastAsia="等线"/>
          <w:b/>
          <w:sz w:val="30"/>
        </w:rPr>
      </w:pPr>
      <w:r>
        <w:pict>
          <v:line id="_x0000_s1026" style="mso-position-horizontal-relative:page;position:absolute;z-index:-251657216" from="184.25pt,19.6pt" to="486.7pt,19.6pt" stroked="t" strokecolor="black" strokeweight="1.5pt">
            <v:stroke dashstyle="solid"/>
          </v:line>
        </w:pict>
      </w:r>
      <w:r>
        <w:rPr>
          <w:rFonts w:ascii="等线" w:eastAsia="等线"/>
          <w:b/>
          <w:spacing w:val="-10"/>
          <w:sz w:val="30"/>
        </w:rPr>
        <w:t>招</w:t>
      </w:r>
      <w:r>
        <w:rPr>
          <w:rFonts w:ascii="等线" w:eastAsia="等线"/>
          <w:b/>
          <w:sz w:val="30"/>
        </w:rPr>
        <w:tab/>
      </w:r>
      <w:r>
        <w:rPr>
          <w:rFonts w:ascii="等线" w:eastAsia="等线"/>
          <w:b/>
          <w:spacing w:val="-10"/>
          <w:sz w:val="30"/>
        </w:rPr>
        <w:t>标</w:t>
      </w:r>
      <w:r>
        <w:rPr>
          <w:rFonts w:ascii="等线" w:eastAsia="等线"/>
          <w:b/>
          <w:sz w:val="30"/>
        </w:rPr>
        <w:tab/>
        <w:t>人</w:t>
      </w:r>
      <w:r>
        <w:rPr>
          <w:rFonts w:ascii="等线" w:eastAsia="等线"/>
          <w:b/>
          <w:spacing w:val="-10"/>
          <w:sz w:val="30"/>
        </w:rPr>
        <w:t>：</w:t>
      </w:r>
      <w:r>
        <w:rPr>
          <w:rFonts w:ascii="等线" w:eastAsia="等线"/>
          <w:b/>
          <w:sz w:val="30"/>
        </w:rPr>
        <w:tab/>
        <w:t>福建省莆田市技工学</w:t>
      </w:r>
      <w:r>
        <w:rPr>
          <w:rFonts w:ascii="等线" w:eastAsia="等线"/>
          <w:b/>
          <w:spacing w:val="-10"/>
          <w:sz w:val="30"/>
        </w:rPr>
        <w:t>校</w:t>
      </w:r>
      <w:r>
        <w:rPr>
          <w:rFonts w:ascii="等线" w:eastAsia="等线"/>
          <w:b/>
          <w:sz w:val="30"/>
        </w:rPr>
        <w:tab/>
        <w:t>(盖章</w:t>
      </w:r>
      <w:r>
        <w:rPr>
          <w:rFonts w:ascii="等线" w:eastAsia="等线"/>
          <w:b/>
          <w:spacing w:val="-10"/>
          <w:sz w:val="30"/>
        </w:rPr>
        <w:t>)</w:t>
      </w:r>
    </w:p>
    <w:p>
      <w:pPr>
        <w:pStyle w:val="BodyText"/>
        <w:rPr>
          <w:rFonts w:ascii="等线"/>
          <w:b/>
          <w:sz w:val="20"/>
        </w:rPr>
      </w:pPr>
    </w:p>
    <w:p>
      <w:pPr>
        <w:pStyle w:val="BodyText"/>
        <w:spacing w:before="14"/>
        <w:rPr>
          <w:rFonts w:ascii="等线"/>
          <w:b/>
          <w:sz w:val="12"/>
        </w:rPr>
      </w:pPr>
    </w:p>
    <w:p>
      <w:pPr>
        <w:tabs>
          <w:tab w:val="left" w:pos="3474"/>
          <w:tab w:val="left" w:pos="7907"/>
        </w:tabs>
        <w:spacing w:before="30"/>
        <w:ind w:left="925" w:right="0" w:firstLine="0"/>
        <w:jc w:val="left"/>
        <w:rPr>
          <w:rFonts w:ascii="等线" w:eastAsia="等线"/>
          <w:b/>
          <w:sz w:val="30"/>
        </w:rPr>
      </w:pPr>
      <w:r>
        <w:pict>
          <v:line id="_x0000_s1027" style="mso-position-horizontal-relative:page;position:absolute;z-index:-251656192" from="184.25pt,19.55pt" to="483.35pt,19.55pt" stroked="t" strokecolor="black" strokeweight="1.5pt">
            <v:stroke dashstyle="solid"/>
          </v:line>
        </w:pict>
      </w:r>
      <w:r>
        <w:rPr>
          <w:rFonts w:ascii="等线" w:eastAsia="等线"/>
          <w:b/>
          <w:sz w:val="30"/>
        </w:rPr>
        <w:t>招标代理人</w:t>
      </w:r>
      <w:r>
        <w:rPr>
          <w:rFonts w:ascii="等线" w:eastAsia="等线"/>
          <w:b/>
          <w:spacing w:val="-10"/>
          <w:sz w:val="30"/>
        </w:rPr>
        <w:t>：</w:t>
      </w:r>
      <w:r>
        <w:rPr>
          <w:rFonts w:ascii="等线" w:eastAsia="等线"/>
          <w:b/>
          <w:sz w:val="30"/>
        </w:rPr>
        <w:tab/>
        <w:t>福建省仟羽工程咨询有限公</w:t>
      </w:r>
      <w:r>
        <w:rPr>
          <w:rFonts w:ascii="等线" w:eastAsia="等线"/>
          <w:b/>
          <w:spacing w:val="-10"/>
          <w:sz w:val="30"/>
        </w:rPr>
        <w:t>司</w:t>
      </w:r>
      <w:r>
        <w:rPr>
          <w:rFonts w:ascii="等线" w:eastAsia="等线"/>
          <w:b/>
          <w:sz w:val="30"/>
        </w:rPr>
        <w:tab/>
        <w:t>(盖章</w:t>
      </w:r>
      <w:r>
        <w:rPr>
          <w:rFonts w:ascii="等线" w:eastAsia="等线"/>
          <w:b/>
          <w:spacing w:val="-10"/>
          <w:sz w:val="30"/>
        </w:rPr>
        <w:t>)</w:t>
      </w:r>
    </w:p>
    <w:p>
      <w:pPr>
        <w:pStyle w:val="BodyText"/>
        <w:rPr>
          <w:rFonts w:ascii="等线"/>
          <w:b/>
          <w:sz w:val="20"/>
        </w:rPr>
      </w:pPr>
    </w:p>
    <w:p>
      <w:pPr>
        <w:pStyle w:val="BodyText"/>
        <w:rPr>
          <w:rFonts w:ascii="等线"/>
          <w:b/>
          <w:sz w:val="20"/>
        </w:rPr>
      </w:pPr>
    </w:p>
    <w:p>
      <w:pPr>
        <w:pStyle w:val="BodyText"/>
        <w:rPr>
          <w:rFonts w:ascii="等线"/>
          <w:b/>
          <w:sz w:val="20"/>
        </w:rPr>
      </w:pPr>
    </w:p>
    <w:p>
      <w:pPr>
        <w:pStyle w:val="BodyText"/>
        <w:rPr>
          <w:rFonts w:ascii="等线"/>
          <w:b/>
          <w:sz w:val="20"/>
        </w:rPr>
      </w:pPr>
    </w:p>
    <w:p>
      <w:pPr>
        <w:pStyle w:val="BodyText"/>
        <w:rPr>
          <w:rFonts w:ascii="等线"/>
          <w:b/>
          <w:sz w:val="20"/>
        </w:rPr>
      </w:pPr>
    </w:p>
    <w:p>
      <w:pPr>
        <w:pStyle w:val="BodyText"/>
        <w:rPr>
          <w:rFonts w:ascii="等线"/>
          <w:b/>
          <w:sz w:val="20"/>
        </w:rPr>
      </w:pPr>
    </w:p>
    <w:p>
      <w:pPr>
        <w:pStyle w:val="BodyText"/>
        <w:rPr>
          <w:rFonts w:ascii="等线"/>
          <w:b/>
          <w:sz w:val="20"/>
        </w:rPr>
      </w:pPr>
    </w:p>
    <w:p>
      <w:pPr>
        <w:pStyle w:val="BodyText"/>
        <w:rPr>
          <w:rFonts w:ascii="等线"/>
          <w:b/>
          <w:sz w:val="20"/>
        </w:rPr>
      </w:pPr>
    </w:p>
    <w:p>
      <w:pPr>
        <w:pStyle w:val="BodyText"/>
        <w:spacing w:before="6"/>
        <w:rPr>
          <w:rFonts w:ascii="等线"/>
          <w:b/>
          <w:sz w:val="21"/>
        </w:rPr>
      </w:pPr>
    </w:p>
    <w:p>
      <w:pPr>
        <w:pStyle w:val="Heading3"/>
        <w:spacing w:before="26"/>
        <w:ind w:left="169"/>
        <w:rPr>
          <w:rFonts w:ascii="等线" w:eastAsia="等线"/>
        </w:rPr>
      </w:pPr>
      <w:r>
        <w:rPr>
          <w:rFonts w:ascii="等线" w:eastAsia="等线"/>
        </w:rPr>
        <w:t>2015</w:t>
      </w:r>
      <w:r>
        <w:rPr>
          <w:rFonts w:ascii="等线" w:eastAsia="等线"/>
          <w:spacing w:val="19"/>
        </w:rPr>
        <w:t xml:space="preserve"> 年 </w:t>
      </w:r>
      <w:r>
        <w:rPr>
          <w:rFonts w:ascii="等线" w:eastAsia="等线"/>
        </w:rPr>
        <w:t>03</w:t>
      </w:r>
      <w:r>
        <w:rPr>
          <w:rFonts w:ascii="等线" w:eastAsia="等线"/>
          <w:spacing w:val="20"/>
        </w:rPr>
        <w:t xml:space="preserve"> 月 </w:t>
      </w:r>
      <w:r>
        <w:rPr>
          <w:rFonts w:ascii="等线" w:eastAsia="等线"/>
        </w:rPr>
        <w:t>20</w:t>
      </w:r>
      <w:r>
        <w:rPr>
          <w:rFonts w:ascii="等线" w:eastAsia="等线"/>
          <w:spacing w:val="29"/>
        </w:rPr>
        <w:t xml:space="preserve"> 日</w:t>
      </w:r>
    </w:p>
    <w:p>
      <w:pPr>
        <w:spacing w:after="0"/>
        <w:rPr>
          <w:rFonts w:ascii="等线" w:eastAsia="等线"/>
        </w:rPr>
        <w:sectPr>
          <w:headerReference w:type="even" r:id="rId4"/>
          <w:headerReference w:type="default" r:id="rId5"/>
          <w:footerReference w:type="even" r:id="rId6"/>
          <w:footerReference w:type="default" r:id="rId7"/>
          <w:type w:val="continuous"/>
          <w:pgSz w:w="11910" w:h="16840"/>
          <w:pgMar w:top="1380" w:right="800" w:bottom="1200" w:left="960" w:header="971" w:footer="1002"/>
          <w:pgNumType w:start="5"/>
          <w:cols w:space="708"/>
        </w:sectPr>
      </w:pPr>
    </w:p>
    <w:p>
      <w:pPr>
        <w:pStyle w:val="BodyText"/>
        <w:rPr>
          <w:rFonts w:ascii="等线"/>
          <w:b/>
          <w:sz w:val="20"/>
        </w:rPr>
      </w:pPr>
    </w:p>
    <w:p>
      <w:pPr>
        <w:pStyle w:val="BodyText"/>
        <w:spacing w:before="8"/>
        <w:rPr>
          <w:rFonts w:ascii="等线"/>
          <w:b/>
          <w:sz w:val="28"/>
        </w:rPr>
      </w:pPr>
    </w:p>
    <w:p>
      <w:pPr>
        <w:spacing w:before="0" w:line="538" w:lineRule="exact"/>
        <w:ind w:left="8" w:right="0" w:firstLine="0"/>
        <w:jc w:val="center"/>
        <w:rPr>
          <w:rFonts w:ascii="Microsoft JhengHei" w:eastAsia="Microsoft JhengHei"/>
          <w:b/>
          <w:sz w:val="32"/>
        </w:rPr>
      </w:pPr>
      <w:r>
        <w:rPr>
          <w:rFonts w:ascii="Microsoft JhengHei" w:eastAsia="Microsoft JhengHei"/>
          <w:b/>
          <w:spacing w:val="-3"/>
          <w:sz w:val="32"/>
        </w:rPr>
        <w:t>使用说明</w:t>
      </w:r>
    </w:p>
    <w:p>
      <w:pPr>
        <w:pStyle w:val="ListParagraph"/>
        <w:numPr>
          <w:ilvl w:val="0"/>
          <w:numId w:val="29"/>
        </w:numPr>
        <w:tabs>
          <w:tab w:val="left" w:pos="1528"/>
        </w:tabs>
        <w:spacing w:before="84" w:after="0" w:line="280" w:lineRule="auto"/>
        <w:ind w:left="628" w:right="495" w:firstLine="480"/>
        <w:jc w:val="left"/>
        <w:rPr>
          <w:rFonts w:ascii="Times New Roman" w:eastAsia="Times New Roman"/>
          <w:sz w:val="24"/>
        </w:rPr>
      </w:pPr>
      <w:r>
        <w:rPr>
          <w:spacing w:val="-4"/>
          <w:sz w:val="24"/>
        </w:rPr>
        <w:t>《福建省建筑工程设计招标文件（</w:t>
      </w:r>
      <w:r>
        <w:rPr>
          <w:rFonts w:ascii="Times New Roman" w:eastAsia="Times New Roman"/>
          <w:spacing w:val="-4"/>
          <w:sz w:val="24"/>
        </w:rPr>
        <w:t xml:space="preserve">2011 </w:t>
      </w:r>
      <w:r>
        <w:rPr>
          <w:spacing w:val="-4"/>
          <w:sz w:val="24"/>
        </w:rPr>
        <w:t>年版）》（以下简称《设计招标文件》</w:t>
      </w:r>
      <w:r>
        <w:rPr>
          <w:sz w:val="24"/>
        </w:rPr>
        <w:t>是在《福建省建筑工程设计招标文件（</w:t>
      </w:r>
      <w:r>
        <w:rPr>
          <w:rFonts w:ascii="Times New Roman" w:eastAsia="Times New Roman"/>
          <w:sz w:val="24"/>
        </w:rPr>
        <w:t xml:space="preserve">2009 </w:t>
      </w:r>
      <w:r>
        <w:rPr>
          <w:sz w:val="24"/>
        </w:rPr>
        <w:t>年版）》示范文本基础上修订的，适用于</w:t>
      </w:r>
      <w:r>
        <w:rPr>
          <w:spacing w:val="-2"/>
          <w:sz w:val="24"/>
        </w:rPr>
        <w:t>我省依法必须招标的房屋建筑工程设计项目。</w:t>
      </w:r>
    </w:p>
    <w:p>
      <w:pPr>
        <w:pStyle w:val="ListParagraph"/>
        <w:numPr>
          <w:ilvl w:val="0"/>
          <w:numId w:val="29"/>
        </w:numPr>
        <w:tabs>
          <w:tab w:val="left" w:pos="1531"/>
        </w:tabs>
        <w:spacing w:before="1" w:after="0" w:line="280" w:lineRule="auto"/>
        <w:ind w:left="628" w:right="616" w:firstLine="480"/>
        <w:jc w:val="both"/>
        <w:rPr>
          <w:rFonts w:ascii="Times New Roman" w:eastAsia="Times New Roman"/>
          <w:sz w:val="24"/>
        </w:rPr>
      </w:pPr>
      <w:r>
        <w:rPr>
          <w:spacing w:val="-2"/>
          <w:sz w:val="24"/>
        </w:rPr>
        <w:t>《设计招标文件》范本分为《通用本》和《专用本》。《通用本》是所有建</w:t>
      </w:r>
      <w:r>
        <w:rPr>
          <w:spacing w:val="-2"/>
          <w:sz w:val="24"/>
        </w:rPr>
        <w:t>筑工程设计招标项目都通用的，由福建省建设厅委托福建省勘察设计协会统一印制，</w:t>
      </w:r>
      <w:r>
        <w:rPr>
          <w:spacing w:val="-2"/>
          <w:sz w:val="24"/>
        </w:rPr>
        <w:t>招标人和投标人自行购买和使用；《专用本》由招标人按照《设计招标文件》范本规</w:t>
      </w:r>
      <w:r>
        <w:rPr>
          <w:spacing w:val="-2"/>
          <w:sz w:val="24"/>
        </w:rPr>
        <w:t>定的格式和内容要求编制和发售。</w:t>
      </w:r>
    </w:p>
    <w:p>
      <w:pPr>
        <w:pStyle w:val="ListParagraph"/>
        <w:numPr>
          <w:ilvl w:val="0"/>
          <w:numId w:val="29"/>
        </w:numPr>
        <w:tabs>
          <w:tab w:val="left" w:pos="1529"/>
        </w:tabs>
        <w:spacing w:before="0" w:after="0" w:line="280" w:lineRule="auto"/>
        <w:ind w:left="628" w:right="616" w:firstLine="480"/>
        <w:jc w:val="both"/>
        <w:rPr>
          <w:rFonts w:ascii="Times New Roman" w:eastAsia="Times New Roman" w:hAnsi="Times New Roman"/>
          <w:sz w:val="24"/>
        </w:rPr>
      </w:pPr>
      <w:r>
        <w:rPr>
          <w:spacing w:val="-3"/>
          <w:sz w:val="24"/>
        </w:rPr>
        <w:t xml:space="preserve">《设计招标文件》包括第 </w:t>
      </w:r>
      <w:r>
        <w:rPr>
          <w:rFonts w:ascii="Times New Roman" w:eastAsia="Times New Roman" w:hAnsi="Times New Roman"/>
          <w:sz w:val="24"/>
        </w:rPr>
        <w:t>1</w:t>
      </w:r>
      <w:r>
        <w:rPr>
          <w:rFonts w:ascii="Times New Roman" w:eastAsia="Times New Roman" w:hAnsi="Times New Roman"/>
          <w:spacing w:val="-15"/>
          <w:sz w:val="24"/>
        </w:rPr>
        <w:t xml:space="preserve"> </w:t>
      </w:r>
      <w:r>
        <w:rPr>
          <w:spacing w:val="-6"/>
          <w:sz w:val="24"/>
        </w:rPr>
        <w:t>章 招标公告</w:t>
      </w:r>
      <w:r>
        <w:rPr>
          <w:rFonts w:ascii="Times New Roman" w:eastAsia="Times New Roman" w:hAnsi="Times New Roman"/>
          <w:sz w:val="24"/>
        </w:rPr>
        <w:t>/</w:t>
      </w:r>
      <w:r>
        <w:rPr>
          <w:spacing w:val="-4"/>
          <w:sz w:val="24"/>
        </w:rPr>
        <w:t xml:space="preserve">投标邀请书、第 </w:t>
      </w:r>
      <w:r>
        <w:rPr>
          <w:rFonts w:ascii="Times New Roman" w:eastAsia="Times New Roman" w:hAnsi="Times New Roman"/>
          <w:sz w:val="24"/>
        </w:rPr>
        <w:t>2</w:t>
      </w:r>
      <w:r>
        <w:rPr>
          <w:rFonts w:ascii="Times New Roman" w:eastAsia="Times New Roman" w:hAnsi="Times New Roman"/>
          <w:spacing w:val="-15"/>
          <w:sz w:val="24"/>
        </w:rPr>
        <w:t xml:space="preserve"> </w:t>
      </w:r>
      <w:r>
        <w:rPr>
          <w:spacing w:val="-5"/>
          <w:sz w:val="24"/>
        </w:rPr>
        <w:t>章 投标须知及投</w:t>
      </w:r>
      <w:r>
        <w:rPr>
          <w:spacing w:val="-4"/>
          <w:sz w:val="24"/>
        </w:rPr>
        <w:t xml:space="preserve">标须知前附表、第 </w:t>
      </w:r>
      <w:r>
        <w:rPr>
          <w:rFonts w:ascii="Times New Roman" w:eastAsia="Times New Roman" w:hAnsi="Times New Roman"/>
          <w:sz w:val="24"/>
        </w:rPr>
        <w:t>3</w:t>
      </w:r>
      <w:r>
        <w:rPr>
          <w:rFonts w:ascii="Times New Roman" w:eastAsia="Times New Roman" w:hAnsi="Times New Roman"/>
          <w:spacing w:val="-15"/>
          <w:sz w:val="24"/>
        </w:rPr>
        <w:t xml:space="preserve"> </w:t>
      </w:r>
      <w:r>
        <w:rPr>
          <w:spacing w:val="-8"/>
          <w:sz w:val="24"/>
        </w:rPr>
        <w:t xml:space="preserve">章 评标办法和标准、第 </w:t>
      </w:r>
      <w:r>
        <w:rPr>
          <w:rFonts w:ascii="Times New Roman" w:eastAsia="Times New Roman" w:hAnsi="Times New Roman"/>
          <w:sz w:val="24"/>
        </w:rPr>
        <w:t xml:space="preserve">4 </w:t>
      </w:r>
      <w:r>
        <w:rPr>
          <w:spacing w:val="-3"/>
          <w:sz w:val="24"/>
        </w:rPr>
        <w:t xml:space="preserve">章 合同条款及格式、第 </w:t>
      </w:r>
      <w:r>
        <w:rPr>
          <w:rFonts w:ascii="Times New Roman" w:eastAsia="Times New Roman" w:hAnsi="Times New Roman"/>
          <w:sz w:val="24"/>
        </w:rPr>
        <w:t xml:space="preserve">5 </w:t>
      </w:r>
      <w:r>
        <w:rPr>
          <w:sz w:val="24"/>
        </w:rPr>
        <w:t>章 技术标</w:t>
      </w:r>
      <w:r>
        <w:rPr>
          <w:spacing w:val="-4"/>
          <w:sz w:val="24"/>
        </w:rPr>
        <w:t xml:space="preserve">准和设计要求、第 </w:t>
      </w:r>
      <w:r>
        <w:rPr>
          <w:rFonts w:ascii="Times New Roman" w:eastAsia="Times New Roman" w:hAnsi="Times New Roman"/>
          <w:sz w:val="24"/>
        </w:rPr>
        <w:t>6</w:t>
      </w:r>
      <w:r>
        <w:rPr>
          <w:rFonts w:ascii="Times New Roman" w:eastAsia="Times New Roman" w:hAnsi="Times New Roman"/>
          <w:spacing w:val="-15"/>
          <w:sz w:val="24"/>
        </w:rPr>
        <w:t xml:space="preserve"> </w:t>
      </w:r>
      <w:r>
        <w:rPr>
          <w:spacing w:val="-9"/>
          <w:sz w:val="24"/>
        </w:rPr>
        <w:t xml:space="preserve">章 设计有关资料和第 </w:t>
      </w:r>
      <w:r>
        <w:rPr>
          <w:rFonts w:ascii="Times New Roman" w:eastAsia="Times New Roman" w:hAnsi="Times New Roman"/>
          <w:sz w:val="24"/>
        </w:rPr>
        <w:t>7</w:t>
      </w:r>
      <w:r>
        <w:rPr>
          <w:rFonts w:ascii="Times New Roman" w:eastAsia="Times New Roman" w:hAnsi="Times New Roman"/>
          <w:spacing w:val="-15"/>
          <w:sz w:val="24"/>
        </w:rPr>
        <w:t xml:space="preserve"> </w:t>
      </w:r>
      <w:r>
        <w:rPr>
          <w:spacing w:val="-4"/>
          <w:sz w:val="24"/>
        </w:rPr>
        <w:t>章 投标文件格式以及招标文件的答疑、</w:t>
      </w:r>
      <w:r>
        <w:rPr>
          <w:spacing w:val="-2"/>
          <w:sz w:val="24"/>
        </w:rPr>
        <w:t>澄清、修改或补充通知（如有时）等内容。《通用本》列出招标文件各章节全部内容</w:t>
      </w:r>
      <w:r>
        <w:rPr>
          <w:spacing w:val="-7"/>
          <w:sz w:val="24"/>
        </w:rPr>
        <w:t xml:space="preserve">或格式，其中，第 </w:t>
      </w:r>
      <w:r>
        <w:rPr>
          <w:rFonts w:ascii="Times New Roman" w:eastAsia="Times New Roman" w:hAnsi="Times New Roman"/>
          <w:spacing w:val="-4"/>
          <w:sz w:val="24"/>
        </w:rPr>
        <w:t>1</w:t>
      </w:r>
      <w:r>
        <w:rPr>
          <w:rFonts w:ascii="Times New Roman" w:eastAsia="Times New Roman" w:hAnsi="Times New Roman"/>
          <w:spacing w:val="-11"/>
          <w:sz w:val="24"/>
        </w:rPr>
        <w:t xml:space="preserve"> </w:t>
      </w:r>
      <w:r>
        <w:rPr>
          <w:spacing w:val="-9"/>
          <w:sz w:val="24"/>
        </w:rPr>
        <w:t>章 招标公告</w:t>
      </w:r>
      <w:r>
        <w:rPr>
          <w:rFonts w:ascii="Times New Roman" w:eastAsia="Times New Roman" w:hAnsi="Times New Roman"/>
          <w:spacing w:val="-4"/>
          <w:sz w:val="24"/>
        </w:rPr>
        <w:t>/</w:t>
      </w:r>
      <w:r>
        <w:rPr>
          <w:spacing w:val="-7"/>
          <w:sz w:val="24"/>
        </w:rPr>
        <w:t xml:space="preserve">投标邀请书、第 </w:t>
      </w:r>
      <w:r>
        <w:rPr>
          <w:rFonts w:ascii="Times New Roman" w:eastAsia="Times New Roman" w:hAnsi="Times New Roman"/>
          <w:spacing w:val="-4"/>
          <w:sz w:val="24"/>
        </w:rPr>
        <w:t>2</w:t>
      </w:r>
      <w:r>
        <w:rPr>
          <w:rFonts w:ascii="Times New Roman" w:eastAsia="Times New Roman" w:hAnsi="Times New Roman"/>
          <w:spacing w:val="2"/>
          <w:sz w:val="24"/>
        </w:rPr>
        <w:t xml:space="preserve"> </w:t>
      </w:r>
      <w:r>
        <w:rPr>
          <w:spacing w:val="-11"/>
          <w:sz w:val="24"/>
        </w:rPr>
        <w:t xml:space="preserve">章中的“投标须知前附表”、第 </w:t>
      </w:r>
      <w:r>
        <w:rPr>
          <w:rFonts w:ascii="Times New Roman" w:eastAsia="Times New Roman" w:hAnsi="Times New Roman"/>
          <w:spacing w:val="-4"/>
          <w:sz w:val="24"/>
        </w:rPr>
        <w:t>3</w:t>
      </w:r>
      <w:r>
        <w:rPr>
          <w:spacing w:val="-1"/>
          <w:sz w:val="24"/>
        </w:rPr>
        <w:t xml:space="preserve">章中的“评标办法和标准前附表”、“评标办法和标准数据表”、第 </w:t>
      </w:r>
      <w:r>
        <w:rPr>
          <w:rFonts w:ascii="Times New Roman" w:eastAsia="Times New Roman" w:hAnsi="Times New Roman"/>
          <w:sz w:val="24"/>
        </w:rPr>
        <w:t>4</w:t>
      </w:r>
      <w:r>
        <w:rPr>
          <w:rFonts w:ascii="Times New Roman" w:eastAsia="Times New Roman" w:hAnsi="Times New Roman"/>
          <w:spacing w:val="-15"/>
          <w:sz w:val="24"/>
        </w:rPr>
        <w:t xml:space="preserve"> </w:t>
      </w:r>
      <w:r>
        <w:rPr>
          <w:sz w:val="24"/>
        </w:rPr>
        <w:t>章中的“合同</w:t>
      </w:r>
      <w:r>
        <w:rPr>
          <w:spacing w:val="-20"/>
          <w:sz w:val="24"/>
        </w:rPr>
        <w:t xml:space="preserve">条款前附表”、“招标项目专用的合同条款数据表”、第 </w:t>
      </w:r>
      <w:r>
        <w:rPr>
          <w:rFonts w:ascii="Times New Roman" w:eastAsia="Times New Roman" w:hAnsi="Times New Roman"/>
          <w:spacing w:val="-2"/>
          <w:sz w:val="24"/>
        </w:rPr>
        <w:t>5</w:t>
      </w:r>
      <w:r>
        <w:rPr>
          <w:rFonts w:ascii="Times New Roman" w:eastAsia="Times New Roman" w:hAnsi="Times New Roman"/>
          <w:sz w:val="24"/>
        </w:rPr>
        <w:t xml:space="preserve"> </w:t>
      </w:r>
      <w:r>
        <w:rPr>
          <w:spacing w:val="-20"/>
          <w:sz w:val="24"/>
        </w:rPr>
        <w:t>章中的“设计任务书”、“设</w:t>
      </w:r>
      <w:r>
        <w:rPr>
          <w:spacing w:val="-2"/>
          <w:sz w:val="24"/>
        </w:rPr>
        <w:t xml:space="preserve">计服务要求”、“工程勘察要求”、“其他要求”第 </w:t>
      </w:r>
      <w:r>
        <w:rPr>
          <w:rFonts w:ascii="Times New Roman" w:eastAsia="Times New Roman" w:hAnsi="Times New Roman"/>
          <w:sz w:val="24"/>
        </w:rPr>
        <w:t>6</w:t>
      </w:r>
      <w:r>
        <w:rPr>
          <w:rFonts w:ascii="Times New Roman" w:eastAsia="Times New Roman" w:hAnsi="Times New Roman"/>
          <w:spacing w:val="-15"/>
          <w:sz w:val="24"/>
        </w:rPr>
        <w:t xml:space="preserve"> </w:t>
      </w:r>
      <w:r>
        <w:rPr>
          <w:sz w:val="24"/>
        </w:rPr>
        <w:t xml:space="preserve">章中的“设计有关资料”、第 </w:t>
      </w:r>
      <w:r>
        <w:rPr>
          <w:rFonts w:ascii="Times New Roman" w:eastAsia="Times New Roman" w:hAnsi="Times New Roman"/>
          <w:sz w:val="24"/>
        </w:rPr>
        <w:t xml:space="preserve">7 </w:t>
      </w:r>
      <w:r>
        <w:rPr>
          <w:sz w:val="24"/>
        </w:rPr>
        <w:t>章中的“招标项目补充的投标文件格式”和附录“通用本文件内容补正表”等内容</w:t>
      </w:r>
      <w:r>
        <w:rPr>
          <w:spacing w:val="-2"/>
          <w:sz w:val="24"/>
        </w:rPr>
        <w:t>在《通用本》中只列出格式，具体内容应当由招标人按照规定的格式结合招标项目的</w:t>
      </w:r>
      <w:r>
        <w:rPr>
          <w:spacing w:val="-2"/>
          <w:sz w:val="24"/>
        </w:rPr>
        <w:t>实际情况和招标人的具体要求在《专用本》中编写。除《专用本》约定的内容由招标</w:t>
      </w:r>
      <w:r>
        <w:rPr>
          <w:spacing w:val="-2"/>
          <w:sz w:val="24"/>
        </w:rPr>
        <w:t>人编写外，原则上，招标人应引用《通用本》全部内容，不可随意修改，如确实需要</w:t>
      </w:r>
      <w:r>
        <w:rPr>
          <w:spacing w:val="-4"/>
          <w:sz w:val="24"/>
        </w:rPr>
        <w:t>修改《通用本》固有内容的，应当将其修改的内容填入《专用本》中 “通用本文件内</w:t>
      </w:r>
      <w:r>
        <w:rPr>
          <w:spacing w:val="-2"/>
          <w:sz w:val="24"/>
        </w:rPr>
        <w:t>容补正表”中，并不得违反法律、法规、规章及有关规定。</w:t>
      </w:r>
    </w:p>
    <w:p>
      <w:pPr>
        <w:pStyle w:val="ListParagraph"/>
        <w:numPr>
          <w:ilvl w:val="0"/>
          <w:numId w:val="29"/>
        </w:numPr>
        <w:tabs>
          <w:tab w:val="left" w:pos="1531"/>
        </w:tabs>
        <w:spacing w:before="4" w:after="0" w:line="280" w:lineRule="auto"/>
        <w:ind w:left="628" w:right="495" w:firstLine="480"/>
        <w:jc w:val="left"/>
        <w:rPr>
          <w:sz w:val="24"/>
        </w:rPr>
      </w:pPr>
      <w:r>
        <w:rPr>
          <w:spacing w:val="1"/>
          <w:sz w:val="24"/>
        </w:rPr>
        <w:t>《设计招标文件》范本的《通用本》和《专用本》以及招标文件的答疑、澄</w:t>
      </w:r>
      <w:r>
        <w:rPr>
          <w:spacing w:val="-6"/>
          <w:sz w:val="24"/>
        </w:rPr>
        <w:t>清、修改或补充通知</w:t>
      </w:r>
      <w:r>
        <w:rPr>
          <w:sz w:val="24"/>
        </w:rPr>
        <w:t>（如有时</w:t>
      </w:r>
      <w:r>
        <w:rPr>
          <w:spacing w:val="-17"/>
          <w:sz w:val="24"/>
        </w:rPr>
        <w:t>）</w:t>
      </w:r>
      <w:r>
        <w:rPr>
          <w:spacing w:val="-6"/>
          <w:sz w:val="24"/>
        </w:rPr>
        <w:t>为对应关联关系，可相互解释、互为说明。《专用本》</w:t>
      </w:r>
      <w:r>
        <w:rPr>
          <w:sz w:val="24"/>
        </w:rPr>
        <w:t>内有约定的招标文件内容，从《专用本》的约定；《专用本》无专门约定的，从《通</w:t>
      </w:r>
      <w:r>
        <w:rPr>
          <w:spacing w:val="-14"/>
          <w:sz w:val="24"/>
        </w:rPr>
        <w:t>用本》的约定。如某些内容前后不一致，则《通用本》与《专用本》不一致的，以《专用本》为准，《专用本》与招标文件的答疑、澄清、修改或补充通知（如有时）不一</w:t>
      </w:r>
      <w:r>
        <w:rPr>
          <w:spacing w:val="-13"/>
          <w:sz w:val="24"/>
        </w:rPr>
        <w:t>致的，以后者内容为准，不同时间上对同一内容的多种描述，以最后发出的内容为准。</w:t>
      </w:r>
    </w:p>
    <w:p>
      <w:pPr>
        <w:spacing w:before="0" w:line="362" w:lineRule="exact"/>
        <w:ind w:left="9" w:right="0" w:firstLine="0"/>
        <w:jc w:val="center"/>
        <w:rPr>
          <w:sz w:val="24"/>
        </w:rPr>
      </w:pPr>
      <w:r>
        <w:rPr>
          <w:sz w:val="24"/>
        </w:rPr>
        <w:t>《设计招标文件》中</w:t>
      </w:r>
      <w:r>
        <w:rPr>
          <w:rFonts w:ascii="Microsoft JhengHei" w:eastAsia="Microsoft JhengHei"/>
          <w:b/>
          <w:sz w:val="24"/>
        </w:rPr>
        <w:t>以双下划线标识的内容的为实质性要求和条件</w:t>
      </w:r>
      <w:r>
        <w:rPr>
          <w:spacing w:val="-2"/>
          <w:sz w:val="24"/>
        </w:rPr>
        <w:t>；以空格下划线标</w:t>
      </w:r>
    </w:p>
    <w:p>
      <w:pPr>
        <w:pStyle w:val="BodyText"/>
        <w:spacing w:line="306" w:lineRule="exact"/>
        <w:ind w:left="628"/>
      </w:pPr>
      <w:r>
        <w:rPr>
          <w:spacing w:val="-1"/>
        </w:rPr>
        <w:t>示的，由招标人编制招标文件或投标人编制投标文件时填入具体内容。</w:t>
      </w:r>
    </w:p>
    <w:p>
      <w:pPr>
        <w:pStyle w:val="ListParagraph"/>
        <w:numPr>
          <w:ilvl w:val="0"/>
          <w:numId w:val="29"/>
        </w:numPr>
        <w:tabs>
          <w:tab w:val="left" w:pos="1531"/>
        </w:tabs>
        <w:spacing w:before="52" w:after="0" w:line="280" w:lineRule="auto"/>
        <w:ind w:left="628" w:right="616" w:firstLine="480"/>
        <w:jc w:val="both"/>
        <w:rPr>
          <w:sz w:val="24"/>
        </w:rPr>
      </w:pPr>
      <w:r>
        <w:rPr>
          <w:spacing w:val="-2"/>
          <w:sz w:val="24"/>
        </w:rPr>
        <w:t>在招标项目的招投标过程中，招标人委托招标代理机构招标的，则招标代理</w:t>
      </w:r>
      <w:r>
        <w:rPr>
          <w:spacing w:val="-2"/>
          <w:sz w:val="24"/>
        </w:rPr>
        <w:t>应在招标全过程中以被代理人名义办理招标人委托范围内的事宜，并承担相应责任。</w:t>
      </w:r>
    </w:p>
    <w:p>
      <w:pPr>
        <w:pStyle w:val="ListParagraph"/>
        <w:numPr>
          <w:ilvl w:val="0"/>
          <w:numId w:val="29"/>
        </w:numPr>
        <w:tabs>
          <w:tab w:val="left" w:pos="1531"/>
        </w:tabs>
        <w:spacing w:before="1" w:after="0" w:line="280" w:lineRule="auto"/>
        <w:ind w:left="628" w:right="616" w:firstLine="480"/>
        <w:jc w:val="both"/>
        <w:rPr>
          <w:rFonts w:ascii="Times New Roman" w:eastAsia="Times New Roman"/>
          <w:sz w:val="24"/>
        </w:rPr>
      </w:pPr>
      <w:r>
        <w:rPr>
          <w:spacing w:val="-2"/>
          <w:sz w:val="24"/>
        </w:rPr>
        <w:t>《设计招标文件》范本由福建省建设厅组织编制，委托福建省建筑业协会工</w:t>
      </w:r>
      <w:r>
        <w:rPr>
          <w:spacing w:val="-2"/>
          <w:sz w:val="24"/>
        </w:rPr>
        <w:t>程建设项目招标投标分会曾天粦同志主笔起草，省厅公开征求各方意见并组织专家评</w:t>
      </w:r>
      <w:r>
        <w:rPr>
          <w:spacing w:val="-2"/>
          <w:sz w:val="24"/>
        </w:rPr>
        <w:t>审后发布。各使用单位或个人对《设计招标文件》范本有何意见和建议，请向省建设</w:t>
      </w:r>
      <w:r>
        <w:rPr>
          <w:spacing w:val="-2"/>
          <w:sz w:val="24"/>
        </w:rPr>
        <w:t>厅设计处反映。</w:t>
      </w:r>
    </w:p>
    <w:p>
      <w:pPr>
        <w:spacing w:after="0" w:line="280" w:lineRule="auto"/>
        <w:jc w:val="both"/>
        <w:rPr>
          <w:rFonts w:ascii="Times New Roman" w:eastAsia="Times New Roman"/>
          <w:sz w:val="24"/>
        </w:rPr>
        <w:sectPr>
          <w:headerReference w:type="even" r:id="rId8"/>
          <w:headerReference w:type="default" r:id="rId9"/>
          <w:footerReference w:type="even" r:id="rId10"/>
          <w:footerReference w:type="default" r:id="rId11"/>
          <w:pgSz w:w="11910" w:h="16840"/>
          <w:pgMar w:top="1380" w:right="800" w:bottom="1200" w:left="960" w:header="971" w:footer="1002"/>
          <w:pgNumType w:start="6"/>
          <w:cols w:space="708"/>
        </w:sectPr>
      </w:pPr>
    </w:p>
    <w:p>
      <w:pPr>
        <w:pStyle w:val="BodyText"/>
        <w:spacing w:before="4"/>
        <w:rPr>
          <w:sz w:val="8"/>
        </w:rPr>
      </w:pPr>
    </w:p>
    <w:p>
      <w:pPr>
        <w:tabs>
          <w:tab w:val="left" w:pos="969"/>
        </w:tabs>
        <w:spacing w:before="0" w:line="538" w:lineRule="exact"/>
        <w:ind w:left="8" w:right="0" w:firstLine="0"/>
        <w:jc w:val="center"/>
        <w:rPr>
          <w:rFonts w:ascii="Microsoft JhengHei" w:eastAsia="Microsoft JhengHei"/>
          <w:b/>
          <w:sz w:val="32"/>
        </w:rPr>
      </w:pPr>
      <w:r>
        <w:rPr>
          <w:rFonts w:ascii="Microsoft JhengHei" w:eastAsia="Microsoft JhengHei"/>
          <w:b/>
          <w:spacing w:val="-10"/>
          <w:sz w:val="32"/>
        </w:rPr>
        <w:t>目</w:t>
      </w:r>
      <w:r>
        <w:rPr>
          <w:rFonts w:ascii="Microsoft JhengHei" w:eastAsia="Microsoft JhengHei"/>
          <w:b/>
          <w:sz w:val="32"/>
        </w:rPr>
        <w:tab/>
      </w:r>
      <w:r>
        <w:rPr>
          <w:rFonts w:ascii="Microsoft JhengHei" w:eastAsia="Microsoft JhengHei"/>
          <w:b/>
          <w:spacing w:val="-10"/>
          <w:sz w:val="32"/>
        </w:rPr>
        <w:t>录</w:t>
      </w:r>
    </w:p>
    <w:sdt>
      <w:sdtPr>
        <w:id w:val="1967209317"/>
        <w:docPartObj>
          <w:docPartGallery w:val="Table of Contents"/>
          <w:docPartUnique/>
        </w:docPartObj>
      </w:sdtPr>
      <w:sdtContent>
        <w:p>
          <w:pPr>
            <w:pStyle w:val="TOC1"/>
            <w:tabs>
              <w:tab w:val="right" w:leader="dot" w:pos="9517"/>
            </w:tabs>
            <w:spacing w:before="502"/>
            <w:rPr>
              <w:rFonts w:ascii="Times New Roman" w:eastAsia="Times New Roman"/>
            </w:rPr>
          </w:pPr>
          <w:hyperlink w:anchor="_TOC_250023" w:history="1">
            <w:r>
              <w:t xml:space="preserve">第 </w:t>
            </w:r>
            <w:r>
              <w:rPr>
                <w:rFonts w:ascii="Times New Roman" w:eastAsia="Times New Roman"/>
              </w:rPr>
              <w:t xml:space="preserve">1 </w:t>
            </w:r>
            <w:r>
              <w:t>章</w:t>
            </w:r>
            <w:r>
              <w:rPr>
                <w:spacing w:val="60"/>
              </w:rPr>
              <w:t xml:space="preserve"> </w:t>
            </w:r>
            <w:r>
              <w:t>招标公</w:t>
            </w:r>
            <w:r>
              <w:rPr>
                <w:spacing w:val="-10"/>
              </w:rPr>
              <w:t>告</w:t>
            </w:r>
            <w:r>
              <w:rPr>
                <w:rFonts w:ascii="Times New Roman" w:eastAsia="Times New Roman"/>
                <w:b w:val="0"/>
              </w:rPr>
              <w:tab/>
            </w:r>
            <w:r>
              <w:rPr>
                <w:rFonts w:ascii="Times New Roman" w:eastAsia="Times New Roman"/>
                <w:spacing w:val="-10"/>
              </w:rPr>
              <w:t>2</w:t>
            </w:r>
          </w:hyperlink>
        </w:p>
        <w:p>
          <w:pPr>
            <w:pStyle w:val="TOC1"/>
            <w:tabs>
              <w:tab w:val="right" w:leader="dot" w:pos="9517"/>
            </w:tabs>
            <w:spacing w:before="27" w:line="430" w:lineRule="exact"/>
            <w:rPr>
              <w:rFonts w:ascii="Times New Roman" w:eastAsia="Times New Roman"/>
            </w:rPr>
          </w:pPr>
          <w:hyperlink w:anchor="_TOC_250022" w:history="1">
            <w:r>
              <w:t xml:space="preserve">第 </w:t>
            </w:r>
            <w:r>
              <w:rPr>
                <w:rFonts w:ascii="Times New Roman" w:eastAsia="Times New Roman"/>
              </w:rPr>
              <w:t xml:space="preserve">2 </w:t>
            </w:r>
            <w:r>
              <w:t>章</w:t>
            </w:r>
            <w:r>
              <w:rPr>
                <w:spacing w:val="60"/>
              </w:rPr>
              <w:t xml:space="preserve"> </w:t>
            </w:r>
            <w:r>
              <w:t>投标须知及投标须知前附</w:t>
            </w:r>
            <w:r>
              <w:rPr>
                <w:spacing w:val="-10"/>
              </w:rPr>
              <w:t>表</w:t>
            </w:r>
            <w:r>
              <w:rPr>
                <w:rFonts w:ascii="Times New Roman" w:eastAsia="Times New Roman"/>
                <w:b w:val="0"/>
              </w:rPr>
              <w:tab/>
            </w:r>
            <w:r>
              <w:rPr>
                <w:rFonts w:ascii="Times New Roman" w:eastAsia="Times New Roman"/>
                <w:spacing w:val="-10"/>
              </w:rPr>
              <w:t>1</w:t>
            </w:r>
          </w:hyperlink>
        </w:p>
        <w:p>
          <w:pPr>
            <w:pStyle w:val="TOC2"/>
            <w:tabs>
              <w:tab w:val="right" w:leader="dot" w:pos="9518"/>
            </w:tabs>
            <w:spacing w:line="338" w:lineRule="exact"/>
            <w:rPr>
              <w:rFonts w:ascii="Times New Roman" w:eastAsia="Times New Roman"/>
            </w:rPr>
          </w:pPr>
          <w:hyperlink w:anchor="_TOC_250021" w:history="1">
            <w:r>
              <w:t xml:space="preserve">第 </w:t>
            </w:r>
            <w:r>
              <w:rPr>
                <w:rFonts w:ascii="Times New Roman" w:eastAsia="Times New Roman"/>
              </w:rPr>
              <w:t xml:space="preserve">1 </w:t>
            </w:r>
            <w:r>
              <w:t>节</w:t>
            </w:r>
            <w:r>
              <w:rPr>
                <w:spacing w:val="52"/>
              </w:rPr>
              <w:t xml:space="preserve"> </w:t>
            </w:r>
            <w:r>
              <w:t>投标须知前附</w:t>
            </w:r>
            <w:r>
              <w:rPr>
                <w:spacing w:val="-10"/>
              </w:rPr>
              <w:t>表</w:t>
            </w:r>
            <w:r>
              <w:rPr>
                <w:rFonts w:ascii="Times New Roman" w:eastAsia="Times New Roman"/>
                <w:b w:val="0"/>
              </w:rPr>
              <w:tab/>
            </w:r>
            <w:r>
              <w:rPr>
                <w:rFonts w:ascii="Times New Roman" w:eastAsia="Times New Roman"/>
                <w:spacing w:val="-10"/>
              </w:rPr>
              <w:t>1</w:t>
            </w:r>
          </w:hyperlink>
        </w:p>
        <w:p>
          <w:pPr>
            <w:pStyle w:val="TOC2"/>
            <w:tabs>
              <w:tab w:val="right" w:leader="dot" w:pos="9518"/>
            </w:tabs>
            <w:rPr>
              <w:rFonts w:ascii="Times New Roman" w:eastAsia="Times New Roman"/>
            </w:rPr>
          </w:pPr>
          <w:hyperlink w:anchor="_TOC_250020" w:history="1">
            <w:r>
              <w:t xml:space="preserve">第 </w:t>
            </w:r>
            <w:r>
              <w:rPr>
                <w:rFonts w:ascii="Times New Roman" w:eastAsia="Times New Roman"/>
              </w:rPr>
              <w:t xml:space="preserve">2 </w:t>
            </w:r>
            <w:r>
              <w:t>节</w:t>
            </w:r>
            <w:r>
              <w:rPr>
                <w:spacing w:val="52"/>
              </w:rPr>
              <w:t xml:space="preserve"> </w:t>
            </w:r>
            <w:r>
              <w:t>投标须知和附</w:t>
            </w:r>
            <w:r>
              <w:rPr>
                <w:spacing w:val="-10"/>
              </w:rPr>
              <w:t>件</w:t>
            </w:r>
            <w:r>
              <w:rPr>
                <w:rFonts w:ascii="Times New Roman" w:eastAsia="Times New Roman"/>
                <w:b w:val="0"/>
              </w:rPr>
              <w:tab/>
            </w:r>
            <w:r>
              <w:rPr>
                <w:rFonts w:ascii="Times New Roman" w:eastAsia="Times New Roman"/>
                <w:spacing w:val="-10"/>
              </w:rPr>
              <w:t>6</w:t>
            </w:r>
          </w:hyperlink>
        </w:p>
        <w:p>
          <w:pPr>
            <w:pStyle w:val="TOC2"/>
            <w:tabs>
              <w:tab w:val="right" w:leader="dot" w:pos="9518"/>
            </w:tabs>
            <w:spacing w:line="337" w:lineRule="exact"/>
            <w:rPr>
              <w:rFonts w:ascii="Times New Roman" w:eastAsia="Times New Roman" w:hAnsi="Times New Roman"/>
            </w:rPr>
          </w:pPr>
          <w:hyperlink w:anchor="_TOC_250019" w:history="1">
            <w:r>
              <w:t>“投标须知和附件”内容见设计招标文件《通用本</w:t>
            </w:r>
            <w:r>
              <w:rPr>
                <w:spacing w:val="-10"/>
              </w:rPr>
              <w:t>》</w:t>
            </w:r>
            <w:r>
              <w:rPr>
                <w:rFonts w:ascii="Times New Roman" w:eastAsia="Times New Roman" w:hAnsi="Times New Roman"/>
                <w:b w:val="0"/>
              </w:rPr>
              <w:tab/>
            </w:r>
            <w:r>
              <w:rPr>
                <w:rFonts w:ascii="Times New Roman" w:eastAsia="Times New Roman" w:hAnsi="Times New Roman"/>
                <w:spacing w:val="-10"/>
              </w:rPr>
              <w:t>6</w:t>
            </w:r>
          </w:hyperlink>
        </w:p>
        <w:p>
          <w:pPr>
            <w:pStyle w:val="TOC1"/>
            <w:tabs>
              <w:tab w:val="right" w:leader="dot" w:pos="9517"/>
            </w:tabs>
            <w:spacing w:line="418" w:lineRule="exact"/>
            <w:rPr>
              <w:rFonts w:ascii="Times New Roman" w:eastAsia="Times New Roman"/>
            </w:rPr>
          </w:pPr>
          <w:hyperlink w:anchor="_TOC_250018" w:history="1">
            <w:r>
              <w:t xml:space="preserve">第 </w:t>
            </w:r>
            <w:r>
              <w:rPr>
                <w:rFonts w:ascii="Times New Roman" w:eastAsia="Times New Roman"/>
              </w:rPr>
              <w:t xml:space="preserve">3 </w:t>
            </w:r>
            <w:r>
              <w:rPr>
                <w:spacing w:val="59"/>
              </w:rPr>
              <w:t>章</w:t>
            </w:r>
            <w:r>
              <w:t>评标办法和标</w:t>
            </w:r>
            <w:r>
              <w:rPr>
                <w:spacing w:val="-12"/>
              </w:rPr>
              <w:t>准</w:t>
            </w:r>
            <w:r>
              <w:rPr>
                <w:rFonts w:ascii="Times New Roman" w:eastAsia="Times New Roman"/>
                <w:b w:val="0"/>
              </w:rPr>
              <w:tab/>
            </w:r>
            <w:r>
              <w:rPr>
                <w:rFonts w:ascii="Times New Roman" w:eastAsia="Times New Roman"/>
                <w:spacing w:val="-10"/>
              </w:rPr>
              <w:t>7</w:t>
            </w:r>
          </w:hyperlink>
        </w:p>
        <w:p>
          <w:pPr>
            <w:pStyle w:val="TOC2"/>
            <w:tabs>
              <w:tab w:val="right" w:leader="dot" w:pos="9518"/>
            </w:tabs>
            <w:spacing w:line="375" w:lineRule="exact"/>
            <w:rPr>
              <w:rFonts w:ascii="Times New Roman" w:eastAsia="Times New Roman"/>
            </w:rPr>
          </w:pPr>
          <w:hyperlink w:anchor="_TOC_250017" w:history="1">
            <w:r>
              <w:t xml:space="preserve">第 </w:t>
            </w:r>
            <w:r>
              <w:rPr>
                <w:rFonts w:ascii="Times New Roman" w:eastAsia="Times New Roman"/>
              </w:rPr>
              <w:t xml:space="preserve">1 </w:t>
            </w:r>
            <w:r>
              <w:t>节</w:t>
            </w:r>
            <w:r>
              <w:rPr>
                <w:spacing w:val="52"/>
              </w:rPr>
              <w:t xml:space="preserve"> </w:t>
            </w:r>
            <w:r>
              <w:t>评标办法和标准前附</w:t>
            </w:r>
            <w:r>
              <w:rPr>
                <w:spacing w:val="-10"/>
              </w:rPr>
              <w:t>表</w:t>
            </w:r>
            <w:r>
              <w:rPr>
                <w:rFonts w:ascii="Times New Roman" w:eastAsia="Times New Roman"/>
                <w:b w:val="0"/>
              </w:rPr>
              <w:tab/>
            </w:r>
            <w:r>
              <w:rPr>
                <w:rFonts w:ascii="Times New Roman" w:eastAsia="Times New Roman"/>
                <w:spacing w:val="-10"/>
              </w:rPr>
              <w:t>8</w:t>
            </w:r>
          </w:hyperlink>
        </w:p>
        <w:p>
          <w:pPr>
            <w:pStyle w:val="TOC4"/>
            <w:tabs>
              <w:tab w:val="right" w:leader="dot" w:pos="9517"/>
            </w:tabs>
            <w:rPr>
              <w:rFonts w:ascii="Times New Roman" w:eastAsia="Times New Roman"/>
            </w:rPr>
          </w:pPr>
          <w:hyperlink w:anchor="_TOC_250016" w:history="1">
            <w:r>
              <w:t>评标办法和标准前附</w:t>
            </w:r>
            <w:r>
              <w:rPr>
                <w:spacing w:val="-10"/>
              </w:rPr>
              <w:t>表</w:t>
            </w:r>
            <w:r>
              <w:rPr>
                <w:rFonts w:ascii="Times New Roman" w:eastAsia="Times New Roman"/>
              </w:rPr>
              <w:tab/>
            </w:r>
            <w:r>
              <w:rPr>
                <w:rFonts w:ascii="Times New Roman" w:eastAsia="Times New Roman"/>
                <w:spacing w:val="-10"/>
              </w:rPr>
              <w:t>8</w:t>
            </w:r>
          </w:hyperlink>
        </w:p>
        <w:p>
          <w:pPr>
            <w:pStyle w:val="TOC2"/>
            <w:tabs>
              <w:tab w:val="right" w:leader="dot" w:pos="9518"/>
            </w:tabs>
            <w:spacing w:before="86" w:line="240" w:lineRule="auto"/>
            <w:rPr>
              <w:rFonts w:ascii="Times New Roman" w:eastAsia="Times New Roman"/>
            </w:rPr>
          </w:pPr>
          <w:hyperlink w:anchor="_TOC_250015" w:history="1">
            <w:r>
              <w:t xml:space="preserve">第 </w:t>
            </w:r>
            <w:r>
              <w:rPr>
                <w:rFonts w:ascii="Times New Roman" w:eastAsia="Times New Roman"/>
              </w:rPr>
              <w:t xml:space="preserve">2 </w:t>
            </w:r>
            <w:r>
              <w:t>节</w:t>
            </w:r>
            <w:r>
              <w:rPr>
                <w:spacing w:val="52"/>
              </w:rPr>
              <w:t xml:space="preserve"> </w:t>
            </w:r>
            <w:r>
              <w:t>评标办法和标准数据表</w:t>
            </w:r>
            <w:r>
              <w:rPr>
                <w:rFonts w:ascii="等线" w:eastAsia="等线"/>
              </w:rPr>
              <w:t>（综合评估法</w:t>
            </w:r>
            <w:r>
              <w:rPr>
                <w:rFonts w:ascii="等线" w:eastAsia="等线"/>
                <w:spacing w:val="-10"/>
              </w:rPr>
              <w:t>）</w:t>
            </w:r>
            <w:r>
              <w:rPr>
                <w:rFonts w:ascii="Times New Roman" w:eastAsia="Times New Roman"/>
                <w:b w:val="0"/>
              </w:rPr>
              <w:tab/>
            </w:r>
            <w:r>
              <w:rPr>
                <w:rFonts w:ascii="Times New Roman" w:eastAsia="Times New Roman"/>
                <w:spacing w:val="-10"/>
              </w:rPr>
              <w:t>9</w:t>
            </w:r>
          </w:hyperlink>
        </w:p>
        <w:p>
          <w:pPr>
            <w:pStyle w:val="TOC2"/>
            <w:tabs>
              <w:tab w:val="right" w:leader="dot" w:pos="9518"/>
            </w:tabs>
            <w:spacing w:before="106" w:line="349" w:lineRule="exact"/>
            <w:rPr>
              <w:rFonts w:ascii="Times New Roman" w:eastAsia="Times New Roman"/>
            </w:rPr>
          </w:pPr>
          <w:hyperlink w:anchor="_TOC_250014" w:history="1">
            <w:r>
              <w:t xml:space="preserve">第 </w:t>
            </w:r>
            <w:r>
              <w:rPr>
                <w:rFonts w:ascii="Times New Roman" w:eastAsia="Times New Roman"/>
              </w:rPr>
              <w:t xml:space="preserve">3 </w:t>
            </w:r>
            <w:r>
              <w:t>节</w:t>
            </w:r>
            <w:r>
              <w:rPr>
                <w:spacing w:val="52"/>
              </w:rPr>
              <w:t xml:space="preserve"> </w:t>
            </w:r>
            <w:r>
              <w:t>评标办法和标</w:t>
            </w:r>
            <w:r>
              <w:rPr>
                <w:spacing w:val="-10"/>
              </w:rPr>
              <w:t>准</w:t>
            </w:r>
            <w:r>
              <w:rPr>
                <w:rFonts w:ascii="Times New Roman" w:eastAsia="Times New Roman"/>
                <w:b w:val="0"/>
              </w:rPr>
              <w:tab/>
            </w:r>
            <w:r>
              <w:rPr>
                <w:rFonts w:ascii="Times New Roman" w:eastAsia="Times New Roman"/>
                <w:spacing w:val="-5"/>
              </w:rPr>
              <w:t>13</w:t>
            </w:r>
          </w:hyperlink>
        </w:p>
        <w:p>
          <w:pPr>
            <w:pStyle w:val="TOC2"/>
            <w:tabs>
              <w:tab w:val="right" w:leader="dot" w:pos="9518"/>
            </w:tabs>
            <w:spacing w:line="337" w:lineRule="exact"/>
            <w:rPr>
              <w:rFonts w:ascii="Times New Roman" w:eastAsia="Times New Roman" w:hAnsi="Times New Roman"/>
            </w:rPr>
          </w:pPr>
          <w:r>
            <w:t>“评标办法和标准”内容见设计招标文件《通用本</w:t>
          </w:r>
          <w:r>
            <w:rPr>
              <w:spacing w:val="-10"/>
            </w:rPr>
            <w:t>》</w:t>
          </w:r>
          <w:r>
            <w:rPr>
              <w:rFonts w:ascii="Times New Roman" w:eastAsia="Times New Roman" w:hAnsi="Times New Roman"/>
              <w:b w:val="0"/>
            </w:rPr>
            <w:tab/>
          </w:r>
          <w:r>
            <w:rPr>
              <w:rFonts w:ascii="Times New Roman" w:eastAsia="Times New Roman" w:hAnsi="Times New Roman"/>
              <w:spacing w:val="-5"/>
            </w:rPr>
            <w:t>13</w:t>
          </w:r>
        </w:p>
        <w:p>
          <w:pPr>
            <w:pStyle w:val="TOC1"/>
            <w:tabs>
              <w:tab w:val="right" w:leader="dot" w:pos="9517"/>
            </w:tabs>
            <w:spacing w:line="418" w:lineRule="exact"/>
            <w:rPr>
              <w:rFonts w:ascii="Times New Roman" w:eastAsia="Times New Roman"/>
            </w:rPr>
          </w:pPr>
          <w:hyperlink w:anchor="_TOC_250013" w:history="1">
            <w:r>
              <w:t xml:space="preserve">第 </w:t>
            </w:r>
            <w:r>
              <w:rPr>
                <w:rFonts w:ascii="Times New Roman" w:eastAsia="Times New Roman"/>
              </w:rPr>
              <w:t xml:space="preserve">4 </w:t>
            </w:r>
            <w:r>
              <w:rPr>
                <w:spacing w:val="59"/>
              </w:rPr>
              <w:t>章</w:t>
            </w:r>
            <w:r>
              <w:t>合同条款及格</w:t>
            </w:r>
            <w:r>
              <w:rPr>
                <w:spacing w:val="-12"/>
              </w:rPr>
              <w:t>式</w:t>
            </w:r>
            <w:r>
              <w:rPr>
                <w:rFonts w:ascii="Times New Roman" w:eastAsia="Times New Roman"/>
                <w:b w:val="0"/>
              </w:rPr>
              <w:tab/>
            </w:r>
            <w:r>
              <w:rPr>
                <w:rFonts w:ascii="Times New Roman" w:eastAsia="Times New Roman"/>
                <w:spacing w:val="-5"/>
              </w:rPr>
              <w:t>14</w:t>
            </w:r>
          </w:hyperlink>
        </w:p>
        <w:p>
          <w:pPr>
            <w:pStyle w:val="TOC2"/>
            <w:tabs>
              <w:tab w:val="right" w:leader="dot" w:pos="9518"/>
            </w:tabs>
            <w:spacing w:line="375" w:lineRule="exact"/>
            <w:rPr>
              <w:rFonts w:ascii="Times New Roman" w:eastAsia="Times New Roman"/>
            </w:rPr>
          </w:pPr>
          <w:hyperlink w:anchor="_TOC_250012" w:history="1">
            <w:r>
              <w:t xml:space="preserve">第 </w:t>
            </w:r>
            <w:r>
              <w:rPr>
                <w:rFonts w:ascii="Times New Roman" w:eastAsia="Times New Roman"/>
              </w:rPr>
              <w:t xml:space="preserve">1 </w:t>
            </w:r>
            <w:r>
              <w:t>节</w:t>
            </w:r>
            <w:r>
              <w:rPr>
                <w:spacing w:val="52"/>
              </w:rPr>
              <w:t xml:space="preserve"> </w:t>
            </w:r>
            <w:r>
              <w:t>合同条款前附</w:t>
            </w:r>
            <w:r>
              <w:rPr>
                <w:spacing w:val="-10"/>
              </w:rPr>
              <w:t>表</w:t>
            </w:r>
            <w:r>
              <w:rPr>
                <w:rFonts w:ascii="Times New Roman" w:eastAsia="Times New Roman"/>
                <w:b w:val="0"/>
              </w:rPr>
              <w:tab/>
            </w:r>
            <w:r>
              <w:rPr>
                <w:rFonts w:ascii="Times New Roman" w:eastAsia="Times New Roman"/>
                <w:spacing w:val="-5"/>
              </w:rPr>
              <w:t>15</w:t>
            </w:r>
          </w:hyperlink>
        </w:p>
        <w:p>
          <w:pPr>
            <w:pStyle w:val="TOC4"/>
            <w:tabs>
              <w:tab w:val="right" w:leader="dot" w:pos="9517"/>
            </w:tabs>
            <w:spacing w:line="246" w:lineRule="exact"/>
            <w:rPr>
              <w:rFonts w:ascii="Times New Roman" w:eastAsia="Times New Roman"/>
            </w:rPr>
          </w:pPr>
          <w:hyperlink w:anchor="_TOC_250011" w:history="1">
            <w:r>
              <w:t>合同条款前附</w:t>
            </w:r>
            <w:r>
              <w:rPr>
                <w:spacing w:val="-10"/>
              </w:rPr>
              <w:t>表</w:t>
            </w:r>
            <w:r>
              <w:rPr>
                <w:rFonts w:ascii="Times New Roman" w:eastAsia="Times New Roman"/>
              </w:rPr>
              <w:tab/>
            </w:r>
            <w:r>
              <w:rPr>
                <w:rFonts w:ascii="Times New Roman" w:eastAsia="Times New Roman"/>
                <w:spacing w:val="-5"/>
              </w:rPr>
              <w:t>15</w:t>
            </w:r>
          </w:hyperlink>
        </w:p>
        <w:p>
          <w:pPr>
            <w:pStyle w:val="TOC2"/>
            <w:tabs>
              <w:tab w:val="right" w:leader="dot" w:pos="9518"/>
            </w:tabs>
            <w:spacing w:line="326" w:lineRule="exact"/>
            <w:rPr>
              <w:rFonts w:ascii="Times New Roman" w:eastAsia="Times New Roman"/>
            </w:rPr>
          </w:pPr>
          <w:hyperlink w:anchor="_TOC_250010" w:history="1">
            <w:r>
              <w:t xml:space="preserve">第 </w:t>
            </w:r>
            <w:r>
              <w:rPr>
                <w:rFonts w:ascii="Times New Roman" w:eastAsia="Times New Roman"/>
              </w:rPr>
              <w:t xml:space="preserve">2 </w:t>
            </w:r>
            <w:r>
              <w:t>节</w:t>
            </w:r>
            <w:r>
              <w:rPr>
                <w:spacing w:val="52"/>
              </w:rPr>
              <w:t xml:space="preserve"> </w:t>
            </w:r>
            <w:r>
              <w:t>招标项目专用合同条款数据</w:t>
            </w:r>
            <w:r>
              <w:rPr>
                <w:spacing w:val="-10"/>
              </w:rPr>
              <w:t>表</w:t>
            </w:r>
            <w:r>
              <w:rPr>
                <w:rFonts w:ascii="Times New Roman" w:eastAsia="Times New Roman"/>
                <w:b w:val="0"/>
              </w:rPr>
              <w:tab/>
            </w:r>
            <w:r>
              <w:rPr>
                <w:rFonts w:ascii="Times New Roman" w:eastAsia="Times New Roman"/>
                <w:spacing w:val="-5"/>
              </w:rPr>
              <w:t>16</w:t>
            </w:r>
          </w:hyperlink>
        </w:p>
        <w:p>
          <w:pPr>
            <w:pStyle w:val="TOC2"/>
            <w:tabs>
              <w:tab w:val="right" w:leader="dot" w:pos="9518"/>
            </w:tabs>
            <w:rPr>
              <w:rFonts w:ascii="Times New Roman" w:eastAsia="Times New Roman"/>
            </w:rPr>
          </w:pPr>
          <w:hyperlink w:anchor="_TOC_250009" w:history="1">
            <w:r>
              <w:t xml:space="preserve">第 </w:t>
            </w:r>
            <w:r>
              <w:rPr>
                <w:rFonts w:ascii="Times New Roman" w:eastAsia="Times New Roman"/>
              </w:rPr>
              <w:t xml:space="preserve">3 </w:t>
            </w:r>
            <w:r>
              <w:t>节</w:t>
            </w:r>
            <w:r>
              <w:rPr>
                <w:spacing w:val="52"/>
              </w:rPr>
              <w:t xml:space="preserve"> </w:t>
            </w:r>
            <w:r>
              <w:t>合同条</w:t>
            </w:r>
            <w:r>
              <w:rPr>
                <w:spacing w:val="-10"/>
              </w:rPr>
              <w:t>款</w:t>
            </w:r>
            <w:r>
              <w:rPr>
                <w:rFonts w:ascii="Times New Roman" w:eastAsia="Times New Roman"/>
                <w:b w:val="0"/>
              </w:rPr>
              <w:tab/>
            </w:r>
            <w:r>
              <w:rPr>
                <w:rFonts w:ascii="Times New Roman" w:eastAsia="Times New Roman"/>
                <w:spacing w:val="-5"/>
              </w:rPr>
              <w:t>17</w:t>
            </w:r>
          </w:hyperlink>
        </w:p>
        <w:p>
          <w:pPr>
            <w:pStyle w:val="TOC2"/>
            <w:tabs>
              <w:tab w:val="right" w:leader="dot" w:pos="9518"/>
            </w:tabs>
            <w:rPr>
              <w:rFonts w:ascii="Times New Roman" w:eastAsia="Times New Roman" w:hAnsi="Times New Roman"/>
            </w:rPr>
          </w:pPr>
          <w:hyperlink w:anchor="_TOC_250008" w:history="1">
            <w:r>
              <w:t>“合同条款”内容见设计招标文件《通用本</w:t>
            </w:r>
            <w:r>
              <w:rPr>
                <w:spacing w:val="-10"/>
              </w:rPr>
              <w:t>》</w:t>
            </w:r>
            <w:r>
              <w:rPr>
                <w:rFonts w:ascii="Times New Roman" w:eastAsia="Times New Roman" w:hAnsi="Times New Roman"/>
                <w:b w:val="0"/>
              </w:rPr>
              <w:tab/>
            </w:r>
            <w:r>
              <w:rPr>
                <w:rFonts w:ascii="Times New Roman" w:eastAsia="Times New Roman" w:hAnsi="Times New Roman"/>
                <w:spacing w:val="-5"/>
              </w:rPr>
              <w:t>17</w:t>
            </w:r>
          </w:hyperlink>
        </w:p>
        <w:p>
          <w:pPr>
            <w:pStyle w:val="TOC2"/>
            <w:tabs>
              <w:tab w:val="right" w:leader="dot" w:pos="9518"/>
            </w:tabs>
            <w:spacing w:line="337" w:lineRule="exact"/>
            <w:rPr>
              <w:rFonts w:ascii="Times New Roman" w:eastAsia="Times New Roman"/>
            </w:rPr>
          </w:pPr>
          <w:hyperlink w:anchor="_TOC_250007" w:history="1">
            <w:r>
              <w:t>补充条款</w:t>
            </w:r>
            <w:r>
              <w:rPr>
                <w:spacing w:val="-10"/>
              </w:rPr>
              <w:t>：</w:t>
            </w:r>
            <w:r>
              <w:rPr>
                <w:rFonts w:ascii="Times New Roman" w:eastAsia="Times New Roman"/>
                <w:b w:val="0"/>
              </w:rPr>
              <w:tab/>
            </w:r>
            <w:r>
              <w:rPr>
                <w:rFonts w:ascii="Times New Roman" w:eastAsia="Times New Roman"/>
                <w:spacing w:val="-5"/>
              </w:rPr>
              <w:t>17</w:t>
            </w:r>
          </w:hyperlink>
        </w:p>
        <w:p>
          <w:pPr>
            <w:pStyle w:val="TOC1"/>
            <w:tabs>
              <w:tab w:val="right" w:leader="dot" w:pos="9517"/>
            </w:tabs>
            <w:spacing w:line="418" w:lineRule="exact"/>
            <w:rPr>
              <w:rFonts w:ascii="Times New Roman" w:eastAsia="Times New Roman"/>
            </w:rPr>
          </w:pPr>
          <w:hyperlink w:anchor="_TOC_250006" w:history="1">
            <w:r>
              <w:t xml:space="preserve">第 </w:t>
            </w:r>
            <w:r>
              <w:rPr>
                <w:rFonts w:ascii="Times New Roman" w:eastAsia="Times New Roman"/>
              </w:rPr>
              <w:t xml:space="preserve">5 </w:t>
            </w:r>
            <w:r>
              <w:rPr>
                <w:spacing w:val="59"/>
              </w:rPr>
              <w:t>章</w:t>
            </w:r>
            <w:r>
              <w:t>技术标准和设计要</w:t>
            </w:r>
            <w:r>
              <w:rPr>
                <w:spacing w:val="-10"/>
              </w:rPr>
              <w:t>求</w:t>
            </w:r>
            <w:r>
              <w:rPr>
                <w:rFonts w:ascii="Times New Roman" w:eastAsia="Times New Roman"/>
                <w:b w:val="0"/>
              </w:rPr>
              <w:tab/>
            </w:r>
            <w:r>
              <w:rPr>
                <w:rFonts w:ascii="Times New Roman" w:eastAsia="Times New Roman"/>
                <w:spacing w:val="-5"/>
              </w:rPr>
              <w:t>18</w:t>
            </w:r>
          </w:hyperlink>
        </w:p>
        <w:p>
          <w:pPr>
            <w:pStyle w:val="TOC2"/>
            <w:tabs>
              <w:tab w:val="right" w:leader="dot" w:pos="9518"/>
            </w:tabs>
            <w:spacing w:line="338" w:lineRule="exact"/>
            <w:rPr>
              <w:rFonts w:ascii="Times New Roman" w:eastAsia="Times New Roman"/>
            </w:rPr>
          </w:pPr>
          <w:hyperlink w:anchor="_TOC_250005" w:history="1">
            <w:r>
              <w:t>第</w:t>
            </w:r>
            <w:r>
              <w:rPr>
                <w:spacing w:val="-5"/>
              </w:rPr>
              <w:t xml:space="preserve"> </w:t>
            </w:r>
            <w:r>
              <w:t>1</w:t>
            </w:r>
            <w:r>
              <w:rPr>
                <w:spacing w:val="-5"/>
              </w:rPr>
              <w:t xml:space="preserve"> </w:t>
            </w:r>
            <w:r>
              <w:t>节</w:t>
            </w:r>
            <w:r>
              <w:rPr>
                <w:spacing w:val="58"/>
              </w:rPr>
              <w:t xml:space="preserve"> </w:t>
            </w:r>
            <w:r>
              <w:t>工程概</w:t>
            </w:r>
            <w:r>
              <w:rPr>
                <w:spacing w:val="-10"/>
              </w:rPr>
              <w:t>况</w:t>
            </w:r>
            <w:r>
              <w:rPr>
                <w:rFonts w:ascii="Times New Roman" w:eastAsia="Times New Roman"/>
                <w:b w:val="0"/>
              </w:rPr>
              <w:tab/>
            </w:r>
            <w:r>
              <w:rPr>
                <w:rFonts w:ascii="Times New Roman" w:eastAsia="Times New Roman"/>
                <w:spacing w:val="-5"/>
              </w:rPr>
              <w:t>18</w:t>
            </w:r>
          </w:hyperlink>
        </w:p>
        <w:p>
          <w:pPr>
            <w:pStyle w:val="TOC2"/>
            <w:tabs>
              <w:tab w:val="right" w:leader="dot" w:pos="9518"/>
            </w:tabs>
            <w:rPr>
              <w:rFonts w:ascii="Times New Roman" w:eastAsia="Times New Roman" w:hAnsi="Times New Roman"/>
            </w:rPr>
          </w:pPr>
          <w:hyperlink w:anchor="_TOC_250004" w:history="1">
            <w:r>
              <w:t>“工程概况”内容见设计招标文件《通用本</w:t>
            </w:r>
            <w:r>
              <w:rPr>
                <w:spacing w:val="-10"/>
              </w:rPr>
              <w:t>》</w:t>
            </w:r>
            <w:r>
              <w:rPr>
                <w:rFonts w:ascii="Times New Roman" w:eastAsia="Times New Roman" w:hAnsi="Times New Roman"/>
                <w:b w:val="0"/>
              </w:rPr>
              <w:tab/>
            </w:r>
            <w:r>
              <w:rPr>
                <w:rFonts w:ascii="Times New Roman" w:eastAsia="Times New Roman" w:hAnsi="Times New Roman"/>
                <w:spacing w:val="-5"/>
              </w:rPr>
              <w:t>18</w:t>
            </w:r>
          </w:hyperlink>
        </w:p>
        <w:p>
          <w:pPr>
            <w:pStyle w:val="TOC2"/>
            <w:tabs>
              <w:tab w:val="right" w:leader="dot" w:pos="9518"/>
            </w:tabs>
            <w:rPr>
              <w:rFonts w:ascii="Times New Roman" w:eastAsia="Times New Roman"/>
            </w:rPr>
          </w:pPr>
          <w:r>
            <w:t xml:space="preserve">第 </w:t>
          </w:r>
          <w:r>
            <w:rPr>
              <w:rFonts w:ascii="Times New Roman" w:eastAsia="Times New Roman"/>
            </w:rPr>
            <w:t xml:space="preserve">2 </w:t>
          </w:r>
          <w:r>
            <w:t>节</w:t>
          </w:r>
          <w:r>
            <w:rPr>
              <w:spacing w:val="52"/>
            </w:rPr>
            <w:t xml:space="preserve"> </w:t>
          </w:r>
          <w:r>
            <w:t>设计任务</w:t>
          </w:r>
          <w:r>
            <w:rPr>
              <w:spacing w:val="-10"/>
            </w:rPr>
            <w:t>书</w:t>
          </w:r>
          <w:r>
            <w:rPr>
              <w:rFonts w:ascii="Times New Roman" w:eastAsia="Times New Roman"/>
              <w:b w:val="0"/>
            </w:rPr>
            <w:tab/>
          </w:r>
          <w:r>
            <w:rPr>
              <w:rFonts w:ascii="Times New Roman" w:eastAsia="Times New Roman"/>
              <w:spacing w:val="-5"/>
            </w:rPr>
            <w:t>19</w:t>
          </w:r>
        </w:p>
        <w:p>
          <w:pPr>
            <w:pStyle w:val="TOC2"/>
            <w:tabs>
              <w:tab w:val="right" w:leader="dot" w:pos="9518"/>
            </w:tabs>
            <w:spacing w:line="349" w:lineRule="exact"/>
            <w:rPr>
              <w:rFonts w:ascii="Times New Roman" w:eastAsia="Times New Roman"/>
            </w:rPr>
          </w:pPr>
          <w:r>
            <w:t xml:space="preserve">第 </w:t>
          </w:r>
          <w:r>
            <w:rPr>
              <w:rFonts w:ascii="Times New Roman" w:eastAsia="Times New Roman"/>
            </w:rPr>
            <w:t xml:space="preserve">3 </w:t>
          </w:r>
          <w:r>
            <w:t>节</w:t>
          </w:r>
          <w:r>
            <w:rPr>
              <w:spacing w:val="52"/>
            </w:rPr>
            <w:t xml:space="preserve"> </w:t>
          </w:r>
          <w:r>
            <w:t>设计服务要</w:t>
          </w:r>
          <w:r>
            <w:rPr>
              <w:spacing w:val="-10"/>
            </w:rPr>
            <w:t>求</w:t>
          </w:r>
          <w:r>
            <w:rPr>
              <w:rFonts w:ascii="Times New Roman" w:eastAsia="Times New Roman"/>
              <w:b w:val="0"/>
            </w:rPr>
            <w:tab/>
          </w:r>
          <w:r>
            <w:rPr>
              <w:rFonts w:ascii="Times New Roman" w:eastAsia="Times New Roman"/>
              <w:spacing w:val="-5"/>
            </w:rPr>
            <w:t>21</w:t>
          </w:r>
        </w:p>
        <w:p>
          <w:pPr>
            <w:pStyle w:val="TOC2"/>
            <w:tabs>
              <w:tab w:val="right" w:leader="dot" w:pos="9527"/>
            </w:tabs>
            <w:spacing w:before="3" w:line="240" w:lineRule="auto"/>
            <w:ind w:left="1039"/>
            <w:rPr>
              <w:rFonts w:ascii="Times New Roman" w:eastAsia="Times New Roman"/>
            </w:rPr>
          </w:pPr>
          <w:r>
            <w:rPr>
              <w:spacing w:val="28"/>
            </w:rPr>
            <w:t>第</w:t>
          </w:r>
          <w:r>
            <w:rPr>
              <w:rFonts w:ascii="Times New Roman" w:eastAsia="Times New Roman"/>
            </w:rPr>
            <w:t>4</w:t>
          </w:r>
          <w:r>
            <w:rPr>
              <w:rFonts w:ascii="Times New Roman" w:eastAsia="Times New Roman"/>
              <w:spacing w:val="-25"/>
            </w:rPr>
            <w:t xml:space="preserve"> </w:t>
          </w:r>
          <w:r>
            <w:t>节</w:t>
          </w:r>
          <w:r>
            <w:rPr>
              <w:spacing w:val="52"/>
            </w:rPr>
            <w:t xml:space="preserve"> </w:t>
          </w:r>
          <w:r>
            <w:t>工程勘察要</w:t>
          </w:r>
          <w:r>
            <w:rPr>
              <w:spacing w:val="-10"/>
            </w:rPr>
            <w:t>求</w:t>
          </w:r>
          <w:r>
            <w:rPr>
              <w:rFonts w:ascii="Times New Roman" w:eastAsia="Times New Roman"/>
              <w:b w:val="0"/>
            </w:rPr>
            <w:tab/>
          </w:r>
          <w:r>
            <w:rPr>
              <w:rFonts w:ascii="Times New Roman" w:eastAsia="Times New Roman"/>
              <w:spacing w:val="-5"/>
            </w:rPr>
            <w:t>29</w:t>
          </w:r>
        </w:p>
        <w:p>
          <w:pPr>
            <w:pStyle w:val="TOC3"/>
            <w:tabs>
              <w:tab w:val="right" w:leader="dot" w:pos="9517"/>
            </w:tabs>
            <w:rPr>
              <w:rFonts w:ascii="Times New Roman" w:eastAsia="Times New Roman"/>
              <w:b w:val="0"/>
              <w:i w:val="0"/>
              <w:sz w:val="21"/>
            </w:rPr>
          </w:pPr>
          <w:r>
            <w:rPr>
              <w:i w:val="0"/>
              <w:sz w:val="21"/>
            </w:rPr>
            <w:t xml:space="preserve">第 </w:t>
          </w:r>
          <w:r>
            <w:rPr>
              <w:rFonts w:ascii="Times New Roman" w:eastAsia="Times New Roman"/>
              <w:i w:val="0"/>
              <w:sz w:val="21"/>
            </w:rPr>
            <w:t xml:space="preserve">5 </w:t>
          </w:r>
          <w:r>
            <w:rPr>
              <w:i w:val="0"/>
              <w:sz w:val="21"/>
            </w:rPr>
            <w:t>节</w:t>
          </w:r>
          <w:r>
            <w:rPr>
              <w:i w:val="0"/>
              <w:spacing w:val="52"/>
              <w:sz w:val="21"/>
            </w:rPr>
            <w:t xml:space="preserve"> </w:t>
          </w:r>
          <w:r>
            <w:rPr>
              <w:i w:val="0"/>
              <w:sz w:val="21"/>
            </w:rPr>
            <w:t>其他要</w:t>
          </w:r>
          <w:r>
            <w:rPr>
              <w:i w:val="0"/>
              <w:spacing w:val="-10"/>
              <w:sz w:val="21"/>
            </w:rPr>
            <w:t>求</w:t>
          </w:r>
          <w:r>
            <w:rPr>
              <w:rFonts w:ascii="Times New Roman" w:eastAsia="Times New Roman"/>
              <w:b w:val="0"/>
              <w:i w:val="0"/>
              <w:sz w:val="21"/>
            </w:rPr>
            <w:tab/>
          </w:r>
          <w:r>
            <w:rPr>
              <w:rFonts w:ascii="Times New Roman" w:eastAsia="Times New Roman"/>
              <w:b w:val="0"/>
              <w:i w:val="0"/>
              <w:spacing w:val="-5"/>
              <w:sz w:val="21"/>
            </w:rPr>
            <w:t>30</w:t>
          </w:r>
        </w:p>
        <w:p>
          <w:pPr>
            <w:pStyle w:val="TOC1"/>
            <w:tabs>
              <w:tab w:val="right" w:leader="dot" w:pos="9517"/>
            </w:tabs>
            <w:spacing w:before="53"/>
            <w:rPr>
              <w:rFonts w:ascii="Times New Roman" w:eastAsia="Times New Roman"/>
            </w:rPr>
          </w:pPr>
          <w:hyperlink w:anchor="_TOC_250003" w:history="1">
            <w:r>
              <w:t>第</w:t>
            </w:r>
            <w:r>
              <w:rPr>
                <w:spacing w:val="-13"/>
              </w:rPr>
              <w:t xml:space="preserve"> </w:t>
            </w:r>
            <w:r>
              <w:t>6</w:t>
            </w:r>
            <w:r>
              <w:rPr>
                <w:spacing w:val="-12"/>
              </w:rPr>
              <w:t xml:space="preserve"> </w:t>
            </w:r>
            <w:r>
              <w:t>章设计有关资</w:t>
            </w:r>
            <w:r>
              <w:rPr>
                <w:spacing w:val="-10"/>
              </w:rPr>
              <w:t>料</w:t>
            </w:r>
            <w:r>
              <w:rPr>
                <w:rFonts w:ascii="Times New Roman" w:eastAsia="Times New Roman"/>
                <w:b w:val="0"/>
              </w:rPr>
              <w:tab/>
            </w:r>
            <w:r>
              <w:rPr>
                <w:rFonts w:ascii="Times New Roman" w:eastAsia="Times New Roman"/>
                <w:spacing w:val="-5"/>
              </w:rPr>
              <w:t>23</w:t>
            </w:r>
          </w:hyperlink>
        </w:p>
        <w:p>
          <w:pPr>
            <w:pStyle w:val="TOC1"/>
            <w:tabs>
              <w:tab w:val="right" w:leader="dot" w:pos="9517"/>
            </w:tabs>
            <w:spacing w:before="27"/>
            <w:rPr>
              <w:rFonts w:ascii="Times New Roman" w:eastAsia="Times New Roman"/>
            </w:rPr>
          </w:pPr>
          <w:hyperlink w:anchor="_TOC_250002" w:history="1">
            <w:r>
              <w:t xml:space="preserve">第 </w:t>
            </w:r>
            <w:r>
              <w:rPr>
                <w:rFonts w:ascii="Times New Roman" w:eastAsia="Times New Roman"/>
              </w:rPr>
              <w:t xml:space="preserve">7 </w:t>
            </w:r>
            <w:r>
              <w:rPr>
                <w:spacing w:val="59"/>
              </w:rPr>
              <w:t>章</w:t>
            </w:r>
            <w:r>
              <w:t>投标文件格</w:t>
            </w:r>
            <w:r>
              <w:rPr>
                <w:spacing w:val="-10"/>
              </w:rPr>
              <w:t>式</w:t>
            </w:r>
            <w:r>
              <w:rPr>
                <w:rFonts w:ascii="Times New Roman" w:eastAsia="Times New Roman"/>
                <w:b w:val="0"/>
              </w:rPr>
              <w:tab/>
            </w:r>
            <w:r>
              <w:rPr>
                <w:rFonts w:ascii="Times New Roman" w:eastAsia="Times New Roman"/>
                <w:spacing w:val="-5"/>
              </w:rPr>
              <w:t>24</w:t>
            </w:r>
          </w:hyperlink>
        </w:p>
        <w:p>
          <w:pPr>
            <w:pStyle w:val="TOC1"/>
            <w:tabs>
              <w:tab w:val="left" w:pos="1349"/>
              <w:tab w:val="right" w:leader="dot" w:pos="9517"/>
            </w:tabs>
            <w:spacing w:before="27" w:line="430" w:lineRule="exact"/>
            <w:rPr>
              <w:rFonts w:ascii="Times New Roman" w:eastAsia="Times New Roman"/>
            </w:rPr>
          </w:pPr>
          <w:hyperlink w:anchor="_TOC_250001" w:history="1">
            <w:r>
              <w:t>附</w:t>
            </w:r>
            <w:r>
              <w:rPr>
                <w:spacing w:val="-10"/>
              </w:rPr>
              <w:t>录</w:t>
            </w:r>
            <w:r>
              <w:tab/>
              <w:t>通用本文件内容补正</w:t>
            </w:r>
            <w:r>
              <w:rPr>
                <w:spacing w:val="-10"/>
              </w:rPr>
              <w:t>表</w:t>
            </w:r>
            <w:r>
              <w:rPr>
                <w:rFonts w:ascii="Times New Roman" w:eastAsia="Times New Roman"/>
                <w:b w:val="0"/>
              </w:rPr>
              <w:tab/>
            </w:r>
            <w:r>
              <w:rPr>
                <w:rFonts w:ascii="Times New Roman" w:eastAsia="Times New Roman"/>
                <w:spacing w:val="-5"/>
              </w:rPr>
              <w:t>24</w:t>
            </w:r>
          </w:hyperlink>
        </w:p>
        <w:p>
          <w:pPr>
            <w:pStyle w:val="TOC2"/>
            <w:tabs>
              <w:tab w:val="right" w:leader="dot" w:pos="9518"/>
            </w:tabs>
            <w:spacing w:line="375" w:lineRule="exact"/>
            <w:rPr>
              <w:rFonts w:ascii="Times New Roman" w:eastAsia="Times New Roman" w:hAnsi="Times New Roman"/>
            </w:rPr>
          </w:pPr>
          <w:hyperlink w:anchor="_TOC_250000" w:history="1">
            <w:r>
              <w:t>“通用本文件内容补正表”内容见招标文件《专用本</w:t>
            </w:r>
            <w:r>
              <w:rPr>
                <w:spacing w:val="-10"/>
              </w:rPr>
              <w:t>》</w:t>
            </w:r>
            <w:r>
              <w:rPr>
                <w:rFonts w:ascii="Times New Roman" w:eastAsia="Times New Roman" w:hAnsi="Times New Roman"/>
                <w:b w:val="0"/>
              </w:rPr>
              <w:tab/>
            </w:r>
            <w:r>
              <w:rPr>
                <w:rFonts w:ascii="Times New Roman" w:eastAsia="Times New Roman" w:hAnsi="Times New Roman"/>
                <w:spacing w:val="-5"/>
              </w:rPr>
              <w:t>24</w:t>
            </w:r>
          </w:hyperlink>
        </w:p>
      </w:sdtContent>
    </w:sdt>
    <w:p>
      <w:pPr>
        <w:spacing w:after="0" w:line="375" w:lineRule="exact"/>
        <w:rPr>
          <w:rFonts w:ascii="Times New Roman" w:eastAsia="Times New Roman" w:hAnsi="Times New Roman"/>
        </w:rPr>
        <w:sectPr>
          <w:headerReference w:type="even" r:id="rId12"/>
          <w:headerReference w:type="default" r:id="rId13"/>
          <w:footerReference w:type="even" r:id="rId14"/>
          <w:footerReference w:type="default" r:id="rId15"/>
          <w:pgSz w:w="11910" w:h="16840"/>
          <w:pgMar w:top="1380" w:right="800" w:bottom="1200" w:left="960" w:header="971" w:footer="1002"/>
          <w:pgNumType w:start="7"/>
          <w:cols w:space="708"/>
        </w:sectPr>
      </w:pPr>
    </w:p>
    <w:p>
      <w:pPr>
        <w:pStyle w:val="Heading2"/>
        <w:spacing w:line="756" w:lineRule="exact"/>
        <w:ind w:left="426" w:right="1226"/>
        <w:rPr>
          <w:rFonts w:ascii="微软雅黑" w:eastAsia="微软雅黑"/>
        </w:rPr>
      </w:pPr>
      <w:bookmarkStart w:id="0" w:name="_TOC_250023"/>
      <w:r>
        <w:rPr>
          <w:rFonts w:ascii="微软雅黑" w:eastAsia="微软雅黑"/>
          <w:spacing w:val="-10"/>
        </w:rPr>
        <w:t xml:space="preserve">第 </w:t>
      </w:r>
      <w:r>
        <w:rPr>
          <w:rFonts w:ascii="Times New Roman" w:eastAsia="Times New Roman"/>
        </w:rPr>
        <w:t>1</w:t>
      </w:r>
      <w:r>
        <w:rPr>
          <w:rFonts w:ascii="Times New Roman" w:eastAsia="Times New Roman"/>
          <w:spacing w:val="1"/>
        </w:rPr>
        <w:t xml:space="preserve"> </w:t>
      </w:r>
      <w:r>
        <w:rPr>
          <w:rFonts w:ascii="微软雅黑" w:eastAsia="微软雅黑"/>
        </w:rPr>
        <w:t>章</w:t>
      </w:r>
      <w:r>
        <w:rPr>
          <w:rFonts w:ascii="微软雅黑" w:eastAsia="微软雅黑"/>
          <w:spacing w:val="26"/>
          <w:w w:val="150"/>
        </w:rPr>
        <w:t xml:space="preserve"> </w:t>
      </w:r>
      <w:bookmarkEnd w:id="0"/>
      <w:r>
        <w:rPr>
          <w:rFonts w:ascii="微软雅黑" w:eastAsia="微软雅黑"/>
          <w:spacing w:val="-3"/>
        </w:rPr>
        <w:t>招标公告</w:t>
      </w:r>
    </w:p>
    <w:p>
      <w:pPr>
        <w:pStyle w:val="ListParagraph"/>
        <w:numPr>
          <w:ilvl w:val="0"/>
          <w:numId w:val="30"/>
        </w:numPr>
        <w:tabs>
          <w:tab w:val="left" w:pos="1137"/>
          <w:tab w:val="left" w:pos="1138"/>
        </w:tabs>
        <w:spacing w:before="11" w:after="0" w:line="426" w:lineRule="exact"/>
        <w:ind w:left="1138" w:right="0" w:hanging="510"/>
        <w:jc w:val="left"/>
        <w:rPr>
          <w:rFonts w:ascii="微软雅黑" w:eastAsia="微软雅黑"/>
          <w:b/>
          <w:sz w:val="24"/>
        </w:rPr>
      </w:pPr>
      <w:r>
        <w:rPr>
          <w:rFonts w:ascii="微软雅黑" w:eastAsia="微软雅黑"/>
          <w:b/>
          <w:spacing w:val="-3"/>
          <w:sz w:val="24"/>
        </w:rPr>
        <w:t>招标条件</w:t>
      </w:r>
    </w:p>
    <w:p>
      <w:pPr>
        <w:spacing w:before="0" w:line="265" w:lineRule="exact"/>
        <w:ind w:left="1128" w:right="0" w:firstLine="0"/>
        <w:jc w:val="both"/>
        <w:rPr>
          <w:sz w:val="22"/>
        </w:rPr>
      </w:pPr>
      <w:r>
        <w:rPr>
          <w:rFonts w:ascii="Times New Roman" w:eastAsia="Times New Roman"/>
          <w:spacing w:val="61"/>
          <w:sz w:val="22"/>
          <w:u w:val="single"/>
        </w:rPr>
        <w:t xml:space="preserve"> </w:t>
      </w:r>
      <w:r>
        <w:rPr>
          <w:spacing w:val="1"/>
          <w:sz w:val="22"/>
          <w:u w:val="single"/>
        </w:rPr>
        <w:t xml:space="preserve">福建省莆田市技工学校 </w:t>
      </w:r>
      <w:r>
        <w:rPr>
          <w:sz w:val="22"/>
        </w:rPr>
        <w:t>拟建</w:t>
      </w:r>
      <w:r>
        <w:rPr>
          <w:sz w:val="22"/>
          <w:u w:val="single"/>
        </w:rPr>
        <w:t>福建省莆田市技工学校教学楼勘察、设计（重新招标）</w:t>
      </w:r>
      <w:r>
        <w:rPr>
          <w:spacing w:val="-10"/>
          <w:sz w:val="22"/>
        </w:rPr>
        <w:t>项</w:t>
      </w:r>
    </w:p>
    <w:p>
      <w:pPr>
        <w:spacing w:before="18" w:line="254" w:lineRule="auto"/>
        <w:ind w:left="628" w:right="615" w:firstLine="0"/>
        <w:jc w:val="both"/>
        <w:rPr>
          <w:sz w:val="22"/>
        </w:rPr>
      </w:pPr>
      <w:r>
        <w:rPr>
          <w:sz w:val="22"/>
        </w:rPr>
        <w:t>目已批准建设，项目业主为</w:t>
      </w:r>
      <w:r>
        <w:rPr>
          <w:spacing w:val="-3"/>
          <w:sz w:val="22"/>
          <w:u w:val="single"/>
        </w:rPr>
        <w:t xml:space="preserve">福建省莆田市技工学校 </w:t>
      </w:r>
      <w:r>
        <w:rPr>
          <w:sz w:val="22"/>
        </w:rPr>
        <w:t>，建设资金来自</w:t>
      </w:r>
      <w:r>
        <w:rPr>
          <w:color w:val="FF0000"/>
          <w:sz w:val="22"/>
          <w:u w:val="single" w:color="FF0000"/>
        </w:rPr>
        <w:t>财政拨款</w:t>
      </w:r>
      <w:r>
        <w:rPr>
          <w:sz w:val="22"/>
        </w:rPr>
        <w:t>，委托的招标代</w:t>
      </w:r>
      <w:r>
        <w:rPr>
          <w:spacing w:val="-2"/>
          <w:sz w:val="22"/>
        </w:rPr>
        <w:t>理单位为</w:t>
      </w:r>
      <w:r>
        <w:rPr>
          <w:spacing w:val="-2"/>
          <w:sz w:val="22"/>
          <w:u w:val="single"/>
        </w:rPr>
        <w:t>福建省仟羽工程咨询有限公司</w:t>
      </w:r>
      <w:r>
        <w:rPr>
          <w:spacing w:val="-2"/>
          <w:sz w:val="22"/>
        </w:rPr>
        <w:t>。现决定对该项目的</w:t>
      </w:r>
      <w:r>
        <w:rPr>
          <w:rFonts w:ascii="Times New Roman" w:eastAsia="Times New Roman"/>
          <w:spacing w:val="7"/>
          <w:sz w:val="22"/>
          <w:u w:val="single"/>
        </w:rPr>
        <w:t xml:space="preserve"> </w:t>
      </w:r>
      <w:r>
        <w:rPr>
          <w:spacing w:val="-2"/>
          <w:sz w:val="22"/>
          <w:u w:val="single"/>
        </w:rPr>
        <w:t>勘察、设计</w:t>
      </w:r>
      <w:r>
        <w:rPr>
          <w:spacing w:val="-7"/>
          <w:sz w:val="22"/>
        </w:rPr>
        <w:t xml:space="preserve"> 进行公开招标，选定</w:t>
      </w:r>
      <w:r>
        <w:rPr>
          <w:spacing w:val="-2"/>
          <w:sz w:val="22"/>
        </w:rPr>
        <w:t>设计单位。</w:t>
      </w:r>
    </w:p>
    <w:p>
      <w:pPr>
        <w:pStyle w:val="ListParagraph"/>
        <w:numPr>
          <w:ilvl w:val="0"/>
          <w:numId w:val="30"/>
        </w:numPr>
        <w:tabs>
          <w:tab w:val="left" w:pos="1137"/>
          <w:tab w:val="left" w:pos="1138"/>
        </w:tabs>
        <w:spacing w:before="0" w:after="0" w:line="394" w:lineRule="exact"/>
        <w:ind w:left="1138" w:right="0" w:hanging="510"/>
        <w:jc w:val="left"/>
        <w:rPr>
          <w:rFonts w:ascii="微软雅黑" w:eastAsia="微软雅黑"/>
          <w:b/>
          <w:sz w:val="24"/>
        </w:rPr>
      </w:pPr>
      <w:r>
        <w:rPr>
          <w:rFonts w:ascii="微软雅黑" w:eastAsia="微软雅黑"/>
          <w:b/>
          <w:spacing w:val="-3"/>
          <w:sz w:val="24"/>
        </w:rPr>
        <w:t>项目概况</w:t>
      </w:r>
    </w:p>
    <w:p>
      <w:pPr>
        <w:pStyle w:val="ListParagraph"/>
        <w:numPr>
          <w:ilvl w:val="1"/>
          <w:numId w:val="30"/>
        </w:numPr>
        <w:tabs>
          <w:tab w:val="left" w:pos="1196"/>
        </w:tabs>
        <w:spacing w:before="0" w:after="0" w:line="305" w:lineRule="exact"/>
        <w:ind w:left="1195" w:right="0" w:hanging="568"/>
        <w:jc w:val="both"/>
        <w:rPr>
          <w:sz w:val="24"/>
        </w:rPr>
      </w:pPr>
      <w:r>
        <w:rPr>
          <w:spacing w:val="-2"/>
          <w:sz w:val="24"/>
        </w:rPr>
        <w:t>项目名称：</w:t>
      </w:r>
      <w:r>
        <w:rPr>
          <w:spacing w:val="-2"/>
          <w:sz w:val="24"/>
          <w:u w:val="single"/>
        </w:rPr>
        <w:t>福建省莆田市技工学校教学楼勘察、设计（重新招标</w:t>
      </w:r>
      <w:r>
        <w:rPr>
          <w:spacing w:val="-5"/>
          <w:sz w:val="24"/>
          <w:u w:val="single"/>
        </w:rPr>
        <w:t>）</w:t>
      </w:r>
      <w:r>
        <w:rPr>
          <w:spacing w:val="-5"/>
          <w:sz w:val="24"/>
        </w:rPr>
        <w:t>；</w:t>
      </w:r>
    </w:p>
    <w:p>
      <w:pPr>
        <w:pStyle w:val="ListParagraph"/>
        <w:numPr>
          <w:ilvl w:val="1"/>
          <w:numId w:val="30"/>
        </w:numPr>
        <w:tabs>
          <w:tab w:val="left" w:pos="1196"/>
        </w:tabs>
        <w:spacing w:before="53" w:after="0" w:line="240" w:lineRule="auto"/>
        <w:ind w:left="1195" w:right="0" w:hanging="568"/>
        <w:jc w:val="both"/>
        <w:rPr>
          <w:sz w:val="24"/>
        </w:rPr>
      </w:pPr>
      <w:r>
        <w:rPr>
          <w:spacing w:val="-24"/>
          <w:sz w:val="24"/>
        </w:rPr>
        <w:t>建设地点：</w:t>
      </w:r>
      <w:r>
        <w:rPr>
          <w:rFonts w:ascii="Times New Roman" w:eastAsia="Times New Roman"/>
          <w:spacing w:val="56"/>
          <w:sz w:val="24"/>
          <w:u w:val="single"/>
        </w:rPr>
        <w:t xml:space="preserve"> </w:t>
      </w:r>
      <w:r>
        <w:rPr>
          <w:spacing w:val="-4"/>
          <w:sz w:val="24"/>
          <w:u w:val="single"/>
        </w:rPr>
        <w:t xml:space="preserve">福建省莆田市荔城区西天尾镇后卓村 </w:t>
      </w:r>
      <w:r>
        <w:rPr>
          <w:sz w:val="24"/>
          <w:u w:val="single"/>
        </w:rPr>
        <w:t>4</w:t>
      </w:r>
      <w:r>
        <w:rPr>
          <w:spacing w:val="-92"/>
          <w:sz w:val="24"/>
          <w:u w:val="single"/>
        </w:rPr>
        <w:t xml:space="preserve"> 号</w:t>
      </w:r>
      <w:r>
        <w:rPr>
          <w:sz w:val="24"/>
          <w:u w:val="single"/>
        </w:rPr>
        <w:t>（莆田市技工学校校内）</w:t>
      </w:r>
      <w:r>
        <w:rPr>
          <w:spacing w:val="59"/>
          <w:w w:val="150"/>
          <w:sz w:val="24"/>
          <w:u w:val="single"/>
        </w:rPr>
        <w:t xml:space="preserve"> </w:t>
      </w:r>
      <w:r>
        <w:rPr>
          <w:spacing w:val="-10"/>
          <w:sz w:val="24"/>
        </w:rPr>
        <w:t>；</w:t>
      </w:r>
    </w:p>
    <w:p>
      <w:pPr>
        <w:pStyle w:val="ListParagraph"/>
        <w:numPr>
          <w:ilvl w:val="1"/>
          <w:numId w:val="26"/>
        </w:numPr>
        <w:tabs>
          <w:tab w:val="left" w:pos="1048"/>
        </w:tabs>
        <w:spacing w:before="57" w:after="0" w:line="280" w:lineRule="auto"/>
        <w:ind w:left="628" w:right="615" w:firstLine="0"/>
        <w:jc w:val="both"/>
        <w:rPr>
          <w:sz w:val="24"/>
        </w:rPr>
      </w:pPr>
      <w:r>
        <w:rPr>
          <w:spacing w:val="-2"/>
          <w:sz w:val="24"/>
        </w:rPr>
        <w:t>工程建设规模：</w:t>
      </w:r>
      <w:r>
        <w:rPr>
          <w:spacing w:val="-2"/>
          <w:sz w:val="24"/>
          <w:u w:val="single"/>
        </w:rPr>
        <w:t>总投资额：10200000.00（元），莆田市技工学校教学楼建设工程</w:t>
      </w:r>
      <w:r>
        <w:rPr>
          <w:spacing w:val="40"/>
          <w:sz w:val="24"/>
          <w:u w:val="single"/>
        </w:rPr>
        <w:t xml:space="preserve"> </w:t>
      </w:r>
      <w:r>
        <w:rPr>
          <w:spacing w:val="-14"/>
          <w:sz w:val="24"/>
          <w:u w:val="single"/>
        </w:rPr>
        <w:t xml:space="preserve">拟建 </w:t>
      </w:r>
      <w:r>
        <w:rPr>
          <w:spacing w:val="-12"/>
          <w:sz w:val="24"/>
          <w:u w:val="single"/>
        </w:rPr>
        <w:t>1</w:t>
      </w:r>
      <w:r>
        <w:rPr>
          <w:spacing w:val="-15"/>
          <w:sz w:val="24"/>
          <w:u w:val="single"/>
        </w:rPr>
        <w:t xml:space="preserve"> 幢教学楼，占地面积 </w:t>
      </w:r>
      <w:r>
        <w:rPr>
          <w:spacing w:val="-12"/>
          <w:sz w:val="24"/>
          <w:u w:val="single"/>
        </w:rPr>
        <w:t>620</w:t>
      </w:r>
      <w:r>
        <w:rPr>
          <w:spacing w:val="-15"/>
          <w:sz w:val="24"/>
          <w:u w:val="single"/>
        </w:rPr>
        <w:t xml:space="preserve"> 平方米，总建筑面积 </w:t>
      </w:r>
      <w:r>
        <w:rPr>
          <w:spacing w:val="-12"/>
          <w:sz w:val="24"/>
          <w:u w:val="single"/>
        </w:rPr>
        <w:t>4080</w:t>
      </w:r>
      <w:r>
        <w:rPr>
          <w:spacing w:val="-15"/>
          <w:sz w:val="24"/>
          <w:u w:val="single"/>
        </w:rPr>
        <w:t xml:space="preserve"> 平方米，为 </w:t>
      </w:r>
      <w:r>
        <w:rPr>
          <w:spacing w:val="-12"/>
          <w:sz w:val="24"/>
          <w:u w:val="single"/>
        </w:rPr>
        <w:t>5</w:t>
      </w:r>
      <w:r>
        <w:rPr>
          <w:spacing w:val="-14"/>
          <w:sz w:val="24"/>
          <w:u w:val="single"/>
        </w:rPr>
        <w:t xml:space="preserve"> 层框架结构建</w:t>
      </w:r>
      <w:r>
        <w:rPr>
          <w:spacing w:val="-9"/>
          <w:sz w:val="24"/>
          <w:u w:val="single"/>
        </w:rPr>
        <w:t xml:space="preserve">筑物，其中地下室建筑面积 </w:t>
      </w:r>
      <w:r>
        <w:rPr>
          <w:spacing w:val="-8"/>
          <w:sz w:val="24"/>
          <w:u w:val="single"/>
        </w:rPr>
        <w:t>620</w:t>
      </w:r>
      <w:r>
        <w:rPr>
          <w:spacing w:val="-11"/>
          <w:sz w:val="24"/>
          <w:u w:val="single"/>
        </w:rPr>
        <w:t xml:space="preserve"> 平方米，教学楼建筑面积 </w:t>
      </w:r>
      <w:r>
        <w:rPr>
          <w:spacing w:val="-8"/>
          <w:sz w:val="24"/>
          <w:u w:val="single"/>
        </w:rPr>
        <w:t>3100</w:t>
      </w:r>
      <w:r>
        <w:rPr>
          <w:spacing w:val="-10"/>
          <w:sz w:val="24"/>
          <w:u w:val="single"/>
        </w:rPr>
        <w:t xml:space="preserve"> 平方米，空中连廊建筑</w:t>
      </w:r>
      <w:r>
        <w:rPr>
          <w:spacing w:val="-8"/>
          <w:sz w:val="24"/>
          <w:u w:val="single"/>
        </w:rPr>
        <w:t xml:space="preserve">面积 </w:t>
      </w:r>
      <w:r>
        <w:rPr>
          <w:sz w:val="24"/>
          <w:u w:val="single"/>
        </w:rPr>
        <w:t>360</w:t>
      </w:r>
      <w:r>
        <w:rPr>
          <w:spacing w:val="-6"/>
          <w:sz w:val="24"/>
          <w:u w:val="single"/>
        </w:rPr>
        <w:t xml:space="preserve"> 平方米</w:t>
      </w:r>
      <w:r>
        <w:rPr>
          <w:sz w:val="24"/>
          <w:u w:val="single"/>
        </w:rPr>
        <w:t>（</w:t>
      </w:r>
      <w:r>
        <w:rPr>
          <w:spacing w:val="-3"/>
          <w:sz w:val="24"/>
          <w:u w:val="single"/>
        </w:rPr>
        <w:t xml:space="preserve">实训楼与教学楼 </w:t>
      </w:r>
      <w:r>
        <w:rPr>
          <w:sz w:val="24"/>
          <w:u w:val="single"/>
        </w:rPr>
        <w:t>2-3</w:t>
      </w:r>
      <w:r>
        <w:rPr>
          <w:spacing w:val="-6"/>
          <w:sz w:val="24"/>
          <w:u w:val="single"/>
        </w:rPr>
        <w:t xml:space="preserve"> 层连廊</w:t>
      </w:r>
      <w:r>
        <w:rPr>
          <w:sz w:val="24"/>
          <w:u w:val="single"/>
        </w:rPr>
        <w:t>）；</w:t>
      </w:r>
    </w:p>
    <w:p>
      <w:pPr>
        <w:pStyle w:val="ListParagraph"/>
        <w:numPr>
          <w:ilvl w:val="1"/>
          <w:numId w:val="26"/>
        </w:numPr>
        <w:tabs>
          <w:tab w:val="left" w:pos="1013"/>
        </w:tabs>
        <w:spacing w:before="0" w:after="0" w:line="304" w:lineRule="exact"/>
        <w:ind w:left="1012" w:right="0" w:hanging="385"/>
        <w:jc w:val="both"/>
        <w:rPr>
          <w:sz w:val="22"/>
        </w:rPr>
      </w:pPr>
      <w:r>
        <w:rPr>
          <w:sz w:val="24"/>
        </w:rPr>
        <w:t>招标类型</w:t>
      </w:r>
      <w:r>
        <w:rPr>
          <w:sz w:val="22"/>
        </w:rPr>
        <w:t>：</w:t>
      </w:r>
      <w:r>
        <w:rPr>
          <w:sz w:val="22"/>
          <w:u w:val="single"/>
        </w:rPr>
        <w:t>勘察、设计招标</w:t>
      </w:r>
      <w:r>
        <w:rPr>
          <w:spacing w:val="-10"/>
          <w:sz w:val="22"/>
        </w:rPr>
        <w:t>；</w:t>
      </w:r>
    </w:p>
    <w:p>
      <w:pPr>
        <w:pStyle w:val="ListParagraph"/>
        <w:numPr>
          <w:ilvl w:val="1"/>
          <w:numId w:val="26"/>
        </w:numPr>
        <w:tabs>
          <w:tab w:val="left" w:pos="1048"/>
        </w:tabs>
        <w:spacing w:before="52" w:after="0" w:line="240" w:lineRule="auto"/>
        <w:ind w:left="1048" w:right="0" w:hanging="420"/>
        <w:jc w:val="both"/>
        <w:rPr>
          <w:sz w:val="24"/>
          <w:u w:val="single"/>
        </w:rPr>
      </w:pPr>
      <w:r>
        <w:rPr>
          <w:spacing w:val="-2"/>
          <w:sz w:val="24"/>
          <w:u w:val="single"/>
        </w:rPr>
        <w:t>招标范围和内容：</w:t>
      </w:r>
    </w:p>
    <w:p>
      <w:pPr>
        <w:pStyle w:val="ListParagraph"/>
        <w:numPr>
          <w:ilvl w:val="0"/>
          <w:numId w:val="25"/>
        </w:numPr>
        <w:tabs>
          <w:tab w:val="left" w:pos="1179"/>
        </w:tabs>
        <w:spacing w:before="73" w:after="0" w:line="307" w:lineRule="auto"/>
        <w:ind w:left="628" w:right="615" w:firstLine="0"/>
        <w:jc w:val="left"/>
        <w:rPr>
          <w:sz w:val="22"/>
        </w:rPr>
      </w:pPr>
      <w:r>
        <w:rPr>
          <w:spacing w:val="-2"/>
          <w:sz w:val="22"/>
          <w:u w:val="single"/>
        </w:rPr>
        <w:t>总平、建筑方案、施工图设计（建筑、结构、消防、给排水、暖通、节能等专业）、人</w:t>
      </w:r>
      <w:r>
        <w:rPr>
          <w:spacing w:val="-2"/>
          <w:sz w:val="22"/>
          <w:u w:val="single"/>
        </w:rPr>
        <w:t>防设计及地下室、玻璃幕墙工程、建筑智能化工程；</w:t>
      </w:r>
    </w:p>
    <w:p>
      <w:pPr>
        <w:pStyle w:val="ListParagraph"/>
        <w:numPr>
          <w:ilvl w:val="0"/>
          <w:numId w:val="25"/>
        </w:numPr>
        <w:tabs>
          <w:tab w:val="left" w:pos="1179"/>
        </w:tabs>
        <w:spacing w:before="0" w:after="0" w:line="307" w:lineRule="auto"/>
        <w:ind w:left="628" w:right="505" w:firstLine="0"/>
        <w:jc w:val="left"/>
        <w:rPr>
          <w:sz w:val="22"/>
        </w:rPr>
      </w:pPr>
      <w:r>
        <w:rPr>
          <w:spacing w:val="-2"/>
          <w:sz w:val="22"/>
          <w:u w:val="single"/>
        </w:rPr>
        <w:t>基坑支护设计（含组织基坑支护设计论证、审查，论证和审查费用由建设单位支付）、</w:t>
      </w:r>
      <w:r>
        <w:rPr>
          <w:spacing w:val="17600"/>
          <w:sz w:val="22"/>
          <w:u w:val="single"/>
        </w:rPr>
        <w:t xml:space="preserve"> </w:t>
      </w:r>
      <w:r>
        <w:rPr>
          <w:spacing w:val="-2"/>
          <w:sz w:val="22"/>
          <w:u w:val="single"/>
        </w:rPr>
        <w:t>配套工程设计（雨污水管网、大门及围墙、照明、小区道路、广场、停车场、给排水、供电、</w:t>
      </w:r>
      <w:r>
        <w:rPr>
          <w:spacing w:val="-2"/>
          <w:sz w:val="22"/>
          <w:u w:val="single"/>
        </w:rPr>
        <w:t>消防、绿化、环保等项目区内所有相关配套项目工程）；</w:t>
      </w:r>
    </w:p>
    <w:p>
      <w:pPr>
        <w:pStyle w:val="ListParagraph"/>
        <w:numPr>
          <w:ilvl w:val="0"/>
          <w:numId w:val="25"/>
        </w:numPr>
        <w:tabs>
          <w:tab w:val="left" w:pos="1179"/>
        </w:tabs>
        <w:spacing w:before="0" w:after="0" w:line="279" w:lineRule="exact"/>
        <w:ind w:left="1179" w:right="0" w:hanging="551"/>
        <w:jc w:val="left"/>
        <w:rPr>
          <w:sz w:val="22"/>
        </w:rPr>
      </w:pPr>
      <w:r>
        <w:rPr>
          <w:spacing w:val="-1"/>
          <w:sz w:val="22"/>
          <w:u w:val="single"/>
        </w:rPr>
        <w:t>专业深化设计及预算编制文件、设计修改；</w:t>
      </w:r>
    </w:p>
    <w:p>
      <w:pPr>
        <w:pStyle w:val="ListParagraph"/>
        <w:numPr>
          <w:ilvl w:val="0"/>
          <w:numId w:val="25"/>
        </w:numPr>
        <w:tabs>
          <w:tab w:val="left" w:pos="1179"/>
        </w:tabs>
        <w:spacing w:before="76" w:after="0" w:line="240" w:lineRule="auto"/>
        <w:ind w:left="1179" w:right="0" w:hanging="551"/>
        <w:jc w:val="left"/>
        <w:rPr>
          <w:sz w:val="22"/>
        </w:rPr>
      </w:pPr>
      <w:r>
        <w:rPr>
          <w:spacing w:val="-1"/>
          <w:sz w:val="22"/>
          <w:u w:val="single"/>
        </w:rPr>
        <w:t>上述设计内容的施工期现场指导与监督、后续服务等。</w:t>
      </w:r>
    </w:p>
    <w:p>
      <w:pPr>
        <w:spacing w:before="78"/>
        <w:ind w:left="628" w:right="0" w:firstLine="0"/>
        <w:jc w:val="left"/>
        <w:rPr>
          <w:sz w:val="22"/>
        </w:rPr>
      </w:pPr>
      <w:r>
        <w:rPr>
          <w:spacing w:val="-1"/>
          <w:sz w:val="22"/>
          <w:u w:val="single"/>
        </w:rPr>
        <w:t>完成相应设计阶段的工程地质勘探和工程地形测量工作，并完成施工阶段及后续服务工作。</w:t>
      </w:r>
    </w:p>
    <w:p>
      <w:pPr>
        <w:spacing w:before="8"/>
        <w:ind w:left="628" w:right="0" w:firstLine="0"/>
        <w:jc w:val="left"/>
        <w:rPr>
          <w:rFonts w:ascii="微软雅黑" w:eastAsia="微软雅黑"/>
          <w:b/>
          <w:sz w:val="22"/>
        </w:rPr>
      </w:pPr>
      <w:r>
        <w:rPr>
          <w:rFonts w:ascii="微软雅黑" w:eastAsia="微软雅黑"/>
          <w:b/>
          <w:spacing w:val="-2"/>
          <w:sz w:val="22"/>
          <w:u w:val="thick"/>
        </w:rPr>
        <w:t>3</w:t>
      </w:r>
      <w:r>
        <w:rPr>
          <w:rFonts w:ascii="微软雅黑" w:eastAsia="微软雅黑"/>
          <w:b/>
          <w:spacing w:val="-3"/>
          <w:sz w:val="22"/>
          <w:u w:val="thick"/>
        </w:rPr>
        <w:t>、投标人资格要求及审查办法</w:t>
      </w:r>
    </w:p>
    <w:p>
      <w:pPr>
        <w:pStyle w:val="ListParagraph"/>
        <w:numPr>
          <w:ilvl w:val="1"/>
          <w:numId w:val="24"/>
        </w:numPr>
        <w:tabs>
          <w:tab w:val="left" w:pos="1013"/>
        </w:tabs>
        <w:spacing w:before="25" w:after="0" w:line="307" w:lineRule="auto"/>
        <w:ind w:left="628" w:right="696" w:firstLine="0"/>
        <w:jc w:val="both"/>
        <w:rPr>
          <w:sz w:val="22"/>
        </w:rPr>
      </w:pPr>
      <w:r>
        <w:rPr>
          <w:color w:val="FF0000"/>
          <w:spacing w:val="-2"/>
          <w:sz w:val="22"/>
        </w:rPr>
        <w:t>本招标项目要求投标人是</w:t>
      </w:r>
      <w:r>
        <w:rPr>
          <w:color w:val="0000FF"/>
          <w:spacing w:val="-2"/>
          <w:sz w:val="22"/>
        </w:rPr>
        <w:t>莆田市勘察设计企业名录库内</w:t>
      </w:r>
      <w:r>
        <w:rPr>
          <w:color w:val="FF0000"/>
          <w:spacing w:val="-2"/>
          <w:sz w:val="22"/>
        </w:rPr>
        <w:t>企业并具备建设行政主管部门核</w:t>
      </w:r>
      <w:r>
        <w:rPr>
          <w:color w:val="FF0000"/>
          <w:spacing w:val="-2"/>
          <w:sz w:val="22"/>
        </w:rPr>
        <w:t>发的</w:t>
      </w:r>
      <w:r>
        <w:rPr>
          <w:color w:val="FF0000"/>
          <w:spacing w:val="-2"/>
          <w:sz w:val="22"/>
          <w:shd w:val="clear" w:color="auto" w:fill="FFFF00"/>
        </w:rPr>
        <w:t>建筑设计丙级</w:t>
      </w:r>
      <w:r>
        <w:rPr>
          <w:color w:val="FF0000"/>
          <w:spacing w:val="-2"/>
          <w:sz w:val="22"/>
        </w:rPr>
        <w:t>及以上资质（不分主、增项差别），同时还应具备</w:t>
      </w:r>
      <w:r>
        <w:rPr>
          <w:color w:val="FF0000"/>
          <w:spacing w:val="-2"/>
          <w:sz w:val="22"/>
          <w:shd w:val="clear" w:color="auto" w:fill="FFFF00"/>
        </w:rPr>
        <w:t>岩土工程勘察专业丙级</w:t>
      </w:r>
      <w:r>
        <w:rPr>
          <w:color w:val="FF0000"/>
          <w:spacing w:val="-2"/>
          <w:sz w:val="22"/>
        </w:rPr>
        <w:t>及以上资质，并具有独立法人资格的企业。</w:t>
      </w:r>
    </w:p>
    <w:p>
      <w:pPr>
        <w:pStyle w:val="ListParagraph"/>
        <w:numPr>
          <w:ilvl w:val="1"/>
          <w:numId w:val="24"/>
        </w:numPr>
        <w:tabs>
          <w:tab w:val="left" w:pos="1013"/>
        </w:tabs>
        <w:spacing w:before="8" w:after="0" w:line="307" w:lineRule="auto"/>
        <w:ind w:left="628" w:right="615" w:firstLine="0"/>
        <w:jc w:val="both"/>
        <w:rPr>
          <w:color w:val="FF0000"/>
          <w:sz w:val="22"/>
        </w:rPr>
      </w:pPr>
      <w:r>
        <w:rPr>
          <w:color w:val="FF0000"/>
          <w:spacing w:val="-5"/>
          <w:sz w:val="22"/>
        </w:rPr>
        <w:t>拟担任本招标项目的设计总负责人应具备应具备一级注册建筑师资格，拟担任本招标项目</w:t>
      </w:r>
      <w:r>
        <w:rPr>
          <w:color w:val="FF0000"/>
          <w:spacing w:val="-2"/>
          <w:sz w:val="22"/>
        </w:rPr>
        <w:t>的勘察总负责人应具备</w:t>
      </w:r>
      <w:r>
        <w:rPr>
          <w:color w:val="FF0000"/>
          <w:spacing w:val="-2"/>
          <w:sz w:val="22"/>
          <w:shd w:val="clear" w:color="auto" w:fill="FFFF00"/>
        </w:rPr>
        <w:t>国家注册岩土工程</w:t>
      </w:r>
      <w:r>
        <w:rPr>
          <w:color w:val="FF0000"/>
          <w:spacing w:val="-2"/>
          <w:sz w:val="22"/>
        </w:rPr>
        <w:t>师执业资格且同时具有</w:t>
      </w:r>
      <w:r>
        <w:rPr>
          <w:color w:val="FF0000"/>
          <w:spacing w:val="-2"/>
          <w:sz w:val="22"/>
          <w:shd w:val="clear" w:color="auto" w:fill="FFFF00"/>
        </w:rPr>
        <w:t>高级工程师</w:t>
      </w:r>
      <w:r>
        <w:rPr>
          <w:color w:val="FF0000"/>
          <w:spacing w:val="-2"/>
          <w:sz w:val="22"/>
        </w:rPr>
        <w:t>职称资格，且是</w:t>
      </w:r>
      <w:r>
        <w:rPr>
          <w:color w:val="FF0000"/>
          <w:spacing w:val="-2"/>
          <w:sz w:val="22"/>
        </w:rPr>
        <w:t>本企业职员。</w:t>
      </w:r>
    </w:p>
    <w:p>
      <w:pPr>
        <w:pStyle w:val="ListParagraph"/>
        <w:numPr>
          <w:ilvl w:val="1"/>
          <w:numId w:val="24"/>
        </w:numPr>
        <w:tabs>
          <w:tab w:val="left" w:pos="1013"/>
        </w:tabs>
        <w:spacing w:before="0" w:after="0" w:line="310" w:lineRule="exact"/>
        <w:ind w:left="1013" w:right="0" w:hanging="385"/>
        <w:jc w:val="left"/>
        <w:rPr>
          <w:sz w:val="22"/>
        </w:rPr>
      </w:pPr>
      <w:r>
        <w:rPr>
          <w:rFonts w:ascii="微软雅黑" w:eastAsia="微软雅黑"/>
          <w:b/>
          <w:color w:val="FF0000"/>
          <w:spacing w:val="-5"/>
          <w:sz w:val="22"/>
        </w:rPr>
        <w:t>本招标项目发包内容包含勘察的，允许由具有设计、勘察的单位组成联合体参加投标，自</w:t>
      </w:r>
    </w:p>
    <w:p>
      <w:pPr>
        <w:spacing w:before="9" w:line="213" w:lineRule="auto"/>
        <w:ind w:left="628" w:right="618" w:firstLine="0"/>
        <w:jc w:val="left"/>
        <w:rPr>
          <w:rFonts w:ascii="微软雅黑" w:eastAsia="微软雅黑"/>
          <w:b/>
          <w:sz w:val="22"/>
        </w:rPr>
      </w:pPr>
      <w:r>
        <w:rPr>
          <w:rFonts w:ascii="微软雅黑" w:eastAsia="微软雅黑"/>
          <w:b/>
          <w:color w:val="FF0000"/>
          <w:spacing w:val="-2"/>
          <w:sz w:val="22"/>
        </w:rPr>
        <w:t>愿组成联合体的应由具有设计资质的单位为联合体牵头人，且各方均应具备承担招标项目的</w:t>
      </w:r>
      <w:r>
        <w:rPr>
          <w:rFonts w:ascii="微软雅黑" w:eastAsia="微软雅黑"/>
          <w:b/>
          <w:color w:val="FF0000"/>
          <w:spacing w:val="-2"/>
          <w:sz w:val="22"/>
        </w:rPr>
        <w:t>相应资质条件。</w:t>
      </w:r>
    </w:p>
    <w:p>
      <w:pPr>
        <w:pStyle w:val="ListParagraph"/>
        <w:numPr>
          <w:ilvl w:val="1"/>
          <w:numId w:val="24"/>
        </w:numPr>
        <w:tabs>
          <w:tab w:val="left" w:pos="1013"/>
        </w:tabs>
        <w:spacing w:before="36" w:after="0" w:line="240" w:lineRule="auto"/>
        <w:ind w:left="1013" w:right="0" w:hanging="385"/>
        <w:jc w:val="left"/>
        <w:rPr>
          <w:sz w:val="22"/>
        </w:rPr>
      </w:pPr>
      <w:r>
        <w:rPr>
          <w:spacing w:val="-1"/>
          <w:sz w:val="22"/>
        </w:rPr>
        <w:t>勘察单位提供的地质勘察报告必须满足设计要求；</w:t>
      </w:r>
    </w:p>
    <w:p>
      <w:pPr>
        <w:pStyle w:val="ListParagraph"/>
        <w:numPr>
          <w:ilvl w:val="1"/>
          <w:numId w:val="24"/>
        </w:numPr>
        <w:tabs>
          <w:tab w:val="left" w:pos="1013"/>
        </w:tabs>
        <w:spacing w:before="79" w:after="0" w:line="240" w:lineRule="auto"/>
        <w:ind w:left="1013" w:right="0" w:hanging="385"/>
        <w:jc w:val="left"/>
        <w:rPr>
          <w:sz w:val="22"/>
        </w:rPr>
      </w:pPr>
      <w:r>
        <w:rPr>
          <w:spacing w:val="-1"/>
          <w:sz w:val="22"/>
        </w:rPr>
        <w:t>投标人其他主要设计人员要求、以及资格审查的其他条件要求的具体内容见招标文件；</w:t>
      </w:r>
    </w:p>
    <w:p>
      <w:pPr>
        <w:pStyle w:val="ListParagraph"/>
        <w:numPr>
          <w:ilvl w:val="1"/>
          <w:numId w:val="24"/>
        </w:numPr>
        <w:tabs>
          <w:tab w:val="left" w:pos="1013"/>
        </w:tabs>
        <w:spacing w:before="78" w:after="0" w:line="240" w:lineRule="auto"/>
        <w:ind w:left="1013" w:right="0" w:hanging="385"/>
        <w:jc w:val="left"/>
        <w:rPr>
          <w:sz w:val="22"/>
        </w:rPr>
      </w:pPr>
      <w:r>
        <w:rPr>
          <w:spacing w:val="-1"/>
          <w:sz w:val="22"/>
        </w:rPr>
        <w:t>本招标项目招标人对投标人的资格审查采用的方式：资格后审。</w:t>
      </w:r>
    </w:p>
    <w:p>
      <w:pPr>
        <w:pStyle w:val="ListParagraph"/>
        <w:numPr>
          <w:ilvl w:val="1"/>
          <w:numId w:val="24"/>
        </w:numPr>
        <w:tabs>
          <w:tab w:val="left" w:pos="1068"/>
        </w:tabs>
        <w:spacing w:before="78" w:after="0" w:line="267" w:lineRule="exact"/>
        <w:ind w:left="1068" w:right="0" w:hanging="440"/>
        <w:jc w:val="left"/>
        <w:rPr>
          <w:sz w:val="22"/>
        </w:rPr>
      </w:pPr>
      <w:r>
        <w:rPr>
          <w:spacing w:val="-1"/>
          <w:sz w:val="22"/>
        </w:rPr>
        <w:t>所有证书原件开标时需备查，如无法提供原件则该项不得分。</w:t>
      </w:r>
    </w:p>
    <w:p>
      <w:pPr>
        <w:spacing w:before="0" w:line="428" w:lineRule="exact"/>
        <w:ind w:left="628" w:right="0" w:firstLine="0"/>
        <w:jc w:val="left"/>
        <w:rPr>
          <w:rFonts w:ascii="微软雅黑" w:eastAsia="微软雅黑"/>
          <w:b/>
          <w:sz w:val="24"/>
        </w:rPr>
      </w:pPr>
      <w:r>
        <w:rPr>
          <w:rFonts w:ascii="微软雅黑" w:eastAsia="微软雅黑"/>
          <w:b/>
          <w:spacing w:val="-6"/>
          <w:sz w:val="24"/>
        </w:rPr>
        <w:t>4</w:t>
      </w:r>
      <w:r>
        <w:rPr>
          <w:rFonts w:ascii="微软雅黑" w:eastAsia="微软雅黑"/>
          <w:b/>
          <w:spacing w:val="-7"/>
          <w:sz w:val="24"/>
        </w:rPr>
        <w:t>、获取招标文件</w:t>
      </w:r>
    </w:p>
    <w:p>
      <w:pPr>
        <w:spacing w:after="0" w:line="428" w:lineRule="exact"/>
        <w:jc w:val="left"/>
        <w:rPr>
          <w:rFonts w:ascii="微软雅黑" w:eastAsia="微软雅黑"/>
          <w:sz w:val="24"/>
        </w:rPr>
        <w:sectPr>
          <w:headerReference w:type="even" r:id="rId16"/>
          <w:headerReference w:type="default" r:id="rId17"/>
          <w:footerReference w:type="even" r:id="rId18"/>
          <w:footerReference w:type="default" r:id="rId19"/>
          <w:pgSz w:w="11910" w:h="16840"/>
          <w:pgMar w:top="1380" w:right="800" w:bottom="1200" w:left="960" w:header="971" w:footer="1002"/>
          <w:pgNumType w:start="8"/>
          <w:cols w:space="708"/>
        </w:sectPr>
      </w:pPr>
    </w:p>
    <w:p>
      <w:pPr>
        <w:pStyle w:val="ListParagraph"/>
        <w:numPr>
          <w:ilvl w:val="2"/>
          <w:numId w:val="24"/>
        </w:numPr>
        <w:tabs>
          <w:tab w:val="left" w:pos="1613"/>
        </w:tabs>
        <w:spacing w:before="120" w:after="0" w:line="307" w:lineRule="auto"/>
        <w:ind w:left="628" w:right="615" w:firstLine="550"/>
        <w:jc w:val="both"/>
        <w:rPr>
          <w:sz w:val="22"/>
        </w:rPr>
      </w:pPr>
      <w:r>
        <w:rPr>
          <w:spacing w:val="-7"/>
          <w:sz w:val="22"/>
        </w:rPr>
        <w:t xml:space="preserve">招 标 人 自 </w:t>
      </w:r>
      <w:r>
        <w:rPr>
          <w:sz w:val="22"/>
          <w:u w:val="single"/>
        </w:rPr>
        <w:t>2015</w:t>
      </w:r>
      <w:r>
        <w:rPr>
          <w:spacing w:val="-12"/>
          <w:sz w:val="22"/>
        </w:rPr>
        <w:t xml:space="preserve"> 年 </w:t>
      </w:r>
      <w:r>
        <w:rPr>
          <w:spacing w:val="40"/>
          <w:sz w:val="22"/>
          <w:u w:val="single"/>
        </w:rPr>
        <w:t xml:space="preserve"> </w:t>
      </w:r>
      <w:r>
        <w:rPr>
          <w:sz w:val="22"/>
          <w:u w:val="single"/>
        </w:rPr>
        <w:t>03</w:t>
      </w:r>
      <w:r>
        <w:rPr>
          <w:spacing w:val="102"/>
          <w:sz w:val="22"/>
          <w:u w:val="single"/>
        </w:rPr>
        <w:t xml:space="preserve"> </w:t>
      </w:r>
      <w:r>
        <w:rPr>
          <w:spacing w:val="-4"/>
          <w:sz w:val="22"/>
        </w:rPr>
        <w:t xml:space="preserve">月 </w:t>
      </w:r>
      <w:r>
        <w:rPr>
          <w:spacing w:val="40"/>
          <w:sz w:val="22"/>
          <w:u w:val="single"/>
        </w:rPr>
        <w:t xml:space="preserve"> </w:t>
      </w:r>
      <w:r>
        <w:rPr>
          <w:sz w:val="22"/>
          <w:u w:val="single"/>
        </w:rPr>
        <w:t>20</w:t>
      </w:r>
      <w:r>
        <w:rPr>
          <w:spacing w:val="102"/>
          <w:sz w:val="22"/>
          <w:u w:val="single"/>
        </w:rPr>
        <w:t xml:space="preserve"> </w:t>
      </w:r>
      <w:r>
        <w:rPr>
          <w:spacing w:val="-7"/>
          <w:sz w:val="22"/>
        </w:rPr>
        <w:t>日 起 在 莆 田 市 行 政 服 务 中 心 网</w:t>
      </w:r>
      <w:r>
        <w:rPr>
          <w:sz w:val="22"/>
        </w:rPr>
        <w:t xml:space="preserve"> </w:t>
      </w:r>
      <w:r>
        <w:rPr>
          <w:spacing w:val="-2"/>
          <w:sz w:val="22"/>
        </w:rPr>
        <w:t>(</w:t>
      </w:r>
      <w:hyperlink r:id="rId20">
        <w:r>
          <w:rPr>
            <w:spacing w:val="-2"/>
            <w:sz w:val="22"/>
          </w:rPr>
          <w:t>http://www.ptfwzx.gov.cn)</w:t>
        </w:r>
      </w:hyperlink>
      <w:r>
        <w:rPr>
          <w:spacing w:val="-2"/>
          <w:sz w:val="22"/>
        </w:rPr>
        <w:t>发布招标文件，投标人可登录网站自行下载招标文件,或利用已</w:t>
      </w:r>
      <w:r>
        <w:rPr>
          <w:spacing w:val="-3"/>
          <w:sz w:val="22"/>
        </w:rPr>
        <w:t xml:space="preserve">经激活并审核通过的 </w:t>
      </w:r>
      <w:r>
        <w:rPr>
          <w:sz w:val="22"/>
        </w:rPr>
        <w:t>CA</w:t>
      </w:r>
      <w:r>
        <w:rPr>
          <w:spacing w:val="-6"/>
          <w:sz w:val="22"/>
        </w:rPr>
        <w:t xml:space="preserve"> 登陆到以下网址 </w:t>
      </w:r>
      <w:hyperlink r:id="rId21">
        <w:r>
          <w:rPr>
            <w:sz w:val="22"/>
          </w:rPr>
          <w:t>http://www.ptfwzx.gov.cn/pthy</w:t>
        </w:r>
      </w:hyperlink>
      <w:r>
        <w:rPr>
          <w:sz w:val="22"/>
        </w:rPr>
        <w:t xml:space="preserve"> 进行招标文件的下 载。</w:t>
      </w:r>
    </w:p>
    <w:p>
      <w:pPr>
        <w:pStyle w:val="ListParagraph"/>
        <w:numPr>
          <w:ilvl w:val="2"/>
          <w:numId w:val="24"/>
        </w:numPr>
        <w:tabs>
          <w:tab w:val="left" w:pos="1399"/>
        </w:tabs>
        <w:spacing w:before="0" w:after="0" w:line="307" w:lineRule="auto"/>
        <w:ind w:left="628" w:right="607" w:firstLine="440"/>
        <w:jc w:val="both"/>
        <w:rPr>
          <w:sz w:val="22"/>
        </w:rPr>
      </w:pPr>
      <w:r>
        <w:rPr>
          <w:spacing w:val="-2"/>
          <w:sz w:val="22"/>
        </w:rPr>
        <w:t>投标人必须通过网上银行在莆田市公共资源网上交易系统的网上支付平台进行支付，</w:t>
      </w:r>
      <w:r>
        <w:rPr>
          <w:sz w:val="22"/>
        </w:rPr>
        <w:t>点击下载招标文件才能参与投标 。</w:t>
      </w:r>
    </w:p>
    <w:p>
      <w:pPr>
        <w:spacing w:before="0" w:line="307" w:lineRule="auto"/>
        <w:ind w:left="628" w:right="615" w:firstLine="440"/>
        <w:jc w:val="both"/>
        <w:rPr>
          <w:sz w:val="22"/>
        </w:rPr>
      </w:pPr>
      <w:r>
        <w:rPr>
          <w:spacing w:val="-3"/>
          <w:sz w:val="22"/>
        </w:rPr>
        <w:t xml:space="preserve">注：网上投标系统以 </w:t>
      </w:r>
      <w:r>
        <w:rPr>
          <w:sz w:val="22"/>
        </w:rPr>
        <w:t>BOT</w:t>
      </w:r>
      <w:r>
        <w:rPr>
          <w:spacing w:val="-4"/>
          <w:sz w:val="22"/>
        </w:rPr>
        <w:t xml:space="preserve"> 方式招标，软件开发公司以本系统为平台收取投资回报。经有</w:t>
      </w:r>
      <w:r>
        <w:rPr>
          <w:spacing w:val="-7"/>
          <w:sz w:val="22"/>
        </w:rPr>
        <w:t xml:space="preserve">关部门研究审定， 电子招标文件在 </w:t>
      </w:r>
      <w:r>
        <w:rPr>
          <w:spacing w:val="-2"/>
          <w:sz w:val="22"/>
        </w:rPr>
        <w:t>100</w:t>
      </w:r>
      <w:r>
        <w:rPr>
          <w:spacing w:val="-14"/>
          <w:sz w:val="22"/>
        </w:rPr>
        <w:t xml:space="preserve"> 页</w:t>
      </w:r>
      <w:r>
        <w:rPr>
          <w:spacing w:val="-2"/>
          <w:sz w:val="22"/>
        </w:rPr>
        <w:t>（A4</w:t>
      </w:r>
      <w:r>
        <w:rPr>
          <w:spacing w:val="-14"/>
          <w:sz w:val="22"/>
        </w:rPr>
        <w:t xml:space="preserve"> 纸</w:t>
      </w:r>
      <w:r>
        <w:rPr>
          <w:spacing w:val="-2"/>
          <w:sz w:val="22"/>
        </w:rPr>
        <w:t>）</w:t>
      </w:r>
      <w:r>
        <w:rPr>
          <w:spacing w:val="-5"/>
          <w:sz w:val="22"/>
        </w:rPr>
        <w:t xml:space="preserve">及以下的，每份按 </w:t>
      </w:r>
      <w:r>
        <w:rPr>
          <w:spacing w:val="-2"/>
          <w:sz w:val="22"/>
        </w:rPr>
        <w:t>50</w:t>
      </w:r>
      <w:r>
        <w:rPr>
          <w:spacing w:val="-10"/>
          <w:sz w:val="22"/>
        </w:rPr>
        <w:t xml:space="preserve"> 元收取；超过 </w:t>
      </w:r>
      <w:r>
        <w:rPr>
          <w:spacing w:val="-2"/>
          <w:sz w:val="22"/>
        </w:rPr>
        <w:t>100</w:t>
      </w:r>
      <w:r>
        <w:rPr>
          <w:spacing w:val="-5"/>
          <w:sz w:val="22"/>
        </w:rPr>
        <w:t xml:space="preserve">页的，超过部分按每页 </w:t>
      </w:r>
      <w:r>
        <w:rPr>
          <w:spacing w:val="-2"/>
          <w:sz w:val="22"/>
        </w:rPr>
        <w:t>0.5</w:t>
      </w:r>
      <w:r>
        <w:rPr>
          <w:spacing w:val="-8"/>
          <w:sz w:val="22"/>
        </w:rPr>
        <w:t xml:space="preserve"> 元收取。招标文件下载和网上支付具 体操作方式详见系统”帮助</w:t>
      </w:r>
      <w:r>
        <w:rPr>
          <w:spacing w:val="-2"/>
          <w:sz w:val="22"/>
        </w:rPr>
        <w:t>文档”里面的《操作手册》。”</w:t>
      </w:r>
    </w:p>
    <w:p>
      <w:pPr>
        <w:spacing w:before="0" w:line="307" w:lineRule="auto"/>
        <w:ind w:left="628" w:right="505" w:firstLine="440"/>
        <w:jc w:val="left"/>
        <w:rPr>
          <w:sz w:val="22"/>
        </w:rPr>
      </w:pPr>
      <w:r>
        <w:rPr>
          <w:color w:val="000000"/>
          <w:sz w:val="22"/>
          <w:shd w:val="clear" w:color="auto" w:fill="FFFF00"/>
        </w:rPr>
        <w:t>3</w:t>
      </w:r>
      <w:r>
        <w:rPr>
          <w:color w:val="000000"/>
          <w:spacing w:val="-1"/>
          <w:sz w:val="22"/>
          <w:shd w:val="clear" w:color="auto" w:fill="FFFF00"/>
        </w:rPr>
        <w:t>) 招标人不接受书面投标文件</w:t>
      </w:r>
      <w:r>
        <w:rPr>
          <w:color w:val="000000"/>
          <w:sz w:val="22"/>
          <w:shd w:val="clear" w:color="auto" w:fill="FFFF00"/>
        </w:rPr>
        <w:t>（除技术文件以书面形式提供外）</w:t>
      </w:r>
      <w:r>
        <w:rPr>
          <w:color w:val="000000"/>
          <w:spacing w:val="-5"/>
          <w:sz w:val="22"/>
          <w:shd w:val="clear" w:color="auto" w:fill="FFFF00"/>
        </w:rPr>
        <w:t>。</w:t>
      </w:r>
      <w:r>
        <w:rPr>
          <w:color w:val="000000"/>
          <w:sz w:val="22"/>
        </w:rPr>
        <w:t>投标人必须提交网上</w:t>
      </w:r>
      <w:r>
        <w:rPr>
          <w:color w:val="000000"/>
          <w:spacing w:val="-9"/>
          <w:sz w:val="22"/>
        </w:rPr>
        <w:t>投标文件，同时提交一份电子版投标文件(如光盘、</w:t>
      </w:r>
      <w:r>
        <w:rPr>
          <w:color w:val="000000"/>
          <w:sz w:val="22"/>
        </w:rPr>
        <w:t>U</w:t>
      </w:r>
      <w:r>
        <w:rPr>
          <w:color w:val="000000"/>
          <w:spacing w:val="-15"/>
          <w:sz w:val="22"/>
        </w:rPr>
        <w:t xml:space="preserve"> 盘等，按投标须知要求密封、标记)备用。</w:t>
      </w:r>
      <w:r>
        <w:rPr>
          <w:color w:val="000000"/>
          <w:spacing w:val="-2"/>
          <w:sz w:val="22"/>
        </w:rPr>
        <w:t>投标人是否投标以网上投标文件为准。资格审查小组只对网上投标文件进行评审 ，特殊情况</w:t>
      </w:r>
      <w:r>
        <w:rPr>
          <w:color w:val="000000"/>
          <w:spacing w:val="2"/>
          <w:sz w:val="22"/>
        </w:rPr>
        <w:t>下由莆田市招投标办决定启用电子版投标文件进行评标（</w:t>
      </w:r>
      <w:r>
        <w:rPr>
          <w:color w:val="000000"/>
          <w:spacing w:val="1"/>
          <w:sz w:val="22"/>
        </w:rPr>
        <w:t>若启用电子版投标文件进行评标，</w:t>
      </w:r>
      <w:r>
        <w:rPr>
          <w:color w:val="000000"/>
          <w:spacing w:val="2"/>
          <w:sz w:val="22"/>
        </w:rPr>
        <w:t>则投标人是否投标以电子版投标文件为准）</w:t>
      </w:r>
      <w:r>
        <w:rPr>
          <w:color w:val="000000"/>
          <w:spacing w:val="1"/>
          <w:sz w:val="22"/>
        </w:rPr>
        <w:t>。在核对投标人及其代表的身份时须提交书面法</w:t>
      </w:r>
      <w:r>
        <w:rPr>
          <w:color w:val="000000"/>
          <w:spacing w:val="2"/>
          <w:sz w:val="22"/>
        </w:rPr>
        <w:t>定代表人授权委托书（须按招标文件要求的格式编制并按要求签字、盖章）</w:t>
      </w:r>
      <w:r>
        <w:rPr>
          <w:color w:val="000000"/>
          <w:spacing w:val="1"/>
          <w:sz w:val="22"/>
        </w:rPr>
        <w:t>、身份证原件及</w:t>
      </w:r>
      <w:r>
        <w:rPr>
          <w:color w:val="000000"/>
          <w:spacing w:val="-8"/>
          <w:sz w:val="22"/>
        </w:rPr>
        <w:t xml:space="preserve">已激活的福建 </w:t>
      </w:r>
      <w:r>
        <w:rPr>
          <w:color w:val="000000"/>
          <w:sz w:val="22"/>
        </w:rPr>
        <w:t>CA</w:t>
      </w:r>
      <w:r>
        <w:rPr>
          <w:color w:val="000000"/>
          <w:spacing w:val="-10"/>
          <w:sz w:val="22"/>
        </w:rPr>
        <w:t xml:space="preserve"> 数字证书。</w:t>
      </w:r>
    </w:p>
    <w:p>
      <w:pPr>
        <w:pStyle w:val="ListParagraph"/>
        <w:numPr>
          <w:ilvl w:val="0"/>
          <w:numId w:val="23"/>
        </w:numPr>
        <w:tabs>
          <w:tab w:val="left" w:pos="950"/>
        </w:tabs>
        <w:spacing w:before="0" w:after="0" w:line="340" w:lineRule="exact"/>
        <w:ind w:left="950" w:right="0" w:hanging="360"/>
        <w:jc w:val="left"/>
        <w:rPr>
          <w:rFonts w:ascii="微软雅黑" w:eastAsia="微软雅黑"/>
          <w:b/>
          <w:sz w:val="24"/>
        </w:rPr>
      </w:pPr>
      <w:r>
        <w:rPr>
          <w:rFonts w:ascii="微软雅黑" w:eastAsia="微软雅黑"/>
          <w:b/>
          <w:spacing w:val="-3"/>
          <w:sz w:val="24"/>
        </w:rPr>
        <w:t>评标办法</w:t>
      </w:r>
    </w:p>
    <w:p>
      <w:pPr>
        <w:tabs>
          <w:tab w:val="left" w:pos="5239"/>
        </w:tabs>
        <w:spacing w:before="7" w:line="273" w:lineRule="exact"/>
        <w:ind w:left="1059" w:right="0" w:firstLine="0"/>
        <w:jc w:val="left"/>
        <w:rPr>
          <w:sz w:val="22"/>
        </w:rPr>
      </w:pPr>
      <w:r>
        <w:rPr>
          <w:sz w:val="22"/>
        </w:rPr>
        <w:t>本招标项目采用的评标办法：</w:t>
      </w:r>
      <w:r>
        <w:rPr>
          <w:sz w:val="22"/>
          <w:u w:val="single"/>
        </w:rPr>
        <w:t>综合评估</w:t>
      </w:r>
      <w:r>
        <w:rPr>
          <w:spacing w:val="-10"/>
          <w:sz w:val="22"/>
          <w:u w:val="single"/>
        </w:rPr>
        <w:t>法</w:t>
      </w:r>
      <w:r>
        <w:rPr>
          <w:sz w:val="22"/>
          <w:u w:val="single"/>
        </w:rPr>
        <w:tab/>
      </w:r>
    </w:p>
    <w:p>
      <w:pPr>
        <w:pStyle w:val="ListParagraph"/>
        <w:numPr>
          <w:ilvl w:val="0"/>
          <w:numId w:val="23"/>
        </w:numPr>
        <w:tabs>
          <w:tab w:val="left" w:pos="950"/>
        </w:tabs>
        <w:spacing w:before="0" w:after="0" w:line="408" w:lineRule="exact"/>
        <w:ind w:left="950" w:right="0" w:hanging="360"/>
        <w:jc w:val="left"/>
        <w:rPr>
          <w:rFonts w:ascii="微软雅黑" w:eastAsia="微软雅黑"/>
          <w:b/>
          <w:sz w:val="24"/>
        </w:rPr>
      </w:pPr>
      <w:r>
        <w:rPr>
          <w:rFonts w:ascii="微软雅黑" w:eastAsia="微软雅黑"/>
          <w:b/>
          <w:spacing w:val="-2"/>
          <w:sz w:val="24"/>
        </w:rPr>
        <w:t>投标保证金的提交</w:t>
      </w:r>
    </w:p>
    <w:p>
      <w:pPr>
        <w:pStyle w:val="BodyText"/>
        <w:spacing w:line="283" w:lineRule="exact"/>
        <w:ind w:left="1086"/>
      </w:pPr>
      <w:r>
        <w:rPr>
          <w:color w:val="000000"/>
          <w:spacing w:val="-10"/>
          <w:u w:val="single"/>
          <w:shd w:val="clear" w:color="auto" w:fill="FF0000"/>
        </w:rPr>
        <w:t>本招标项目的投标保证金为 壹万 元。投标保证金手续须在截标前自行办妥，未按</w:t>
      </w:r>
    </w:p>
    <w:p>
      <w:pPr>
        <w:pStyle w:val="BodyText"/>
        <w:spacing w:before="34" w:line="266" w:lineRule="auto"/>
        <w:ind w:left="1108" w:right="4717" w:hanging="480"/>
      </w:pPr>
      <w:r>
        <w:rPr>
          <w:color w:val="000000"/>
          <w:spacing w:val="-2"/>
          <w:u w:val="single"/>
          <w:shd w:val="clear" w:color="auto" w:fill="FF0000"/>
        </w:rPr>
        <w:t>规定时间要求交纳投标保证金的投标将被拒绝</w:t>
      </w:r>
      <w:r>
        <w:rPr>
          <w:color w:val="000000"/>
          <w:spacing w:val="-2"/>
        </w:rPr>
        <w:t>开户名称：莆田市工程交易中心</w:t>
      </w:r>
    </w:p>
    <w:p>
      <w:pPr>
        <w:pStyle w:val="BodyText"/>
        <w:spacing w:before="3" w:line="266" w:lineRule="auto"/>
        <w:ind w:left="1108" w:right="4537"/>
      </w:pPr>
      <w:r>
        <w:rPr>
          <w:spacing w:val="-16"/>
        </w:rPr>
        <w:t xml:space="preserve">开户行 </w:t>
      </w:r>
      <w:r>
        <w:rPr>
          <w:spacing w:val="-2"/>
        </w:rPr>
        <w:t>1：福建莆田农村商业银行城厢支行</w:t>
      </w:r>
      <w:r>
        <w:rPr>
          <w:spacing w:val="-2"/>
        </w:rPr>
        <w:t>账号：9040210010010000022949</w:t>
      </w:r>
    </w:p>
    <w:p>
      <w:pPr>
        <w:pStyle w:val="BodyText"/>
        <w:spacing w:before="2" w:line="266" w:lineRule="auto"/>
        <w:ind w:left="1108" w:right="3817"/>
      </w:pPr>
      <w:r>
        <w:rPr>
          <w:spacing w:val="-15"/>
        </w:rPr>
        <w:t xml:space="preserve">开户行 </w:t>
      </w:r>
      <w:r>
        <w:rPr>
          <w:spacing w:val="-2"/>
        </w:rPr>
        <w:t>2：中国农业银行莆田城厢支行市府分理处</w:t>
      </w:r>
      <w:r>
        <w:rPr>
          <w:spacing w:val="-2"/>
        </w:rPr>
        <w:t>账号：13441501040000998</w:t>
      </w:r>
    </w:p>
    <w:p>
      <w:pPr>
        <w:pStyle w:val="BodyText"/>
        <w:spacing w:before="2" w:line="266" w:lineRule="auto"/>
        <w:ind w:left="1108" w:right="4297"/>
      </w:pPr>
      <w:r>
        <w:rPr>
          <w:spacing w:val="-16"/>
        </w:rPr>
        <w:t xml:space="preserve">开户行 </w:t>
      </w:r>
      <w:r>
        <w:rPr>
          <w:spacing w:val="-2"/>
        </w:rPr>
        <w:t>3：中国邮政储蓄银行莆田市城厢支行</w:t>
      </w:r>
      <w:r>
        <w:rPr>
          <w:spacing w:val="-2"/>
        </w:rPr>
        <w:t>账号：100158585880012396</w:t>
      </w:r>
    </w:p>
    <w:p>
      <w:pPr>
        <w:pStyle w:val="BodyText"/>
        <w:spacing w:before="2" w:line="266" w:lineRule="auto"/>
        <w:ind w:left="628" w:right="616" w:firstLine="480"/>
        <w:jc w:val="both"/>
      </w:pPr>
      <w:r>
        <w:rPr>
          <w:spacing w:val="-2"/>
        </w:rPr>
        <w:t>投标保证金应当通过投标人开户行基本账户转入招标人指定的银行专户，并写明</w:t>
      </w:r>
      <w:r>
        <w:rPr>
          <w:spacing w:val="-2"/>
        </w:rPr>
        <w:t>投标项目名称或编号(即招标文件上注明的招标项目名称或编号)。缴交时间确认以招</w:t>
      </w:r>
      <w:r>
        <w:rPr>
          <w:spacing w:val="-2"/>
        </w:rPr>
        <w:t>标文件指定银行在截标时出具的对账单为准。当对账单上没有体现投标人、投标项目</w:t>
      </w:r>
      <w:r>
        <w:rPr>
          <w:spacing w:val="-2"/>
        </w:rPr>
        <w:t>名称或编号的，而投标保证金缴交凭证原件上有投标人、投标项目名称或编号的可以</w:t>
      </w:r>
      <w:r>
        <w:rPr>
          <w:spacing w:val="-5"/>
        </w:rPr>
        <w:t>给予开标。未按期足额缴纳投标保证金的投标人，招标人拒绝接收(已接收的将予以退</w:t>
      </w:r>
      <w:r>
        <w:rPr>
          <w:spacing w:val="-2"/>
        </w:rPr>
        <w:t>回)其投标文件。</w:t>
      </w:r>
    </w:p>
    <w:p>
      <w:pPr>
        <w:pStyle w:val="BodyText"/>
        <w:spacing w:before="6" w:line="266" w:lineRule="auto"/>
        <w:ind w:left="628" w:right="637" w:firstLine="480"/>
      </w:pPr>
      <w:r>
        <w:rPr>
          <w:spacing w:val="-2"/>
        </w:rPr>
        <w:t>截标时，招标人或其委托的招标代理机构通知莆田市工程交易中心查询该项目投</w:t>
      </w:r>
      <w:r>
        <w:rPr>
          <w:spacing w:val="-2"/>
        </w:rPr>
        <w:t>标保证金入账情况，莆田市工程交易中心应当将查询结果及时通知招标人。</w:t>
      </w:r>
    </w:p>
    <w:p>
      <w:pPr>
        <w:spacing w:after="0" w:line="266" w:lineRule="auto"/>
        <w:sectPr>
          <w:headerReference w:type="even" r:id="rId22"/>
          <w:headerReference w:type="default" r:id="rId23"/>
          <w:footerReference w:type="even" r:id="rId24"/>
          <w:footerReference w:type="default" r:id="rId25"/>
          <w:pgSz w:w="11910" w:h="16840"/>
          <w:pgMar w:top="1380" w:right="800" w:bottom="1200" w:left="960" w:header="971" w:footer="1002"/>
          <w:pgNumType w:start="9"/>
          <w:cols w:space="708"/>
        </w:sectPr>
      </w:pPr>
    </w:p>
    <w:p>
      <w:pPr>
        <w:pStyle w:val="BodyText"/>
        <w:spacing w:before="56" w:line="266" w:lineRule="auto"/>
        <w:ind w:left="628" w:right="637" w:firstLine="480"/>
        <w:jc w:val="both"/>
      </w:pPr>
      <w:r>
        <w:rPr>
          <w:spacing w:val="-2"/>
        </w:rPr>
        <w:t>投标保证金有效期与投标有效期一致。投标人的投标保证金退还投标人的开户行</w:t>
      </w:r>
      <w:r>
        <w:rPr>
          <w:spacing w:val="-3"/>
        </w:rPr>
        <w:t xml:space="preserve">基本账户。未中标投标人的投标保证金，将在评标结果公示后 </w:t>
      </w:r>
      <w:r>
        <w:rPr>
          <w:spacing w:val="-2"/>
        </w:rPr>
        <w:t>3</w:t>
      </w:r>
      <w:r>
        <w:rPr>
          <w:spacing w:val="-7"/>
        </w:rPr>
        <w:t xml:space="preserve"> 日内无息退还；中标</w:t>
      </w:r>
      <w:r>
        <w:rPr>
          <w:spacing w:val="-2"/>
        </w:rPr>
        <w:t>的投标人的投标保证金，在中标人合同签订后，无息退还。</w:t>
      </w:r>
    </w:p>
    <w:p>
      <w:pPr>
        <w:pStyle w:val="BodyText"/>
        <w:spacing w:before="47" w:line="280" w:lineRule="auto"/>
        <w:ind w:left="628" w:right="615" w:firstLine="480"/>
        <w:jc w:val="both"/>
      </w:pPr>
      <w:r>
        <w:rPr>
          <w:color w:val="FF0000"/>
          <w:spacing w:val="-2"/>
        </w:rPr>
        <w:t>己按照《关于规范建设工程、政府采购（网上竞价）项目预交投标保证金制度的</w:t>
      </w:r>
      <w:r>
        <w:rPr>
          <w:color w:val="FF0000"/>
        </w:rPr>
        <w:t>通知》（</w:t>
      </w:r>
      <w:r>
        <w:rPr>
          <w:color w:val="FF0000"/>
          <w:spacing w:val="-3"/>
        </w:rPr>
        <w:t xml:space="preserve">莆招标办 </w:t>
      </w:r>
      <w:r>
        <w:rPr>
          <w:color w:val="FF0000"/>
        </w:rPr>
        <w:t>2014[6]号）、《关于莆田市建设工程投标保证金管理系统运行的</w:t>
      </w:r>
      <w:r>
        <w:rPr>
          <w:color w:val="FF0000"/>
          <w:spacing w:val="-6"/>
        </w:rPr>
        <w:t>通知》（莆招标办 2014[7]号）文件有关规定预缴投标保证金人民币</w:t>
      </w:r>
      <w:r>
        <w:rPr>
          <w:color w:val="FF0000"/>
          <w:spacing w:val="-6"/>
          <w:u w:val="single" w:color="FF0000"/>
        </w:rPr>
        <w:t>壹万</w:t>
      </w:r>
      <w:r>
        <w:rPr>
          <w:color w:val="FF0000"/>
          <w:spacing w:val="-6"/>
        </w:rPr>
        <w:t>元整（￥</w:t>
      </w:r>
      <w:r>
        <w:rPr>
          <w:color w:val="FF0000"/>
          <w:spacing w:val="-6"/>
          <w:u w:val="single" w:color="FF0000"/>
        </w:rPr>
        <w:t>1</w:t>
      </w:r>
      <w:r>
        <w:rPr>
          <w:color w:val="FF0000"/>
          <w:spacing w:val="-6"/>
        </w:rPr>
        <w:t xml:space="preserve"> 万</w:t>
      </w:r>
      <w:r>
        <w:rPr>
          <w:color w:val="FF0000"/>
          <w:spacing w:val="-2"/>
        </w:rPr>
        <w:t>元）及以上的投标人视同本项目投标保证金己缴交。</w:t>
      </w:r>
    </w:p>
    <w:p>
      <w:pPr>
        <w:pStyle w:val="ListParagraph"/>
        <w:numPr>
          <w:ilvl w:val="0"/>
          <w:numId w:val="23"/>
        </w:numPr>
        <w:tabs>
          <w:tab w:val="left" w:pos="950"/>
        </w:tabs>
        <w:spacing w:before="0" w:after="0" w:line="367" w:lineRule="exact"/>
        <w:ind w:left="950" w:right="0" w:hanging="360"/>
        <w:jc w:val="left"/>
        <w:rPr>
          <w:rFonts w:ascii="微软雅黑" w:eastAsia="微软雅黑"/>
          <w:b/>
          <w:sz w:val="24"/>
        </w:rPr>
      </w:pPr>
      <w:r>
        <w:rPr>
          <w:rFonts w:ascii="微软雅黑" w:eastAsia="微软雅黑"/>
          <w:b/>
          <w:spacing w:val="-2"/>
          <w:sz w:val="24"/>
        </w:rPr>
        <w:t>投标文件的递交</w:t>
      </w:r>
    </w:p>
    <w:p>
      <w:pPr>
        <w:pStyle w:val="ListParagraph"/>
        <w:numPr>
          <w:ilvl w:val="1"/>
          <w:numId w:val="23"/>
        </w:numPr>
        <w:tabs>
          <w:tab w:val="left" w:pos="1234"/>
        </w:tabs>
        <w:spacing w:before="47" w:after="0" w:line="340" w:lineRule="auto"/>
        <w:ind w:left="628" w:right="616" w:firstLine="300"/>
        <w:jc w:val="both"/>
        <w:rPr>
          <w:rFonts w:ascii="Times New Roman" w:eastAsia="Times New Roman"/>
          <w:sz w:val="18"/>
        </w:rPr>
      </w:pPr>
      <w:r>
        <w:rPr>
          <w:sz w:val="22"/>
        </w:rPr>
        <w:t>投标文件提交的截止时间</w:t>
      </w:r>
      <w:r>
        <w:rPr>
          <w:rFonts w:ascii="Times New Roman" w:eastAsia="Times New Roman"/>
          <w:sz w:val="22"/>
        </w:rPr>
        <w:t>(</w:t>
      </w:r>
      <w:r>
        <w:rPr>
          <w:sz w:val="22"/>
        </w:rPr>
        <w:t>投标截止时间</w:t>
      </w:r>
      <w:r>
        <w:rPr>
          <w:rFonts w:ascii="Times New Roman" w:eastAsia="Times New Roman"/>
          <w:sz w:val="22"/>
        </w:rPr>
        <w:t>)</w:t>
      </w:r>
      <w:r>
        <w:rPr>
          <w:sz w:val="22"/>
        </w:rPr>
        <w:t xml:space="preserve">：北京时间 </w:t>
      </w:r>
      <w:r>
        <w:rPr>
          <w:rFonts w:ascii="Times New Roman" w:eastAsia="Times New Roman"/>
          <w:sz w:val="22"/>
          <w:u w:val="single"/>
        </w:rPr>
        <w:t xml:space="preserve">2015 </w:t>
      </w:r>
      <w:r>
        <w:rPr>
          <w:sz w:val="22"/>
        </w:rPr>
        <w:t>年</w:t>
      </w:r>
      <w:r>
        <w:rPr>
          <w:rFonts w:ascii="Times New Roman" w:eastAsia="Times New Roman"/>
          <w:spacing w:val="70"/>
          <w:sz w:val="22"/>
          <w:u w:val="single"/>
        </w:rPr>
        <w:t xml:space="preserve"> </w:t>
      </w:r>
      <w:r>
        <w:rPr>
          <w:rFonts w:ascii="Times New Roman" w:eastAsia="Times New Roman"/>
          <w:sz w:val="22"/>
          <w:u w:val="single"/>
        </w:rPr>
        <w:t>04</w:t>
      </w:r>
      <w:r>
        <w:rPr>
          <w:rFonts w:ascii="Times New Roman" w:eastAsia="Times New Roman"/>
          <w:spacing w:val="60"/>
          <w:sz w:val="22"/>
          <w:u w:val="single"/>
        </w:rPr>
        <w:t xml:space="preserve"> </w:t>
      </w:r>
      <w:r>
        <w:rPr>
          <w:sz w:val="22"/>
        </w:rPr>
        <w:t>月</w:t>
      </w:r>
      <w:r>
        <w:rPr>
          <w:rFonts w:ascii="Times New Roman" w:eastAsia="Times New Roman"/>
          <w:spacing w:val="70"/>
          <w:sz w:val="22"/>
          <w:u w:val="single"/>
        </w:rPr>
        <w:t xml:space="preserve"> </w:t>
      </w:r>
      <w:r>
        <w:rPr>
          <w:rFonts w:ascii="Times New Roman" w:eastAsia="Times New Roman"/>
          <w:sz w:val="22"/>
          <w:u w:val="single"/>
        </w:rPr>
        <w:t>17</w:t>
      </w:r>
      <w:r>
        <w:rPr>
          <w:rFonts w:ascii="Times New Roman" w:eastAsia="Times New Roman"/>
          <w:spacing w:val="60"/>
          <w:sz w:val="22"/>
          <w:u w:val="single"/>
        </w:rPr>
        <w:t xml:space="preserve"> </w:t>
      </w:r>
      <w:r>
        <w:rPr>
          <w:sz w:val="22"/>
        </w:rPr>
        <w:t>日</w:t>
      </w:r>
      <w:r>
        <w:rPr>
          <w:rFonts w:ascii="Times New Roman" w:eastAsia="Times New Roman"/>
          <w:spacing w:val="70"/>
          <w:sz w:val="22"/>
          <w:u w:val="single"/>
        </w:rPr>
        <w:t xml:space="preserve"> </w:t>
      </w:r>
      <w:r>
        <w:rPr>
          <w:rFonts w:ascii="Times New Roman" w:eastAsia="Times New Roman"/>
          <w:sz w:val="22"/>
          <w:u w:val="single"/>
        </w:rPr>
        <w:t>08</w:t>
      </w:r>
      <w:r>
        <w:rPr>
          <w:rFonts w:ascii="Times New Roman" w:eastAsia="Times New Roman"/>
          <w:spacing w:val="60"/>
          <w:sz w:val="22"/>
          <w:u w:val="single"/>
        </w:rPr>
        <w:t xml:space="preserve"> </w:t>
      </w:r>
      <w:r>
        <w:rPr>
          <w:sz w:val="22"/>
        </w:rPr>
        <w:t>点</w:t>
      </w:r>
      <w:r>
        <w:rPr>
          <w:rFonts w:ascii="Times New Roman" w:eastAsia="Times New Roman"/>
          <w:spacing w:val="60"/>
          <w:sz w:val="22"/>
          <w:u w:val="single"/>
        </w:rPr>
        <w:t xml:space="preserve"> </w:t>
      </w:r>
      <w:r>
        <w:rPr>
          <w:rFonts w:ascii="Times New Roman" w:eastAsia="Times New Roman"/>
          <w:sz w:val="22"/>
          <w:u w:val="single"/>
        </w:rPr>
        <w:t>30</w:t>
      </w:r>
      <w:r>
        <w:rPr>
          <w:sz w:val="22"/>
        </w:rPr>
        <w:t xml:space="preserve">分 。 网 上 投 标 操 作 见 网 上 投 标 操 作 指 南 （ 网 址 ： </w:t>
      </w:r>
      <w:hyperlink r:id="rId26">
        <w:r>
          <w:rPr>
            <w:rFonts w:ascii="Arial" w:eastAsia="Arial"/>
            <w:color w:val="0000FF"/>
            <w:sz w:val="22"/>
            <w:u w:val="single" w:color="0000FF"/>
          </w:rPr>
          <w:t>http://www.ptfwzx.gov.cn/ywsys/UploadFile/admin/</w:t>
        </w:r>
        <w:r>
          <w:rPr>
            <w:color w:val="0000FF"/>
            <w:sz w:val="22"/>
            <w:u w:val="single" w:color="0000FF"/>
          </w:rPr>
          <w:t>网上投标操作手册</w:t>
        </w:r>
        <w:r>
          <w:rPr>
            <w:rFonts w:ascii="Arial" w:eastAsia="Arial"/>
            <w:color w:val="0000FF"/>
            <w:sz w:val="22"/>
            <w:u w:val="single" w:color="0000FF"/>
          </w:rPr>
          <w:t>.rar</w:t>
        </w:r>
      </w:hyperlink>
      <w:r>
        <w:rPr>
          <w:rFonts w:ascii="Arial" w:eastAsia="Arial"/>
          <w:color w:val="0000FF"/>
          <w:sz w:val="22"/>
        </w:rPr>
        <w:t xml:space="preserve"> </w:t>
      </w:r>
      <w:r>
        <w:rPr>
          <w:sz w:val="22"/>
        </w:rPr>
        <w:t xml:space="preserve">）。若有疑问 ，可向网上投标系统开发公司江苏国泰新点软件公司咨询。技术支持电话： </w:t>
      </w:r>
      <w:r>
        <w:rPr>
          <w:rFonts w:ascii="Times New Roman" w:eastAsia="Times New Roman"/>
          <w:sz w:val="22"/>
        </w:rPr>
        <w:t>400-850-3300</w:t>
      </w:r>
      <w:r>
        <w:rPr>
          <w:sz w:val="22"/>
        </w:rPr>
        <w:t xml:space="preserve">、 </w:t>
      </w:r>
      <w:r>
        <w:rPr>
          <w:rFonts w:ascii="Times New Roman" w:eastAsia="Times New Roman"/>
          <w:sz w:val="22"/>
        </w:rPr>
        <w:t>0594-2853358</w:t>
      </w:r>
      <w:r>
        <w:rPr>
          <w:rFonts w:ascii="Times New Roman" w:eastAsia="Times New Roman"/>
          <w:spacing w:val="40"/>
          <w:sz w:val="22"/>
        </w:rPr>
        <w:t xml:space="preserve"> </w:t>
      </w:r>
      <w:r>
        <w:rPr>
          <w:sz w:val="22"/>
        </w:rPr>
        <w:t>。</w:t>
      </w:r>
    </w:p>
    <w:p>
      <w:pPr>
        <w:pStyle w:val="ListParagraph"/>
        <w:numPr>
          <w:ilvl w:val="1"/>
          <w:numId w:val="23"/>
        </w:numPr>
        <w:tabs>
          <w:tab w:val="left" w:pos="1179"/>
        </w:tabs>
        <w:spacing w:before="0" w:after="0" w:line="281" w:lineRule="exact"/>
        <w:ind w:left="1179" w:right="0" w:hanging="331"/>
        <w:jc w:val="left"/>
        <w:rPr>
          <w:rFonts w:ascii="Times New Roman" w:eastAsia="Times New Roman"/>
          <w:sz w:val="20"/>
        </w:rPr>
      </w:pPr>
      <w:r>
        <w:rPr>
          <w:spacing w:val="-1"/>
          <w:sz w:val="22"/>
        </w:rPr>
        <w:t>投标截止时间后，网上投标系统无法接受投标文件。</w:t>
      </w:r>
    </w:p>
    <w:p>
      <w:pPr>
        <w:pStyle w:val="ListParagraph"/>
        <w:numPr>
          <w:ilvl w:val="1"/>
          <w:numId w:val="23"/>
        </w:numPr>
        <w:tabs>
          <w:tab w:val="left" w:pos="1179"/>
        </w:tabs>
        <w:spacing w:before="18" w:after="0" w:line="400" w:lineRule="exact"/>
        <w:ind w:left="628" w:right="564" w:firstLine="220"/>
        <w:jc w:val="both"/>
        <w:rPr>
          <w:rFonts w:ascii="Times New Roman" w:eastAsia="Times New Roman"/>
          <w:sz w:val="20"/>
        </w:rPr>
      </w:pPr>
      <w:r>
        <w:rPr>
          <w:spacing w:val="-1"/>
          <w:sz w:val="22"/>
        </w:rPr>
        <w:t>投标单位的投标文件必须使用网上申报系统中最新版</w:t>
      </w:r>
      <w:r>
        <w:rPr>
          <w:sz w:val="22"/>
        </w:rPr>
        <w:t>（</w:t>
      </w:r>
      <w:r>
        <w:rPr>
          <w:rFonts w:ascii="Times New Roman" w:eastAsia="Times New Roman"/>
          <w:spacing w:val="-1"/>
          <w:sz w:val="22"/>
        </w:rPr>
        <w:t>V7.3.1.08</w:t>
      </w:r>
      <w:r>
        <w:rPr>
          <w:spacing w:val="-1"/>
          <w:sz w:val="22"/>
        </w:rPr>
        <w:t>）来制作，所有项目必</w:t>
      </w:r>
      <w:r>
        <w:rPr>
          <w:spacing w:val="1"/>
          <w:sz w:val="22"/>
        </w:rPr>
        <w:t>须先下载代理做的电子招标文件、再导入投标工具制作投标文件。机电安装工程、装饰装修工程、园林绿化工程、公路工程、通信与广电工程、民航机场工程、港口航道工程、水利水电工程、电力工程、矿山工程、冶炼工程、化工石油工程等施工项目、勘察、设计、监理等</w:t>
      </w:r>
      <w:r>
        <w:rPr>
          <w:spacing w:val="2"/>
          <w:sz w:val="22"/>
        </w:rPr>
        <w:t>其他类投标人须在其</w:t>
      </w:r>
      <w:r>
        <w:rPr>
          <w:rFonts w:ascii="等线" w:eastAsia="等线"/>
          <w:b/>
          <w:color w:val="FF0000"/>
          <w:spacing w:val="2"/>
          <w:sz w:val="22"/>
        </w:rPr>
        <w:t>投标文件首页加盖电子印章，否则，按废标处理</w:t>
      </w:r>
      <w:r>
        <w:rPr>
          <w:rFonts w:ascii="等线" w:eastAsia="等线" w:hint="eastAsia"/>
          <w:i/>
          <w:spacing w:val="2"/>
          <w:sz w:val="22"/>
        </w:rPr>
        <w:t>；</w:t>
      </w:r>
      <w:r>
        <w:rPr>
          <w:spacing w:val="1"/>
          <w:sz w:val="22"/>
        </w:rPr>
        <w:t>房屋建筑工程、市政公用工程施工项目新版投标工具中需要上传工程量清单的投标文件，必须严格按照福建省定</w:t>
      </w:r>
      <w:r>
        <w:rPr>
          <w:spacing w:val="-18"/>
          <w:sz w:val="22"/>
        </w:rPr>
        <w:t xml:space="preserve">额站 </w:t>
      </w:r>
      <w:r>
        <w:rPr>
          <w:rFonts w:ascii="Times New Roman" w:eastAsia="Times New Roman"/>
          <w:sz w:val="22"/>
        </w:rPr>
        <w:t xml:space="preserve">2011 </w:t>
      </w:r>
      <w:r>
        <w:rPr>
          <w:spacing w:val="-27"/>
          <w:sz w:val="22"/>
        </w:rPr>
        <w:t xml:space="preserve">年 </w:t>
      </w:r>
      <w:r>
        <w:rPr>
          <w:rFonts w:ascii="Times New Roman" w:eastAsia="Times New Roman"/>
          <w:sz w:val="22"/>
        </w:rPr>
        <w:t xml:space="preserve">1 </w:t>
      </w:r>
      <w:r>
        <w:rPr>
          <w:spacing w:val="-27"/>
          <w:sz w:val="22"/>
        </w:rPr>
        <w:t xml:space="preserve">月 </w:t>
      </w:r>
      <w:r>
        <w:rPr>
          <w:rFonts w:ascii="Times New Roman" w:eastAsia="Times New Roman"/>
          <w:sz w:val="22"/>
        </w:rPr>
        <w:t xml:space="preserve">4 </w:t>
      </w:r>
      <w:r>
        <w:rPr>
          <w:spacing w:val="1"/>
          <w:sz w:val="22"/>
        </w:rPr>
        <w:t>日发布的《闽建价〔</w:t>
      </w:r>
      <w:r>
        <w:rPr>
          <w:rFonts w:ascii="Times New Roman" w:eastAsia="Times New Roman"/>
          <w:sz w:val="22"/>
        </w:rPr>
        <w:t>2011</w:t>
      </w:r>
      <w:r>
        <w:rPr>
          <w:spacing w:val="1"/>
          <w:sz w:val="22"/>
        </w:rPr>
        <w:t>〕</w:t>
      </w:r>
      <w:r>
        <w:rPr>
          <w:rFonts w:ascii="Times New Roman" w:eastAsia="Times New Roman"/>
          <w:sz w:val="22"/>
        </w:rPr>
        <w:t xml:space="preserve">1 </w:t>
      </w:r>
      <w:r>
        <w:rPr>
          <w:sz w:val="22"/>
        </w:rPr>
        <w:t>号》规定的《福建省房屋建筑与市政基础设</w:t>
      </w:r>
      <w:r>
        <w:rPr>
          <w:spacing w:val="2"/>
          <w:sz w:val="22"/>
        </w:rPr>
        <w:t>施工程造价电子数据交换导则》（修订部分）为准（</w:t>
      </w:r>
      <w:r>
        <w:rPr>
          <w:spacing w:val="-3"/>
          <w:sz w:val="22"/>
        </w:rPr>
        <w:t xml:space="preserve">一般造价软件都支持该标准清单 </w:t>
      </w:r>
      <w:r>
        <w:rPr>
          <w:rFonts w:ascii="Times New Roman" w:eastAsia="Times New Roman"/>
          <w:sz w:val="22"/>
        </w:rPr>
        <w:t xml:space="preserve">xml </w:t>
      </w:r>
      <w:r>
        <w:rPr>
          <w:sz w:val="22"/>
        </w:rPr>
        <w:t>文</w:t>
      </w:r>
      <w:r>
        <w:rPr>
          <w:spacing w:val="1"/>
          <w:sz w:val="22"/>
        </w:rPr>
        <w:t>件的导出），否则投标文件工具因不能导入清单文件而导致无法生成最终的投标文件</w:t>
      </w:r>
      <w:r>
        <w:rPr>
          <w:rFonts w:ascii="Times New Roman" w:eastAsia="Times New Roman"/>
          <w:sz w:val="22"/>
        </w:rPr>
        <w:t>,</w:t>
      </w:r>
      <w:r>
        <w:rPr>
          <w:sz w:val="22"/>
        </w:rPr>
        <w:t>后果由</w:t>
      </w:r>
      <w:r>
        <w:rPr>
          <w:spacing w:val="6"/>
          <w:sz w:val="22"/>
        </w:rPr>
        <w:t xml:space="preserve">投标人自行负责。技术上如有问题， 请咨询江苏国泰新点软件有限公司， 客服热线： </w:t>
      </w:r>
      <w:r>
        <w:rPr>
          <w:rFonts w:ascii="Times New Roman" w:eastAsia="Times New Roman"/>
          <w:spacing w:val="6"/>
          <w:sz w:val="22"/>
        </w:rPr>
        <w:t>400-850-3300</w:t>
      </w:r>
      <w:r>
        <w:rPr>
          <w:spacing w:val="11"/>
          <w:sz w:val="22"/>
        </w:rPr>
        <w:t xml:space="preserve">。 系统网站： </w:t>
      </w:r>
      <w:hyperlink r:id="rId27">
        <w:r>
          <w:rPr>
            <w:rFonts w:ascii="Times New Roman" w:eastAsia="Times New Roman"/>
            <w:color w:val="0000FF"/>
            <w:sz w:val="22"/>
            <w:u w:val="single" w:color="0000FF"/>
          </w:rPr>
          <w:t>http</w:t>
        </w:r>
        <w:r>
          <w:rPr>
            <w:rFonts w:ascii="Times New Roman" w:eastAsia="Times New Roman"/>
            <w:color w:val="0000FF"/>
            <w:spacing w:val="-1"/>
            <w:sz w:val="22"/>
            <w:u w:val="single" w:color="0000FF"/>
          </w:rPr>
          <w:t>:</w:t>
        </w:r>
        <w:r>
          <w:rPr>
            <w:rFonts w:ascii="Times New Roman" w:eastAsia="Times New Roman"/>
            <w:color w:val="0000FF"/>
            <w:sz w:val="22"/>
            <w:u w:val="single" w:color="0000FF"/>
          </w:rPr>
          <w:t>//www.p</w:t>
        </w:r>
        <w:r>
          <w:rPr>
            <w:rFonts w:ascii="Times New Roman" w:eastAsia="Times New Roman"/>
            <w:color w:val="0000FF"/>
            <w:spacing w:val="-1"/>
            <w:sz w:val="22"/>
            <w:u w:val="single" w:color="0000FF"/>
          </w:rPr>
          <w:t>t</w:t>
        </w:r>
        <w:r>
          <w:rPr>
            <w:rFonts w:ascii="Times New Roman" w:eastAsia="Times New Roman"/>
            <w:color w:val="0000FF"/>
            <w:sz w:val="22"/>
            <w:u w:val="single" w:color="0000FF"/>
          </w:rPr>
          <w:t>f</w:t>
        </w:r>
        <w:r>
          <w:rPr>
            <w:rFonts w:ascii="Times New Roman" w:eastAsia="Times New Roman"/>
            <w:color w:val="0000FF"/>
            <w:spacing w:val="-1"/>
            <w:sz w:val="22"/>
            <w:u w:val="single" w:color="0000FF"/>
          </w:rPr>
          <w:t>wzx.gov.c</w:t>
        </w:r>
        <w:r>
          <w:rPr>
            <w:rFonts w:ascii="Times New Roman" w:eastAsia="Times New Roman"/>
            <w:color w:val="0000FF"/>
            <w:sz w:val="22"/>
            <w:u w:val="single" w:color="0000FF"/>
          </w:rPr>
          <w:t>n/ptsztb/</w:t>
        </w:r>
      </w:hyperlink>
      <w:r>
        <w:rPr>
          <w:rFonts w:ascii="Times New Roman" w:eastAsia="Times New Roman"/>
          <w:color w:val="0000FF"/>
          <w:spacing w:val="-1"/>
          <w:sz w:val="22"/>
        </w:rPr>
        <w:t xml:space="preserve">   </w:t>
      </w:r>
      <w:r>
        <w:rPr>
          <w:spacing w:val="47"/>
          <w:sz w:val="22"/>
        </w:rPr>
        <w:t xml:space="preserve">企业信息申报系统网址： </w:t>
      </w:r>
      <w:hyperlink r:id="rId28">
        <w:r>
          <w:rPr>
            <w:rFonts w:ascii="Times New Roman" w:eastAsia="Times New Roman"/>
            <w:color w:val="0000FF"/>
            <w:spacing w:val="47"/>
            <w:sz w:val="22"/>
            <w:u w:val="single" w:color="0000FF"/>
          </w:rPr>
          <w:t>http</w:t>
        </w:r>
        <w:r>
          <w:rPr>
            <w:rFonts w:ascii="Times New Roman" w:eastAsia="Times New Roman"/>
            <w:color w:val="0000FF"/>
            <w:spacing w:val="-1"/>
            <w:sz w:val="22"/>
            <w:u w:val="single" w:color="0000FF"/>
          </w:rPr>
          <w:t>:</w:t>
        </w:r>
        <w:r>
          <w:rPr>
            <w:rFonts w:ascii="Times New Roman" w:eastAsia="Times New Roman"/>
            <w:color w:val="0000FF"/>
            <w:sz w:val="22"/>
            <w:u w:val="single" w:color="0000FF"/>
          </w:rPr>
          <w:t>//www.p</w:t>
        </w:r>
        <w:r>
          <w:rPr>
            <w:rFonts w:ascii="Times New Roman" w:eastAsia="Times New Roman"/>
            <w:color w:val="0000FF"/>
            <w:spacing w:val="-1"/>
            <w:sz w:val="22"/>
            <w:u w:val="single" w:color="0000FF"/>
          </w:rPr>
          <w:t>t</w:t>
        </w:r>
        <w:r>
          <w:rPr>
            <w:rFonts w:ascii="Times New Roman" w:eastAsia="Times New Roman"/>
            <w:color w:val="0000FF"/>
            <w:sz w:val="22"/>
            <w:u w:val="single" w:color="0000FF"/>
          </w:rPr>
          <w:t>f</w:t>
        </w:r>
        <w:r>
          <w:rPr>
            <w:rFonts w:ascii="Times New Roman" w:eastAsia="Times New Roman"/>
            <w:color w:val="0000FF"/>
            <w:spacing w:val="-1"/>
            <w:sz w:val="22"/>
            <w:u w:val="single" w:color="0000FF"/>
          </w:rPr>
          <w:t>wzx.gov.c</w:t>
        </w:r>
        <w:r>
          <w:rPr>
            <w:rFonts w:ascii="Times New Roman" w:eastAsia="Times New Roman"/>
            <w:color w:val="0000FF"/>
            <w:sz w:val="22"/>
            <w:u w:val="single" w:color="0000FF"/>
          </w:rPr>
          <w:t>n/pthy/</w:t>
        </w:r>
      </w:hyperlink>
      <w:r>
        <w:rPr>
          <w:rFonts w:ascii="Times New Roman" w:eastAsia="Times New Roman"/>
          <w:color w:val="0000FF"/>
          <w:sz w:val="22"/>
        </w:rPr>
        <w:t xml:space="preserve">  </w:t>
      </w:r>
      <w:r>
        <w:rPr>
          <w:sz w:val="22"/>
        </w:rPr>
        <w:t>交易中心系统网址：</w:t>
      </w:r>
      <w:hyperlink r:id="rId29">
        <w:r>
          <w:rPr>
            <w:rFonts w:ascii="Times New Roman" w:eastAsia="Times New Roman"/>
            <w:color w:val="0000FF"/>
            <w:sz w:val="22"/>
            <w:u w:val="single" w:color="0000FF"/>
          </w:rPr>
          <w:t>http</w:t>
        </w:r>
        <w:r>
          <w:rPr>
            <w:rFonts w:ascii="Times New Roman" w:eastAsia="Times New Roman"/>
            <w:color w:val="0000FF"/>
            <w:spacing w:val="-1"/>
            <w:sz w:val="22"/>
            <w:u w:val="single" w:color="0000FF"/>
          </w:rPr>
          <w:t>:</w:t>
        </w:r>
        <w:r>
          <w:rPr>
            <w:rFonts w:ascii="Times New Roman" w:eastAsia="Times New Roman"/>
            <w:color w:val="0000FF"/>
            <w:sz w:val="22"/>
            <w:u w:val="single" w:color="0000FF"/>
          </w:rPr>
          <w:t>//www.ptfwzx.gov.</w:t>
        </w:r>
        <w:r>
          <w:rPr>
            <w:rFonts w:ascii="Times New Roman" w:eastAsia="Times New Roman"/>
            <w:color w:val="0000FF"/>
            <w:spacing w:val="-1"/>
            <w:sz w:val="22"/>
            <w:u w:val="single" w:color="0000FF"/>
          </w:rPr>
          <w:t>c</w:t>
        </w:r>
        <w:r>
          <w:rPr>
            <w:rFonts w:ascii="Times New Roman" w:eastAsia="Times New Roman"/>
            <w:color w:val="0000FF"/>
            <w:sz w:val="22"/>
            <w:u w:val="single" w:color="0000FF"/>
          </w:rPr>
          <w:t>n/ywsys/</w:t>
        </w:r>
      </w:hyperlink>
    </w:p>
    <w:p>
      <w:pPr>
        <w:pStyle w:val="BodyText"/>
        <w:spacing w:before="8"/>
        <w:rPr>
          <w:rFonts w:ascii="Times New Roman"/>
          <w:sz w:val="13"/>
        </w:rPr>
      </w:pPr>
    </w:p>
    <w:p>
      <w:pPr>
        <w:spacing w:before="0" w:line="440" w:lineRule="exact"/>
        <w:ind w:left="628" w:right="0" w:firstLine="0"/>
        <w:jc w:val="left"/>
        <w:rPr>
          <w:rFonts w:ascii="微软雅黑" w:eastAsia="微软雅黑"/>
          <w:b/>
          <w:sz w:val="24"/>
        </w:rPr>
      </w:pPr>
      <w:r>
        <w:rPr>
          <w:rFonts w:ascii="Times New Roman" w:eastAsia="Times New Roman"/>
          <w:b/>
          <w:sz w:val="24"/>
        </w:rPr>
        <w:t>8</w:t>
      </w:r>
      <w:r>
        <w:rPr>
          <w:rFonts w:ascii="微软雅黑" w:eastAsia="微软雅黑"/>
          <w:b/>
          <w:spacing w:val="-2"/>
          <w:sz w:val="24"/>
        </w:rPr>
        <w:t>、发布公告的媒介</w:t>
      </w:r>
    </w:p>
    <w:p>
      <w:pPr>
        <w:spacing w:before="174"/>
        <w:ind w:left="628" w:right="0" w:firstLine="0"/>
        <w:jc w:val="left"/>
        <w:rPr>
          <w:sz w:val="22"/>
        </w:rPr>
      </w:pPr>
      <w:r>
        <w:rPr>
          <w:spacing w:val="-1"/>
          <w:sz w:val="22"/>
        </w:rPr>
        <w:t>本次招标公告在莆田市行政服务中心网上发布。</w:t>
      </w:r>
    </w:p>
    <w:p>
      <w:pPr>
        <w:spacing w:before="141"/>
        <w:ind w:left="673" w:right="0" w:firstLine="0"/>
        <w:jc w:val="left"/>
        <w:rPr>
          <w:rFonts w:ascii="微软雅黑" w:eastAsia="微软雅黑"/>
          <w:b/>
          <w:sz w:val="24"/>
        </w:rPr>
      </w:pPr>
      <w:r>
        <w:rPr>
          <w:rFonts w:ascii="Times New Roman" w:eastAsia="Times New Roman"/>
          <w:b/>
          <w:sz w:val="24"/>
        </w:rPr>
        <w:t>9</w:t>
      </w:r>
      <w:r>
        <w:rPr>
          <w:rFonts w:ascii="微软雅黑" w:eastAsia="微软雅黑"/>
          <w:b/>
          <w:spacing w:val="-1"/>
          <w:sz w:val="24"/>
        </w:rPr>
        <w:t>、公告其他说明</w:t>
      </w:r>
    </w:p>
    <w:p>
      <w:pPr>
        <w:spacing w:before="139"/>
        <w:ind w:left="628" w:right="0" w:firstLine="0"/>
        <w:jc w:val="left"/>
        <w:rPr>
          <w:rFonts w:ascii="微软雅黑" w:eastAsia="微软雅黑"/>
          <w:b/>
          <w:sz w:val="24"/>
        </w:rPr>
      </w:pPr>
      <w:r>
        <w:rPr>
          <w:rFonts w:ascii="Times New Roman" w:eastAsia="Times New Roman"/>
          <w:b/>
          <w:sz w:val="24"/>
        </w:rPr>
        <w:t>10</w:t>
      </w:r>
      <w:r>
        <w:rPr>
          <w:rFonts w:ascii="微软雅黑" w:eastAsia="微软雅黑"/>
          <w:b/>
          <w:spacing w:val="-2"/>
          <w:sz w:val="24"/>
        </w:rPr>
        <w:t>、联系方式</w:t>
      </w:r>
    </w:p>
    <w:p>
      <w:pPr>
        <w:pStyle w:val="BodyText"/>
        <w:spacing w:before="13"/>
        <w:rPr>
          <w:rFonts w:ascii="微软雅黑"/>
          <w:b/>
          <w:sz w:val="12"/>
        </w:rPr>
      </w:pPr>
    </w:p>
    <w:p>
      <w:pPr>
        <w:tabs>
          <w:tab w:val="left" w:pos="1562"/>
          <w:tab w:val="left" w:pos="2002"/>
        </w:tabs>
        <w:spacing w:before="0"/>
        <w:ind w:left="1123" w:right="0" w:firstLine="0"/>
        <w:jc w:val="left"/>
        <w:rPr>
          <w:sz w:val="24"/>
        </w:rPr>
      </w:pPr>
      <w:r>
        <w:rPr>
          <w:spacing w:val="-10"/>
          <w:sz w:val="22"/>
        </w:rPr>
        <w:t>招</w:t>
      </w:r>
      <w:r>
        <w:rPr>
          <w:sz w:val="22"/>
        </w:rPr>
        <w:tab/>
      </w:r>
      <w:r>
        <w:rPr>
          <w:spacing w:val="-10"/>
          <w:sz w:val="22"/>
        </w:rPr>
        <w:t>标</w:t>
      </w:r>
      <w:r>
        <w:rPr>
          <w:sz w:val="22"/>
        </w:rPr>
        <w:tab/>
        <w:t>人：</w:t>
      </w:r>
      <w:r>
        <w:rPr>
          <w:sz w:val="24"/>
          <w:u w:val="single"/>
        </w:rPr>
        <w:t>福建省莆田市技工学</w:t>
      </w:r>
      <w:r>
        <w:rPr>
          <w:spacing w:val="-10"/>
          <w:sz w:val="24"/>
          <w:u w:val="single"/>
        </w:rPr>
        <w:t>校</w:t>
      </w:r>
      <w:r>
        <w:rPr>
          <w:spacing w:val="40"/>
          <w:sz w:val="24"/>
          <w:u w:val="single"/>
        </w:rPr>
        <w:t xml:space="preserve"> </w:t>
      </w:r>
    </w:p>
    <w:p>
      <w:pPr>
        <w:spacing w:before="48"/>
        <w:ind w:left="1108" w:right="0" w:firstLine="0"/>
        <w:jc w:val="left"/>
        <w:rPr>
          <w:sz w:val="22"/>
        </w:rPr>
      </w:pPr>
      <w:r>
        <w:rPr>
          <w:spacing w:val="-1"/>
          <w:sz w:val="22"/>
        </w:rPr>
        <w:t xml:space="preserve">联系人/电话：王老师 </w:t>
      </w:r>
      <w:r>
        <w:rPr>
          <w:spacing w:val="-2"/>
          <w:sz w:val="24"/>
          <w:u w:val="single"/>
        </w:rPr>
        <w:t>15080105875</w:t>
      </w:r>
      <w:r>
        <w:rPr>
          <w:spacing w:val="-2"/>
          <w:sz w:val="22"/>
        </w:rPr>
        <w:t>；</w:t>
      </w:r>
    </w:p>
    <w:p>
      <w:pPr>
        <w:tabs>
          <w:tab w:val="left" w:pos="2772"/>
        </w:tabs>
        <w:spacing w:before="52" w:line="297" w:lineRule="auto"/>
        <w:ind w:left="1123" w:right="4362" w:firstLine="0"/>
        <w:jc w:val="left"/>
        <w:rPr>
          <w:sz w:val="22"/>
        </w:rPr>
      </w:pPr>
      <w:r>
        <w:rPr>
          <w:spacing w:val="-2"/>
          <w:sz w:val="22"/>
        </w:rPr>
        <w:t>招</w:t>
      </w:r>
      <w:r>
        <w:rPr>
          <w:spacing w:val="-2"/>
          <w:sz w:val="22"/>
        </w:rPr>
        <w:t>标</w:t>
      </w:r>
      <w:r>
        <w:rPr>
          <w:spacing w:val="-2"/>
          <w:sz w:val="22"/>
        </w:rPr>
        <w:t>代</w:t>
      </w:r>
      <w:r>
        <w:rPr>
          <w:spacing w:val="-2"/>
          <w:sz w:val="22"/>
        </w:rPr>
        <w:t>理</w:t>
      </w:r>
      <w:r>
        <w:rPr>
          <w:spacing w:val="-2"/>
          <w:sz w:val="22"/>
        </w:rPr>
        <w:t>机</w:t>
      </w:r>
      <w:r>
        <w:rPr>
          <w:spacing w:val="-2"/>
          <w:sz w:val="22"/>
        </w:rPr>
        <w:t>构</w:t>
      </w:r>
      <w:r>
        <w:rPr>
          <w:spacing w:val="-2"/>
          <w:sz w:val="22"/>
        </w:rPr>
        <w:t>：</w:t>
      </w:r>
      <w:r>
        <w:rPr>
          <w:spacing w:val="-2"/>
          <w:sz w:val="24"/>
          <w:u w:val="single"/>
        </w:rPr>
        <w:t>福</w:t>
      </w:r>
      <w:r>
        <w:rPr>
          <w:spacing w:val="-2"/>
          <w:sz w:val="24"/>
          <w:u w:val="single"/>
        </w:rPr>
        <w:t>建</w:t>
      </w:r>
      <w:r>
        <w:rPr>
          <w:spacing w:val="-2"/>
          <w:sz w:val="24"/>
          <w:u w:val="single"/>
        </w:rPr>
        <w:t>省</w:t>
      </w:r>
      <w:r>
        <w:rPr>
          <w:spacing w:val="-2"/>
          <w:sz w:val="24"/>
          <w:u w:val="single"/>
        </w:rPr>
        <w:t>仟</w:t>
      </w:r>
      <w:r>
        <w:rPr>
          <w:spacing w:val="-2"/>
          <w:sz w:val="24"/>
          <w:u w:val="single"/>
        </w:rPr>
        <w:t>羽</w:t>
      </w:r>
      <w:r>
        <w:rPr>
          <w:spacing w:val="-2"/>
          <w:sz w:val="24"/>
          <w:u w:val="single"/>
        </w:rPr>
        <w:t>工</w:t>
      </w:r>
      <w:r>
        <w:rPr>
          <w:spacing w:val="-2"/>
          <w:sz w:val="24"/>
          <w:u w:val="single"/>
        </w:rPr>
        <w:t>程</w:t>
      </w:r>
      <w:r>
        <w:rPr>
          <w:spacing w:val="-2"/>
          <w:sz w:val="24"/>
          <w:u w:val="single"/>
        </w:rPr>
        <w:t>咨</w:t>
      </w:r>
      <w:r>
        <w:rPr>
          <w:spacing w:val="-2"/>
          <w:sz w:val="24"/>
          <w:u w:val="single"/>
        </w:rPr>
        <w:t>询</w:t>
      </w:r>
      <w:r>
        <w:rPr>
          <w:spacing w:val="-2"/>
          <w:sz w:val="24"/>
          <w:u w:val="single"/>
        </w:rPr>
        <w:t>有</w:t>
      </w:r>
      <w:r>
        <w:rPr>
          <w:spacing w:val="-2"/>
          <w:sz w:val="24"/>
          <w:u w:val="single"/>
        </w:rPr>
        <w:t>限</w:t>
      </w:r>
      <w:r>
        <w:rPr>
          <w:spacing w:val="-2"/>
          <w:sz w:val="24"/>
          <w:u w:val="single"/>
        </w:rPr>
        <w:t>公</w:t>
      </w:r>
      <w:r>
        <w:rPr>
          <w:spacing w:val="-2"/>
          <w:sz w:val="24"/>
          <w:u w:val="single"/>
        </w:rPr>
        <w:t>司</w:t>
      </w:r>
      <w:r>
        <w:rPr>
          <w:spacing w:val="-2"/>
          <w:sz w:val="22"/>
        </w:rPr>
        <w:t>联</w:t>
      </w:r>
      <w:r>
        <w:rPr>
          <w:spacing w:val="-2"/>
          <w:sz w:val="22"/>
        </w:rPr>
        <w:t>系</w:t>
      </w:r>
      <w:r>
        <w:rPr>
          <w:spacing w:val="-2"/>
          <w:sz w:val="22"/>
        </w:rPr>
        <w:t>人</w:t>
      </w:r>
      <w:r>
        <w:rPr>
          <w:spacing w:val="-2"/>
          <w:sz w:val="22"/>
        </w:rPr>
        <w:t>/</w:t>
      </w:r>
      <w:r>
        <w:rPr>
          <w:spacing w:val="-2"/>
          <w:sz w:val="22"/>
        </w:rPr>
        <w:t>电</w:t>
      </w:r>
      <w:r>
        <w:rPr>
          <w:spacing w:val="-2"/>
          <w:sz w:val="22"/>
        </w:rPr>
        <w:t>话</w:t>
      </w:r>
      <w:r>
        <w:rPr>
          <w:spacing w:val="-2"/>
          <w:sz w:val="22"/>
        </w:rPr>
        <w:t>：</w:t>
      </w:r>
      <w:r>
        <w:rPr>
          <w:sz w:val="22"/>
        </w:rPr>
        <w:tab/>
        <w:t xml:space="preserve">小张 </w:t>
      </w:r>
      <w:r>
        <w:rPr>
          <w:sz w:val="22"/>
          <w:u w:val="single"/>
        </w:rPr>
        <w:t>0594-2351898</w:t>
      </w:r>
    </w:p>
    <w:p>
      <w:pPr>
        <w:spacing w:after="0" w:line="297" w:lineRule="auto"/>
        <w:jc w:val="left"/>
        <w:rPr>
          <w:sz w:val="22"/>
        </w:rPr>
        <w:sectPr>
          <w:headerReference w:type="even" r:id="rId30"/>
          <w:headerReference w:type="default" r:id="rId31"/>
          <w:footerReference w:type="even" r:id="rId32"/>
          <w:footerReference w:type="default" r:id="rId33"/>
          <w:pgSz w:w="11910" w:h="16840"/>
          <w:pgMar w:top="1380" w:right="800" w:bottom="1200" w:left="960" w:header="971" w:footer="1002"/>
          <w:pgNumType w:start="10"/>
          <w:cols w:space="708"/>
        </w:sectPr>
      </w:pPr>
    </w:p>
    <w:p>
      <w:pPr>
        <w:pStyle w:val="Heading1"/>
        <w:ind w:left="14"/>
      </w:pPr>
      <w:bookmarkStart w:id="1" w:name="_TOC_250022"/>
      <w:r>
        <w:rPr>
          <w:spacing w:val="1"/>
        </w:rPr>
        <w:t xml:space="preserve">第 </w:t>
      </w:r>
      <w:r>
        <w:rPr>
          <w:rFonts w:ascii="Times New Roman" w:eastAsia="Times New Roman"/>
        </w:rPr>
        <w:t>2</w:t>
      </w:r>
      <w:r>
        <w:rPr>
          <w:rFonts w:ascii="Times New Roman" w:eastAsia="Times New Roman"/>
          <w:spacing w:val="3"/>
        </w:rPr>
        <w:t xml:space="preserve"> </w:t>
      </w:r>
      <w:r>
        <w:t>章</w:t>
      </w:r>
      <w:r>
        <w:rPr>
          <w:spacing w:val="67"/>
          <w:w w:val="150"/>
        </w:rPr>
        <w:t xml:space="preserve"> </w:t>
      </w:r>
      <w:bookmarkEnd w:id="1"/>
      <w:r>
        <w:rPr>
          <w:spacing w:val="-1"/>
        </w:rPr>
        <w:t>投标须知及投标须知前附表</w:t>
      </w:r>
    </w:p>
    <w:p>
      <w:pPr>
        <w:pStyle w:val="Heading6"/>
      </w:pPr>
      <w:bookmarkStart w:id="2" w:name="_TOC_250021"/>
      <w:r>
        <w:rPr>
          <w:spacing w:val="-35"/>
        </w:rPr>
        <w:t xml:space="preserve">第 </w:t>
      </w:r>
      <w:r>
        <w:rPr>
          <w:rFonts w:ascii="Times New Roman" w:eastAsia="Times New Roman"/>
        </w:rPr>
        <w:t xml:space="preserve">1 </w:t>
      </w:r>
      <w:bookmarkEnd w:id="2"/>
      <w:r>
        <w:rPr>
          <w:spacing w:val="-2"/>
        </w:rPr>
        <w:t>节投标须知前附表</w:t>
      </w:r>
    </w:p>
    <w:p>
      <w:pPr>
        <w:pStyle w:val="BodyText"/>
        <w:spacing w:before="1"/>
        <w:rPr>
          <w:sz w:val="9"/>
        </w:rPr>
      </w:pPr>
    </w:p>
    <w:p>
      <w:pPr>
        <w:pStyle w:val="BodyText"/>
        <w:spacing w:before="67"/>
        <w:ind w:left="628"/>
      </w:pPr>
      <w:r>
        <w:rPr>
          <w:spacing w:val="-4"/>
        </w:rPr>
        <w:t>说明：</w:t>
      </w:r>
    </w:p>
    <w:p>
      <w:pPr>
        <w:pStyle w:val="ListParagraph"/>
        <w:numPr>
          <w:ilvl w:val="2"/>
          <w:numId w:val="31"/>
        </w:numPr>
        <w:tabs>
          <w:tab w:val="left" w:pos="1700"/>
        </w:tabs>
        <w:spacing w:before="52" w:after="0" w:line="280" w:lineRule="auto"/>
        <w:ind w:left="628" w:right="616" w:firstLine="470"/>
        <w:jc w:val="left"/>
        <w:rPr>
          <w:sz w:val="24"/>
        </w:rPr>
      </w:pPr>
      <w:r>
        <w:rPr>
          <w:spacing w:val="-4"/>
          <w:sz w:val="24"/>
        </w:rPr>
        <w:t>本表各项应无例外一一填写，除“不适用”外，不留空白。如某日期一时定</w:t>
      </w:r>
      <w:r>
        <w:rPr>
          <w:spacing w:val="-2"/>
          <w:sz w:val="24"/>
        </w:rPr>
        <w:t>不下来，可先填计划日期。</w:t>
      </w:r>
    </w:p>
    <w:p>
      <w:pPr>
        <w:pStyle w:val="ListParagraph"/>
        <w:numPr>
          <w:ilvl w:val="2"/>
          <w:numId w:val="31"/>
        </w:numPr>
        <w:tabs>
          <w:tab w:val="left" w:pos="1822"/>
        </w:tabs>
        <w:spacing w:before="1" w:after="0" w:line="280" w:lineRule="auto"/>
        <w:ind w:left="628" w:right="616" w:firstLine="470"/>
        <w:jc w:val="left"/>
        <w:rPr>
          <w:sz w:val="24"/>
        </w:rPr>
      </w:pPr>
      <w:r>
        <w:rPr>
          <w:spacing w:val="-2"/>
          <w:sz w:val="24"/>
        </w:rPr>
        <w:t>如某栏对本项目不适用，应在相应栏中注明“不适用”。任何对投标须知</w:t>
      </w:r>
      <w:r>
        <w:rPr>
          <w:spacing w:val="-2"/>
          <w:sz w:val="24"/>
        </w:rPr>
        <w:t>内容的修改均应在本表后的“修改表”中反映，并保持原条款号不变。</w:t>
      </w:r>
    </w:p>
    <w:p>
      <w:pPr>
        <w:pStyle w:val="ListParagraph"/>
        <w:numPr>
          <w:ilvl w:val="2"/>
          <w:numId w:val="31"/>
        </w:numPr>
        <w:tabs>
          <w:tab w:val="left" w:pos="1709"/>
        </w:tabs>
        <w:spacing w:before="0" w:after="0" w:line="280" w:lineRule="auto"/>
        <w:ind w:left="628" w:right="615" w:firstLine="480"/>
        <w:jc w:val="left"/>
        <w:rPr>
          <w:sz w:val="24"/>
        </w:rPr>
      </w:pPr>
      <w:r>
        <w:pict>
          <v:shapetype id="_x0000_t202" coordsize="21600,21600" o:spt="202" path="m,l,21600r21600,l21600,xe">
            <v:stroke joinstyle="miter"/>
            <v:path gradientshapeok="t" o:connecttype="rect"/>
          </v:shapetype>
          <v:shape id="_x0000_s1028" type="#_x0000_t202" style="width:456.8pt;height:462.2pt;margin-top:33.12pt;margin-left:73.5pt;mso-position-horizontal-relative:page;position:absolute;z-index:251661312" filled="f" stroked="f">
            <v:textbox inset="0,0,0,0">
              <w:txbxContent>
                <w:tbl>
                  <w:tblPr>
                    <w:tblStyle w:val="TableNormal0"/>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34"/>
                    <w:gridCol w:w="738"/>
                    <w:gridCol w:w="1240"/>
                    <w:gridCol w:w="6604"/>
                  </w:tblGrid>
                  <w:tr>
                    <w:tblPrEx>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765"/>
                      <w:jc w:val="left"/>
                    </w:trPr>
                    <w:tc>
                      <w:tcPr>
                        <w:tcW w:w="534" w:type="dxa"/>
                        <w:tcBorders>
                          <w:bottom w:val="single" w:sz="4" w:space="0" w:color="000000"/>
                          <w:right w:val="single" w:sz="4" w:space="0" w:color="000000"/>
                        </w:tcBorders>
                      </w:tcPr>
                      <w:p>
                        <w:pPr>
                          <w:pStyle w:val="TableParagraph"/>
                          <w:spacing w:line="380" w:lineRule="exact"/>
                          <w:ind w:left="161" w:right="140"/>
                          <w:rPr>
                            <w:rFonts w:ascii="Microsoft JhengHei" w:eastAsia="Microsoft JhengHei"/>
                            <w:b/>
                            <w:sz w:val="21"/>
                          </w:rPr>
                        </w:pPr>
                        <w:r>
                          <w:rPr>
                            <w:rFonts w:ascii="Microsoft JhengHei" w:eastAsia="Microsoft JhengHei"/>
                            <w:b/>
                            <w:spacing w:val="-10"/>
                            <w:sz w:val="21"/>
                          </w:rPr>
                          <w:t>项</w:t>
                        </w:r>
                        <w:r>
                          <w:rPr>
                            <w:rFonts w:ascii="Microsoft JhengHei" w:eastAsia="Microsoft JhengHei"/>
                            <w:b/>
                            <w:spacing w:val="-10"/>
                            <w:sz w:val="21"/>
                          </w:rPr>
                          <w:t>号</w:t>
                        </w:r>
                      </w:p>
                    </w:tc>
                    <w:tc>
                      <w:tcPr>
                        <w:tcW w:w="738" w:type="dxa"/>
                        <w:tcBorders>
                          <w:left w:val="single" w:sz="4" w:space="0" w:color="000000"/>
                          <w:bottom w:val="single" w:sz="4" w:space="0" w:color="000000"/>
                          <w:right w:val="single" w:sz="4" w:space="0" w:color="000000"/>
                        </w:tcBorders>
                      </w:tcPr>
                      <w:p>
                        <w:pPr>
                          <w:pStyle w:val="TableParagraph"/>
                          <w:spacing w:line="380" w:lineRule="exact"/>
                          <w:ind w:left="268" w:right="143" w:hanging="106"/>
                          <w:rPr>
                            <w:rFonts w:ascii="Microsoft JhengHei" w:eastAsia="Microsoft JhengHei"/>
                            <w:b/>
                            <w:sz w:val="21"/>
                          </w:rPr>
                        </w:pPr>
                        <w:r>
                          <w:rPr>
                            <w:rFonts w:ascii="Microsoft JhengHei" w:eastAsia="Microsoft JhengHei"/>
                            <w:b/>
                            <w:spacing w:val="-6"/>
                            <w:sz w:val="21"/>
                          </w:rPr>
                          <w:t>条款</w:t>
                        </w:r>
                        <w:r>
                          <w:rPr>
                            <w:rFonts w:ascii="Microsoft JhengHei" w:eastAsia="Microsoft JhengHei"/>
                            <w:b/>
                            <w:spacing w:val="-10"/>
                            <w:sz w:val="21"/>
                          </w:rPr>
                          <w:t>号</w:t>
                        </w: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before="1"/>
                          <w:rPr>
                            <w:sz w:val="17"/>
                          </w:rPr>
                        </w:pPr>
                      </w:p>
                      <w:p>
                        <w:pPr>
                          <w:pStyle w:val="TableParagraph"/>
                          <w:spacing w:before="1"/>
                          <w:ind w:left="110" w:right="91"/>
                          <w:jc w:val="center"/>
                          <w:rPr>
                            <w:rFonts w:ascii="Microsoft JhengHei" w:eastAsia="Microsoft JhengHei"/>
                            <w:b/>
                            <w:sz w:val="21"/>
                          </w:rPr>
                        </w:pPr>
                        <w:r>
                          <w:rPr>
                            <w:rFonts w:ascii="Microsoft JhengHei" w:eastAsia="Microsoft JhengHei"/>
                            <w:b/>
                            <w:spacing w:val="-3"/>
                            <w:sz w:val="21"/>
                          </w:rPr>
                          <w:t>条款名称</w:t>
                        </w:r>
                      </w:p>
                    </w:tc>
                    <w:tc>
                      <w:tcPr>
                        <w:tcW w:w="6604" w:type="dxa"/>
                        <w:tcBorders>
                          <w:top w:val="single" w:sz="4" w:space="0" w:color="000000"/>
                          <w:left w:val="single" w:sz="4" w:space="0" w:color="000000"/>
                          <w:bottom w:val="single" w:sz="4" w:space="0" w:color="000000"/>
                        </w:tcBorders>
                      </w:tcPr>
                      <w:p>
                        <w:pPr>
                          <w:pStyle w:val="TableParagraph"/>
                          <w:spacing w:before="1"/>
                          <w:rPr>
                            <w:sz w:val="17"/>
                          </w:rPr>
                        </w:pPr>
                      </w:p>
                      <w:p>
                        <w:pPr>
                          <w:pStyle w:val="TableParagraph"/>
                          <w:spacing w:before="1"/>
                          <w:ind w:left="2870" w:right="2851"/>
                          <w:jc w:val="center"/>
                          <w:rPr>
                            <w:rFonts w:ascii="Microsoft JhengHei" w:eastAsia="Microsoft JhengHei"/>
                            <w:b/>
                            <w:sz w:val="21"/>
                          </w:rPr>
                        </w:pPr>
                        <w:r>
                          <w:rPr>
                            <w:rFonts w:ascii="Microsoft JhengHei" w:eastAsia="Microsoft JhengHei"/>
                            <w:b/>
                            <w:spacing w:val="-3"/>
                            <w:sz w:val="21"/>
                          </w:rPr>
                          <w:t>编列内容</w:t>
                        </w:r>
                      </w:p>
                    </w:tc>
                  </w:tr>
                  <w:tr>
                    <w:tblPrEx>
                      <w:tblW w:w="0" w:type="auto"/>
                      <w:jc w:val="left"/>
                      <w:tblInd w:w="10" w:type="dxa"/>
                      <w:tblLayout w:type="fixed"/>
                      <w:tblCellMar>
                        <w:top w:w="0" w:type="dxa"/>
                        <w:left w:w="0" w:type="dxa"/>
                        <w:bottom w:w="0" w:type="dxa"/>
                        <w:right w:w="0" w:type="dxa"/>
                      </w:tblCellMar>
                      <w:tblLook w:val="01E0"/>
                    </w:tblPrEx>
                    <w:trPr>
                      <w:trHeight w:val="3040"/>
                      <w:jc w:val="left"/>
                    </w:trPr>
                    <w:tc>
                      <w:tcPr>
                        <w:tcW w:w="534" w:type="dxa"/>
                        <w:tcBorders>
                          <w:top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42"/>
                          <w:ind w:left="33"/>
                          <w:jc w:val="center"/>
                          <w:rPr>
                            <w:sz w:val="21"/>
                          </w:rPr>
                        </w:pPr>
                        <w:r>
                          <w:rPr>
                            <w:sz w:val="21"/>
                          </w:rPr>
                          <w:t>1</w:t>
                        </w:r>
                      </w:p>
                    </w:tc>
                    <w:tc>
                      <w:tcPr>
                        <w:tcW w:w="738"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42"/>
                          <w:ind w:right="194"/>
                          <w:jc w:val="right"/>
                          <w:rPr>
                            <w:sz w:val="21"/>
                          </w:rPr>
                        </w:pPr>
                        <w:r>
                          <w:rPr>
                            <w:spacing w:val="-5"/>
                            <w:sz w:val="21"/>
                          </w:rPr>
                          <w:t>1.1</w:t>
                        </w:r>
                      </w:p>
                    </w:tc>
                    <w:tc>
                      <w:tcPr>
                        <w:tcW w:w="1240"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6"/>
                          <w:rPr>
                            <w:sz w:val="16"/>
                          </w:rPr>
                        </w:pPr>
                      </w:p>
                      <w:p>
                        <w:pPr>
                          <w:pStyle w:val="TableParagraph"/>
                          <w:spacing w:line="235" w:lineRule="auto"/>
                          <w:ind w:left="203" w:right="182"/>
                          <w:jc w:val="center"/>
                          <w:rPr>
                            <w:rFonts w:ascii="Microsoft JhengHei" w:eastAsia="Microsoft JhengHei"/>
                            <w:b/>
                            <w:sz w:val="21"/>
                          </w:rPr>
                        </w:pPr>
                        <w:r>
                          <w:rPr>
                            <w:rFonts w:ascii="Microsoft JhengHei" w:eastAsia="Microsoft JhengHei"/>
                            <w:b/>
                            <w:spacing w:val="-4"/>
                            <w:sz w:val="21"/>
                          </w:rPr>
                          <w:t>招标人和</w:t>
                        </w:r>
                        <w:r>
                          <w:rPr>
                            <w:rFonts w:ascii="Microsoft JhengHei" w:eastAsia="Microsoft JhengHei"/>
                            <w:b/>
                            <w:spacing w:val="-4"/>
                            <w:sz w:val="21"/>
                          </w:rPr>
                          <w:t>招标代理</w:t>
                        </w:r>
                        <w:r>
                          <w:rPr>
                            <w:rFonts w:ascii="Microsoft JhengHei" w:eastAsia="Microsoft JhengHei"/>
                            <w:b/>
                            <w:spacing w:val="-6"/>
                            <w:sz w:val="21"/>
                          </w:rPr>
                          <w:t>机构</w:t>
                        </w:r>
                      </w:p>
                    </w:tc>
                    <w:tc>
                      <w:tcPr>
                        <w:tcW w:w="6604" w:type="dxa"/>
                        <w:tcBorders>
                          <w:top w:val="single" w:sz="4" w:space="0" w:color="000000"/>
                          <w:left w:val="single" w:sz="4" w:space="0" w:color="000000"/>
                          <w:bottom w:val="single" w:sz="4" w:space="0" w:color="000000"/>
                        </w:tcBorders>
                      </w:tcPr>
                      <w:p>
                        <w:pPr>
                          <w:pStyle w:val="TableParagraph"/>
                          <w:tabs>
                            <w:tab w:val="left" w:pos="1367"/>
                            <w:tab w:val="left" w:pos="2102"/>
                            <w:tab w:val="left" w:pos="4097"/>
                            <w:tab w:val="left" w:pos="4412"/>
                            <w:tab w:val="left" w:pos="4517"/>
                          </w:tabs>
                          <w:spacing w:before="94" w:line="338" w:lineRule="auto"/>
                          <w:ind w:left="527" w:right="1645" w:hanging="420"/>
                          <w:rPr>
                            <w:sz w:val="21"/>
                          </w:rPr>
                        </w:pPr>
                        <w:r>
                          <w:rPr>
                            <w:spacing w:val="-2"/>
                            <w:sz w:val="21"/>
                          </w:rPr>
                          <w:t>招</w:t>
                        </w:r>
                        <w:r>
                          <w:rPr>
                            <w:spacing w:val="-2"/>
                            <w:sz w:val="21"/>
                          </w:rPr>
                          <w:t>标</w:t>
                        </w:r>
                        <w:r>
                          <w:rPr>
                            <w:spacing w:val="-2"/>
                            <w:sz w:val="21"/>
                          </w:rPr>
                          <w:t>人</w:t>
                        </w:r>
                        <w:r>
                          <w:rPr>
                            <w:spacing w:val="-2"/>
                            <w:sz w:val="21"/>
                          </w:rPr>
                          <w:t>：</w:t>
                        </w:r>
                        <w:r>
                          <w:rPr>
                            <w:spacing w:val="-2"/>
                            <w:sz w:val="21"/>
                            <w:u w:val="single"/>
                          </w:rPr>
                          <w:t>福</w:t>
                        </w:r>
                        <w:r>
                          <w:rPr>
                            <w:spacing w:val="-2"/>
                            <w:sz w:val="21"/>
                            <w:u w:val="single"/>
                          </w:rPr>
                          <w:t>建</w:t>
                        </w:r>
                        <w:r>
                          <w:rPr>
                            <w:spacing w:val="-2"/>
                            <w:sz w:val="21"/>
                            <w:u w:val="single"/>
                          </w:rPr>
                          <w:t>省</w:t>
                        </w:r>
                        <w:r>
                          <w:rPr>
                            <w:spacing w:val="-2"/>
                            <w:sz w:val="21"/>
                            <w:u w:val="single"/>
                          </w:rPr>
                          <w:t>莆</w:t>
                        </w:r>
                        <w:r>
                          <w:rPr>
                            <w:spacing w:val="-2"/>
                            <w:sz w:val="21"/>
                            <w:u w:val="single"/>
                          </w:rPr>
                          <w:t>田</w:t>
                        </w:r>
                        <w:r>
                          <w:rPr>
                            <w:spacing w:val="-2"/>
                            <w:sz w:val="21"/>
                            <w:u w:val="single"/>
                          </w:rPr>
                          <w:t>市</w:t>
                        </w:r>
                        <w:r>
                          <w:rPr>
                            <w:spacing w:val="-2"/>
                            <w:sz w:val="21"/>
                            <w:u w:val="single"/>
                          </w:rPr>
                          <w:t>技</w:t>
                        </w:r>
                        <w:r>
                          <w:rPr>
                            <w:spacing w:val="-2"/>
                            <w:sz w:val="21"/>
                            <w:u w:val="single"/>
                          </w:rPr>
                          <w:t>工</w:t>
                        </w:r>
                        <w:r>
                          <w:rPr>
                            <w:spacing w:val="-2"/>
                            <w:sz w:val="21"/>
                            <w:u w:val="single"/>
                          </w:rPr>
                          <w:t>学</w:t>
                        </w:r>
                        <w:r>
                          <w:rPr>
                            <w:spacing w:val="-2"/>
                            <w:sz w:val="21"/>
                            <w:u w:val="single"/>
                          </w:rPr>
                          <w:t>校</w:t>
                        </w:r>
                        <w:r>
                          <w:rPr>
                            <w:sz w:val="21"/>
                            <w:u w:val="single"/>
                          </w:rPr>
                          <w:tab/>
                        </w:r>
                        <w:r>
                          <w:rPr>
                            <w:spacing w:val="630"/>
                            <w:sz w:val="21"/>
                          </w:rPr>
                          <w:t xml:space="preserve"> </w:t>
                        </w:r>
                        <w:r>
                          <w:rPr>
                            <w:color w:val="FF0000"/>
                            <w:spacing w:val="-2"/>
                            <w:sz w:val="21"/>
                          </w:rPr>
                          <w:t>地</w:t>
                        </w:r>
                        <w:r>
                          <w:rPr>
                            <w:color w:val="FF0000"/>
                            <w:spacing w:val="-2"/>
                            <w:sz w:val="21"/>
                          </w:rPr>
                          <w:t>址</w:t>
                        </w:r>
                        <w:r>
                          <w:rPr>
                            <w:color w:val="FF0000"/>
                            <w:spacing w:val="-2"/>
                            <w:sz w:val="21"/>
                          </w:rPr>
                          <w:t>：</w:t>
                        </w:r>
                        <w:r>
                          <w:rPr>
                            <w:spacing w:val="-2"/>
                            <w:sz w:val="21"/>
                            <w:u w:val="single"/>
                          </w:rPr>
                          <w:t>福</w:t>
                        </w:r>
                        <w:r>
                          <w:rPr>
                            <w:spacing w:val="-2"/>
                            <w:sz w:val="21"/>
                            <w:u w:val="single"/>
                          </w:rPr>
                          <w:t>建</w:t>
                        </w:r>
                        <w:r>
                          <w:rPr>
                            <w:spacing w:val="-2"/>
                            <w:sz w:val="21"/>
                            <w:u w:val="single"/>
                          </w:rPr>
                          <w:t>省</w:t>
                        </w:r>
                        <w:r>
                          <w:rPr>
                            <w:spacing w:val="-2"/>
                            <w:sz w:val="21"/>
                            <w:u w:val="single"/>
                          </w:rPr>
                          <w:t>莆</w:t>
                        </w:r>
                        <w:r>
                          <w:rPr>
                            <w:spacing w:val="-2"/>
                            <w:sz w:val="21"/>
                            <w:u w:val="single"/>
                          </w:rPr>
                          <w:t>田</w:t>
                        </w:r>
                        <w:r>
                          <w:rPr>
                            <w:spacing w:val="-2"/>
                            <w:sz w:val="21"/>
                            <w:u w:val="single"/>
                          </w:rPr>
                          <w:t>市</w:t>
                        </w:r>
                        <w:r>
                          <w:rPr>
                            <w:spacing w:val="-2"/>
                            <w:sz w:val="21"/>
                            <w:u w:val="single"/>
                          </w:rPr>
                          <w:t>荔</w:t>
                        </w:r>
                        <w:r>
                          <w:rPr>
                            <w:spacing w:val="-2"/>
                            <w:sz w:val="21"/>
                            <w:u w:val="single"/>
                          </w:rPr>
                          <w:t>城</w:t>
                        </w:r>
                        <w:r>
                          <w:rPr>
                            <w:spacing w:val="-2"/>
                            <w:sz w:val="21"/>
                            <w:u w:val="single"/>
                          </w:rPr>
                          <w:t>区</w:t>
                        </w:r>
                        <w:r>
                          <w:rPr>
                            <w:spacing w:val="-2"/>
                            <w:sz w:val="21"/>
                            <w:u w:val="single"/>
                          </w:rPr>
                          <w:t>西</w:t>
                        </w:r>
                        <w:r>
                          <w:rPr>
                            <w:spacing w:val="-2"/>
                            <w:sz w:val="21"/>
                            <w:u w:val="single"/>
                          </w:rPr>
                          <w:t>天</w:t>
                        </w:r>
                        <w:r>
                          <w:rPr>
                            <w:spacing w:val="-2"/>
                            <w:sz w:val="21"/>
                            <w:u w:val="single"/>
                          </w:rPr>
                          <w:t>尾</w:t>
                        </w:r>
                        <w:r>
                          <w:rPr>
                            <w:spacing w:val="-2"/>
                            <w:sz w:val="21"/>
                            <w:u w:val="single"/>
                          </w:rPr>
                          <w:t>镇</w:t>
                        </w:r>
                        <w:r>
                          <w:rPr>
                            <w:spacing w:val="-2"/>
                            <w:sz w:val="21"/>
                            <w:u w:val="single"/>
                          </w:rPr>
                          <w:t>后</w:t>
                        </w:r>
                        <w:r>
                          <w:rPr>
                            <w:spacing w:val="-2"/>
                            <w:sz w:val="21"/>
                            <w:u w:val="single"/>
                          </w:rPr>
                          <w:t>卓</w:t>
                        </w:r>
                        <w:r>
                          <w:rPr>
                            <w:spacing w:val="-2"/>
                            <w:sz w:val="21"/>
                            <w:u w:val="single"/>
                          </w:rPr>
                          <w:t>村</w:t>
                        </w:r>
                        <w:r>
                          <w:rPr>
                            <w:spacing w:val="-49"/>
                            <w:sz w:val="21"/>
                            <w:u w:val="single"/>
                          </w:rPr>
                          <w:t xml:space="preserve"> </w:t>
                        </w:r>
                        <w:r>
                          <w:rPr>
                            <w:spacing w:val="-2"/>
                            <w:sz w:val="21"/>
                            <w:u w:val="single"/>
                          </w:rPr>
                          <w:t>4</w:t>
                        </w:r>
                        <w:r>
                          <w:rPr>
                            <w:spacing w:val="-49"/>
                            <w:sz w:val="21"/>
                            <w:u w:val="single"/>
                          </w:rPr>
                          <w:t xml:space="preserve"> </w:t>
                        </w:r>
                        <w:r>
                          <w:rPr>
                            <w:spacing w:val="-2"/>
                            <w:sz w:val="21"/>
                            <w:u w:val="single"/>
                          </w:rPr>
                          <w:t>号</w:t>
                        </w:r>
                        <w:r>
                          <w:rPr>
                            <w:spacing w:val="-2"/>
                            <w:sz w:val="21"/>
                          </w:rPr>
                          <w:t>项</w:t>
                        </w:r>
                        <w:r>
                          <w:rPr>
                            <w:spacing w:val="-2"/>
                            <w:sz w:val="21"/>
                          </w:rPr>
                          <w:t>目</w:t>
                        </w:r>
                        <w:r>
                          <w:rPr>
                            <w:spacing w:val="-2"/>
                            <w:sz w:val="21"/>
                          </w:rPr>
                          <w:t>负</w:t>
                        </w:r>
                        <w:r>
                          <w:rPr>
                            <w:spacing w:val="-2"/>
                            <w:sz w:val="21"/>
                          </w:rPr>
                          <w:t>责</w:t>
                        </w:r>
                        <w:r>
                          <w:rPr>
                            <w:spacing w:val="-2"/>
                            <w:sz w:val="21"/>
                          </w:rPr>
                          <w:t>人</w:t>
                        </w:r>
                        <w:r>
                          <w:rPr>
                            <w:spacing w:val="-2"/>
                            <w:sz w:val="21"/>
                          </w:rPr>
                          <w:t>：</w:t>
                        </w:r>
                        <w:r>
                          <w:rPr>
                            <w:rFonts w:ascii="Times New Roman" w:eastAsia="Times New Roman"/>
                            <w:sz w:val="21"/>
                            <w:u w:val="single"/>
                          </w:rPr>
                          <w:tab/>
                        </w:r>
                        <w:r>
                          <w:rPr>
                            <w:spacing w:val="-4"/>
                            <w:sz w:val="21"/>
                            <w:u w:val="single"/>
                          </w:rPr>
                          <w:t>王</w:t>
                        </w:r>
                        <w:r>
                          <w:rPr>
                            <w:spacing w:val="-4"/>
                            <w:sz w:val="21"/>
                            <w:u w:val="single"/>
                          </w:rPr>
                          <w:t>老</w:t>
                        </w:r>
                        <w:r>
                          <w:rPr>
                            <w:spacing w:val="-4"/>
                            <w:sz w:val="21"/>
                            <w:u w:val="single"/>
                          </w:rPr>
                          <w:t>师</w:t>
                        </w:r>
                        <w:r>
                          <w:rPr>
                            <w:sz w:val="21"/>
                            <w:u w:val="single"/>
                          </w:rPr>
                          <w:tab/>
                          <w:tab/>
                          <w:tab/>
                        </w:r>
                        <w:r>
                          <w:rPr>
                            <w:spacing w:val="40"/>
                            <w:sz w:val="21"/>
                          </w:rPr>
                          <w:t xml:space="preserve">  </w:t>
                        </w:r>
                        <w:r>
                          <w:rPr>
                            <w:spacing w:val="-4"/>
                            <w:sz w:val="21"/>
                          </w:rPr>
                          <w:t>电</w:t>
                        </w:r>
                        <w:r>
                          <w:rPr>
                            <w:spacing w:val="-4"/>
                            <w:sz w:val="21"/>
                          </w:rPr>
                          <w:t>话</w:t>
                        </w:r>
                        <w:r>
                          <w:rPr>
                            <w:spacing w:val="-4"/>
                            <w:sz w:val="21"/>
                          </w:rPr>
                          <w:t>：</w:t>
                        </w:r>
                        <w:r>
                          <w:rPr>
                            <w:sz w:val="21"/>
                          </w:rPr>
                          <w:tab/>
                        </w:r>
                        <w:r>
                          <w:rPr>
                            <w:spacing w:val="-2"/>
                            <w:sz w:val="21"/>
                            <w:u w:val="single"/>
                          </w:rPr>
                          <w:t>15080105875</w:t>
                        </w:r>
                        <w:r>
                          <w:rPr>
                            <w:sz w:val="21"/>
                            <w:u w:val="single"/>
                          </w:rPr>
                          <w:tab/>
                          <w:tab/>
                        </w:r>
                      </w:p>
                      <w:p>
                        <w:pPr>
                          <w:pStyle w:val="TableParagraph"/>
                          <w:tabs>
                            <w:tab w:val="left" w:pos="1682"/>
                            <w:tab w:val="left" w:pos="3992"/>
                            <w:tab w:val="left" w:pos="5252"/>
                          </w:tabs>
                          <w:spacing w:before="2" w:line="338" w:lineRule="auto"/>
                          <w:ind w:left="527" w:right="1329" w:hanging="420"/>
                          <w:rPr>
                            <w:sz w:val="21"/>
                          </w:rPr>
                        </w:pPr>
                        <w:r>
                          <w:rPr>
                            <w:sz w:val="21"/>
                          </w:rPr>
                          <w:t>招标代理机构：</w:t>
                        </w:r>
                        <w:r>
                          <w:rPr>
                            <w:rFonts w:ascii="Times New Roman" w:eastAsia="Times New Roman"/>
                            <w:spacing w:val="80"/>
                            <w:w w:val="150"/>
                            <w:sz w:val="21"/>
                            <w:u w:val="single"/>
                          </w:rPr>
                          <w:t xml:space="preserve"> </w:t>
                        </w:r>
                        <w:r>
                          <w:rPr>
                            <w:sz w:val="21"/>
                            <w:u w:val="single"/>
                          </w:rPr>
                          <w:t>福建省仟羽工程咨询有限公司</w:t>
                          <w:tab/>
                        </w:r>
                        <w:r>
                          <w:rPr>
                            <w:sz w:val="21"/>
                          </w:rPr>
                          <w:t xml:space="preserve"> </w:t>
                        </w:r>
                        <w:r>
                          <w:rPr>
                            <w:spacing w:val="-4"/>
                            <w:sz w:val="21"/>
                          </w:rPr>
                          <w:t>地</w:t>
                        </w:r>
                        <w:r>
                          <w:rPr>
                            <w:spacing w:val="-4"/>
                            <w:sz w:val="21"/>
                          </w:rPr>
                          <w:t>址</w:t>
                        </w:r>
                        <w:r>
                          <w:rPr>
                            <w:spacing w:val="-4"/>
                            <w:sz w:val="21"/>
                          </w:rPr>
                          <w:t>：</w:t>
                        </w:r>
                        <w:r>
                          <w:rPr>
                            <w:rFonts w:ascii="Times New Roman" w:eastAsia="Times New Roman"/>
                            <w:sz w:val="21"/>
                            <w:u w:val="single"/>
                          </w:rPr>
                          <w:tab/>
                        </w:r>
                        <w:r>
                          <w:rPr>
                            <w:spacing w:val="-2"/>
                            <w:sz w:val="21"/>
                            <w:u w:val="single"/>
                          </w:rPr>
                          <w:t>莆</w:t>
                        </w:r>
                        <w:r>
                          <w:rPr>
                            <w:spacing w:val="-2"/>
                            <w:sz w:val="21"/>
                            <w:u w:val="single"/>
                          </w:rPr>
                          <w:t>田</w:t>
                        </w:r>
                        <w:r>
                          <w:rPr>
                            <w:spacing w:val="-2"/>
                            <w:sz w:val="21"/>
                            <w:u w:val="single"/>
                          </w:rPr>
                          <w:t>市</w:t>
                        </w:r>
                        <w:r>
                          <w:rPr>
                            <w:spacing w:val="-2"/>
                            <w:sz w:val="21"/>
                            <w:u w:val="single"/>
                          </w:rPr>
                          <w:t>宏</w:t>
                        </w:r>
                        <w:r>
                          <w:rPr>
                            <w:spacing w:val="-2"/>
                            <w:sz w:val="21"/>
                            <w:u w:val="single"/>
                          </w:rPr>
                          <w:t>丰</w:t>
                        </w:r>
                        <w:r>
                          <w:rPr>
                            <w:spacing w:val="-2"/>
                            <w:sz w:val="21"/>
                            <w:u w:val="single"/>
                          </w:rPr>
                          <w:t>嘉</w:t>
                        </w:r>
                        <w:r>
                          <w:rPr>
                            <w:spacing w:val="-2"/>
                            <w:sz w:val="21"/>
                            <w:u w:val="single"/>
                          </w:rPr>
                          <w:t>园</w:t>
                        </w:r>
                        <w:r>
                          <w:rPr>
                            <w:sz w:val="21"/>
                            <w:u w:val="single"/>
                          </w:rPr>
                          <w:tab/>
                        </w:r>
                      </w:p>
                      <w:p>
                        <w:pPr>
                          <w:pStyle w:val="TableParagraph"/>
                          <w:tabs>
                            <w:tab w:val="left" w:pos="2312"/>
                            <w:tab w:val="left" w:pos="5252"/>
                          </w:tabs>
                          <w:spacing w:before="1"/>
                          <w:ind w:left="527"/>
                          <w:rPr>
                            <w:sz w:val="21"/>
                          </w:rPr>
                        </w:pPr>
                        <w:r>
                          <w:rPr>
                            <w:sz w:val="21"/>
                          </w:rPr>
                          <w:t>项目负责人</w:t>
                        </w:r>
                        <w:r>
                          <w:rPr>
                            <w:spacing w:val="-10"/>
                            <w:sz w:val="21"/>
                          </w:rPr>
                          <w:t>：</w:t>
                        </w:r>
                        <w:r>
                          <w:rPr>
                            <w:rFonts w:ascii="Times New Roman" w:eastAsia="Times New Roman"/>
                            <w:sz w:val="21"/>
                            <w:u w:val="single"/>
                          </w:rPr>
                          <w:tab/>
                        </w:r>
                        <w:r>
                          <w:rPr>
                            <w:sz w:val="21"/>
                            <w:u w:val="single"/>
                          </w:rPr>
                          <w:t>小</w:t>
                        </w:r>
                        <w:r>
                          <w:rPr>
                            <w:spacing w:val="-10"/>
                            <w:sz w:val="21"/>
                            <w:u w:val="single"/>
                          </w:rPr>
                          <w:t>张</w:t>
                        </w:r>
                        <w:r>
                          <w:rPr>
                            <w:sz w:val="21"/>
                            <w:u w:val="single"/>
                          </w:rPr>
                          <w:tab/>
                        </w:r>
                      </w:p>
                      <w:p>
                        <w:pPr>
                          <w:pStyle w:val="TableParagraph"/>
                          <w:tabs>
                            <w:tab w:val="left" w:pos="2207"/>
                            <w:tab w:val="left" w:pos="5252"/>
                          </w:tabs>
                          <w:spacing w:before="111" w:line="266" w:lineRule="exact"/>
                          <w:ind w:left="527"/>
                          <w:rPr>
                            <w:sz w:val="21"/>
                          </w:rPr>
                        </w:pPr>
                        <w:r>
                          <w:rPr>
                            <w:sz w:val="21"/>
                          </w:rPr>
                          <w:t>电话</w:t>
                        </w:r>
                        <w:r>
                          <w:rPr>
                            <w:spacing w:val="-10"/>
                            <w:sz w:val="21"/>
                          </w:rPr>
                          <w:t>：</w:t>
                        </w:r>
                        <w:r>
                          <w:rPr>
                            <w:sz w:val="21"/>
                            <w:u w:val="single"/>
                          </w:rPr>
                          <w:tab/>
                          <w:t>0594-</w:t>
                        </w:r>
                        <w:r>
                          <w:rPr>
                            <w:spacing w:val="-2"/>
                            <w:sz w:val="21"/>
                            <w:u w:val="single"/>
                          </w:rPr>
                          <w:t>2351898</w:t>
                        </w:r>
                        <w:r>
                          <w:rPr>
                            <w:sz w:val="21"/>
                            <w:u w:val="single"/>
                          </w:rPr>
                          <w:tab/>
                        </w:r>
                      </w:p>
                    </w:tc>
                  </w:tr>
                  <w:tr>
                    <w:tblPrEx>
                      <w:tblW w:w="0" w:type="auto"/>
                      <w:jc w:val="left"/>
                      <w:tblInd w:w="10" w:type="dxa"/>
                      <w:tblLayout w:type="fixed"/>
                      <w:tblCellMar>
                        <w:top w:w="0" w:type="dxa"/>
                        <w:left w:w="0" w:type="dxa"/>
                        <w:bottom w:w="0" w:type="dxa"/>
                        <w:right w:w="0" w:type="dxa"/>
                      </w:tblCellMar>
                      <w:tblLook w:val="01E0"/>
                    </w:tblPrEx>
                    <w:trPr>
                      <w:trHeight w:val="2280"/>
                      <w:jc w:val="left"/>
                    </w:trPr>
                    <w:tc>
                      <w:tcPr>
                        <w:tcW w:w="534" w:type="dxa"/>
                        <w:tcBorders>
                          <w:top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6"/>
                          <w:rPr>
                            <w:sz w:val="21"/>
                          </w:rPr>
                        </w:pPr>
                      </w:p>
                      <w:p>
                        <w:pPr>
                          <w:pStyle w:val="TableParagraph"/>
                          <w:ind w:left="33"/>
                          <w:jc w:val="center"/>
                          <w:rPr>
                            <w:sz w:val="21"/>
                          </w:rPr>
                        </w:pPr>
                        <w:r>
                          <w:rPr>
                            <w:sz w:val="21"/>
                          </w:rPr>
                          <w:t>2</w:t>
                        </w:r>
                      </w:p>
                    </w:tc>
                    <w:tc>
                      <w:tcPr>
                        <w:tcW w:w="738"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6"/>
                          <w:rPr>
                            <w:sz w:val="21"/>
                          </w:rPr>
                        </w:pPr>
                      </w:p>
                      <w:p>
                        <w:pPr>
                          <w:pStyle w:val="TableParagraph"/>
                          <w:ind w:right="194"/>
                          <w:jc w:val="right"/>
                          <w:rPr>
                            <w:sz w:val="21"/>
                          </w:rPr>
                        </w:pPr>
                        <w:r>
                          <w:rPr>
                            <w:spacing w:val="-5"/>
                            <w:sz w:val="21"/>
                          </w:rPr>
                          <w:t>1.2</w:t>
                        </w:r>
                      </w:p>
                    </w:tc>
                    <w:tc>
                      <w:tcPr>
                        <w:tcW w:w="1240"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154" w:line="235" w:lineRule="auto"/>
                          <w:ind w:left="112" w:right="91" w:firstLine="90"/>
                          <w:jc w:val="both"/>
                          <w:rPr>
                            <w:rFonts w:ascii="Microsoft JhengHei" w:eastAsia="Microsoft JhengHei"/>
                            <w:b/>
                            <w:sz w:val="21"/>
                          </w:rPr>
                        </w:pPr>
                        <w:r>
                          <w:rPr>
                            <w:rFonts w:ascii="Microsoft JhengHei" w:eastAsia="Microsoft JhengHei"/>
                            <w:b/>
                            <w:spacing w:val="-4"/>
                            <w:sz w:val="21"/>
                          </w:rPr>
                          <w:t>本招标项</w:t>
                        </w:r>
                        <w:r>
                          <w:rPr>
                            <w:rFonts w:ascii="Microsoft JhengHei" w:eastAsia="Microsoft JhengHei"/>
                            <w:b/>
                            <w:spacing w:val="-8"/>
                            <w:sz w:val="21"/>
                          </w:rPr>
                          <w:t>目名称、招</w:t>
                        </w:r>
                        <w:r>
                          <w:rPr>
                            <w:rFonts w:ascii="Microsoft JhengHei" w:eastAsia="Microsoft JhengHei"/>
                            <w:b/>
                            <w:spacing w:val="-4"/>
                            <w:sz w:val="21"/>
                          </w:rPr>
                          <w:t>标编号和</w:t>
                        </w:r>
                        <w:r>
                          <w:rPr>
                            <w:rFonts w:ascii="Microsoft JhengHei" w:eastAsia="Microsoft JhengHei"/>
                            <w:b/>
                            <w:spacing w:val="-4"/>
                            <w:sz w:val="21"/>
                          </w:rPr>
                          <w:t>标段划分</w:t>
                        </w:r>
                      </w:p>
                    </w:tc>
                    <w:tc>
                      <w:tcPr>
                        <w:tcW w:w="6604" w:type="dxa"/>
                        <w:tcBorders>
                          <w:top w:val="single" w:sz="4" w:space="0" w:color="000000"/>
                          <w:left w:val="single" w:sz="4" w:space="0" w:color="000000"/>
                          <w:bottom w:val="single" w:sz="4" w:space="0" w:color="000000"/>
                        </w:tcBorders>
                      </w:tcPr>
                      <w:p>
                        <w:pPr>
                          <w:pStyle w:val="TableParagraph"/>
                          <w:tabs>
                            <w:tab w:val="left" w:pos="1997"/>
                            <w:tab w:val="left" w:pos="4897"/>
                          </w:tabs>
                          <w:spacing w:before="94" w:line="338" w:lineRule="auto"/>
                          <w:ind w:left="527" w:right="-29" w:hanging="420"/>
                          <w:rPr>
                            <w:sz w:val="21"/>
                          </w:rPr>
                        </w:pPr>
                        <w:r>
                          <w:rPr>
                            <w:spacing w:val="-2"/>
                            <w:sz w:val="21"/>
                          </w:rPr>
                          <w:t>招</w:t>
                        </w:r>
                        <w:r>
                          <w:rPr>
                            <w:spacing w:val="-2"/>
                            <w:sz w:val="21"/>
                          </w:rPr>
                          <w:t>标</w:t>
                        </w:r>
                        <w:r>
                          <w:rPr>
                            <w:spacing w:val="-2"/>
                            <w:sz w:val="21"/>
                          </w:rPr>
                          <w:t>项</w:t>
                        </w:r>
                        <w:r>
                          <w:rPr>
                            <w:spacing w:val="-2"/>
                            <w:sz w:val="21"/>
                          </w:rPr>
                          <w:t>目</w:t>
                        </w:r>
                        <w:r>
                          <w:rPr>
                            <w:spacing w:val="-2"/>
                            <w:sz w:val="21"/>
                          </w:rPr>
                          <w:t>名</w:t>
                        </w:r>
                        <w:r>
                          <w:rPr>
                            <w:spacing w:val="-2"/>
                            <w:sz w:val="21"/>
                          </w:rPr>
                          <w:t>称</w:t>
                        </w:r>
                        <w:r>
                          <w:rPr>
                            <w:spacing w:val="-2"/>
                            <w:sz w:val="21"/>
                          </w:rPr>
                          <w:t>：</w:t>
                        </w:r>
                        <w:r>
                          <w:rPr>
                            <w:spacing w:val="-2"/>
                            <w:sz w:val="21"/>
                            <w:u w:val="single"/>
                          </w:rPr>
                          <w:t>福</w:t>
                        </w:r>
                        <w:r>
                          <w:rPr>
                            <w:spacing w:val="-2"/>
                            <w:sz w:val="21"/>
                            <w:u w:val="single"/>
                          </w:rPr>
                          <w:t>建</w:t>
                        </w:r>
                        <w:r>
                          <w:rPr>
                            <w:spacing w:val="-2"/>
                            <w:sz w:val="21"/>
                            <w:u w:val="single"/>
                          </w:rPr>
                          <w:t>省</w:t>
                        </w:r>
                        <w:r>
                          <w:rPr>
                            <w:spacing w:val="-2"/>
                            <w:sz w:val="21"/>
                            <w:u w:val="single"/>
                          </w:rPr>
                          <w:t>莆</w:t>
                        </w:r>
                        <w:r>
                          <w:rPr>
                            <w:spacing w:val="-2"/>
                            <w:sz w:val="21"/>
                            <w:u w:val="single"/>
                          </w:rPr>
                          <w:t>田</w:t>
                        </w:r>
                        <w:r>
                          <w:rPr>
                            <w:spacing w:val="-2"/>
                            <w:sz w:val="21"/>
                            <w:u w:val="single"/>
                          </w:rPr>
                          <w:t>市</w:t>
                        </w:r>
                        <w:r>
                          <w:rPr>
                            <w:spacing w:val="-2"/>
                            <w:sz w:val="21"/>
                            <w:u w:val="single"/>
                          </w:rPr>
                          <w:t>技</w:t>
                        </w:r>
                        <w:r>
                          <w:rPr>
                            <w:spacing w:val="-2"/>
                            <w:sz w:val="21"/>
                            <w:u w:val="single"/>
                          </w:rPr>
                          <w:t>工</w:t>
                        </w:r>
                        <w:r>
                          <w:rPr>
                            <w:spacing w:val="-2"/>
                            <w:sz w:val="21"/>
                            <w:u w:val="single"/>
                          </w:rPr>
                          <w:t>学</w:t>
                        </w:r>
                        <w:r>
                          <w:rPr>
                            <w:spacing w:val="-2"/>
                            <w:sz w:val="21"/>
                            <w:u w:val="single"/>
                          </w:rPr>
                          <w:t>校</w:t>
                        </w:r>
                        <w:r>
                          <w:rPr>
                            <w:spacing w:val="-2"/>
                            <w:sz w:val="21"/>
                            <w:u w:val="single"/>
                          </w:rPr>
                          <w:t>教</w:t>
                        </w:r>
                        <w:r>
                          <w:rPr>
                            <w:spacing w:val="-2"/>
                            <w:sz w:val="21"/>
                            <w:u w:val="single"/>
                          </w:rPr>
                          <w:t>学</w:t>
                        </w:r>
                        <w:r>
                          <w:rPr>
                            <w:spacing w:val="-2"/>
                            <w:sz w:val="21"/>
                            <w:u w:val="single"/>
                          </w:rPr>
                          <w:t>楼</w:t>
                        </w:r>
                        <w:r>
                          <w:rPr>
                            <w:spacing w:val="-2"/>
                            <w:sz w:val="21"/>
                            <w:u w:val="single"/>
                          </w:rPr>
                          <w:t>勘</w:t>
                        </w:r>
                        <w:r>
                          <w:rPr>
                            <w:spacing w:val="-2"/>
                            <w:sz w:val="21"/>
                            <w:u w:val="single"/>
                          </w:rPr>
                          <w:t>察</w:t>
                        </w:r>
                        <w:r>
                          <w:rPr>
                            <w:spacing w:val="-2"/>
                            <w:sz w:val="21"/>
                            <w:u w:val="single"/>
                          </w:rPr>
                          <w:t>、</w:t>
                        </w:r>
                        <w:r>
                          <w:rPr>
                            <w:spacing w:val="-2"/>
                            <w:sz w:val="21"/>
                            <w:u w:val="single"/>
                          </w:rPr>
                          <w:t>设</w:t>
                        </w:r>
                        <w:r>
                          <w:rPr>
                            <w:spacing w:val="-2"/>
                            <w:sz w:val="21"/>
                            <w:u w:val="single"/>
                          </w:rPr>
                          <w:t>计</w:t>
                        </w:r>
                        <w:r>
                          <w:rPr>
                            <w:spacing w:val="-2"/>
                            <w:sz w:val="21"/>
                            <w:u w:val="single"/>
                          </w:rPr>
                          <w:t>（</w:t>
                        </w:r>
                        <w:r>
                          <w:rPr>
                            <w:spacing w:val="-2"/>
                            <w:sz w:val="21"/>
                            <w:u w:val="single"/>
                          </w:rPr>
                          <w:t>重</w:t>
                        </w:r>
                        <w:r>
                          <w:rPr>
                            <w:spacing w:val="-2"/>
                            <w:sz w:val="21"/>
                            <w:u w:val="single"/>
                          </w:rPr>
                          <w:t>新</w:t>
                        </w:r>
                        <w:r>
                          <w:rPr>
                            <w:spacing w:val="-2"/>
                            <w:sz w:val="21"/>
                            <w:u w:val="single"/>
                          </w:rPr>
                          <w:t>招</w:t>
                        </w:r>
                        <w:r>
                          <w:rPr>
                            <w:spacing w:val="-2"/>
                            <w:sz w:val="21"/>
                            <w:u w:val="single"/>
                          </w:rPr>
                          <w:t>标</w:t>
                        </w:r>
                        <w:r>
                          <w:rPr>
                            <w:spacing w:val="-2"/>
                            <w:sz w:val="21"/>
                            <w:u w:val="single"/>
                          </w:rPr>
                          <w:t>）</w:t>
                        </w:r>
                        <w:r>
                          <w:rPr>
                            <w:spacing w:val="-2"/>
                            <w:sz w:val="21"/>
                          </w:rPr>
                          <w:t>招</w:t>
                        </w:r>
                        <w:r>
                          <w:rPr>
                            <w:spacing w:val="-2"/>
                            <w:sz w:val="21"/>
                          </w:rPr>
                          <w:t>标</w:t>
                        </w:r>
                        <w:r>
                          <w:rPr>
                            <w:spacing w:val="-2"/>
                            <w:sz w:val="21"/>
                          </w:rPr>
                          <w:t>编</w:t>
                        </w:r>
                        <w:r>
                          <w:rPr>
                            <w:spacing w:val="-2"/>
                            <w:sz w:val="21"/>
                          </w:rPr>
                          <w:t>号</w:t>
                        </w:r>
                        <w:r>
                          <w:rPr>
                            <w:spacing w:val="-2"/>
                            <w:sz w:val="21"/>
                          </w:rPr>
                          <w:t>：</w:t>
                        </w:r>
                        <w:r>
                          <w:rPr>
                            <w:rFonts w:ascii="Times New Roman" w:eastAsia="Times New Roman"/>
                            <w:sz w:val="21"/>
                            <w:u w:val="single"/>
                          </w:rPr>
                          <w:tab/>
                        </w:r>
                        <w:r>
                          <w:rPr>
                            <w:sz w:val="21"/>
                            <w:u w:val="single"/>
                          </w:rPr>
                          <w:t>仟羽莆招字</w:t>
                        </w:r>
                        <w:r>
                          <w:rPr>
                            <w:rFonts w:ascii="Times New Roman" w:eastAsia="Times New Roman"/>
                            <w:sz w:val="21"/>
                            <w:u w:val="single"/>
                          </w:rPr>
                          <w:t xml:space="preserve">[2014]006 </w:t>
                        </w:r>
                        <w:r>
                          <w:rPr>
                            <w:sz w:val="21"/>
                            <w:u w:val="single"/>
                          </w:rPr>
                          <w:t>号</w:t>
                          <w:tab/>
                        </w:r>
                      </w:p>
                      <w:p>
                        <w:pPr>
                          <w:pStyle w:val="TableParagraph"/>
                          <w:tabs>
                            <w:tab w:val="left" w:pos="2627"/>
                            <w:tab w:val="left" w:pos="4702"/>
                            <w:tab w:val="left" w:pos="6092"/>
                          </w:tabs>
                          <w:spacing w:line="288" w:lineRule="auto"/>
                          <w:ind w:left="527" w:right="280"/>
                          <w:rPr>
                            <w:rFonts w:ascii="等线" w:eastAsia="等线"/>
                            <w:sz w:val="21"/>
                          </w:rPr>
                        </w:pPr>
                        <w:r>
                          <w:rPr>
                            <w:spacing w:val="-2"/>
                            <w:sz w:val="21"/>
                          </w:rPr>
                          <w:t>标</w:t>
                        </w:r>
                        <w:r>
                          <w:rPr>
                            <w:spacing w:val="-2"/>
                            <w:sz w:val="21"/>
                          </w:rPr>
                          <w:t>段</w:t>
                        </w:r>
                        <w:r>
                          <w:rPr>
                            <w:spacing w:val="-2"/>
                            <w:sz w:val="21"/>
                          </w:rPr>
                          <w:t>划</w:t>
                        </w:r>
                        <w:r>
                          <w:rPr>
                            <w:spacing w:val="-2"/>
                            <w:sz w:val="21"/>
                          </w:rPr>
                          <w:t>分</w:t>
                        </w:r>
                        <w:r>
                          <w:rPr>
                            <w:spacing w:val="-2"/>
                            <w:sz w:val="21"/>
                          </w:rPr>
                          <w:t>：</w:t>
                        </w:r>
                        <w:r>
                          <w:rPr>
                            <w:rFonts w:ascii="等线" w:eastAsia="等线"/>
                            <w:sz w:val="21"/>
                            <w:u w:val="single"/>
                          </w:rPr>
                          <w:tab/>
                        </w:r>
                        <w:r>
                          <w:rPr>
                            <w:rFonts w:ascii="等线" w:eastAsia="等线"/>
                            <w:spacing w:val="-10"/>
                            <w:sz w:val="21"/>
                            <w:u w:val="single"/>
                          </w:rPr>
                          <w:t>/</w:t>
                        </w:r>
                        <w:r>
                          <w:rPr>
                            <w:rFonts w:ascii="等线" w:eastAsia="等线"/>
                            <w:sz w:val="21"/>
                            <w:u w:val="single"/>
                          </w:rPr>
                          <w:tab/>
                        </w:r>
                        <w:r>
                          <w:rPr>
                            <w:rFonts w:ascii="等线" w:eastAsia="等线"/>
                            <w:spacing w:val="1380"/>
                            <w:sz w:val="21"/>
                          </w:rPr>
                          <w:t xml:space="preserve"> </w:t>
                        </w:r>
                        <w:r>
                          <w:rPr>
                            <w:sz w:val="21"/>
                          </w:rPr>
                          <w:t>招标人允许投标人提出资格审查申请的标段数量：</w:t>
                        </w:r>
                        <w:r>
                          <w:rPr>
                            <w:rFonts w:ascii="Times New Roman" w:eastAsia="Times New Roman"/>
                            <w:spacing w:val="40"/>
                            <w:sz w:val="21"/>
                            <w:u w:val="single"/>
                          </w:rPr>
                          <w:t xml:space="preserve"> </w:t>
                        </w:r>
                        <w:r>
                          <w:rPr>
                            <w:rFonts w:ascii="等线" w:eastAsia="等线"/>
                            <w:sz w:val="21"/>
                            <w:u w:val="single"/>
                          </w:rPr>
                          <w:t>全部</w:t>
                          <w:tab/>
                        </w:r>
                        <w:r>
                          <w:rPr>
                            <w:rFonts w:ascii="等线" w:eastAsia="等线"/>
                            <w:sz w:val="21"/>
                          </w:rPr>
                          <w:t xml:space="preserve"> </w:t>
                        </w:r>
                        <w:r>
                          <w:rPr>
                            <w:sz w:val="21"/>
                          </w:rPr>
                          <w:t>招标人允许资格审查合格的投标人参加投标的标段数量 ：</w:t>
                        </w:r>
                        <w:r>
                          <w:rPr>
                            <w:rFonts w:ascii="等线" w:eastAsia="等线"/>
                            <w:sz w:val="21"/>
                            <w:u w:val="single"/>
                          </w:rPr>
                          <w:t>全</w:t>
                        </w:r>
                        <w:r>
                          <w:rPr>
                            <w:rFonts w:ascii="等线" w:eastAsia="等线"/>
                            <w:spacing w:val="-10"/>
                            <w:sz w:val="21"/>
                            <w:u w:val="single"/>
                          </w:rPr>
                          <w:t>部</w:t>
                        </w:r>
                      </w:p>
                      <w:p>
                        <w:pPr>
                          <w:pStyle w:val="TableParagraph"/>
                          <w:tabs>
                            <w:tab w:val="left" w:pos="3992"/>
                            <w:tab w:val="left" w:pos="6302"/>
                          </w:tabs>
                          <w:spacing w:line="275" w:lineRule="exact"/>
                          <w:ind w:left="527"/>
                          <w:rPr>
                            <w:rFonts w:ascii="等线" w:eastAsia="等线"/>
                            <w:sz w:val="21"/>
                          </w:rPr>
                        </w:pPr>
                        <w:r>
                          <w:rPr>
                            <w:sz w:val="21"/>
                          </w:rPr>
                          <w:t>招标人允许中标的标段数量</w:t>
                        </w:r>
                        <w:r>
                          <w:rPr>
                            <w:spacing w:val="-10"/>
                            <w:sz w:val="21"/>
                          </w:rPr>
                          <w:t>：</w:t>
                        </w:r>
                        <w:r>
                          <w:rPr>
                            <w:rFonts w:ascii="Times New Roman" w:eastAsia="Times New Roman"/>
                            <w:sz w:val="21"/>
                            <w:u w:val="single"/>
                          </w:rPr>
                          <w:tab/>
                        </w:r>
                        <w:r>
                          <w:rPr>
                            <w:rFonts w:ascii="等线" w:eastAsia="等线"/>
                            <w:sz w:val="21"/>
                            <w:u w:val="single"/>
                          </w:rPr>
                          <w:t>全</w:t>
                        </w:r>
                        <w:r>
                          <w:rPr>
                            <w:rFonts w:ascii="等线" w:eastAsia="等线"/>
                            <w:spacing w:val="-10"/>
                            <w:sz w:val="21"/>
                            <w:u w:val="single"/>
                          </w:rPr>
                          <w:t>部</w:t>
                        </w:r>
                        <w:r>
                          <w:rPr>
                            <w:rFonts w:ascii="等线" w:eastAsia="等线"/>
                            <w:sz w:val="21"/>
                            <w:u w:val="single"/>
                          </w:rPr>
                          <w:tab/>
                        </w:r>
                      </w:p>
                    </w:tc>
                  </w:tr>
                  <w:tr>
                    <w:tblPrEx>
                      <w:tblW w:w="0" w:type="auto"/>
                      <w:jc w:val="left"/>
                      <w:tblInd w:w="10" w:type="dxa"/>
                      <w:tblLayout w:type="fixed"/>
                      <w:tblCellMar>
                        <w:top w:w="0" w:type="dxa"/>
                        <w:left w:w="0" w:type="dxa"/>
                        <w:bottom w:w="0" w:type="dxa"/>
                        <w:right w:w="0" w:type="dxa"/>
                      </w:tblCellMar>
                      <w:tblLook w:val="01E0"/>
                    </w:tblPrEx>
                    <w:trPr>
                      <w:trHeight w:val="1140"/>
                      <w:jc w:val="left"/>
                    </w:trPr>
                    <w:tc>
                      <w:tcPr>
                        <w:tcW w:w="534" w:type="dxa"/>
                        <w:tcBorders>
                          <w:top w:val="single" w:sz="4" w:space="0" w:color="000000"/>
                          <w:bottom w:val="single" w:sz="4" w:space="0" w:color="000000"/>
                          <w:right w:val="single" w:sz="4" w:space="0" w:color="000000"/>
                        </w:tcBorders>
                      </w:tcPr>
                      <w:p>
                        <w:pPr>
                          <w:pStyle w:val="TableParagraph"/>
                          <w:rPr>
                            <w:sz w:val="20"/>
                          </w:rPr>
                        </w:pPr>
                      </w:p>
                      <w:p>
                        <w:pPr>
                          <w:pStyle w:val="TableParagraph"/>
                          <w:spacing w:before="12"/>
                          <w:rPr>
                            <w:sz w:val="16"/>
                          </w:rPr>
                        </w:pPr>
                      </w:p>
                      <w:p>
                        <w:pPr>
                          <w:pStyle w:val="TableParagraph"/>
                          <w:ind w:left="33"/>
                          <w:jc w:val="center"/>
                          <w:rPr>
                            <w:sz w:val="21"/>
                          </w:rPr>
                        </w:pPr>
                        <w:r>
                          <w:rPr>
                            <w:sz w:val="21"/>
                          </w:rPr>
                          <w:t>3</w:t>
                        </w:r>
                      </w:p>
                    </w:tc>
                    <w:tc>
                      <w:tcPr>
                        <w:tcW w:w="738"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12"/>
                          <w:rPr>
                            <w:sz w:val="16"/>
                          </w:rPr>
                        </w:pPr>
                      </w:p>
                      <w:p>
                        <w:pPr>
                          <w:pStyle w:val="TableParagraph"/>
                          <w:ind w:right="194"/>
                          <w:jc w:val="right"/>
                          <w:rPr>
                            <w:sz w:val="21"/>
                          </w:rPr>
                        </w:pPr>
                        <w:r>
                          <w:rPr>
                            <w:spacing w:val="-5"/>
                            <w:sz w:val="21"/>
                          </w:rPr>
                          <w:t>1.3</w:t>
                        </w: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line="380" w:lineRule="exact"/>
                          <w:ind w:left="203" w:right="182"/>
                          <w:jc w:val="center"/>
                          <w:rPr>
                            <w:rFonts w:ascii="Microsoft JhengHei" w:eastAsia="Microsoft JhengHei"/>
                            <w:b/>
                            <w:sz w:val="21"/>
                          </w:rPr>
                        </w:pPr>
                        <w:r>
                          <w:rPr>
                            <w:rFonts w:ascii="Microsoft JhengHei" w:eastAsia="Microsoft JhengHei"/>
                            <w:b/>
                            <w:spacing w:val="-4"/>
                            <w:sz w:val="21"/>
                          </w:rPr>
                          <w:t>资金来源</w:t>
                        </w:r>
                        <w:r>
                          <w:rPr>
                            <w:rFonts w:ascii="Microsoft JhengHei" w:eastAsia="Microsoft JhengHei"/>
                            <w:b/>
                            <w:spacing w:val="-4"/>
                            <w:sz w:val="21"/>
                          </w:rPr>
                          <w:t>和落实情</w:t>
                        </w:r>
                        <w:r>
                          <w:rPr>
                            <w:rFonts w:ascii="Microsoft JhengHei" w:eastAsia="Microsoft JhengHei"/>
                            <w:b/>
                            <w:spacing w:val="-10"/>
                            <w:sz w:val="21"/>
                          </w:rPr>
                          <w:t>况</w:t>
                        </w:r>
                      </w:p>
                    </w:tc>
                    <w:tc>
                      <w:tcPr>
                        <w:tcW w:w="6604" w:type="dxa"/>
                        <w:tcBorders>
                          <w:top w:val="single" w:sz="4" w:space="0" w:color="000000"/>
                          <w:left w:val="single" w:sz="4" w:space="0" w:color="000000"/>
                          <w:bottom w:val="single" w:sz="4" w:space="0" w:color="000000"/>
                          <w:right w:val="single" w:sz="4" w:space="0" w:color="000000"/>
                        </w:tcBorders>
                      </w:tcPr>
                      <w:p>
                        <w:pPr>
                          <w:pStyle w:val="TableParagraph"/>
                          <w:tabs>
                            <w:tab w:val="left" w:pos="1792"/>
                          </w:tabs>
                          <w:spacing w:before="84"/>
                          <w:ind w:left="532"/>
                          <w:rPr>
                            <w:sz w:val="22"/>
                          </w:rPr>
                        </w:pPr>
                        <w:r>
                          <w:rPr>
                            <w:sz w:val="21"/>
                          </w:rPr>
                          <w:t>资金来源</w:t>
                        </w:r>
                        <w:r>
                          <w:rPr>
                            <w:color w:val="FF0000"/>
                            <w:spacing w:val="-10"/>
                            <w:sz w:val="21"/>
                          </w:rPr>
                          <w:t>：</w:t>
                        </w:r>
                        <w:r>
                          <w:rPr>
                            <w:color w:val="FF0000"/>
                            <w:sz w:val="21"/>
                          </w:rPr>
                          <w:tab/>
                        </w:r>
                        <w:r>
                          <w:rPr>
                            <w:color w:val="FF0000"/>
                            <w:sz w:val="22"/>
                          </w:rPr>
                          <w:t>财政拨</w:t>
                        </w:r>
                        <w:r>
                          <w:rPr>
                            <w:color w:val="FF0000"/>
                            <w:spacing w:val="-10"/>
                            <w:sz w:val="22"/>
                          </w:rPr>
                          <w:t>款</w:t>
                        </w:r>
                      </w:p>
                      <w:p>
                        <w:pPr>
                          <w:pStyle w:val="TableParagraph"/>
                          <w:tabs>
                            <w:tab w:val="left" w:pos="2317"/>
                            <w:tab w:val="left" w:pos="4417"/>
                            <w:tab w:val="left" w:pos="5200"/>
                          </w:tabs>
                          <w:spacing w:line="380" w:lineRule="exact"/>
                          <w:ind w:left="532" w:right="1391"/>
                          <w:rPr>
                            <w:sz w:val="21"/>
                          </w:rPr>
                        </w:pPr>
                        <w:r>
                          <w:rPr>
                            <w:spacing w:val="-2"/>
                            <w:sz w:val="21"/>
                          </w:rPr>
                          <w:t>出</w:t>
                        </w:r>
                        <w:r>
                          <w:rPr>
                            <w:spacing w:val="-2"/>
                            <w:sz w:val="21"/>
                          </w:rPr>
                          <w:t>资</w:t>
                        </w:r>
                        <w:r>
                          <w:rPr>
                            <w:spacing w:val="-2"/>
                            <w:sz w:val="21"/>
                          </w:rPr>
                          <w:t>比</w:t>
                        </w:r>
                        <w:r>
                          <w:rPr>
                            <w:spacing w:val="-2"/>
                            <w:sz w:val="21"/>
                          </w:rPr>
                          <w:t>例</w:t>
                        </w:r>
                        <w:r>
                          <w:rPr>
                            <w:spacing w:val="-2"/>
                            <w:sz w:val="21"/>
                          </w:rPr>
                          <w:t>：</w:t>
                        </w:r>
                        <w:r>
                          <w:rPr>
                            <w:rFonts w:ascii="Times New Roman" w:eastAsia="Times New Roman"/>
                            <w:sz w:val="21"/>
                            <w:u w:val="single"/>
                          </w:rPr>
                          <w:tab/>
                          <w:tab/>
                          <w:tab/>
                        </w:r>
                        <w:r>
                          <w:rPr>
                            <w:rFonts w:ascii="Times New Roman" w:eastAsia="Times New Roman"/>
                            <w:sz w:val="21"/>
                          </w:rPr>
                          <w:t xml:space="preserve"> </w:t>
                        </w:r>
                        <w:r>
                          <w:rPr>
                            <w:spacing w:val="-2"/>
                            <w:sz w:val="21"/>
                          </w:rPr>
                          <w:t>资</w:t>
                        </w:r>
                        <w:r>
                          <w:rPr>
                            <w:spacing w:val="-2"/>
                            <w:sz w:val="21"/>
                          </w:rPr>
                          <w:t>金</w:t>
                        </w:r>
                        <w:r>
                          <w:rPr>
                            <w:spacing w:val="-2"/>
                            <w:sz w:val="21"/>
                          </w:rPr>
                          <w:t>落</w:t>
                        </w:r>
                        <w:r>
                          <w:rPr>
                            <w:spacing w:val="-2"/>
                            <w:sz w:val="21"/>
                          </w:rPr>
                          <w:t>实</w:t>
                        </w:r>
                        <w:r>
                          <w:rPr>
                            <w:spacing w:val="-2"/>
                            <w:sz w:val="21"/>
                          </w:rPr>
                          <w:t>情</w:t>
                        </w:r>
                        <w:r>
                          <w:rPr>
                            <w:spacing w:val="-2"/>
                            <w:sz w:val="21"/>
                          </w:rPr>
                          <w:t>况</w:t>
                        </w:r>
                        <w:r>
                          <w:rPr>
                            <w:spacing w:val="-2"/>
                            <w:sz w:val="21"/>
                          </w:rPr>
                          <w:t>：</w:t>
                        </w:r>
                        <w:r>
                          <w:rPr>
                            <w:rFonts w:ascii="Times New Roman" w:eastAsia="Times New Roman"/>
                            <w:sz w:val="21"/>
                            <w:u w:val="single"/>
                          </w:rPr>
                          <w:tab/>
                        </w:r>
                        <w:r>
                          <w:rPr>
                            <w:spacing w:val="-4"/>
                            <w:sz w:val="21"/>
                            <w:u w:val="single"/>
                          </w:rPr>
                          <w:t>已</w:t>
                        </w:r>
                        <w:r>
                          <w:rPr>
                            <w:spacing w:val="-4"/>
                            <w:sz w:val="21"/>
                            <w:u w:val="single"/>
                          </w:rPr>
                          <w:t>到</w:t>
                        </w:r>
                        <w:r>
                          <w:rPr>
                            <w:spacing w:val="-4"/>
                            <w:sz w:val="21"/>
                            <w:u w:val="single"/>
                          </w:rPr>
                          <w:t>位</w:t>
                        </w:r>
                        <w:r>
                          <w:rPr>
                            <w:sz w:val="21"/>
                            <w:u w:val="single"/>
                          </w:rPr>
                          <w:tab/>
                        </w:r>
                      </w:p>
                    </w:tc>
                  </w:tr>
                  <w:tr>
                    <w:tblPrEx>
                      <w:tblW w:w="0" w:type="auto"/>
                      <w:jc w:val="left"/>
                      <w:tblInd w:w="10" w:type="dxa"/>
                      <w:tblLayout w:type="fixed"/>
                      <w:tblCellMar>
                        <w:top w:w="0" w:type="dxa"/>
                        <w:left w:w="0" w:type="dxa"/>
                        <w:bottom w:w="0" w:type="dxa"/>
                        <w:right w:w="0" w:type="dxa"/>
                      </w:tblCellMar>
                      <w:tblLook w:val="01E0"/>
                    </w:tblPrEx>
                    <w:trPr>
                      <w:trHeight w:val="499"/>
                      <w:jc w:val="left"/>
                    </w:trPr>
                    <w:tc>
                      <w:tcPr>
                        <w:tcW w:w="534" w:type="dxa"/>
                        <w:tcBorders>
                          <w:top w:val="single" w:sz="4" w:space="0" w:color="000000"/>
                          <w:bottom w:val="single" w:sz="4" w:space="0" w:color="000000"/>
                          <w:right w:val="single" w:sz="4" w:space="0" w:color="000000"/>
                        </w:tcBorders>
                      </w:tcPr>
                      <w:p>
                        <w:pPr>
                          <w:pStyle w:val="TableParagraph"/>
                          <w:spacing w:before="153"/>
                          <w:ind w:left="33"/>
                          <w:jc w:val="center"/>
                          <w:rPr>
                            <w:sz w:val="21"/>
                          </w:rPr>
                        </w:pPr>
                        <w:r>
                          <w:rPr>
                            <w:sz w:val="21"/>
                          </w:rPr>
                          <w:t>4</w:t>
                        </w:r>
                      </w:p>
                    </w:tc>
                    <w:tc>
                      <w:tcPr>
                        <w:tcW w:w="738" w:type="dxa"/>
                        <w:tcBorders>
                          <w:top w:val="single" w:sz="4" w:space="0" w:color="000000"/>
                          <w:left w:val="single" w:sz="4" w:space="0" w:color="000000"/>
                          <w:bottom w:val="single" w:sz="4" w:space="0" w:color="000000"/>
                          <w:right w:val="single" w:sz="4" w:space="0" w:color="000000"/>
                        </w:tcBorders>
                      </w:tcPr>
                      <w:p>
                        <w:pPr>
                          <w:pStyle w:val="TableParagraph"/>
                          <w:spacing w:before="153"/>
                          <w:ind w:right="194"/>
                          <w:jc w:val="right"/>
                          <w:rPr>
                            <w:sz w:val="21"/>
                          </w:rPr>
                        </w:pPr>
                        <w:r>
                          <w:rPr>
                            <w:spacing w:val="-5"/>
                            <w:sz w:val="21"/>
                          </w:rPr>
                          <w:t>1.4</w:t>
                        </w: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before="84"/>
                          <w:ind w:left="110" w:right="91"/>
                          <w:jc w:val="center"/>
                          <w:rPr>
                            <w:rFonts w:ascii="Microsoft JhengHei" w:eastAsia="Microsoft JhengHei"/>
                            <w:b/>
                            <w:sz w:val="21"/>
                          </w:rPr>
                        </w:pPr>
                        <w:r>
                          <w:rPr>
                            <w:rFonts w:ascii="Microsoft JhengHei" w:eastAsia="Microsoft JhengHei"/>
                            <w:b/>
                            <w:spacing w:val="-3"/>
                            <w:sz w:val="21"/>
                          </w:rPr>
                          <w:t>建设地点</w:t>
                        </w:r>
                      </w:p>
                    </w:tc>
                    <w:tc>
                      <w:tcPr>
                        <w:tcW w:w="6604" w:type="dxa"/>
                        <w:tcBorders>
                          <w:top w:val="single" w:sz="4" w:space="0" w:color="000000"/>
                          <w:left w:val="single" w:sz="4" w:space="0" w:color="000000"/>
                          <w:bottom w:val="single" w:sz="4" w:space="0" w:color="000000"/>
                          <w:right w:val="single" w:sz="4" w:space="0" w:color="000000"/>
                        </w:tcBorders>
                      </w:tcPr>
                      <w:p>
                        <w:pPr>
                          <w:pStyle w:val="TableParagraph"/>
                          <w:spacing w:before="94"/>
                          <w:ind w:left="427"/>
                          <w:rPr>
                            <w:sz w:val="21"/>
                          </w:rPr>
                        </w:pPr>
                        <w:r>
                          <w:rPr>
                            <w:spacing w:val="-4"/>
                            <w:sz w:val="21"/>
                          </w:rPr>
                          <w:t xml:space="preserve">福建省莆田市荔城区西天尾镇后卓村 </w:t>
                        </w:r>
                        <w:r>
                          <w:rPr>
                            <w:sz w:val="21"/>
                          </w:rPr>
                          <w:t>4</w:t>
                        </w:r>
                        <w:r>
                          <w:rPr>
                            <w:spacing w:val="-27"/>
                            <w:sz w:val="21"/>
                          </w:rPr>
                          <w:t xml:space="preserve"> 号</w:t>
                        </w:r>
                        <w:r>
                          <w:rPr>
                            <w:sz w:val="21"/>
                          </w:rPr>
                          <w:t>（莆田市技工学校校内</w:t>
                        </w:r>
                        <w:r>
                          <w:rPr>
                            <w:spacing w:val="-10"/>
                            <w:sz w:val="21"/>
                          </w:rPr>
                          <w:t>）</w:t>
                        </w:r>
                      </w:p>
                    </w:tc>
                  </w:tr>
                  <w:tr>
                    <w:tblPrEx>
                      <w:tblW w:w="0" w:type="auto"/>
                      <w:jc w:val="left"/>
                      <w:tblInd w:w="10" w:type="dxa"/>
                      <w:tblLayout w:type="fixed"/>
                      <w:tblCellMar>
                        <w:top w:w="0" w:type="dxa"/>
                        <w:left w:w="0" w:type="dxa"/>
                        <w:bottom w:w="0" w:type="dxa"/>
                        <w:right w:w="0" w:type="dxa"/>
                      </w:tblCellMar>
                      <w:tblLook w:val="01E0"/>
                    </w:tblPrEx>
                    <w:trPr>
                      <w:trHeight w:val="1440"/>
                      <w:jc w:val="left"/>
                    </w:trPr>
                    <w:tc>
                      <w:tcPr>
                        <w:tcW w:w="534" w:type="dxa"/>
                        <w:tcBorders>
                          <w:top w:val="single" w:sz="4" w:space="0" w:color="000000"/>
                          <w:bottom w:val="single" w:sz="4" w:space="0" w:color="000000"/>
                          <w:right w:val="single" w:sz="4" w:space="0" w:color="000000"/>
                        </w:tcBorders>
                      </w:tcPr>
                      <w:p>
                        <w:pPr>
                          <w:pStyle w:val="TableParagraph"/>
                          <w:rPr>
                            <w:sz w:val="20"/>
                          </w:rPr>
                        </w:pPr>
                      </w:p>
                      <w:p>
                        <w:pPr>
                          <w:pStyle w:val="TableParagraph"/>
                          <w:spacing w:before="9"/>
                          <w:rPr>
                            <w:sz w:val="28"/>
                          </w:rPr>
                        </w:pPr>
                      </w:p>
                      <w:p>
                        <w:pPr>
                          <w:pStyle w:val="TableParagraph"/>
                          <w:ind w:left="33"/>
                          <w:jc w:val="center"/>
                          <w:rPr>
                            <w:sz w:val="21"/>
                          </w:rPr>
                        </w:pPr>
                        <w:r>
                          <w:rPr>
                            <w:sz w:val="21"/>
                          </w:rPr>
                          <w:t>5</w:t>
                        </w:r>
                      </w:p>
                    </w:tc>
                    <w:tc>
                      <w:tcPr>
                        <w:tcW w:w="738"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9"/>
                          <w:rPr>
                            <w:sz w:val="28"/>
                          </w:rPr>
                        </w:pPr>
                      </w:p>
                      <w:p>
                        <w:pPr>
                          <w:pStyle w:val="TableParagraph"/>
                          <w:ind w:right="194"/>
                          <w:jc w:val="right"/>
                          <w:rPr>
                            <w:sz w:val="21"/>
                          </w:rPr>
                        </w:pPr>
                        <w:r>
                          <w:rPr>
                            <w:spacing w:val="-5"/>
                            <w:sz w:val="21"/>
                          </w:rPr>
                          <w:t>1.5</w:t>
                        </w:r>
                      </w:p>
                    </w:tc>
                    <w:tc>
                      <w:tcPr>
                        <w:tcW w:w="1240"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3"/>
                          <w:rPr>
                            <w:sz w:val="23"/>
                          </w:rPr>
                        </w:pPr>
                      </w:p>
                      <w:p>
                        <w:pPr>
                          <w:pStyle w:val="TableParagraph"/>
                          <w:ind w:left="110" w:right="91"/>
                          <w:jc w:val="center"/>
                          <w:rPr>
                            <w:rFonts w:ascii="Microsoft JhengHei" w:eastAsia="Microsoft JhengHei"/>
                            <w:b/>
                            <w:sz w:val="21"/>
                          </w:rPr>
                        </w:pPr>
                        <w:r>
                          <w:rPr>
                            <w:rFonts w:ascii="Microsoft JhengHei" w:eastAsia="Microsoft JhengHei"/>
                            <w:b/>
                            <w:spacing w:val="-3"/>
                            <w:sz w:val="21"/>
                          </w:rPr>
                          <w:t>建设规模</w:t>
                        </w:r>
                      </w:p>
                    </w:tc>
                    <w:tc>
                      <w:tcPr>
                        <w:tcW w:w="6604" w:type="dxa"/>
                        <w:tcBorders>
                          <w:top w:val="single" w:sz="4" w:space="0" w:color="000000"/>
                          <w:left w:val="single" w:sz="4" w:space="0" w:color="000000"/>
                          <w:bottom w:val="single" w:sz="4" w:space="0" w:color="000000"/>
                          <w:right w:val="single" w:sz="4" w:space="0" w:color="000000"/>
                        </w:tcBorders>
                      </w:tcPr>
                      <w:p>
                        <w:pPr>
                          <w:pStyle w:val="TableParagraph"/>
                          <w:spacing w:line="360" w:lineRule="atLeast"/>
                          <w:ind w:left="112" w:right="4"/>
                          <w:jc w:val="both"/>
                          <w:rPr>
                            <w:sz w:val="21"/>
                          </w:rPr>
                        </w:pPr>
                        <w:r>
                          <w:rPr>
                            <w:sz w:val="21"/>
                          </w:rPr>
                          <w:t>总投资额：</w:t>
                        </w:r>
                        <w:r>
                          <w:rPr>
                            <w:rFonts w:ascii="Times New Roman" w:eastAsia="Times New Roman"/>
                            <w:sz w:val="21"/>
                          </w:rPr>
                          <w:t>10200000.00</w:t>
                        </w:r>
                        <w:r>
                          <w:rPr>
                            <w:sz w:val="21"/>
                          </w:rPr>
                          <w:t>（元</w:t>
                        </w:r>
                        <w:r>
                          <w:rPr>
                            <w:spacing w:val="-105"/>
                            <w:sz w:val="21"/>
                          </w:rPr>
                          <w:t>）</w:t>
                        </w:r>
                        <w:r>
                          <w:rPr>
                            <w:spacing w:val="-2"/>
                            <w:sz w:val="21"/>
                          </w:rPr>
                          <w:t xml:space="preserve">，莆田市技工学校教学楼建设工程拟建 </w:t>
                        </w:r>
                        <w:r>
                          <w:rPr>
                            <w:rFonts w:ascii="Times New Roman" w:eastAsia="Times New Roman"/>
                            <w:sz w:val="21"/>
                          </w:rPr>
                          <w:t>1</w:t>
                        </w:r>
                        <w:r>
                          <w:rPr>
                            <w:spacing w:val="-3"/>
                            <w:sz w:val="21"/>
                          </w:rPr>
                          <w:t xml:space="preserve">幢教学楼，占地面积 </w:t>
                        </w:r>
                        <w:r>
                          <w:rPr>
                            <w:rFonts w:ascii="Times New Roman" w:eastAsia="Times New Roman"/>
                            <w:sz w:val="21"/>
                          </w:rPr>
                          <w:t>620</w:t>
                        </w:r>
                        <w:r>
                          <w:rPr>
                            <w:rFonts w:ascii="Times New Roman" w:eastAsia="Times New Roman"/>
                            <w:spacing w:val="-13"/>
                            <w:sz w:val="21"/>
                          </w:rPr>
                          <w:t xml:space="preserve"> </w:t>
                        </w:r>
                        <w:r>
                          <w:rPr>
                            <w:spacing w:val="-3"/>
                            <w:sz w:val="21"/>
                          </w:rPr>
                          <w:t xml:space="preserve">平方米，总建筑面积 </w:t>
                        </w:r>
                        <w:r>
                          <w:rPr>
                            <w:rFonts w:ascii="Times New Roman" w:eastAsia="Times New Roman"/>
                            <w:sz w:val="21"/>
                          </w:rPr>
                          <w:t>4080</w:t>
                        </w:r>
                        <w:r>
                          <w:rPr>
                            <w:rFonts w:ascii="Times New Roman" w:eastAsia="Times New Roman"/>
                            <w:spacing w:val="-13"/>
                            <w:sz w:val="21"/>
                          </w:rPr>
                          <w:t xml:space="preserve"> </w:t>
                        </w:r>
                        <w:r>
                          <w:rPr>
                            <w:spacing w:val="-5"/>
                            <w:sz w:val="21"/>
                          </w:rPr>
                          <w:t xml:space="preserve">平方米，为 </w:t>
                        </w:r>
                        <w:r>
                          <w:rPr>
                            <w:rFonts w:ascii="Times New Roman" w:eastAsia="Times New Roman"/>
                            <w:sz w:val="21"/>
                          </w:rPr>
                          <w:t>5</w:t>
                        </w:r>
                        <w:r>
                          <w:rPr>
                            <w:rFonts w:ascii="Times New Roman" w:eastAsia="Times New Roman"/>
                            <w:spacing w:val="-14"/>
                            <w:sz w:val="21"/>
                          </w:rPr>
                          <w:t xml:space="preserve"> </w:t>
                        </w:r>
                        <w:r>
                          <w:rPr>
                            <w:sz w:val="21"/>
                          </w:rPr>
                          <w:t>层框</w:t>
                        </w:r>
                        <w:r>
                          <w:rPr>
                            <w:spacing w:val="-11"/>
                            <w:sz w:val="21"/>
                          </w:rPr>
                          <w:t xml:space="preserve">架结构建筑物，其中地下室建筑面积 </w:t>
                        </w:r>
                        <w:r>
                          <w:rPr>
                            <w:rFonts w:ascii="Times New Roman" w:eastAsia="Times New Roman"/>
                            <w:sz w:val="21"/>
                          </w:rPr>
                          <w:t>620</w:t>
                        </w:r>
                        <w:r>
                          <w:rPr>
                            <w:rFonts w:ascii="Times New Roman" w:eastAsia="Times New Roman"/>
                            <w:spacing w:val="-1"/>
                            <w:sz w:val="21"/>
                          </w:rPr>
                          <w:t xml:space="preserve"> </w:t>
                        </w:r>
                        <w:r>
                          <w:rPr>
                            <w:spacing w:val="-12"/>
                            <w:sz w:val="21"/>
                          </w:rPr>
                          <w:t xml:space="preserve">平方米，教学楼建筑面积 </w:t>
                        </w:r>
                        <w:r>
                          <w:rPr>
                            <w:rFonts w:ascii="Times New Roman" w:eastAsia="Times New Roman"/>
                            <w:sz w:val="21"/>
                          </w:rPr>
                          <w:t>3100</w:t>
                        </w:r>
                        <w:r>
                          <w:rPr>
                            <w:spacing w:val="-5"/>
                            <w:sz w:val="21"/>
                          </w:rPr>
                          <w:t xml:space="preserve">平方米，空中连廊建筑面积 </w:t>
                        </w:r>
                        <w:r>
                          <w:rPr>
                            <w:rFonts w:ascii="Times New Roman" w:eastAsia="Times New Roman"/>
                            <w:sz w:val="21"/>
                          </w:rPr>
                          <w:t xml:space="preserve">360 </w:t>
                        </w:r>
                        <w:r>
                          <w:rPr>
                            <w:sz w:val="21"/>
                          </w:rPr>
                          <w:t>平方米（</w:t>
                        </w:r>
                        <w:r>
                          <w:rPr>
                            <w:spacing w:val="-7"/>
                            <w:sz w:val="21"/>
                          </w:rPr>
                          <w:t xml:space="preserve">实训楼与教学楼 </w:t>
                        </w:r>
                        <w:r>
                          <w:rPr>
                            <w:rFonts w:ascii="Times New Roman" w:eastAsia="Times New Roman"/>
                            <w:sz w:val="21"/>
                          </w:rPr>
                          <w:t xml:space="preserve">2-3 </w:t>
                        </w:r>
                        <w:r>
                          <w:rPr>
                            <w:sz w:val="21"/>
                          </w:rPr>
                          <w:t>层连廊</w:t>
                        </w:r>
                        <w:r>
                          <w:rPr>
                            <w:spacing w:val="-10"/>
                            <w:sz w:val="21"/>
                          </w:rPr>
                          <w:t>）</w:t>
                        </w:r>
                      </w:p>
                    </w:tc>
                  </w:tr>
                </w:tbl>
                <w:p>
                  <w:pPr>
                    <w:pStyle w:val="BodyText"/>
                  </w:pPr>
                </w:p>
              </w:txbxContent>
            </v:textbox>
          </v:shape>
        </w:pict>
      </w:r>
      <w:r>
        <w:rPr>
          <w:spacing w:val="-2"/>
          <w:sz w:val="24"/>
        </w:rPr>
        <w:t>投标须知前附表是投标须知的说明和补充，如两者有矛盾之处，以前附表</w:t>
      </w:r>
      <w:r>
        <w:rPr>
          <w:spacing w:val="-2"/>
          <w:sz w:val="24"/>
        </w:rPr>
        <w:t>内容为准。</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18"/>
        </w:rPr>
      </w:pPr>
      <w:r>
        <w:pict>
          <v:group id="_x0000_s1029" style="width:175.5pt;height:0.55pt;margin-top:12.81pt;margin-left:278.5pt;mso-position-horizontal-relative:page;mso-wrap-distance-left:0;mso-wrap-distance-right:0;position:absolute;z-index:-251654144" coordorigin="5570,256" coordsize="3510,11">
            <v:line id="_x0000_s1030" style="position:absolute" from="5570,262" to="7100,262" stroked="t" strokecolor="red" strokeweight="0.55pt">
              <v:stroke dashstyle="solid"/>
            </v:line>
            <v:line id="_x0000_s1031" style="position:absolute" from="7100,262" to="9080,262" stroked="t" strokecolor="black" strokeweight="0.55pt">
              <v:stroke dashstyle="solid"/>
            </v:line>
            <w10:wrap type="topAndBottom"/>
          </v:group>
        </w:pict>
      </w:r>
    </w:p>
    <w:p>
      <w:pPr>
        <w:spacing w:after="0"/>
        <w:rPr>
          <w:sz w:val="18"/>
        </w:rPr>
        <w:sectPr>
          <w:headerReference w:type="even" r:id="rId34"/>
          <w:headerReference w:type="default" r:id="rId35"/>
          <w:footerReference w:type="even" r:id="rId36"/>
          <w:footerReference w:type="default" r:id="rId37"/>
          <w:pgSz w:w="11910" w:h="16840"/>
          <w:pgMar w:top="1380" w:right="800" w:bottom="1200" w:left="960" w:header="971" w:footer="1002"/>
          <w:pgNumType w:start="1"/>
          <w:cols w:space="708"/>
        </w:sectPr>
      </w:pPr>
    </w:p>
    <w:p>
      <w:pPr>
        <w:pStyle w:val="BodyText"/>
        <w:spacing w:before="1"/>
        <w:rPr>
          <w:sz w:val="4"/>
        </w:rPr>
      </w:pPr>
    </w:p>
    <w:tbl>
      <w:tblPr>
        <w:tblStyle w:val="TableNormal1"/>
        <w:tblW w:w="0" w:type="auto"/>
        <w:jc w:val="left"/>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738"/>
        <w:gridCol w:w="1240"/>
        <w:gridCol w:w="6604"/>
      </w:tblGrid>
      <w:tr>
        <w:tblPrEx>
          <w:tblW w:w="0" w:type="auto"/>
          <w:jc w:val="left"/>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080"/>
          <w:jc w:val="left"/>
        </w:trPr>
        <w:tc>
          <w:tcPr>
            <w:tcW w:w="534" w:type="dxa"/>
            <w:tcBorders>
              <w:left w:val="single" w:sz="8" w:space="0" w:color="000000"/>
            </w:tcBorders>
          </w:tcPr>
          <w:p>
            <w:pPr>
              <w:pStyle w:val="TableParagraph"/>
              <w:rPr>
                <w:sz w:val="20"/>
              </w:rPr>
            </w:pPr>
          </w:p>
          <w:p>
            <w:pPr>
              <w:pStyle w:val="TableParagraph"/>
              <w:spacing w:before="8"/>
              <w:rPr>
                <w:sz w:val="14"/>
              </w:rPr>
            </w:pPr>
          </w:p>
          <w:p>
            <w:pPr>
              <w:pStyle w:val="TableParagraph"/>
              <w:ind w:left="33"/>
              <w:jc w:val="center"/>
              <w:rPr>
                <w:sz w:val="21"/>
              </w:rPr>
            </w:pPr>
            <w:r>
              <w:rPr>
                <w:sz w:val="21"/>
              </w:rPr>
              <w:t>6</w:t>
            </w:r>
          </w:p>
        </w:tc>
        <w:tc>
          <w:tcPr>
            <w:tcW w:w="738" w:type="dxa"/>
          </w:tcPr>
          <w:p>
            <w:pPr>
              <w:pStyle w:val="TableParagraph"/>
              <w:rPr>
                <w:sz w:val="20"/>
              </w:rPr>
            </w:pPr>
          </w:p>
          <w:p>
            <w:pPr>
              <w:pStyle w:val="TableParagraph"/>
              <w:spacing w:before="8"/>
              <w:rPr>
                <w:sz w:val="14"/>
              </w:rPr>
            </w:pPr>
          </w:p>
          <w:p>
            <w:pPr>
              <w:pStyle w:val="TableParagraph"/>
              <w:ind w:right="194"/>
              <w:jc w:val="right"/>
              <w:rPr>
                <w:sz w:val="21"/>
              </w:rPr>
            </w:pPr>
            <w:r>
              <w:rPr>
                <w:spacing w:val="-5"/>
                <w:sz w:val="21"/>
              </w:rPr>
              <w:t>1.6</w:t>
            </w:r>
          </w:p>
        </w:tc>
        <w:tc>
          <w:tcPr>
            <w:tcW w:w="1240" w:type="dxa"/>
          </w:tcPr>
          <w:p>
            <w:pPr>
              <w:pStyle w:val="TableParagraph"/>
              <w:spacing w:before="10"/>
              <w:rPr>
                <w:sz w:val="14"/>
              </w:rPr>
            </w:pPr>
          </w:p>
          <w:p>
            <w:pPr>
              <w:pStyle w:val="TableParagraph"/>
              <w:spacing w:before="1" w:line="235" w:lineRule="auto"/>
              <w:ind w:left="254" w:right="188" w:hanging="59"/>
              <w:rPr>
                <w:rFonts w:ascii="Microsoft JhengHei" w:eastAsia="Microsoft JhengHei"/>
                <w:b/>
                <w:sz w:val="21"/>
              </w:rPr>
            </w:pPr>
            <w:r>
              <w:rPr>
                <w:rFonts w:ascii="Microsoft JhengHei" w:eastAsia="Microsoft JhengHei"/>
                <w:b/>
                <w:spacing w:val="-4"/>
                <w:sz w:val="21"/>
              </w:rPr>
              <w:t>招标范围</w:t>
            </w:r>
            <w:r>
              <w:rPr>
                <w:rFonts w:ascii="Microsoft JhengHei" w:eastAsia="Microsoft JhengHei"/>
                <w:b/>
                <w:spacing w:val="-4"/>
                <w:sz w:val="21"/>
              </w:rPr>
              <w:t>和内容</w:t>
            </w:r>
          </w:p>
        </w:tc>
        <w:tc>
          <w:tcPr>
            <w:tcW w:w="6604" w:type="dxa"/>
            <w:tcBorders>
              <w:right w:val="single" w:sz="8" w:space="0" w:color="000000"/>
            </w:tcBorders>
          </w:tcPr>
          <w:p>
            <w:pPr>
              <w:pStyle w:val="TableParagraph"/>
              <w:spacing w:line="360" w:lineRule="exact"/>
              <w:ind w:left="107" w:right="-29"/>
              <w:rPr>
                <w:sz w:val="22"/>
              </w:rPr>
            </w:pPr>
            <w:r>
              <w:rPr>
                <w:spacing w:val="-23"/>
                <w:sz w:val="22"/>
              </w:rPr>
              <w:t>招标范围：</w:t>
            </w:r>
            <w:r>
              <w:rPr>
                <w:color w:val="FF0000"/>
                <w:spacing w:val="-2"/>
                <w:sz w:val="22"/>
              </w:rPr>
              <w:t>本工程的方案设计、地质勘察、初步设计、施工图设计、</w:t>
            </w:r>
            <w:r>
              <w:rPr>
                <w:color w:val="FF0000"/>
                <w:spacing w:val="-2"/>
                <w:sz w:val="22"/>
              </w:rPr>
              <w:t>编制相应工程投资概算和后续服务等工作，中标后业主单位有权根</w:t>
            </w:r>
            <w:r>
              <w:rPr>
                <w:color w:val="FF0000"/>
                <w:spacing w:val="-2"/>
                <w:sz w:val="22"/>
              </w:rPr>
              <w:t>据项目情况取消或调整范围，成熟一项实施一项。</w:t>
            </w:r>
          </w:p>
        </w:tc>
      </w:tr>
      <w:tr>
        <w:tblPrEx>
          <w:tblW w:w="0" w:type="auto"/>
          <w:jc w:val="left"/>
          <w:tblInd w:w="530" w:type="dxa"/>
          <w:tblLayout w:type="fixed"/>
          <w:tblCellMar>
            <w:top w:w="0" w:type="dxa"/>
            <w:left w:w="0" w:type="dxa"/>
            <w:bottom w:w="0" w:type="dxa"/>
            <w:right w:w="0" w:type="dxa"/>
          </w:tblCellMar>
          <w:tblLook w:val="01E0"/>
        </w:tblPrEx>
        <w:trPr>
          <w:trHeight w:val="1140"/>
          <w:jc w:val="left"/>
        </w:trPr>
        <w:tc>
          <w:tcPr>
            <w:tcW w:w="534" w:type="dxa"/>
            <w:tcBorders>
              <w:left w:val="single" w:sz="8" w:space="0" w:color="000000"/>
            </w:tcBorders>
          </w:tcPr>
          <w:p>
            <w:pPr>
              <w:pStyle w:val="TableParagraph"/>
              <w:rPr>
                <w:sz w:val="20"/>
              </w:rPr>
            </w:pPr>
          </w:p>
          <w:p>
            <w:pPr>
              <w:pStyle w:val="TableParagraph"/>
              <w:spacing w:before="12"/>
              <w:rPr>
                <w:sz w:val="16"/>
              </w:rPr>
            </w:pPr>
          </w:p>
          <w:p>
            <w:pPr>
              <w:pStyle w:val="TableParagraph"/>
              <w:ind w:left="33"/>
              <w:jc w:val="center"/>
              <w:rPr>
                <w:sz w:val="21"/>
              </w:rPr>
            </w:pPr>
            <w:r>
              <w:rPr>
                <w:sz w:val="21"/>
              </w:rPr>
              <w:t>7</w:t>
            </w:r>
          </w:p>
        </w:tc>
        <w:tc>
          <w:tcPr>
            <w:tcW w:w="738" w:type="dxa"/>
          </w:tcPr>
          <w:p>
            <w:pPr>
              <w:pStyle w:val="TableParagraph"/>
              <w:rPr>
                <w:sz w:val="20"/>
              </w:rPr>
            </w:pPr>
          </w:p>
          <w:p>
            <w:pPr>
              <w:pStyle w:val="TableParagraph"/>
              <w:spacing w:before="12"/>
              <w:rPr>
                <w:sz w:val="16"/>
              </w:rPr>
            </w:pPr>
          </w:p>
          <w:p>
            <w:pPr>
              <w:pStyle w:val="TableParagraph"/>
              <w:ind w:right="194"/>
              <w:jc w:val="right"/>
              <w:rPr>
                <w:sz w:val="21"/>
              </w:rPr>
            </w:pPr>
            <w:r>
              <w:rPr>
                <w:spacing w:val="-5"/>
                <w:sz w:val="21"/>
              </w:rPr>
              <w:t>1.7</w:t>
            </w:r>
          </w:p>
        </w:tc>
        <w:tc>
          <w:tcPr>
            <w:tcW w:w="1240" w:type="dxa"/>
          </w:tcPr>
          <w:p>
            <w:pPr>
              <w:pStyle w:val="TableParagraph"/>
              <w:spacing w:line="380" w:lineRule="exact"/>
              <w:ind w:left="43" w:right="83" w:firstLine="47"/>
              <w:jc w:val="center"/>
              <w:rPr>
                <w:rFonts w:ascii="Microsoft JhengHei" w:eastAsia="Microsoft JhengHei"/>
                <w:b/>
                <w:sz w:val="21"/>
              </w:rPr>
            </w:pPr>
            <w:r>
              <w:rPr>
                <w:rFonts w:ascii="Microsoft JhengHei" w:eastAsia="Microsoft JhengHei"/>
                <w:b/>
                <w:spacing w:val="-2"/>
                <w:sz w:val="21"/>
              </w:rPr>
              <w:t>计划开工日</w:t>
            </w:r>
            <w:r>
              <w:rPr>
                <w:rFonts w:ascii="Microsoft JhengHei" w:eastAsia="Microsoft JhengHei"/>
                <w:b/>
                <w:spacing w:val="-2"/>
                <w:sz w:val="21"/>
              </w:rPr>
              <w:t>期和建设周</w:t>
            </w:r>
            <w:r>
              <w:rPr>
                <w:rFonts w:ascii="Microsoft JhengHei" w:eastAsia="Microsoft JhengHei"/>
                <w:b/>
                <w:spacing w:val="-10"/>
                <w:sz w:val="21"/>
              </w:rPr>
              <w:t>期</w:t>
            </w:r>
          </w:p>
        </w:tc>
        <w:tc>
          <w:tcPr>
            <w:tcW w:w="6604" w:type="dxa"/>
            <w:tcBorders>
              <w:right w:val="single" w:sz="8" w:space="0" w:color="000000"/>
            </w:tcBorders>
          </w:tcPr>
          <w:p>
            <w:pPr>
              <w:pStyle w:val="TableParagraph"/>
              <w:spacing w:before="10"/>
              <w:rPr>
                <w:sz w:val="30"/>
              </w:rPr>
            </w:pPr>
          </w:p>
          <w:p>
            <w:pPr>
              <w:pStyle w:val="TableParagraph"/>
              <w:tabs>
                <w:tab w:val="left" w:pos="1977"/>
                <w:tab w:val="left" w:pos="2747"/>
                <w:tab w:val="left" w:pos="3407"/>
                <w:tab w:val="left" w:pos="5937"/>
              </w:tabs>
              <w:ind w:left="107"/>
              <w:rPr>
                <w:sz w:val="22"/>
              </w:rPr>
            </w:pPr>
            <w:r>
              <w:rPr>
                <w:color w:val="FF0000"/>
                <w:sz w:val="22"/>
              </w:rPr>
              <w:t>本工程计划</w:t>
            </w:r>
            <w:r>
              <w:rPr>
                <w:color w:val="FF0000"/>
                <w:spacing w:val="-10"/>
                <w:sz w:val="22"/>
              </w:rPr>
              <w:t>于</w:t>
            </w:r>
            <w:r>
              <w:rPr>
                <w:rFonts w:ascii="Times New Roman" w:eastAsia="Times New Roman"/>
                <w:color w:val="FF0000"/>
                <w:sz w:val="22"/>
                <w:u w:val="single" w:color="FF0000"/>
              </w:rPr>
              <w:tab/>
            </w:r>
            <w:r>
              <w:rPr>
                <w:color w:val="FF0000"/>
                <w:spacing w:val="-10"/>
                <w:sz w:val="22"/>
              </w:rPr>
              <w:t>年</w:t>
            </w:r>
            <w:r>
              <w:rPr>
                <w:rFonts w:ascii="Times New Roman" w:eastAsia="Times New Roman"/>
                <w:color w:val="FF0000"/>
                <w:sz w:val="22"/>
                <w:u w:val="single" w:color="FF0000"/>
              </w:rPr>
              <w:tab/>
            </w:r>
            <w:r>
              <w:rPr>
                <w:color w:val="FF0000"/>
                <w:spacing w:val="-10"/>
                <w:sz w:val="22"/>
              </w:rPr>
              <w:t>月</w:t>
            </w:r>
            <w:r>
              <w:rPr>
                <w:rFonts w:ascii="Times New Roman" w:eastAsia="Times New Roman"/>
                <w:color w:val="FF0000"/>
                <w:sz w:val="22"/>
                <w:u w:val="single" w:color="FF0000"/>
              </w:rPr>
              <w:tab/>
            </w:r>
            <w:r>
              <w:rPr>
                <w:color w:val="FF0000"/>
                <w:sz w:val="22"/>
              </w:rPr>
              <w:t>日开工，工程建设周</w:t>
            </w:r>
            <w:r>
              <w:rPr>
                <w:color w:val="FF0000"/>
                <w:spacing w:val="-10"/>
                <w:sz w:val="22"/>
              </w:rPr>
              <w:t>期</w:t>
            </w:r>
            <w:r>
              <w:rPr>
                <w:rFonts w:ascii="Times New Roman" w:eastAsia="Times New Roman"/>
                <w:color w:val="FF0000"/>
                <w:sz w:val="22"/>
                <w:u w:val="single" w:color="FF0000"/>
              </w:rPr>
              <w:tab/>
            </w:r>
            <w:r>
              <w:rPr>
                <w:color w:val="FF0000"/>
                <w:spacing w:val="-10"/>
                <w:sz w:val="22"/>
              </w:rPr>
              <w:t>日</w:t>
            </w:r>
          </w:p>
        </w:tc>
      </w:tr>
      <w:tr>
        <w:tblPrEx>
          <w:tblW w:w="0" w:type="auto"/>
          <w:jc w:val="left"/>
          <w:tblInd w:w="530" w:type="dxa"/>
          <w:tblLayout w:type="fixed"/>
          <w:tblCellMar>
            <w:top w:w="0" w:type="dxa"/>
            <w:left w:w="0" w:type="dxa"/>
            <w:bottom w:w="0" w:type="dxa"/>
            <w:right w:w="0" w:type="dxa"/>
          </w:tblCellMar>
          <w:tblLook w:val="01E0"/>
        </w:tblPrEx>
        <w:trPr>
          <w:trHeight w:val="4400"/>
          <w:jc w:val="left"/>
        </w:trPr>
        <w:tc>
          <w:tcPr>
            <w:tcW w:w="534" w:type="dxa"/>
            <w:tcBorders>
              <w:left w:val="single" w:sz="8"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
              <w:rPr>
                <w:sz w:val="24"/>
              </w:rPr>
            </w:pPr>
          </w:p>
          <w:p>
            <w:pPr>
              <w:pStyle w:val="TableParagraph"/>
              <w:ind w:left="33"/>
              <w:jc w:val="center"/>
              <w:rPr>
                <w:sz w:val="21"/>
              </w:rPr>
            </w:pPr>
            <w:r>
              <w:rPr>
                <w:sz w:val="21"/>
              </w:rPr>
              <w:t>8</w:t>
            </w:r>
          </w:p>
        </w:tc>
        <w:tc>
          <w:tcPr>
            <w:tcW w:w="738"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
              <w:rPr>
                <w:sz w:val="24"/>
              </w:rPr>
            </w:pPr>
          </w:p>
          <w:p>
            <w:pPr>
              <w:pStyle w:val="TableParagraph"/>
              <w:ind w:right="194"/>
              <w:jc w:val="right"/>
              <w:rPr>
                <w:sz w:val="21"/>
              </w:rPr>
            </w:pPr>
            <w:r>
              <w:rPr>
                <w:spacing w:val="-5"/>
                <w:sz w:val="21"/>
              </w:rPr>
              <w:t>1.8</w:t>
            </w:r>
          </w:p>
        </w:tc>
        <w:tc>
          <w:tcPr>
            <w:tcW w:w="1240"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5"/>
              <w:rPr>
                <w:sz w:val="24"/>
              </w:rPr>
            </w:pPr>
          </w:p>
          <w:p>
            <w:pPr>
              <w:pStyle w:val="TableParagraph"/>
              <w:spacing w:line="235" w:lineRule="auto"/>
              <w:ind w:left="414" w:right="91" w:hanging="302"/>
              <w:rPr>
                <w:rFonts w:ascii="Microsoft JhengHei" w:eastAsia="Microsoft JhengHei"/>
                <w:b/>
                <w:sz w:val="21"/>
              </w:rPr>
            </w:pPr>
            <w:r>
              <w:rPr>
                <w:rFonts w:ascii="Microsoft JhengHei" w:eastAsia="Microsoft JhengHei"/>
                <w:b/>
                <w:spacing w:val="-8"/>
                <w:sz w:val="21"/>
              </w:rPr>
              <w:t>勘察、设计</w:t>
            </w:r>
            <w:r>
              <w:rPr>
                <w:rFonts w:ascii="Microsoft JhengHei" w:eastAsia="Microsoft JhengHei"/>
                <w:b/>
                <w:spacing w:val="-6"/>
                <w:sz w:val="21"/>
              </w:rPr>
              <w:t>周期</w:t>
            </w:r>
          </w:p>
        </w:tc>
        <w:tc>
          <w:tcPr>
            <w:tcW w:w="6604" w:type="dxa"/>
            <w:tcBorders>
              <w:right w:val="single" w:sz="8" w:space="0" w:color="000000"/>
            </w:tcBorders>
          </w:tcPr>
          <w:p>
            <w:pPr>
              <w:pStyle w:val="TableParagraph"/>
              <w:spacing w:before="20" w:line="254" w:lineRule="auto"/>
              <w:ind w:left="107" w:right="-29" w:firstLine="330"/>
              <w:rPr>
                <w:sz w:val="22"/>
              </w:rPr>
            </w:pPr>
            <w:r>
              <w:rPr>
                <w:color w:val="FF0000"/>
                <w:spacing w:val="-6"/>
                <w:sz w:val="22"/>
              </w:rPr>
              <w:t xml:space="preserve">勘察和设计总周期为 </w:t>
            </w:r>
            <w:r>
              <w:rPr>
                <w:color w:val="FF0000"/>
                <w:sz w:val="22"/>
              </w:rPr>
              <w:t>60</w:t>
            </w:r>
            <w:r>
              <w:rPr>
                <w:color w:val="FF0000"/>
                <w:spacing w:val="-40"/>
                <w:sz w:val="22"/>
              </w:rPr>
              <w:t xml:space="preserve"> 日历天</w:t>
            </w:r>
            <w:r>
              <w:rPr>
                <w:color w:val="FF0000"/>
                <w:sz w:val="22"/>
              </w:rPr>
              <w:t>（</w:t>
            </w:r>
            <w:r>
              <w:rPr>
                <w:color w:val="FF0000"/>
                <w:spacing w:val="-19"/>
                <w:sz w:val="22"/>
              </w:rPr>
              <w:t xml:space="preserve">其中：勘察总周期为 </w:t>
            </w:r>
            <w:r>
              <w:rPr>
                <w:color w:val="FF0000"/>
                <w:sz w:val="22"/>
              </w:rPr>
              <w:t>30</w:t>
            </w:r>
            <w:r>
              <w:rPr>
                <w:color w:val="FF0000"/>
                <w:spacing w:val="-12"/>
                <w:sz w:val="22"/>
              </w:rPr>
              <w:t xml:space="preserve"> 日历天，</w:t>
            </w:r>
            <w:r>
              <w:rPr>
                <w:color w:val="FF0000"/>
                <w:spacing w:val="-3"/>
                <w:sz w:val="22"/>
              </w:rPr>
              <w:t xml:space="preserve">设计总周期为 </w:t>
            </w:r>
            <w:r>
              <w:rPr>
                <w:color w:val="FF0000"/>
                <w:sz w:val="22"/>
              </w:rPr>
              <w:t>60</w:t>
            </w:r>
            <w:r>
              <w:rPr>
                <w:color w:val="FF0000"/>
                <w:spacing w:val="-12"/>
                <w:sz w:val="22"/>
              </w:rPr>
              <w:t xml:space="preserve"> 日历天；包含设计文件审查后的修改和补充，不包</w:t>
            </w:r>
            <w:r>
              <w:rPr>
                <w:color w:val="FF0000"/>
                <w:spacing w:val="-2"/>
                <w:sz w:val="22"/>
              </w:rPr>
              <w:t>括招标人组织图纸评审的时间及施工期服务时间），并保证：</w:t>
            </w:r>
          </w:p>
          <w:p>
            <w:pPr>
              <w:pStyle w:val="TableParagraph"/>
              <w:numPr>
                <w:ilvl w:val="0"/>
                <w:numId w:val="22"/>
              </w:numPr>
              <w:tabs>
                <w:tab w:val="left" w:pos="663"/>
              </w:tabs>
              <w:spacing w:before="3" w:after="0" w:line="254" w:lineRule="auto"/>
              <w:ind w:left="107" w:right="86" w:firstLine="0"/>
              <w:jc w:val="left"/>
              <w:rPr>
                <w:sz w:val="22"/>
              </w:rPr>
            </w:pPr>
            <w:r>
              <w:rPr>
                <w:color w:val="FF0000"/>
                <w:sz w:val="22"/>
              </w:rPr>
              <w:t>地质勘察：自合同签订后，30</w:t>
            </w:r>
            <w:r>
              <w:rPr>
                <w:color w:val="FF0000"/>
                <w:spacing w:val="-7"/>
                <w:sz w:val="22"/>
              </w:rPr>
              <w:t xml:space="preserve"> 天内向招标人提交地质详勘报</w:t>
            </w:r>
            <w:r>
              <w:rPr>
                <w:color w:val="FF0000"/>
                <w:spacing w:val="-6"/>
                <w:sz w:val="22"/>
              </w:rPr>
              <w:t>告。</w:t>
            </w:r>
          </w:p>
          <w:p>
            <w:pPr>
              <w:pStyle w:val="TableParagraph"/>
              <w:numPr>
                <w:ilvl w:val="0"/>
                <w:numId w:val="22"/>
              </w:numPr>
              <w:tabs>
                <w:tab w:val="left" w:pos="659"/>
              </w:tabs>
              <w:spacing w:before="3" w:after="0" w:line="254" w:lineRule="auto"/>
              <w:ind w:left="107" w:right="86" w:firstLine="0"/>
              <w:jc w:val="both"/>
              <w:rPr>
                <w:sz w:val="22"/>
              </w:rPr>
            </w:pPr>
            <w:r>
              <w:rPr>
                <w:color w:val="FF0000"/>
                <w:spacing w:val="-4"/>
                <w:sz w:val="22"/>
              </w:rPr>
              <w:t xml:space="preserve">初步设计阶段 ：地质勘察报告通过审查后 </w:t>
            </w:r>
            <w:r>
              <w:rPr>
                <w:color w:val="FF0000"/>
                <w:sz w:val="22"/>
              </w:rPr>
              <w:t>25</w:t>
            </w:r>
            <w:r>
              <w:rPr>
                <w:color w:val="FF0000"/>
                <w:spacing w:val="-5"/>
                <w:sz w:val="22"/>
              </w:rPr>
              <w:t xml:space="preserve"> 天内向招标人</w:t>
            </w:r>
            <w:r>
              <w:rPr>
                <w:color w:val="FF0000"/>
                <w:spacing w:val="-2"/>
                <w:sz w:val="22"/>
              </w:rPr>
              <w:t>提交满足设计深度要求的初步设计文件（包含设计文件审查后的修</w:t>
            </w:r>
            <w:r>
              <w:rPr>
                <w:color w:val="FF0000"/>
                <w:spacing w:val="-2"/>
                <w:sz w:val="22"/>
              </w:rPr>
              <w:t>改和补充）</w:t>
            </w:r>
          </w:p>
          <w:p>
            <w:pPr>
              <w:pStyle w:val="TableParagraph"/>
              <w:numPr>
                <w:ilvl w:val="0"/>
                <w:numId w:val="22"/>
              </w:numPr>
              <w:tabs>
                <w:tab w:val="left" w:pos="659"/>
              </w:tabs>
              <w:spacing w:before="35" w:after="0" w:line="290" w:lineRule="auto"/>
              <w:ind w:left="107" w:right="95" w:firstLine="0"/>
              <w:jc w:val="both"/>
              <w:rPr>
                <w:sz w:val="22"/>
              </w:rPr>
            </w:pPr>
            <w:r>
              <w:rPr>
                <w:color w:val="FF0000"/>
                <w:spacing w:val="-5"/>
                <w:sz w:val="22"/>
              </w:rPr>
              <w:t xml:space="preserve">施工图设计：初步设计审查合格后 </w:t>
            </w:r>
            <w:r>
              <w:rPr>
                <w:color w:val="FF0000"/>
                <w:spacing w:val="-4"/>
                <w:sz w:val="22"/>
              </w:rPr>
              <w:t>35</w:t>
            </w:r>
            <w:r>
              <w:rPr>
                <w:color w:val="FF0000"/>
                <w:spacing w:val="-8"/>
                <w:sz w:val="22"/>
              </w:rPr>
              <w:t xml:space="preserve"> 天内应向招标人提交满</w:t>
            </w:r>
            <w:r>
              <w:rPr>
                <w:color w:val="FF0000"/>
                <w:spacing w:val="-2"/>
                <w:sz w:val="22"/>
              </w:rPr>
              <w:t>足工程施工设计深度要求的施工图设计文件（包含设计文件审查后</w:t>
            </w:r>
            <w:r>
              <w:rPr>
                <w:color w:val="FF0000"/>
                <w:spacing w:val="-2"/>
                <w:sz w:val="22"/>
              </w:rPr>
              <w:t>的修改和补充）。</w:t>
            </w:r>
          </w:p>
          <w:p>
            <w:pPr>
              <w:pStyle w:val="TableParagraph"/>
              <w:numPr>
                <w:ilvl w:val="0"/>
                <w:numId w:val="22"/>
              </w:numPr>
              <w:tabs>
                <w:tab w:val="left" w:pos="659"/>
              </w:tabs>
              <w:spacing w:before="0" w:after="0" w:line="247" w:lineRule="exact"/>
              <w:ind w:left="659" w:right="0" w:hanging="552"/>
              <w:jc w:val="left"/>
              <w:rPr>
                <w:sz w:val="22"/>
              </w:rPr>
            </w:pPr>
            <w:r>
              <w:rPr>
                <w:color w:val="FF0000"/>
                <w:spacing w:val="-10"/>
                <w:sz w:val="22"/>
              </w:rPr>
              <w:t>施工现场配合服务：自工程开工算起至工程竣工，对本项目全</w:t>
            </w:r>
          </w:p>
          <w:p>
            <w:pPr>
              <w:pStyle w:val="TableParagraph"/>
              <w:spacing w:before="19"/>
              <w:ind w:left="107"/>
              <w:rPr>
                <w:sz w:val="22"/>
              </w:rPr>
            </w:pPr>
            <w:r>
              <w:rPr>
                <w:color w:val="FF0000"/>
                <w:spacing w:val="-3"/>
                <w:sz w:val="22"/>
              </w:rPr>
              <w:t>程服务。</w:t>
            </w:r>
          </w:p>
          <w:p>
            <w:pPr>
              <w:pStyle w:val="TableParagraph"/>
              <w:spacing w:before="82" w:line="276" w:lineRule="exact"/>
              <w:ind w:left="547"/>
              <w:rPr>
                <w:sz w:val="22"/>
              </w:rPr>
            </w:pPr>
            <w:r>
              <w:rPr>
                <w:color w:val="FF0000"/>
                <w:spacing w:val="-8"/>
                <w:sz w:val="22"/>
              </w:rPr>
              <w:t xml:space="preserve">勘察总周期为 </w:t>
            </w:r>
            <w:r>
              <w:rPr>
                <w:color w:val="FF0000"/>
                <w:sz w:val="22"/>
              </w:rPr>
              <w:t>30</w:t>
            </w:r>
            <w:r>
              <w:rPr>
                <w:color w:val="FF0000"/>
                <w:spacing w:val="-12"/>
                <w:sz w:val="22"/>
              </w:rPr>
              <w:t xml:space="preserve"> 日历天；设计总周期为 </w:t>
            </w:r>
            <w:r>
              <w:rPr>
                <w:color w:val="FF0000"/>
                <w:sz w:val="22"/>
              </w:rPr>
              <w:t>60</w:t>
            </w:r>
            <w:r>
              <w:rPr>
                <w:color w:val="FF0000"/>
                <w:spacing w:val="-14"/>
                <w:sz w:val="22"/>
              </w:rPr>
              <w:t xml:space="preserve"> 日历天。</w:t>
            </w:r>
          </w:p>
        </w:tc>
      </w:tr>
      <w:tr>
        <w:tblPrEx>
          <w:tblW w:w="0" w:type="auto"/>
          <w:jc w:val="left"/>
          <w:tblInd w:w="530" w:type="dxa"/>
          <w:tblLayout w:type="fixed"/>
          <w:tblCellMar>
            <w:top w:w="0" w:type="dxa"/>
            <w:left w:w="0" w:type="dxa"/>
            <w:bottom w:w="0" w:type="dxa"/>
            <w:right w:w="0" w:type="dxa"/>
          </w:tblCellMar>
          <w:tblLook w:val="01E0"/>
        </w:tblPrEx>
        <w:trPr>
          <w:trHeight w:val="836"/>
          <w:jc w:val="left"/>
        </w:trPr>
        <w:tc>
          <w:tcPr>
            <w:tcW w:w="534" w:type="dxa"/>
            <w:tcBorders>
              <w:left w:val="single" w:sz="8" w:space="0" w:color="000000"/>
            </w:tcBorders>
          </w:tcPr>
          <w:p>
            <w:pPr>
              <w:pStyle w:val="TableParagraph"/>
              <w:spacing w:before="2"/>
              <w:rPr>
                <w:sz w:val="25"/>
              </w:rPr>
            </w:pPr>
          </w:p>
          <w:p>
            <w:pPr>
              <w:pStyle w:val="TableParagraph"/>
              <w:ind w:left="33"/>
              <w:jc w:val="center"/>
              <w:rPr>
                <w:sz w:val="21"/>
              </w:rPr>
            </w:pPr>
            <w:r>
              <w:rPr>
                <w:sz w:val="21"/>
              </w:rPr>
              <w:t>9</w:t>
            </w:r>
          </w:p>
        </w:tc>
        <w:tc>
          <w:tcPr>
            <w:tcW w:w="738" w:type="dxa"/>
          </w:tcPr>
          <w:p>
            <w:pPr>
              <w:pStyle w:val="TableParagraph"/>
              <w:spacing w:before="2"/>
              <w:rPr>
                <w:sz w:val="25"/>
              </w:rPr>
            </w:pPr>
          </w:p>
          <w:p>
            <w:pPr>
              <w:pStyle w:val="TableParagraph"/>
              <w:ind w:right="194"/>
              <w:jc w:val="right"/>
              <w:rPr>
                <w:sz w:val="21"/>
              </w:rPr>
            </w:pPr>
            <w:r>
              <w:rPr>
                <w:spacing w:val="-5"/>
                <w:sz w:val="21"/>
              </w:rPr>
              <w:t>2.1</w:t>
            </w:r>
          </w:p>
        </w:tc>
        <w:tc>
          <w:tcPr>
            <w:tcW w:w="1240" w:type="dxa"/>
          </w:tcPr>
          <w:p>
            <w:pPr>
              <w:pStyle w:val="TableParagraph"/>
              <w:spacing w:before="38" w:line="380" w:lineRule="exact"/>
              <w:ind w:left="414" w:right="182" w:hanging="211"/>
              <w:rPr>
                <w:rFonts w:ascii="Microsoft JhengHei" w:eastAsia="Microsoft JhengHei"/>
                <w:b/>
                <w:sz w:val="21"/>
              </w:rPr>
            </w:pPr>
            <w:r>
              <w:rPr>
                <w:rFonts w:ascii="Microsoft JhengHei" w:eastAsia="Microsoft JhengHei"/>
                <w:b/>
                <w:spacing w:val="-4"/>
                <w:sz w:val="21"/>
              </w:rPr>
              <w:t>资格审查</w:t>
            </w:r>
            <w:r>
              <w:rPr>
                <w:rFonts w:ascii="Microsoft JhengHei" w:eastAsia="Microsoft JhengHei"/>
                <w:b/>
                <w:spacing w:val="-6"/>
                <w:sz w:val="21"/>
              </w:rPr>
              <w:t>方式</w:t>
            </w:r>
          </w:p>
        </w:tc>
        <w:tc>
          <w:tcPr>
            <w:tcW w:w="6604" w:type="dxa"/>
            <w:tcBorders>
              <w:right w:val="single" w:sz="8" w:space="0" w:color="000000"/>
            </w:tcBorders>
          </w:tcPr>
          <w:p>
            <w:pPr>
              <w:pStyle w:val="TableParagraph"/>
              <w:spacing w:before="88" w:line="340" w:lineRule="atLeast"/>
              <w:ind w:left="107" w:right="86" w:firstLine="420"/>
              <w:rPr>
                <w:sz w:val="21"/>
              </w:rPr>
            </w:pPr>
            <w:r>
              <w:rPr>
                <w:spacing w:val="-2"/>
                <w:sz w:val="21"/>
              </w:rPr>
              <w:t>采用</w:t>
            </w:r>
            <w:r>
              <w:rPr>
                <w:spacing w:val="-2"/>
                <w:sz w:val="21"/>
                <w:u w:val="single"/>
              </w:rPr>
              <w:t>资格后审</w:t>
            </w:r>
            <w:r>
              <w:rPr>
                <w:spacing w:val="-2"/>
                <w:sz w:val="21"/>
              </w:rPr>
              <w:t>方式。采用资格预审方式的，投标人提交《资格审</w:t>
            </w:r>
            <w:r>
              <w:rPr>
                <w:spacing w:val="-1"/>
                <w:sz w:val="21"/>
              </w:rPr>
              <w:t xml:space="preserve">查文件》的时间和地点见本前附表第 </w:t>
            </w:r>
            <w:r>
              <w:rPr>
                <w:sz w:val="21"/>
              </w:rPr>
              <w:t>21</w:t>
            </w:r>
            <w:r>
              <w:rPr>
                <w:spacing w:val="-6"/>
                <w:sz w:val="21"/>
              </w:rPr>
              <w:t xml:space="preserve"> 项、第 </w:t>
            </w:r>
            <w:r>
              <w:rPr>
                <w:sz w:val="21"/>
              </w:rPr>
              <w:t>22</w:t>
            </w:r>
            <w:r>
              <w:rPr>
                <w:spacing w:val="-5"/>
                <w:sz w:val="21"/>
              </w:rPr>
              <w:t xml:space="preserve"> 项。</w:t>
            </w:r>
          </w:p>
        </w:tc>
      </w:tr>
    </w:tbl>
    <w:p>
      <w:pPr>
        <w:spacing w:after="0" w:line="340" w:lineRule="atLeast"/>
        <w:rPr>
          <w:sz w:val="21"/>
        </w:rPr>
        <w:sectPr>
          <w:headerReference w:type="even" r:id="rId38"/>
          <w:headerReference w:type="default" r:id="rId39"/>
          <w:footerReference w:type="even" r:id="rId40"/>
          <w:footerReference w:type="default" r:id="rId41"/>
          <w:pgSz w:w="11910" w:h="16840"/>
          <w:pgMar w:top="1380" w:right="800" w:bottom="1200" w:left="960" w:header="971" w:footer="1002"/>
          <w:pgNumType w:start="2"/>
          <w:cols w:space="708"/>
        </w:sectPr>
      </w:pPr>
    </w:p>
    <w:p>
      <w:pPr>
        <w:pStyle w:val="BodyText"/>
        <w:spacing w:before="1"/>
        <w:rPr>
          <w:sz w:val="4"/>
        </w:rPr>
      </w:pPr>
    </w:p>
    <w:tbl>
      <w:tblPr>
        <w:tblStyle w:val="TableNormal2"/>
        <w:tblW w:w="0" w:type="auto"/>
        <w:jc w:val="left"/>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738"/>
        <w:gridCol w:w="1240"/>
        <w:gridCol w:w="6604"/>
      </w:tblGrid>
      <w:tr>
        <w:tblPrEx>
          <w:tblW w:w="0" w:type="auto"/>
          <w:jc w:val="left"/>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8920"/>
          <w:jc w:val="left"/>
        </w:trPr>
        <w:tc>
          <w:tcPr>
            <w:tcW w:w="534" w:type="dxa"/>
            <w:tcBorders>
              <w:left w:val="single" w:sz="8"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7"/>
              <w:rPr>
                <w:sz w:val="20"/>
              </w:rPr>
            </w:pPr>
          </w:p>
          <w:p>
            <w:pPr>
              <w:pStyle w:val="TableParagraph"/>
              <w:ind w:right="82"/>
              <w:jc w:val="right"/>
              <w:rPr>
                <w:sz w:val="21"/>
              </w:rPr>
            </w:pPr>
            <w:r>
              <w:rPr>
                <w:spacing w:val="-5"/>
                <w:sz w:val="21"/>
              </w:rPr>
              <w:t>10</w:t>
            </w:r>
          </w:p>
        </w:tc>
        <w:tc>
          <w:tcPr>
            <w:tcW w:w="738"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7"/>
              <w:rPr>
                <w:sz w:val="20"/>
              </w:rPr>
            </w:pPr>
          </w:p>
          <w:p>
            <w:pPr>
              <w:pStyle w:val="TableParagraph"/>
              <w:ind w:left="140" w:right="120"/>
              <w:jc w:val="center"/>
              <w:rPr>
                <w:sz w:val="21"/>
              </w:rPr>
            </w:pPr>
            <w:r>
              <w:rPr>
                <w:spacing w:val="-5"/>
                <w:sz w:val="21"/>
              </w:rPr>
              <w:t>3.1</w:t>
            </w:r>
          </w:p>
        </w:tc>
        <w:tc>
          <w:tcPr>
            <w:tcW w:w="1240"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2"/>
              <w:rPr>
                <w:sz w:val="25"/>
              </w:rPr>
            </w:pPr>
          </w:p>
          <w:p>
            <w:pPr>
              <w:pStyle w:val="TableParagraph"/>
              <w:spacing w:line="235" w:lineRule="auto"/>
              <w:ind w:left="519" w:right="182" w:hanging="317"/>
              <w:rPr>
                <w:rFonts w:ascii="Microsoft JhengHei" w:eastAsia="Microsoft JhengHei"/>
                <w:b/>
                <w:sz w:val="21"/>
              </w:rPr>
            </w:pPr>
            <w:r>
              <w:rPr>
                <w:rFonts w:ascii="Microsoft JhengHei" w:eastAsia="Microsoft JhengHei"/>
                <w:b/>
                <w:spacing w:val="-4"/>
                <w:sz w:val="21"/>
              </w:rPr>
              <w:t>合格投标</w:t>
            </w:r>
            <w:r>
              <w:rPr>
                <w:rFonts w:ascii="Microsoft JhengHei" w:eastAsia="Microsoft JhengHei"/>
                <w:b/>
                <w:spacing w:val="-10"/>
                <w:sz w:val="21"/>
              </w:rPr>
              <w:t>人</w:t>
            </w:r>
          </w:p>
          <w:p>
            <w:pPr>
              <w:pStyle w:val="TableParagraph"/>
              <w:spacing w:line="384" w:lineRule="exact"/>
              <w:ind w:left="203"/>
              <w:rPr>
                <w:rFonts w:ascii="Microsoft JhengHei" w:eastAsia="Microsoft JhengHei"/>
                <w:b/>
                <w:sz w:val="21"/>
              </w:rPr>
            </w:pPr>
            <w:r>
              <w:rPr>
                <w:rFonts w:ascii="Microsoft JhengHei" w:eastAsia="Microsoft JhengHei"/>
                <w:b/>
                <w:spacing w:val="-3"/>
                <w:sz w:val="21"/>
              </w:rPr>
              <w:t>资格条件</w:t>
            </w:r>
          </w:p>
        </w:tc>
        <w:tc>
          <w:tcPr>
            <w:tcW w:w="6604" w:type="dxa"/>
            <w:tcBorders>
              <w:right w:val="single" w:sz="8" w:space="0" w:color="000000"/>
            </w:tcBorders>
          </w:tcPr>
          <w:p>
            <w:pPr>
              <w:pStyle w:val="TableParagraph"/>
              <w:numPr>
                <w:ilvl w:val="0"/>
                <w:numId w:val="21"/>
              </w:numPr>
              <w:tabs>
                <w:tab w:val="left" w:pos="1367"/>
                <w:tab w:val="left" w:pos="1368"/>
              </w:tabs>
              <w:spacing w:before="24" w:after="0" w:line="273" w:lineRule="auto"/>
              <w:ind w:left="107" w:right="95" w:firstLine="510"/>
              <w:jc w:val="left"/>
              <w:rPr>
                <w:sz w:val="22"/>
              </w:rPr>
            </w:pPr>
            <w:r>
              <w:rPr>
                <w:color w:val="FF0000"/>
                <w:spacing w:val="-2"/>
                <w:sz w:val="22"/>
              </w:rPr>
              <w:t>本招标项目要求投标人是</w:t>
            </w:r>
            <w:r>
              <w:rPr>
                <w:color w:val="0000FF"/>
                <w:spacing w:val="-2"/>
                <w:sz w:val="22"/>
              </w:rPr>
              <w:t>莆田市勘察设计企业名录库</w:t>
            </w:r>
            <w:r>
              <w:rPr>
                <w:color w:val="0000FF"/>
                <w:spacing w:val="-2"/>
                <w:sz w:val="22"/>
              </w:rPr>
              <w:t>内</w:t>
            </w:r>
            <w:r>
              <w:rPr>
                <w:color w:val="FF0000"/>
                <w:spacing w:val="-2"/>
                <w:sz w:val="22"/>
              </w:rPr>
              <w:t>的企业并具备建设行政主管部门核发的</w:t>
            </w:r>
            <w:r>
              <w:rPr>
                <w:color w:val="FF0000"/>
                <w:spacing w:val="-2"/>
                <w:sz w:val="22"/>
                <w:shd w:val="clear" w:color="auto" w:fill="FFFF00"/>
              </w:rPr>
              <w:t>建筑设计丙级</w:t>
            </w:r>
            <w:r>
              <w:rPr>
                <w:color w:val="FF0000"/>
                <w:spacing w:val="-2"/>
                <w:sz w:val="22"/>
              </w:rPr>
              <w:t>及以上资质</w:t>
            </w:r>
          </w:p>
          <w:p>
            <w:pPr>
              <w:pStyle w:val="TableParagraph"/>
              <w:spacing w:before="58" w:line="324" w:lineRule="auto"/>
              <w:ind w:left="107" w:right="86"/>
              <w:rPr>
                <w:sz w:val="22"/>
              </w:rPr>
            </w:pPr>
            <w:r>
              <w:rPr>
                <w:color w:val="FF0000"/>
                <w:spacing w:val="-2"/>
                <w:sz w:val="22"/>
              </w:rPr>
              <w:t>（</w:t>
            </w:r>
            <w:r>
              <w:rPr>
                <w:color w:val="FF0000"/>
                <w:spacing w:val="-10"/>
                <w:sz w:val="22"/>
              </w:rPr>
              <w:t>不分主、增项差别</w:t>
            </w:r>
            <w:r>
              <w:rPr>
                <w:color w:val="FF0000"/>
                <w:spacing w:val="-81"/>
                <w:sz w:val="22"/>
              </w:rPr>
              <w:t>）</w:t>
            </w:r>
            <w:r>
              <w:rPr>
                <w:color w:val="FF0000"/>
                <w:spacing w:val="-15"/>
                <w:sz w:val="22"/>
              </w:rPr>
              <w:t>，同时还应具备</w:t>
            </w:r>
            <w:r>
              <w:rPr>
                <w:color w:val="FF0000"/>
                <w:spacing w:val="-2"/>
                <w:sz w:val="22"/>
                <w:shd w:val="clear" w:color="auto" w:fill="FFFF00"/>
              </w:rPr>
              <w:t>岩土工程勘察专业丙级</w:t>
            </w:r>
            <w:r>
              <w:rPr>
                <w:color w:val="FF0000"/>
                <w:spacing w:val="-2"/>
                <w:sz w:val="22"/>
              </w:rPr>
              <w:t>及以上</w:t>
            </w:r>
            <w:r>
              <w:rPr>
                <w:color w:val="FF0000"/>
                <w:spacing w:val="-4"/>
                <w:sz w:val="22"/>
              </w:rPr>
              <w:t>资质，</w:t>
            </w:r>
          </w:p>
          <w:p>
            <w:pPr>
              <w:pStyle w:val="TableParagraph"/>
              <w:numPr>
                <w:ilvl w:val="0"/>
                <w:numId w:val="21"/>
              </w:numPr>
              <w:tabs>
                <w:tab w:val="left" w:pos="1367"/>
                <w:tab w:val="left" w:pos="1368"/>
              </w:tabs>
              <w:spacing w:before="0" w:after="0" w:line="323" w:lineRule="exact"/>
              <w:ind w:left="1367" w:right="0" w:hanging="751"/>
              <w:jc w:val="left"/>
              <w:rPr>
                <w:sz w:val="21"/>
              </w:rPr>
            </w:pPr>
            <w:r>
              <w:rPr>
                <w:sz w:val="21"/>
              </w:rPr>
              <w:t>具备已通过年检合格有效的</w:t>
            </w:r>
            <w:r>
              <w:rPr>
                <w:sz w:val="21"/>
                <w:u w:val="single"/>
              </w:rPr>
              <w:t>法人营业执照</w:t>
            </w:r>
            <w:r>
              <w:rPr>
                <w:spacing w:val="-10"/>
                <w:sz w:val="21"/>
              </w:rPr>
              <w:t>；</w:t>
            </w:r>
          </w:p>
          <w:p>
            <w:pPr>
              <w:pStyle w:val="TableParagraph"/>
              <w:numPr>
                <w:ilvl w:val="0"/>
                <w:numId w:val="21"/>
              </w:numPr>
              <w:tabs>
                <w:tab w:val="left" w:pos="1367"/>
                <w:tab w:val="left" w:pos="1368"/>
              </w:tabs>
              <w:spacing w:before="0" w:after="0" w:line="383" w:lineRule="exact"/>
              <w:ind w:left="1367" w:right="0" w:hanging="751"/>
              <w:jc w:val="left"/>
              <w:rPr>
                <w:sz w:val="21"/>
              </w:rPr>
            </w:pPr>
            <w:r>
              <w:rPr>
                <w:spacing w:val="-2"/>
                <w:sz w:val="21"/>
              </w:rPr>
              <w:t>设计人员要求：</w:t>
            </w:r>
          </w:p>
          <w:p>
            <w:pPr>
              <w:pStyle w:val="TableParagraph"/>
              <w:spacing w:before="53" w:line="324" w:lineRule="auto"/>
              <w:ind w:left="107" w:right="95" w:firstLine="440"/>
              <w:jc w:val="both"/>
              <w:rPr>
                <w:sz w:val="22"/>
              </w:rPr>
            </w:pPr>
            <w:r>
              <w:rPr>
                <w:color w:val="FF0000"/>
                <w:spacing w:val="-2"/>
                <w:sz w:val="22"/>
              </w:rPr>
              <w:t>拟担任本招标项目的设计总负责人应具备应具备一级注册建筑</w:t>
            </w:r>
            <w:r>
              <w:rPr>
                <w:color w:val="FF0000"/>
                <w:spacing w:val="-2"/>
                <w:sz w:val="22"/>
              </w:rPr>
              <w:t>师资格，拟担任本招标项目的勘察总负责人应具备</w:t>
            </w:r>
            <w:r>
              <w:rPr>
                <w:color w:val="FF0000"/>
                <w:spacing w:val="-2"/>
                <w:sz w:val="22"/>
                <w:shd w:val="clear" w:color="auto" w:fill="FFFF00"/>
              </w:rPr>
              <w:t>国家注册岩土工</w:t>
            </w:r>
            <w:r>
              <w:rPr>
                <w:color w:val="FF0000"/>
                <w:spacing w:val="40"/>
                <w:sz w:val="22"/>
                <w:shd w:val="clear" w:color="auto" w:fill="FFFF00"/>
              </w:rPr>
              <w:t xml:space="preserve"> </w:t>
            </w:r>
            <w:r>
              <w:rPr>
                <w:color w:val="FF0000"/>
                <w:sz w:val="22"/>
                <w:shd w:val="clear" w:color="auto" w:fill="FFFF00"/>
              </w:rPr>
              <w:t>程</w:t>
            </w:r>
            <w:r>
              <w:rPr>
                <w:color w:val="FF0000"/>
                <w:sz w:val="22"/>
              </w:rPr>
              <w:t>师执业资格且同时具有</w:t>
            </w:r>
            <w:r>
              <w:rPr>
                <w:color w:val="FF0000"/>
                <w:sz w:val="22"/>
                <w:shd w:val="clear" w:color="auto" w:fill="FFFF00"/>
              </w:rPr>
              <w:t>高级工程师</w:t>
            </w:r>
            <w:r>
              <w:rPr>
                <w:color w:val="FF0000"/>
                <w:spacing w:val="-1"/>
                <w:sz w:val="22"/>
              </w:rPr>
              <w:t>职称资格，且是本企业职员。</w:t>
            </w:r>
          </w:p>
          <w:p>
            <w:pPr>
              <w:pStyle w:val="TableParagraph"/>
              <w:spacing w:before="9"/>
              <w:ind w:left="527"/>
              <w:rPr>
                <w:sz w:val="21"/>
              </w:rPr>
            </w:pPr>
            <w:r>
              <w:rPr>
                <w:spacing w:val="-1"/>
                <w:sz w:val="21"/>
              </w:rPr>
              <w:t>拟担任本项目的其他主要设计人员至少包括：</w:t>
            </w:r>
          </w:p>
          <w:p>
            <w:pPr>
              <w:pStyle w:val="TableParagraph"/>
              <w:spacing w:before="111" w:line="338" w:lineRule="auto"/>
              <w:ind w:left="527" w:right="595"/>
              <w:rPr>
                <w:sz w:val="21"/>
              </w:rPr>
            </w:pPr>
            <w:r>
              <w:rPr>
                <w:spacing w:val="-7"/>
                <w:sz w:val="21"/>
              </w:rPr>
              <w:t xml:space="preserve">建筑设计专业负责人 </w:t>
            </w:r>
            <w:r>
              <w:rPr>
                <w:spacing w:val="-2"/>
                <w:sz w:val="21"/>
              </w:rPr>
              <w:t>1</w:t>
            </w:r>
            <w:r>
              <w:rPr>
                <w:spacing w:val="-11"/>
                <w:sz w:val="21"/>
              </w:rPr>
              <w:t xml:space="preserve"> 人，资格</w:t>
            </w:r>
            <w:r>
              <w:rPr>
                <w:spacing w:val="-2"/>
                <w:sz w:val="21"/>
              </w:rPr>
              <w:t>（职称）：</w:t>
            </w:r>
            <w:r>
              <w:rPr>
                <w:spacing w:val="-2"/>
                <w:sz w:val="21"/>
                <w:u w:val="single"/>
              </w:rPr>
              <w:t>工程师及以上</w:t>
            </w:r>
            <w:r>
              <w:rPr>
                <w:spacing w:val="-2"/>
                <w:sz w:val="21"/>
              </w:rPr>
              <w:t>；</w:t>
            </w:r>
            <w:r>
              <w:rPr>
                <w:spacing w:val="-7"/>
                <w:sz w:val="21"/>
              </w:rPr>
              <w:t xml:space="preserve">结构设计专业负责人 </w:t>
            </w:r>
            <w:r>
              <w:rPr>
                <w:spacing w:val="-2"/>
                <w:sz w:val="21"/>
              </w:rPr>
              <w:t>1</w:t>
            </w:r>
            <w:r>
              <w:rPr>
                <w:spacing w:val="-11"/>
                <w:sz w:val="21"/>
              </w:rPr>
              <w:t xml:space="preserve"> 人，资格</w:t>
            </w:r>
            <w:r>
              <w:rPr>
                <w:spacing w:val="-2"/>
                <w:sz w:val="21"/>
              </w:rPr>
              <w:t>（职称）：</w:t>
            </w:r>
            <w:r>
              <w:rPr>
                <w:spacing w:val="-2"/>
                <w:sz w:val="21"/>
                <w:u w:val="single"/>
              </w:rPr>
              <w:t>工程师及以上</w:t>
            </w:r>
            <w:r>
              <w:rPr>
                <w:spacing w:val="-2"/>
                <w:sz w:val="21"/>
              </w:rPr>
              <w:t>；</w:t>
            </w:r>
            <w:r>
              <w:rPr>
                <w:spacing w:val="-7"/>
                <w:sz w:val="21"/>
              </w:rPr>
              <w:t xml:space="preserve">电气设备专业负责人 </w:t>
            </w:r>
            <w:r>
              <w:rPr>
                <w:spacing w:val="-2"/>
                <w:sz w:val="21"/>
              </w:rPr>
              <w:t>1</w:t>
            </w:r>
            <w:r>
              <w:rPr>
                <w:spacing w:val="-11"/>
                <w:sz w:val="21"/>
              </w:rPr>
              <w:t xml:space="preserve"> 人，资格</w:t>
            </w:r>
            <w:r>
              <w:rPr>
                <w:spacing w:val="-2"/>
                <w:sz w:val="21"/>
              </w:rPr>
              <w:t>（职称）：</w:t>
            </w:r>
            <w:r>
              <w:rPr>
                <w:spacing w:val="-2"/>
                <w:sz w:val="21"/>
                <w:u w:val="single"/>
              </w:rPr>
              <w:t>工程师及以上</w:t>
            </w:r>
            <w:r>
              <w:rPr>
                <w:spacing w:val="-2"/>
                <w:sz w:val="21"/>
              </w:rPr>
              <w:t>；</w:t>
            </w:r>
            <w:r>
              <w:rPr>
                <w:spacing w:val="-3"/>
                <w:sz w:val="21"/>
              </w:rPr>
              <w:t xml:space="preserve">给排水专业负责人 </w:t>
            </w:r>
            <w:r>
              <w:rPr>
                <w:sz w:val="21"/>
              </w:rPr>
              <w:t>1</w:t>
            </w:r>
            <w:r>
              <w:rPr>
                <w:spacing w:val="-5"/>
                <w:sz w:val="21"/>
              </w:rPr>
              <w:t xml:space="preserve"> 人，资格</w:t>
            </w:r>
            <w:r>
              <w:rPr>
                <w:sz w:val="21"/>
              </w:rPr>
              <w:t>（职称）：</w:t>
            </w:r>
            <w:r>
              <w:rPr>
                <w:sz w:val="21"/>
                <w:u w:val="single"/>
              </w:rPr>
              <w:t>工程师及以上</w:t>
            </w:r>
            <w:r>
              <w:rPr>
                <w:sz w:val="21"/>
              </w:rPr>
              <w:t xml:space="preserve">； </w:t>
            </w:r>
            <w:r>
              <w:rPr>
                <w:spacing w:val="-3"/>
                <w:sz w:val="21"/>
              </w:rPr>
              <w:t xml:space="preserve">造价编制负责人 </w:t>
            </w:r>
            <w:r>
              <w:rPr>
                <w:sz w:val="21"/>
              </w:rPr>
              <w:t>1</w:t>
            </w:r>
            <w:r>
              <w:rPr>
                <w:spacing w:val="-5"/>
                <w:sz w:val="21"/>
              </w:rPr>
              <w:t xml:space="preserve"> 人，职称</w:t>
            </w:r>
            <w:r>
              <w:rPr>
                <w:sz w:val="21"/>
              </w:rPr>
              <w:t>（资格）：</w:t>
            </w:r>
            <w:r>
              <w:rPr>
                <w:sz w:val="21"/>
                <w:u w:val="single"/>
              </w:rPr>
              <w:t>工程师及以上</w:t>
            </w:r>
            <w:r>
              <w:rPr>
                <w:sz w:val="21"/>
              </w:rPr>
              <w:t>；</w:t>
            </w:r>
          </w:p>
          <w:p>
            <w:pPr>
              <w:pStyle w:val="TableParagraph"/>
              <w:spacing w:line="240" w:lineRule="exact"/>
              <w:ind w:left="527"/>
              <w:rPr>
                <w:sz w:val="21"/>
              </w:rPr>
            </w:pPr>
            <w:r>
              <w:rPr>
                <w:spacing w:val="-1"/>
                <w:sz w:val="21"/>
              </w:rPr>
              <w:t>上述人员以注册执业资格证书上的工作单位为准，若注册执业证</w:t>
            </w:r>
          </w:p>
          <w:p>
            <w:pPr>
              <w:pStyle w:val="TableParagraph"/>
              <w:spacing w:before="71" w:line="302" w:lineRule="auto"/>
              <w:ind w:left="107" w:right="-29"/>
              <w:jc w:val="both"/>
              <w:rPr>
                <w:sz w:val="21"/>
              </w:rPr>
            </w:pPr>
            <w:r>
              <w:rPr>
                <w:spacing w:val="1"/>
                <w:sz w:val="21"/>
              </w:rPr>
              <w:t>书没有体现工作单位的，在投标截止期之前的三个月内出具的且自出具当日之前缴费时间连续三个月以上的社保缴费证明书，高等院校所</w:t>
            </w:r>
            <w:r>
              <w:rPr>
                <w:spacing w:val="-7"/>
                <w:sz w:val="21"/>
              </w:rPr>
              <w:t>属设计单位，如其社保由上级院校缴交的，须提交上级院校证明原件</w:t>
            </w:r>
            <w:r>
              <w:rPr>
                <w:spacing w:val="-158"/>
                <w:sz w:val="21"/>
              </w:rPr>
              <w:t>）</w:t>
            </w:r>
            <w:r>
              <w:rPr>
                <w:sz w:val="21"/>
              </w:rPr>
              <w:t>；</w:t>
            </w:r>
          </w:p>
          <w:p>
            <w:pPr>
              <w:pStyle w:val="TableParagraph"/>
              <w:spacing w:before="3"/>
              <w:ind w:left="527" w:right="-29"/>
              <w:rPr>
                <w:sz w:val="21"/>
              </w:rPr>
            </w:pPr>
            <w:r>
              <w:rPr>
                <w:spacing w:val="-3"/>
                <w:sz w:val="21"/>
              </w:rPr>
              <w:t>注：以上各项至少配备一名专业负责人，同时人员不得重复配置。</w:t>
            </w:r>
          </w:p>
          <w:p>
            <w:pPr>
              <w:pStyle w:val="TableParagraph"/>
              <w:spacing w:before="39" w:line="235" w:lineRule="auto"/>
              <w:ind w:left="107" w:right="86" w:firstLine="420"/>
              <w:rPr>
                <w:sz w:val="21"/>
              </w:rPr>
            </w:pPr>
            <w:r>
              <w:rPr>
                <w:rFonts w:ascii="Microsoft JhengHei" w:eastAsia="Microsoft JhengHei" w:hAnsi="Microsoft JhengHei"/>
                <w:b/>
                <w:spacing w:val="-2"/>
                <w:sz w:val="21"/>
                <w:u w:val="double"/>
              </w:rPr>
              <w:t xml:space="preserve">投标人应当按第 </w:t>
            </w:r>
            <w:r>
              <w:rPr>
                <w:rFonts w:ascii="Microsoft JhengHei" w:eastAsia="Microsoft JhengHei" w:hAnsi="Microsoft JhengHei"/>
                <w:b/>
                <w:sz w:val="21"/>
                <w:u w:val="double"/>
              </w:rPr>
              <w:t>7</w:t>
            </w:r>
            <w:r>
              <w:rPr>
                <w:rFonts w:ascii="Microsoft JhengHei" w:eastAsia="Microsoft JhengHei" w:hAnsi="Microsoft JhengHei"/>
                <w:b/>
                <w:spacing w:val="-2"/>
                <w:sz w:val="21"/>
                <w:u w:val="double"/>
              </w:rPr>
              <w:t xml:space="preserve"> 章投标文件格式之 “资格审查文件”规定的格</w:t>
            </w:r>
            <w:r>
              <w:rPr>
                <w:rFonts w:ascii="Microsoft JhengHei" w:eastAsia="Microsoft JhengHei" w:hAnsi="Microsoft JhengHei"/>
                <w:b/>
                <w:spacing w:val="80"/>
                <w:w w:val="150"/>
                <w:sz w:val="21"/>
                <w:u w:val="double"/>
              </w:rPr>
              <w:t xml:space="preserve">                                                   </w:t>
            </w:r>
            <w:r>
              <w:rPr>
                <w:rFonts w:ascii="Microsoft JhengHei" w:eastAsia="Microsoft JhengHei" w:hAnsi="Microsoft JhengHei"/>
                <w:b/>
                <w:spacing w:val="-2"/>
                <w:sz w:val="21"/>
                <w:u w:val="double"/>
              </w:rPr>
              <w:t>式和内容要求提交有关资料</w:t>
            </w:r>
            <w:r>
              <w:rPr>
                <w:spacing w:val="-2"/>
                <w:sz w:val="21"/>
              </w:rPr>
              <w:t>。</w:t>
            </w:r>
          </w:p>
          <w:p>
            <w:pPr>
              <w:pStyle w:val="TableParagraph"/>
              <w:spacing w:line="381" w:lineRule="exact"/>
              <w:ind w:left="527"/>
              <w:rPr>
                <w:rFonts w:ascii="Microsoft JhengHei" w:eastAsia="Microsoft JhengHei"/>
                <w:b/>
                <w:sz w:val="21"/>
              </w:rPr>
            </w:pPr>
            <w:r>
              <w:rPr>
                <w:rFonts w:ascii="Microsoft JhengHei" w:eastAsia="Microsoft JhengHei"/>
                <w:b/>
                <w:spacing w:val="-1"/>
                <w:sz w:val="21"/>
                <w:u w:val="double"/>
              </w:rPr>
              <w:t xml:space="preserve">合格投标人的评审办法和标准见第 </w:t>
            </w:r>
            <w:r>
              <w:rPr>
                <w:rFonts w:ascii="Microsoft JhengHei" w:eastAsia="Microsoft JhengHei"/>
                <w:b/>
                <w:sz w:val="21"/>
                <w:u w:val="double"/>
              </w:rPr>
              <w:t>3</w:t>
            </w:r>
            <w:r>
              <w:rPr>
                <w:rFonts w:ascii="Microsoft JhengHei" w:eastAsia="Microsoft JhengHei"/>
                <w:b/>
                <w:spacing w:val="-4"/>
                <w:sz w:val="21"/>
                <w:u w:val="double"/>
              </w:rPr>
              <w:t xml:space="preserve"> 章评标办法和标准的相关规</w:t>
            </w:r>
          </w:p>
          <w:p>
            <w:pPr>
              <w:pStyle w:val="TableParagraph"/>
              <w:spacing w:line="332" w:lineRule="exact"/>
              <w:ind w:left="107"/>
              <w:rPr>
                <w:rFonts w:ascii="Microsoft JhengHei" w:eastAsia="Microsoft JhengHei"/>
                <w:b/>
                <w:sz w:val="21"/>
              </w:rPr>
            </w:pPr>
            <w:r>
              <w:rPr>
                <w:rFonts w:ascii="Microsoft JhengHei" w:eastAsia="Microsoft JhengHei"/>
                <w:b/>
                <w:sz w:val="21"/>
                <w:u w:val="double"/>
              </w:rPr>
              <w:t>定</w:t>
            </w:r>
            <w:r>
              <w:rPr>
                <w:rFonts w:ascii="Microsoft JhengHei" w:eastAsia="Microsoft JhengHei"/>
                <w:b/>
                <w:spacing w:val="-10"/>
                <w:sz w:val="21"/>
              </w:rPr>
              <w:t>。</w:t>
            </w:r>
          </w:p>
        </w:tc>
      </w:tr>
      <w:tr>
        <w:tblPrEx>
          <w:tblW w:w="0" w:type="auto"/>
          <w:jc w:val="left"/>
          <w:tblInd w:w="530" w:type="dxa"/>
          <w:tblLayout w:type="fixed"/>
          <w:tblCellMar>
            <w:top w:w="0" w:type="dxa"/>
            <w:left w:w="0" w:type="dxa"/>
            <w:bottom w:w="0" w:type="dxa"/>
            <w:right w:w="0" w:type="dxa"/>
          </w:tblCellMar>
          <w:tblLook w:val="01E0"/>
        </w:tblPrEx>
        <w:trPr>
          <w:trHeight w:val="1140"/>
          <w:jc w:val="left"/>
        </w:trPr>
        <w:tc>
          <w:tcPr>
            <w:tcW w:w="534" w:type="dxa"/>
            <w:tcBorders>
              <w:left w:val="single" w:sz="8" w:space="0" w:color="000000"/>
            </w:tcBorders>
          </w:tcPr>
          <w:p>
            <w:pPr>
              <w:pStyle w:val="TableParagraph"/>
              <w:rPr>
                <w:sz w:val="20"/>
              </w:rPr>
            </w:pPr>
          </w:p>
          <w:p>
            <w:pPr>
              <w:pStyle w:val="TableParagraph"/>
              <w:spacing w:before="12"/>
              <w:rPr>
                <w:sz w:val="16"/>
              </w:rPr>
            </w:pPr>
          </w:p>
          <w:p>
            <w:pPr>
              <w:pStyle w:val="TableParagraph"/>
              <w:ind w:right="82"/>
              <w:jc w:val="right"/>
              <w:rPr>
                <w:sz w:val="21"/>
              </w:rPr>
            </w:pPr>
            <w:r>
              <w:rPr>
                <w:spacing w:val="-5"/>
                <w:sz w:val="21"/>
              </w:rPr>
              <w:t>11</w:t>
            </w:r>
          </w:p>
        </w:tc>
        <w:tc>
          <w:tcPr>
            <w:tcW w:w="738" w:type="dxa"/>
          </w:tcPr>
          <w:p>
            <w:pPr>
              <w:pStyle w:val="TableParagraph"/>
              <w:rPr>
                <w:sz w:val="20"/>
              </w:rPr>
            </w:pPr>
          </w:p>
          <w:p>
            <w:pPr>
              <w:pStyle w:val="TableParagraph"/>
              <w:spacing w:before="12"/>
              <w:rPr>
                <w:sz w:val="16"/>
              </w:rPr>
            </w:pPr>
          </w:p>
          <w:p>
            <w:pPr>
              <w:pStyle w:val="TableParagraph"/>
              <w:ind w:left="140" w:right="120"/>
              <w:jc w:val="center"/>
              <w:rPr>
                <w:sz w:val="21"/>
              </w:rPr>
            </w:pPr>
            <w:r>
              <w:rPr>
                <w:spacing w:val="-5"/>
                <w:sz w:val="21"/>
              </w:rPr>
              <w:t>5.1</w:t>
            </w:r>
          </w:p>
        </w:tc>
        <w:tc>
          <w:tcPr>
            <w:tcW w:w="1240" w:type="dxa"/>
          </w:tcPr>
          <w:p>
            <w:pPr>
              <w:pStyle w:val="TableParagraph"/>
              <w:spacing w:line="380" w:lineRule="exact"/>
              <w:ind w:left="203" w:right="182"/>
              <w:jc w:val="both"/>
              <w:rPr>
                <w:rFonts w:ascii="Microsoft JhengHei" w:eastAsia="Microsoft JhengHei"/>
                <w:b/>
                <w:sz w:val="21"/>
              </w:rPr>
            </w:pPr>
            <w:r>
              <w:rPr>
                <w:rFonts w:ascii="Microsoft JhengHei" w:eastAsia="Microsoft JhengHei"/>
                <w:b/>
                <w:spacing w:val="-4"/>
                <w:sz w:val="21"/>
              </w:rPr>
              <w:t>踏勘现场</w:t>
            </w:r>
            <w:r>
              <w:rPr>
                <w:rFonts w:ascii="Microsoft JhengHei" w:eastAsia="Microsoft JhengHei"/>
                <w:b/>
                <w:spacing w:val="-4"/>
                <w:sz w:val="21"/>
              </w:rPr>
              <w:t>和标前会</w:t>
            </w:r>
            <w:r>
              <w:rPr>
                <w:rFonts w:ascii="Microsoft JhengHei" w:eastAsia="Microsoft JhengHei"/>
                <w:b/>
                <w:spacing w:val="-3"/>
                <w:sz w:val="21"/>
              </w:rPr>
              <w:t>时间地点</w:t>
            </w:r>
          </w:p>
        </w:tc>
        <w:tc>
          <w:tcPr>
            <w:tcW w:w="6604" w:type="dxa"/>
            <w:tcBorders>
              <w:right w:val="single" w:sz="8" w:space="0" w:color="000000"/>
            </w:tcBorders>
          </w:tcPr>
          <w:p>
            <w:pPr>
              <w:pStyle w:val="TableParagraph"/>
              <w:spacing w:before="2"/>
              <w:rPr>
                <w:sz w:val="22"/>
              </w:rPr>
            </w:pPr>
          </w:p>
          <w:p>
            <w:pPr>
              <w:pStyle w:val="TableParagraph"/>
              <w:spacing w:line="338" w:lineRule="auto"/>
              <w:ind w:left="107" w:right="175"/>
              <w:rPr>
                <w:sz w:val="21"/>
              </w:rPr>
            </w:pPr>
            <w:r>
              <w:rPr>
                <w:spacing w:val="-2"/>
                <w:sz w:val="21"/>
                <w:u w:val="single"/>
              </w:rPr>
              <w:t>招标人不举行招标预备会（答疑会）和踏勘项目现场，投标申请人认</w:t>
            </w:r>
            <w:r>
              <w:rPr>
                <w:spacing w:val="-2"/>
                <w:sz w:val="21"/>
                <w:u w:val="single"/>
              </w:rPr>
              <w:t>为有必要的可自行踏勘现场，</w:t>
            </w:r>
          </w:p>
        </w:tc>
      </w:tr>
      <w:tr>
        <w:tblPrEx>
          <w:tblW w:w="0" w:type="auto"/>
          <w:jc w:val="left"/>
          <w:tblInd w:w="530" w:type="dxa"/>
          <w:tblLayout w:type="fixed"/>
          <w:tblCellMar>
            <w:top w:w="0" w:type="dxa"/>
            <w:left w:w="0" w:type="dxa"/>
            <w:bottom w:w="0" w:type="dxa"/>
            <w:right w:w="0" w:type="dxa"/>
          </w:tblCellMar>
          <w:tblLook w:val="01E0"/>
        </w:tblPrEx>
        <w:trPr>
          <w:trHeight w:val="1520"/>
          <w:jc w:val="left"/>
        </w:trPr>
        <w:tc>
          <w:tcPr>
            <w:tcW w:w="534" w:type="dxa"/>
            <w:tcBorders>
              <w:left w:val="single" w:sz="8" w:space="0" w:color="000000"/>
            </w:tcBorders>
          </w:tcPr>
          <w:p>
            <w:pPr>
              <w:pStyle w:val="TableParagraph"/>
              <w:rPr>
                <w:sz w:val="20"/>
              </w:rPr>
            </w:pPr>
          </w:p>
          <w:p>
            <w:pPr>
              <w:pStyle w:val="TableParagraph"/>
              <w:rPr>
                <w:sz w:val="20"/>
              </w:rPr>
            </w:pPr>
          </w:p>
          <w:p>
            <w:pPr>
              <w:pStyle w:val="TableParagraph"/>
              <w:spacing w:before="151"/>
              <w:ind w:right="82"/>
              <w:jc w:val="right"/>
              <w:rPr>
                <w:sz w:val="21"/>
              </w:rPr>
            </w:pPr>
            <w:r>
              <w:rPr>
                <w:spacing w:val="-5"/>
                <w:sz w:val="21"/>
              </w:rPr>
              <w:t>12</w:t>
            </w:r>
          </w:p>
        </w:tc>
        <w:tc>
          <w:tcPr>
            <w:tcW w:w="738" w:type="dxa"/>
          </w:tcPr>
          <w:p>
            <w:pPr>
              <w:pStyle w:val="TableParagraph"/>
              <w:rPr>
                <w:sz w:val="20"/>
              </w:rPr>
            </w:pPr>
          </w:p>
          <w:p>
            <w:pPr>
              <w:pStyle w:val="TableParagraph"/>
              <w:rPr>
                <w:sz w:val="20"/>
              </w:rPr>
            </w:pPr>
          </w:p>
          <w:p>
            <w:pPr>
              <w:pStyle w:val="TableParagraph"/>
              <w:spacing w:before="151"/>
              <w:ind w:left="140" w:right="120"/>
              <w:jc w:val="center"/>
              <w:rPr>
                <w:sz w:val="21"/>
              </w:rPr>
            </w:pPr>
            <w:r>
              <w:rPr>
                <w:spacing w:val="-5"/>
                <w:sz w:val="21"/>
              </w:rPr>
              <w:t>8.1</w:t>
            </w:r>
          </w:p>
        </w:tc>
        <w:tc>
          <w:tcPr>
            <w:tcW w:w="1240" w:type="dxa"/>
          </w:tcPr>
          <w:p>
            <w:pPr>
              <w:pStyle w:val="TableParagraph"/>
              <w:rPr>
                <w:sz w:val="20"/>
              </w:rPr>
            </w:pPr>
          </w:p>
          <w:p>
            <w:pPr>
              <w:pStyle w:val="TableParagraph"/>
              <w:spacing w:before="154" w:line="235" w:lineRule="auto"/>
              <w:ind w:left="308" w:right="182" w:hanging="106"/>
              <w:rPr>
                <w:rFonts w:ascii="Microsoft JhengHei" w:eastAsia="Microsoft JhengHei"/>
                <w:b/>
                <w:sz w:val="21"/>
              </w:rPr>
            </w:pPr>
            <w:r>
              <w:rPr>
                <w:rFonts w:ascii="Microsoft JhengHei" w:eastAsia="Microsoft JhengHei"/>
                <w:b/>
                <w:spacing w:val="-4"/>
                <w:sz w:val="21"/>
              </w:rPr>
              <w:t>招标文件</w:t>
            </w:r>
            <w:r>
              <w:rPr>
                <w:rFonts w:ascii="Microsoft JhengHei" w:eastAsia="Microsoft JhengHei"/>
                <w:b/>
                <w:spacing w:val="-4"/>
                <w:sz w:val="21"/>
              </w:rPr>
              <w:t>的澄清</w:t>
            </w:r>
          </w:p>
        </w:tc>
        <w:tc>
          <w:tcPr>
            <w:tcW w:w="6604" w:type="dxa"/>
            <w:tcBorders>
              <w:right w:val="single" w:sz="8" w:space="0" w:color="000000"/>
            </w:tcBorders>
          </w:tcPr>
          <w:p>
            <w:pPr>
              <w:pStyle w:val="TableParagraph"/>
              <w:spacing w:before="94" w:line="338" w:lineRule="auto"/>
              <w:ind w:left="107" w:right="144" w:firstLine="420"/>
              <w:jc w:val="both"/>
              <w:rPr>
                <w:sz w:val="21"/>
              </w:rPr>
            </w:pPr>
            <w:r>
              <w:rPr>
                <w:spacing w:val="6"/>
                <w:sz w:val="21"/>
              </w:rPr>
              <w:t>投标人对招标文件及设计任务书有异议，可以直接登录莆田市</w:t>
            </w:r>
            <w:r>
              <w:rPr>
                <w:spacing w:val="-2"/>
                <w:sz w:val="21"/>
              </w:rPr>
              <w:t xml:space="preserve">行政服务中心网提出质疑，截止时间为 </w:t>
            </w:r>
            <w:r>
              <w:rPr>
                <w:spacing w:val="3"/>
                <w:sz w:val="21"/>
                <w:u w:val="single"/>
              </w:rPr>
              <w:t>201</w:t>
            </w:r>
            <w:r>
              <w:rPr>
                <w:sz w:val="21"/>
                <w:u w:val="single"/>
              </w:rPr>
              <w:t>5</w:t>
            </w:r>
            <w:r>
              <w:rPr>
                <w:spacing w:val="-23"/>
                <w:sz w:val="21"/>
              </w:rPr>
              <w:t xml:space="preserve"> 年</w:t>
            </w:r>
            <w:r>
              <w:rPr>
                <w:color w:val="FF6600"/>
                <w:spacing w:val="8"/>
                <w:sz w:val="21"/>
                <w:u w:val="single" w:color="FF6600"/>
              </w:rPr>
              <w:t xml:space="preserve"> </w:t>
            </w:r>
            <w:r>
              <w:rPr>
                <w:color w:val="FF6600"/>
                <w:spacing w:val="3"/>
                <w:sz w:val="21"/>
                <w:u w:val="single" w:color="FF6600"/>
              </w:rPr>
              <w:t>0</w:t>
            </w:r>
            <w:r>
              <w:rPr>
                <w:color w:val="FF6600"/>
                <w:sz w:val="21"/>
                <w:u w:val="single" w:color="FF6600"/>
              </w:rPr>
              <w:t>3</w:t>
            </w:r>
            <w:r>
              <w:rPr>
                <w:color w:val="FF6600"/>
                <w:spacing w:val="11"/>
                <w:sz w:val="21"/>
                <w:u w:val="single" w:color="FF6600"/>
              </w:rPr>
              <w:t xml:space="preserve"> </w:t>
            </w:r>
            <w:r>
              <w:rPr>
                <w:spacing w:val="8"/>
                <w:sz w:val="21"/>
              </w:rPr>
              <w:t>月</w:t>
            </w:r>
            <w:r>
              <w:rPr>
                <w:color w:val="FF6600"/>
                <w:spacing w:val="7"/>
                <w:sz w:val="21"/>
                <w:u w:val="single" w:color="FF6600"/>
              </w:rPr>
              <w:t xml:space="preserve"> </w:t>
            </w:r>
            <w:r>
              <w:rPr>
                <w:color w:val="FF6600"/>
                <w:spacing w:val="3"/>
                <w:sz w:val="21"/>
                <w:u w:val="single" w:color="FF6600"/>
              </w:rPr>
              <w:t>2</w:t>
            </w:r>
            <w:r>
              <w:rPr>
                <w:color w:val="FF6600"/>
                <w:sz w:val="21"/>
                <w:u w:val="single" w:color="FF6600"/>
              </w:rPr>
              <w:t>7</w:t>
            </w:r>
            <w:r>
              <w:rPr>
                <w:color w:val="FF6600"/>
                <w:spacing w:val="12"/>
                <w:sz w:val="21"/>
                <w:u w:val="single" w:color="FF6600"/>
              </w:rPr>
              <w:t xml:space="preserve"> </w:t>
            </w:r>
            <w:r>
              <w:rPr>
                <w:spacing w:val="-10"/>
                <w:sz w:val="21"/>
              </w:rPr>
              <w:t xml:space="preserve">日下午 </w:t>
            </w:r>
            <w:r>
              <w:rPr>
                <w:sz w:val="21"/>
              </w:rPr>
              <w:t>5</w:t>
            </w:r>
            <w:r>
              <w:rPr>
                <w:spacing w:val="-12"/>
                <w:sz w:val="21"/>
              </w:rPr>
              <w:t>时</w:t>
            </w:r>
            <w:r>
              <w:rPr>
                <w:spacing w:val="7"/>
                <w:sz w:val="21"/>
              </w:rPr>
              <w:t>（</w:t>
            </w:r>
            <w:r>
              <w:rPr>
                <w:spacing w:val="3"/>
                <w:sz w:val="21"/>
              </w:rPr>
              <w:t>北京时间，下同</w:t>
            </w:r>
            <w:r>
              <w:rPr>
                <w:spacing w:val="-12"/>
                <w:sz w:val="21"/>
              </w:rPr>
              <w:t>）</w:t>
            </w:r>
            <w:r>
              <w:rPr>
                <w:spacing w:val="-3"/>
                <w:sz w:val="21"/>
              </w:rPr>
              <w:t xml:space="preserve">前，逾期登录不予受理。招标人将于 </w:t>
            </w:r>
            <w:r>
              <w:rPr>
                <w:spacing w:val="3"/>
                <w:sz w:val="21"/>
                <w:u w:val="single"/>
              </w:rPr>
              <w:t>201</w:t>
            </w:r>
            <w:r>
              <w:rPr>
                <w:sz w:val="21"/>
                <w:u w:val="single"/>
              </w:rPr>
              <w:t>5</w:t>
            </w:r>
            <w:r>
              <w:rPr>
                <w:spacing w:val="-24"/>
                <w:sz w:val="21"/>
              </w:rPr>
              <w:t xml:space="preserve"> 年</w:t>
            </w:r>
          </w:p>
          <w:p>
            <w:pPr>
              <w:pStyle w:val="TableParagraph"/>
              <w:spacing w:before="2" w:line="266" w:lineRule="exact"/>
              <w:ind w:left="107"/>
              <w:jc w:val="both"/>
              <w:rPr>
                <w:sz w:val="21"/>
              </w:rPr>
            </w:pPr>
            <w:r>
              <w:rPr>
                <w:sz w:val="21"/>
                <w:u w:val="single"/>
              </w:rPr>
              <w:t>03</w:t>
            </w:r>
            <w:r>
              <w:rPr>
                <w:spacing w:val="-15"/>
                <w:sz w:val="21"/>
              </w:rPr>
              <w:t xml:space="preserve"> 月</w:t>
            </w:r>
            <w:r>
              <w:rPr>
                <w:color w:val="FF6600"/>
                <w:spacing w:val="43"/>
                <w:sz w:val="21"/>
                <w:u w:val="single" w:color="FF6600"/>
              </w:rPr>
              <w:t xml:space="preserve"> </w:t>
            </w:r>
            <w:r>
              <w:rPr>
                <w:color w:val="FF6600"/>
                <w:sz w:val="21"/>
                <w:u w:val="single" w:color="FF6600"/>
              </w:rPr>
              <w:t>31</w:t>
            </w:r>
            <w:r>
              <w:rPr>
                <w:color w:val="FF6600"/>
                <w:spacing w:val="47"/>
                <w:sz w:val="21"/>
                <w:u w:val="single" w:color="FF6600"/>
              </w:rPr>
              <w:t xml:space="preserve"> </w:t>
            </w:r>
            <w:r>
              <w:rPr>
                <w:spacing w:val="13"/>
                <w:sz w:val="21"/>
              </w:rPr>
              <w:t xml:space="preserve">日下午 </w:t>
            </w:r>
            <w:r>
              <w:rPr>
                <w:sz w:val="21"/>
              </w:rPr>
              <w:t>5</w:t>
            </w:r>
            <w:r>
              <w:rPr>
                <w:spacing w:val="-1"/>
                <w:sz w:val="21"/>
              </w:rPr>
              <w:t xml:space="preserve"> 时前在莆田市行政服务中心网公布答疑内容。</w:t>
            </w:r>
          </w:p>
        </w:tc>
      </w:tr>
      <w:tr>
        <w:tblPrEx>
          <w:tblW w:w="0" w:type="auto"/>
          <w:jc w:val="left"/>
          <w:tblInd w:w="530" w:type="dxa"/>
          <w:tblLayout w:type="fixed"/>
          <w:tblCellMar>
            <w:top w:w="0" w:type="dxa"/>
            <w:left w:w="0" w:type="dxa"/>
            <w:bottom w:w="0" w:type="dxa"/>
            <w:right w:w="0" w:type="dxa"/>
          </w:tblCellMar>
          <w:tblLook w:val="01E0"/>
        </w:tblPrEx>
        <w:trPr>
          <w:trHeight w:val="1520"/>
          <w:jc w:val="left"/>
        </w:trPr>
        <w:tc>
          <w:tcPr>
            <w:tcW w:w="534" w:type="dxa"/>
            <w:tcBorders>
              <w:left w:val="single" w:sz="8" w:space="0" w:color="000000"/>
            </w:tcBorders>
          </w:tcPr>
          <w:p>
            <w:pPr>
              <w:pStyle w:val="TableParagraph"/>
              <w:rPr>
                <w:sz w:val="20"/>
              </w:rPr>
            </w:pPr>
          </w:p>
          <w:p>
            <w:pPr>
              <w:pStyle w:val="TableParagraph"/>
              <w:rPr>
                <w:sz w:val="20"/>
              </w:rPr>
            </w:pPr>
          </w:p>
          <w:p>
            <w:pPr>
              <w:pStyle w:val="TableParagraph"/>
              <w:spacing w:before="151"/>
              <w:ind w:right="82"/>
              <w:jc w:val="right"/>
              <w:rPr>
                <w:sz w:val="21"/>
              </w:rPr>
            </w:pPr>
            <w:r>
              <w:rPr>
                <w:spacing w:val="-5"/>
                <w:sz w:val="21"/>
              </w:rPr>
              <w:t>13</w:t>
            </w:r>
          </w:p>
        </w:tc>
        <w:tc>
          <w:tcPr>
            <w:tcW w:w="738" w:type="dxa"/>
          </w:tcPr>
          <w:p>
            <w:pPr>
              <w:pStyle w:val="TableParagraph"/>
              <w:rPr>
                <w:sz w:val="20"/>
              </w:rPr>
            </w:pPr>
          </w:p>
          <w:p>
            <w:pPr>
              <w:pStyle w:val="TableParagraph"/>
              <w:spacing w:before="12"/>
              <w:rPr>
                <w:sz w:val="16"/>
              </w:rPr>
            </w:pPr>
          </w:p>
          <w:p>
            <w:pPr>
              <w:pStyle w:val="TableParagraph"/>
              <w:ind w:left="140" w:right="120"/>
              <w:jc w:val="center"/>
              <w:rPr>
                <w:sz w:val="21"/>
              </w:rPr>
            </w:pPr>
            <w:r>
              <w:rPr>
                <w:spacing w:val="-4"/>
                <w:sz w:val="21"/>
              </w:rPr>
              <w:t>11.3</w:t>
            </w:r>
          </w:p>
          <w:p>
            <w:pPr>
              <w:pStyle w:val="TableParagraph"/>
              <w:spacing w:before="111"/>
              <w:ind w:left="140" w:right="120"/>
              <w:jc w:val="center"/>
              <w:rPr>
                <w:sz w:val="21"/>
              </w:rPr>
            </w:pPr>
            <w:r>
              <w:rPr>
                <w:spacing w:val="-5"/>
                <w:sz w:val="21"/>
              </w:rPr>
              <w:t>.3</w:t>
            </w:r>
          </w:p>
        </w:tc>
        <w:tc>
          <w:tcPr>
            <w:tcW w:w="1240" w:type="dxa"/>
          </w:tcPr>
          <w:p>
            <w:pPr>
              <w:pStyle w:val="TableParagraph"/>
              <w:spacing w:line="380" w:lineRule="exact"/>
              <w:ind w:left="112" w:right="91" w:firstLine="90"/>
              <w:jc w:val="both"/>
              <w:rPr>
                <w:rFonts w:ascii="Microsoft JhengHei" w:eastAsia="Microsoft JhengHei"/>
                <w:b/>
                <w:sz w:val="21"/>
              </w:rPr>
            </w:pPr>
            <w:r>
              <w:rPr>
                <w:rFonts w:ascii="Microsoft JhengHei" w:eastAsia="Microsoft JhengHei"/>
                <w:b/>
                <w:sz w:val="21"/>
              </w:rPr>
              <w:t>是否要求提交电子</w:t>
            </w:r>
            <w:r>
              <w:rPr>
                <w:rFonts w:ascii="Microsoft JhengHei" w:eastAsia="Microsoft JhengHei"/>
                <w:b/>
                <w:spacing w:val="-9"/>
                <w:sz w:val="21"/>
              </w:rPr>
              <w:t>文档、演示</w:t>
            </w:r>
            <w:r>
              <w:rPr>
                <w:rFonts w:ascii="Microsoft JhengHei" w:eastAsia="Microsoft JhengHei"/>
                <w:b/>
                <w:sz w:val="21"/>
              </w:rPr>
              <w:t>盘和模型</w:t>
            </w:r>
          </w:p>
        </w:tc>
        <w:tc>
          <w:tcPr>
            <w:tcW w:w="6604" w:type="dxa"/>
            <w:tcBorders>
              <w:right w:val="single" w:sz="8" w:space="0" w:color="000000"/>
            </w:tcBorders>
          </w:tcPr>
          <w:p>
            <w:pPr>
              <w:pStyle w:val="TableParagraph"/>
              <w:spacing w:before="94" w:line="338" w:lineRule="auto"/>
              <w:ind w:left="527" w:right="1346"/>
              <w:rPr>
                <w:sz w:val="21"/>
              </w:rPr>
            </w:pPr>
            <w:r>
              <w:rPr>
                <w:spacing w:val="-2"/>
                <w:sz w:val="21"/>
              </w:rPr>
              <w:t>计算机文件（技术文件电子文档光盘）：</w:t>
            </w:r>
            <w:r>
              <w:rPr>
                <w:spacing w:val="-2"/>
                <w:sz w:val="21"/>
                <w:u w:val="single"/>
              </w:rPr>
              <w:t>要求</w:t>
            </w:r>
            <w:r>
              <w:rPr>
                <w:spacing w:val="-2"/>
                <w:sz w:val="21"/>
              </w:rPr>
              <w:t>提交</w:t>
            </w:r>
            <w:r>
              <w:rPr>
                <w:spacing w:val="-2"/>
                <w:sz w:val="21"/>
              </w:rPr>
              <w:t>展示图（彩色效果图展板）：</w:t>
            </w:r>
            <w:r>
              <w:rPr>
                <w:spacing w:val="-2"/>
                <w:sz w:val="21"/>
                <w:u w:val="single"/>
              </w:rPr>
              <w:t>要求</w:t>
            </w:r>
            <w:r>
              <w:rPr>
                <w:color w:val="FF0000"/>
                <w:spacing w:val="-2"/>
                <w:sz w:val="21"/>
              </w:rPr>
              <w:t>提交</w:t>
            </w:r>
          </w:p>
          <w:p>
            <w:pPr>
              <w:pStyle w:val="TableParagraph"/>
              <w:spacing w:before="1"/>
              <w:ind w:left="527"/>
              <w:rPr>
                <w:sz w:val="21"/>
              </w:rPr>
            </w:pPr>
            <w:r>
              <w:rPr>
                <w:sz w:val="21"/>
              </w:rPr>
              <w:t>演示盘：</w:t>
            </w:r>
            <w:r>
              <w:rPr>
                <w:sz w:val="21"/>
                <w:u w:val="single"/>
              </w:rPr>
              <w:t>不要求</w:t>
            </w:r>
            <w:r>
              <w:rPr>
                <w:spacing w:val="-5"/>
                <w:sz w:val="21"/>
              </w:rPr>
              <w:t>提交</w:t>
            </w:r>
          </w:p>
          <w:p>
            <w:pPr>
              <w:pStyle w:val="TableParagraph"/>
              <w:spacing w:before="111" w:line="266" w:lineRule="exact"/>
              <w:ind w:left="527"/>
              <w:rPr>
                <w:sz w:val="21"/>
              </w:rPr>
            </w:pPr>
            <w:r>
              <w:rPr>
                <w:sz w:val="21"/>
              </w:rPr>
              <w:t>模型：</w:t>
            </w:r>
            <w:r>
              <w:rPr>
                <w:sz w:val="21"/>
                <w:u w:val="single"/>
              </w:rPr>
              <w:t>不要求</w:t>
            </w:r>
            <w:r>
              <w:rPr>
                <w:spacing w:val="-5"/>
                <w:sz w:val="21"/>
              </w:rPr>
              <w:t>提交</w:t>
            </w:r>
          </w:p>
        </w:tc>
      </w:tr>
      <w:tr>
        <w:tblPrEx>
          <w:tblW w:w="0" w:type="auto"/>
          <w:jc w:val="left"/>
          <w:tblInd w:w="530" w:type="dxa"/>
          <w:tblLayout w:type="fixed"/>
          <w:tblCellMar>
            <w:top w:w="0" w:type="dxa"/>
            <w:left w:w="0" w:type="dxa"/>
            <w:bottom w:w="0" w:type="dxa"/>
            <w:right w:w="0" w:type="dxa"/>
          </w:tblCellMar>
          <w:tblLook w:val="01E0"/>
        </w:tblPrEx>
        <w:trPr>
          <w:trHeight w:val="520"/>
          <w:jc w:val="left"/>
        </w:trPr>
        <w:tc>
          <w:tcPr>
            <w:tcW w:w="534" w:type="dxa"/>
            <w:tcBorders>
              <w:left w:val="single" w:sz="8" w:space="0" w:color="000000"/>
            </w:tcBorders>
          </w:tcPr>
          <w:p>
            <w:pPr>
              <w:pStyle w:val="TableParagraph"/>
              <w:spacing w:before="164"/>
              <w:ind w:right="82"/>
              <w:jc w:val="right"/>
              <w:rPr>
                <w:sz w:val="21"/>
              </w:rPr>
            </w:pPr>
            <w:r>
              <w:rPr>
                <w:spacing w:val="-5"/>
                <w:sz w:val="21"/>
              </w:rPr>
              <w:t>14</w:t>
            </w:r>
          </w:p>
        </w:tc>
        <w:tc>
          <w:tcPr>
            <w:tcW w:w="738" w:type="dxa"/>
          </w:tcPr>
          <w:p>
            <w:pPr>
              <w:pStyle w:val="TableParagraph"/>
              <w:spacing w:before="164"/>
              <w:ind w:left="140" w:right="120"/>
              <w:jc w:val="center"/>
              <w:rPr>
                <w:sz w:val="21"/>
              </w:rPr>
            </w:pPr>
            <w:r>
              <w:rPr>
                <w:spacing w:val="-4"/>
                <w:sz w:val="21"/>
              </w:rPr>
              <w:t>12.7</w:t>
            </w:r>
          </w:p>
        </w:tc>
        <w:tc>
          <w:tcPr>
            <w:tcW w:w="1240" w:type="dxa"/>
          </w:tcPr>
          <w:p>
            <w:pPr>
              <w:pStyle w:val="TableParagraph"/>
              <w:spacing w:before="95"/>
              <w:ind w:left="203"/>
              <w:rPr>
                <w:rFonts w:ascii="Microsoft JhengHei" w:eastAsia="Microsoft JhengHei"/>
                <w:b/>
                <w:sz w:val="21"/>
              </w:rPr>
            </w:pPr>
            <w:r>
              <w:rPr>
                <w:rFonts w:ascii="Microsoft JhengHei" w:eastAsia="Microsoft JhengHei"/>
                <w:b/>
                <w:spacing w:val="-3"/>
                <w:sz w:val="21"/>
              </w:rPr>
              <w:t>备选方案</w:t>
            </w:r>
          </w:p>
        </w:tc>
        <w:tc>
          <w:tcPr>
            <w:tcW w:w="6604" w:type="dxa"/>
            <w:tcBorders>
              <w:right w:val="single" w:sz="8" w:space="0" w:color="000000"/>
            </w:tcBorders>
          </w:tcPr>
          <w:p>
            <w:pPr>
              <w:pStyle w:val="TableParagraph"/>
              <w:tabs>
                <w:tab w:val="left" w:pos="1577"/>
              </w:tabs>
              <w:spacing w:before="164"/>
              <w:ind w:left="527"/>
              <w:rPr>
                <w:sz w:val="21"/>
              </w:rPr>
            </w:pPr>
            <w:r>
              <w:rPr>
                <w:rFonts w:ascii="Times New Roman" w:eastAsia="Times New Roman"/>
                <w:spacing w:val="52"/>
                <w:sz w:val="21"/>
                <w:u w:val="single"/>
              </w:rPr>
              <w:t xml:space="preserve">  </w:t>
            </w:r>
            <w:r>
              <w:rPr>
                <w:sz w:val="21"/>
                <w:u w:val="single"/>
              </w:rPr>
              <w:t>不允</w:t>
            </w:r>
            <w:r>
              <w:rPr>
                <w:spacing w:val="-10"/>
                <w:sz w:val="21"/>
                <w:u w:val="single"/>
              </w:rPr>
              <w:t>许</w:t>
            </w:r>
            <w:r>
              <w:rPr>
                <w:sz w:val="21"/>
                <w:u w:val="single"/>
              </w:rPr>
              <w:tab/>
            </w:r>
            <w:r>
              <w:rPr>
                <w:sz w:val="21"/>
              </w:rPr>
              <w:t>提交备选方</w:t>
            </w:r>
            <w:r>
              <w:rPr>
                <w:spacing w:val="-10"/>
                <w:sz w:val="21"/>
              </w:rPr>
              <w:t>案</w:t>
            </w:r>
          </w:p>
        </w:tc>
      </w:tr>
    </w:tbl>
    <w:p>
      <w:pPr>
        <w:spacing w:after="0"/>
        <w:rPr>
          <w:sz w:val="21"/>
        </w:rPr>
        <w:sectPr>
          <w:headerReference w:type="even" r:id="rId42"/>
          <w:headerReference w:type="default" r:id="rId43"/>
          <w:footerReference w:type="even" r:id="rId44"/>
          <w:footerReference w:type="default" r:id="rId45"/>
          <w:pgSz w:w="11910" w:h="16840"/>
          <w:pgMar w:top="1380" w:right="800" w:bottom="1200" w:left="960" w:header="971" w:footer="1002"/>
          <w:pgNumType w:start="3"/>
          <w:cols w:space="708"/>
        </w:sectPr>
      </w:pPr>
    </w:p>
    <w:p>
      <w:pPr>
        <w:pStyle w:val="BodyText"/>
        <w:spacing w:before="1"/>
        <w:rPr>
          <w:sz w:val="4"/>
        </w:rPr>
      </w:pPr>
    </w:p>
    <w:tbl>
      <w:tblPr>
        <w:tblStyle w:val="TableNormal3"/>
        <w:tblW w:w="0" w:type="auto"/>
        <w:jc w:val="left"/>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738"/>
        <w:gridCol w:w="1240"/>
        <w:gridCol w:w="6604"/>
      </w:tblGrid>
      <w:tr>
        <w:tblPrEx>
          <w:tblW w:w="0" w:type="auto"/>
          <w:jc w:val="left"/>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50"/>
          <w:jc w:val="left"/>
        </w:trPr>
        <w:tc>
          <w:tcPr>
            <w:tcW w:w="534" w:type="dxa"/>
            <w:tcBorders>
              <w:left w:val="single" w:sz="8"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5"/>
              <w:rPr>
                <w:sz w:val="15"/>
              </w:rPr>
            </w:pPr>
          </w:p>
          <w:p>
            <w:pPr>
              <w:pStyle w:val="TableParagraph"/>
              <w:ind w:right="82"/>
              <w:jc w:val="right"/>
              <w:rPr>
                <w:sz w:val="21"/>
              </w:rPr>
            </w:pPr>
            <w:r>
              <w:rPr>
                <w:spacing w:val="-5"/>
                <w:sz w:val="21"/>
              </w:rPr>
              <w:t>15</w:t>
            </w:r>
          </w:p>
        </w:tc>
        <w:tc>
          <w:tcPr>
            <w:tcW w:w="738"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7"/>
              <w:rPr>
                <w:sz w:val="20"/>
              </w:rPr>
            </w:pPr>
          </w:p>
          <w:p>
            <w:pPr>
              <w:pStyle w:val="TableParagraph"/>
              <w:ind w:left="113" w:right="-29"/>
              <w:rPr>
                <w:sz w:val="21"/>
              </w:rPr>
            </w:pPr>
            <w:r>
              <w:rPr>
                <w:sz w:val="21"/>
              </w:rPr>
              <w:t>13.3</w:t>
            </w:r>
            <w:r>
              <w:rPr>
                <w:spacing w:val="-10"/>
                <w:sz w:val="21"/>
              </w:rPr>
              <w:t>、</w:t>
            </w:r>
          </w:p>
          <w:p>
            <w:pPr>
              <w:pStyle w:val="TableParagraph"/>
              <w:spacing w:before="111"/>
              <w:ind w:left="164"/>
              <w:rPr>
                <w:sz w:val="21"/>
              </w:rPr>
            </w:pPr>
            <w:r>
              <w:rPr>
                <w:spacing w:val="-4"/>
                <w:sz w:val="21"/>
              </w:rPr>
              <w:t>13.5</w:t>
            </w:r>
          </w:p>
        </w:tc>
        <w:tc>
          <w:tcPr>
            <w:tcW w:w="1240" w:type="dxa"/>
          </w:tcPr>
          <w:p>
            <w:pPr>
              <w:pStyle w:val="TableParagraph"/>
              <w:rPr>
                <w:sz w:val="20"/>
              </w:rPr>
            </w:pPr>
          </w:p>
          <w:p>
            <w:pPr>
              <w:pStyle w:val="TableParagraph"/>
              <w:rPr>
                <w:sz w:val="20"/>
              </w:rPr>
            </w:pPr>
          </w:p>
          <w:p>
            <w:pPr>
              <w:pStyle w:val="TableParagraph"/>
              <w:spacing w:before="12"/>
              <w:rPr>
                <w:sz w:val="25"/>
              </w:rPr>
            </w:pPr>
          </w:p>
          <w:p>
            <w:pPr>
              <w:pStyle w:val="TableParagraph"/>
              <w:spacing w:line="235" w:lineRule="auto"/>
              <w:ind w:left="112" w:right="91"/>
              <w:jc w:val="center"/>
              <w:rPr>
                <w:rFonts w:ascii="Microsoft JhengHei" w:eastAsia="Microsoft JhengHei"/>
                <w:b/>
                <w:sz w:val="21"/>
              </w:rPr>
            </w:pPr>
            <w:r>
              <w:rPr>
                <w:rFonts w:ascii="Microsoft JhengHei" w:eastAsia="Microsoft JhengHei"/>
                <w:b/>
                <w:spacing w:val="-10"/>
                <w:sz w:val="21"/>
              </w:rPr>
              <w:t>设计费</w:t>
            </w:r>
            <w:r>
              <w:rPr>
                <w:rFonts w:ascii="Microsoft JhengHei" w:eastAsia="Microsoft JhengHei"/>
                <w:b/>
                <w:sz w:val="21"/>
              </w:rPr>
              <w:t>（</w:t>
            </w:r>
            <w:r>
              <w:rPr>
                <w:rFonts w:ascii="Microsoft JhengHei" w:eastAsia="Microsoft JhengHei"/>
                <w:b/>
                <w:spacing w:val="-13"/>
                <w:sz w:val="21"/>
              </w:rPr>
              <w:t>勘</w:t>
            </w:r>
            <w:r>
              <w:rPr>
                <w:rFonts w:ascii="Microsoft JhengHei" w:eastAsia="Microsoft JhengHei"/>
                <w:b/>
                <w:sz w:val="21"/>
              </w:rPr>
              <w:t>察费</w:t>
            </w:r>
            <w:r>
              <w:rPr>
                <w:rFonts w:ascii="Microsoft JhengHei" w:eastAsia="Microsoft JhengHei"/>
                <w:b/>
                <w:spacing w:val="-30"/>
                <w:sz w:val="21"/>
              </w:rPr>
              <w:t>）</w:t>
            </w:r>
            <w:r>
              <w:rPr>
                <w:rFonts w:ascii="Microsoft JhengHei" w:eastAsia="Microsoft JhengHei"/>
                <w:b/>
                <w:spacing w:val="-7"/>
                <w:sz w:val="21"/>
              </w:rPr>
              <w:t>金额</w:t>
            </w:r>
            <w:r>
              <w:rPr>
                <w:rFonts w:ascii="Microsoft JhengHei" w:eastAsia="Microsoft JhengHei"/>
                <w:b/>
                <w:sz w:val="21"/>
              </w:rPr>
              <w:t>和计算办法</w:t>
            </w:r>
          </w:p>
        </w:tc>
        <w:tc>
          <w:tcPr>
            <w:tcW w:w="6604" w:type="dxa"/>
            <w:tcBorders>
              <w:right w:val="single" w:sz="8" w:space="0" w:color="000000"/>
            </w:tcBorders>
          </w:tcPr>
          <w:p>
            <w:pPr>
              <w:pStyle w:val="TableParagraph"/>
              <w:numPr>
                <w:ilvl w:val="0"/>
                <w:numId w:val="20"/>
              </w:numPr>
              <w:tabs>
                <w:tab w:val="left" w:pos="1055"/>
              </w:tabs>
              <w:spacing w:before="0" w:after="0" w:line="242" w:lineRule="auto"/>
              <w:ind w:left="107" w:right="-116" w:firstLine="420"/>
              <w:jc w:val="left"/>
              <w:rPr>
                <w:rFonts w:ascii="Microsoft JhengHei" w:eastAsia="Microsoft JhengHei"/>
                <w:b/>
                <w:sz w:val="21"/>
              </w:rPr>
            </w:pPr>
            <w:r>
              <w:rPr>
                <w:rFonts w:ascii="Microsoft JhengHei" w:eastAsia="Microsoft JhengHei"/>
                <w:b/>
                <w:sz w:val="21"/>
              </w:rPr>
              <w:t>工程设计收费以财政部门审核后的工程预算价为计费额基数，按国家计委和建设部《工程勘察设计收费标准</w:t>
            </w:r>
            <w:r>
              <w:rPr>
                <w:rFonts w:ascii="Microsoft JhengHei" w:eastAsia="Microsoft JhengHei"/>
                <w:b/>
                <w:spacing w:val="1"/>
                <w:sz w:val="21"/>
              </w:rPr>
              <w:t>（</w:t>
            </w:r>
            <w:r>
              <w:rPr>
                <w:rFonts w:ascii="Times New Roman" w:eastAsia="Times New Roman"/>
                <w:b/>
                <w:sz w:val="21"/>
              </w:rPr>
              <w:t xml:space="preserve">2002 </w:t>
            </w:r>
            <w:r>
              <w:rPr>
                <w:rFonts w:ascii="Microsoft JhengHei" w:eastAsia="Microsoft JhengHei"/>
                <w:b/>
                <w:spacing w:val="1"/>
                <w:sz w:val="21"/>
              </w:rPr>
              <w:t>年修订本）</w:t>
            </w:r>
            <w:r>
              <w:rPr>
                <w:rFonts w:ascii="Microsoft JhengHei" w:eastAsia="Microsoft JhengHei"/>
                <w:b/>
                <w:sz w:val="21"/>
              </w:rPr>
              <w:t>》计</w:t>
            </w:r>
            <w:r>
              <w:rPr>
                <w:rFonts w:ascii="Microsoft JhengHei" w:eastAsia="Microsoft JhengHei"/>
                <w:b/>
                <w:sz w:val="21"/>
              </w:rPr>
              <w:t xml:space="preserve"> </w:t>
            </w:r>
            <w:r>
              <w:rPr>
                <w:rFonts w:ascii="Microsoft JhengHei" w:eastAsia="Microsoft JhengHei"/>
                <w:b/>
                <w:spacing w:val="6"/>
                <w:sz w:val="21"/>
              </w:rPr>
              <w:t>算并下浮</w:t>
            </w:r>
            <w:r>
              <w:rPr>
                <w:rFonts w:ascii="Times New Roman" w:eastAsia="Times New Roman"/>
                <w:b/>
                <w:sz w:val="21"/>
              </w:rPr>
              <w:t>20</w:t>
            </w:r>
            <w:r>
              <w:rPr>
                <w:rFonts w:ascii="Times New Roman" w:eastAsia="Times New Roman"/>
                <w:b/>
                <w:spacing w:val="-27"/>
                <w:sz w:val="21"/>
              </w:rPr>
              <w:t>%</w:t>
            </w:r>
            <w:r>
              <w:rPr>
                <w:rFonts w:ascii="Microsoft JhengHei" w:eastAsia="Microsoft JhengHei"/>
                <w:b/>
                <w:spacing w:val="1"/>
                <w:sz w:val="21"/>
              </w:rPr>
              <w:t>计取。本项目的附加调整系数取</w:t>
            </w:r>
            <w:r>
              <w:rPr>
                <w:rFonts w:ascii="Times New Roman" w:eastAsia="Times New Roman"/>
                <w:b/>
                <w:sz w:val="21"/>
              </w:rPr>
              <w:t>1.0</w:t>
            </w:r>
            <w:r>
              <w:rPr>
                <w:rFonts w:ascii="Microsoft JhengHei" w:eastAsia="Microsoft JhengHei"/>
                <w:b/>
                <w:spacing w:val="-12"/>
                <w:sz w:val="21"/>
              </w:rPr>
              <w:t>、专业调整系数取</w:t>
            </w:r>
            <w:r>
              <w:rPr>
                <w:rFonts w:ascii="Times New Roman" w:eastAsia="Times New Roman"/>
                <w:b/>
                <w:sz w:val="21"/>
              </w:rPr>
              <w:t>1.0</w:t>
            </w:r>
            <w:r>
              <w:rPr>
                <w:rFonts w:ascii="Microsoft JhengHei" w:eastAsia="Microsoft JhengHei"/>
                <w:b/>
                <w:sz w:val="21"/>
              </w:rPr>
              <w:t xml:space="preserve">、工程复杂程度系数取 </w:t>
            </w:r>
            <w:r>
              <w:rPr>
                <w:rFonts w:ascii="Times New Roman" w:eastAsia="Times New Roman"/>
                <w:b/>
                <w:sz w:val="21"/>
              </w:rPr>
              <w:t>0.85</w:t>
            </w:r>
            <w:r>
              <w:rPr>
                <w:rFonts w:ascii="Microsoft JhengHei" w:eastAsia="Microsoft JhengHei"/>
                <w:b/>
                <w:sz w:val="21"/>
              </w:rPr>
              <w:t>。</w:t>
            </w:r>
          </w:p>
          <w:p>
            <w:pPr>
              <w:pStyle w:val="TableParagraph"/>
              <w:numPr>
                <w:ilvl w:val="0"/>
                <w:numId w:val="20"/>
              </w:numPr>
              <w:tabs>
                <w:tab w:val="left" w:pos="1055"/>
              </w:tabs>
              <w:spacing w:before="0" w:after="0" w:line="242" w:lineRule="auto"/>
              <w:ind w:left="107" w:right="86" w:firstLine="420"/>
              <w:jc w:val="both"/>
              <w:rPr>
                <w:rFonts w:ascii="Microsoft JhengHei" w:eastAsia="Microsoft JhengHei"/>
                <w:b/>
                <w:sz w:val="21"/>
              </w:rPr>
            </w:pPr>
            <w:r>
              <w:rPr>
                <w:rFonts w:ascii="Microsoft JhengHei" w:eastAsia="Microsoft JhengHei"/>
                <w:b/>
                <w:spacing w:val="-2"/>
                <w:sz w:val="21"/>
              </w:rPr>
              <w:t>工程勘察收费根据国家计委和建设部《工程勘察设计收费标</w:t>
            </w:r>
            <w:r>
              <w:rPr>
                <w:rFonts w:ascii="Microsoft JhengHei" w:eastAsia="Microsoft JhengHei"/>
                <w:b/>
                <w:sz w:val="21"/>
              </w:rPr>
              <w:t>准（</w:t>
            </w:r>
            <w:r>
              <w:rPr>
                <w:rFonts w:ascii="Times New Roman" w:eastAsia="Times New Roman"/>
                <w:b/>
                <w:sz w:val="21"/>
              </w:rPr>
              <w:t>2002</w:t>
            </w:r>
            <w:r>
              <w:rPr>
                <w:rFonts w:ascii="Times New Roman" w:eastAsia="Times New Roman"/>
                <w:b/>
                <w:spacing w:val="-14"/>
                <w:sz w:val="21"/>
              </w:rPr>
              <w:t xml:space="preserve"> </w:t>
            </w:r>
            <w:r>
              <w:rPr>
                <w:rFonts w:ascii="Microsoft JhengHei" w:eastAsia="Microsoft JhengHei"/>
                <w:b/>
                <w:sz w:val="21"/>
              </w:rPr>
              <w:t>年修订本）</w:t>
            </w:r>
            <w:r>
              <w:rPr>
                <w:rFonts w:ascii="Microsoft JhengHei" w:eastAsia="Microsoft JhengHei"/>
                <w:b/>
                <w:spacing w:val="-2"/>
                <w:sz w:val="21"/>
              </w:rPr>
              <w:t xml:space="preserve">》计算并下浮 </w:t>
            </w:r>
            <w:r>
              <w:rPr>
                <w:rFonts w:ascii="Times New Roman" w:eastAsia="Times New Roman"/>
                <w:b/>
                <w:sz w:val="21"/>
              </w:rPr>
              <w:t>20%</w:t>
            </w:r>
            <w:r>
              <w:rPr>
                <w:rFonts w:ascii="Microsoft JhengHei" w:eastAsia="Microsoft JhengHei"/>
                <w:b/>
                <w:sz w:val="21"/>
              </w:rPr>
              <w:t>计取。（本工程勘察费按招标</w:t>
            </w:r>
            <w:r>
              <w:rPr>
                <w:rFonts w:ascii="Microsoft JhengHei" w:eastAsia="Microsoft JhengHei"/>
                <w:b/>
                <w:spacing w:val="-2"/>
                <w:sz w:val="21"/>
              </w:rPr>
              <w:t>人现场签认的实际工作量进行结算。）</w:t>
            </w:r>
          </w:p>
        </w:tc>
      </w:tr>
      <w:tr>
        <w:tblPrEx>
          <w:tblW w:w="0" w:type="auto"/>
          <w:jc w:val="left"/>
          <w:tblInd w:w="530" w:type="dxa"/>
          <w:tblLayout w:type="fixed"/>
          <w:tblCellMar>
            <w:top w:w="0" w:type="dxa"/>
            <w:left w:w="0" w:type="dxa"/>
            <w:bottom w:w="0" w:type="dxa"/>
            <w:right w:w="0" w:type="dxa"/>
          </w:tblCellMar>
          <w:tblLook w:val="01E0"/>
        </w:tblPrEx>
        <w:trPr>
          <w:trHeight w:val="760"/>
          <w:jc w:val="left"/>
        </w:trPr>
        <w:tc>
          <w:tcPr>
            <w:tcW w:w="534" w:type="dxa"/>
            <w:tcBorders>
              <w:left w:val="single" w:sz="8" w:space="0" w:color="000000"/>
            </w:tcBorders>
          </w:tcPr>
          <w:p>
            <w:pPr>
              <w:pStyle w:val="TableParagraph"/>
              <w:spacing w:before="2"/>
              <w:rPr>
                <w:sz w:val="22"/>
              </w:rPr>
            </w:pPr>
          </w:p>
          <w:p>
            <w:pPr>
              <w:pStyle w:val="TableParagraph"/>
              <w:ind w:right="82"/>
              <w:jc w:val="right"/>
              <w:rPr>
                <w:sz w:val="21"/>
              </w:rPr>
            </w:pPr>
            <w:r>
              <w:rPr>
                <w:spacing w:val="-5"/>
                <w:sz w:val="21"/>
              </w:rPr>
              <w:t>16</w:t>
            </w:r>
          </w:p>
        </w:tc>
        <w:tc>
          <w:tcPr>
            <w:tcW w:w="738" w:type="dxa"/>
          </w:tcPr>
          <w:p>
            <w:pPr>
              <w:pStyle w:val="TableParagraph"/>
              <w:spacing w:before="2"/>
              <w:rPr>
                <w:sz w:val="22"/>
              </w:rPr>
            </w:pPr>
          </w:p>
          <w:p>
            <w:pPr>
              <w:pStyle w:val="TableParagraph"/>
              <w:ind w:left="140" w:right="120"/>
              <w:jc w:val="center"/>
              <w:rPr>
                <w:sz w:val="21"/>
              </w:rPr>
            </w:pPr>
            <w:r>
              <w:rPr>
                <w:spacing w:val="-4"/>
                <w:sz w:val="21"/>
              </w:rPr>
              <w:t>15.1</w:t>
            </w:r>
          </w:p>
        </w:tc>
        <w:tc>
          <w:tcPr>
            <w:tcW w:w="1240" w:type="dxa"/>
          </w:tcPr>
          <w:p>
            <w:pPr>
              <w:pStyle w:val="TableParagraph"/>
              <w:spacing w:line="380" w:lineRule="exact"/>
              <w:ind w:left="308" w:right="287" w:firstLine="105"/>
              <w:rPr>
                <w:rFonts w:ascii="Microsoft JhengHei" w:eastAsia="Microsoft JhengHei"/>
                <w:b/>
                <w:sz w:val="21"/>
              </w:rPr>
            </w:pPr>
            <w:r>
              <w:rPr>
                <w:rFonts w:ascii="Microsoft JhengHei" w:eastAsia="Microsoft JhengHei"/>
                <w:b/>
                <w:spacing w:val="-6"/>
                <w:sz w:val="21"/>
              </w:rPr>
              <w:t>投标</w:t>
            </w:r>
            <w:r>
              <w:rPr>
                <w:rFonts w:ascii="Microsoft JhengHei" w:eastAsia="Microsoft JhengHei"/>
                <w:b/>
                <w:spacing w:val="-4"/>
                <w:sz w:val="21"/>
              </w:rPr>
              <w:t>有效期</w:t>
            </w:r>
          </w:p>
        </w:tc>
        <w:tc>
          <w:tcPr>
            <w:tcW w:w="6604" w:type="dxa"/>
            <w:tcBorders>
              <w:right w:val="single" w:sz="8" w:space="0" w:color="000000"/>
            </w:tcBorders>
          </w:tcPr>
          <w:p>
            <w:pPr>
              <w:pStyle w:val="TableParagraph"/>
              <w:spacing w:before="2"/>
              <w:rPr>
                <w:sz w:val="22"/>
              </w:rPr>
            </w:pPr>
          </w:p>
          <w:p>
            <w:pPr>
              <w:pStyle w:val="TableParagraph"/>
              <w:ind w:left="527"/>
              <w:rPr>
                <w:sz w:val="21"/>
              </w:rPr>
            </w:pPr>
            <w:r>
              <w:rPr>
                <w:sz w:val="21"/>
              </w:rPr>
              <w:t>本招标项目的投标有效期为投标截止期后</w:t>
            </w:r>
            <w:r>
              <w:rPr>
                <w:spacing w:val="28"/>
                <w:w w:val="150"/>
                <w:sz w:val="21"/>
                <w:u w:val="single"/>
              </w:rPr>
              <w:t xml:space="preserve"> </w:t>
            </w:r>
            <w:r>
              <w:rPr>
                <w:sz w:val="21"/>
                <w:u w:val="single"/>
              </w:rPr>
              <w:t>90</w:t>
            </w:r>
            <w:r>
              <w:rPr>
                <w:spacing w:val="36"/>
                <w:w w:val="150"/>
                <w:sz w:val="21"/>
                <w:u w:val="single"/>
              </w:rPr>
              <w:t xml:space="preserve"> </w:t>
            </w:r>
            <w:r>
              <w:rPr>
                <w:spacing w:val="-3"/>
                <w:sz w:val="21"/>
              </w:rPr>
              <w:t>日历天。</w:t>
            </w:r>
          </w:p>
        </w:tc>
      </w:tr>
      <w:tr>
        <w:tblPrEx>
          <w:tblW w:w="0" w:type="auto"/>
          <w:jc w:val="left"/>
          <w:tblInd w:w="530" w:type="dxa"/>
          <w:tblLayout w:type="fixed"/>
          <w:tblCellMar>
            <w:top w:w="0" w:type="dxa"/>
            <w:left w:w="0" w:type="dxa"/>
            <w:bottom w:w="0" w:type="dxa"/>
            <w:right w:w="0" w:type="dxa"/>
          </w:tblCellMar>
          <w:tblLook w:val="01E0"/>
        </w:tblPrEx>
        <w:trPr>
          <w:trHeight w:val="1140"/>
          <w:jc w:val="left"/>
        </w:trPr>
        <w:tc>
          <w:tcPr>
            <w:tcW w:w="534" w:type="dxa"/>
            <w:tcBorders>
              <w:left w:val="single" w:sz="8" w:space="0" w:color="000000"/>
            </w:tcBorders>
          </w:tcPr>
          <w:p>
            <w:pPr>
              <w:pStyle w:val="TableParagraph"/>
              <w:rPr>
                <w:sz w:val="20"/>
              </w:rPr>
            </w:pPr>
          </w:p>
          <w:p>
            <w:pPr>
              <w:pStyle w:val="TableParagraph"/>
              <w:spacing w:before="12"/>
              <w:rPr>
                <w:sz w:val="16"/>
              </w:rPr>
            </w:pPr>
          </w:p>
          <w:p>
            <w:pPr>
              <w:pStyle w:val="TableParagraph"/>
              <w:ind w:right="82"/>
              <w:jc w:val="right"/>
              <w:rPr>
                <w:sz w:val="21"/>
              </w:rPr>
            </w:pPr>
            <w:r>
              <w:rPr>
                <w:spacing w:val="-5"/>
                <w:sz w:val="21"/>
              </w:rPr>
              <w:t>17</w:t>
            </w:r>
          </w:p>
        </w:tc>
        <w:tc>
          <w:tcPr>
            <w:tcW w:w="738" w:type="dxa"/>
          </w:tcPr>
          <w:p>
            <w:pPr>
              <w:pStyle w:val="TableParagraph"/>
              <w:rPr>
                <w:sz w:val="20"/>
              </w:rPr>
            </w:pPr>
          </w:p>
          <w:p>
            <w:pPr>
              <w:pStyle w:val="TableParagraph"/>
              <w:spacing w:before="12"/>
              <w:rPr>
                <w:sz w:val="16"/>
              </w:rPr>
            </w:pPr>
          </w:p>
          <w:p>
            <w:pPr>
              <w:pStyle w:val="TableParagraph"/>
              <w:ind w:left="140" w:right="120"/>
              <w:jc w:val="center"/>
              <w:rPr>
                <w:sz w:val="21"/>
              </w:rPr>
            </w:pPr>
            <w:r>
              <w:rPr>
                <w:spacing w:val="-4"/>
                <w:sz w:val="21"/>
              </w:rPr>
              <w:t>16.1</w:t>
            </w:r>
          </w:p>
        </w:tc>
        <w:tc>
          <w:tcPr>
            <w:tcW w:w="1240" w:type="dxa"/>
          </w:tcPr>
          <w:p>
            <w:pPr>
              <w:pStyle w:val="TableParagraph"/>
              <w:spacing w:line="380" w:lineRule="exact"/>
              <w:ind w:left="203" w:right="182"/>
              <w:jc w:val="both"/>
              <w:rPr>
                <w:rFonts w:ascii="Microsoft JhengHei" w:eastAsia="Microsoft JhengHei"/>
                <w:b/>
                <w:sz w:val="21"/>
              </w:rPr>
            </w:pPr>
            <w:r>
              <w:rPr>
                <w:rFonts w:ascii="Microsoft JhengHei" w:eastAsia="Microsoft JhengHei"/>
                <w:b/>
                <w:spacing w:val="-4"/>
                <w:sz w:val="21"/>
              </w:rPr>
              <w:t>投标保证</w:t>
            </w:r>
            <w:r>
              <w:rPr>
                <w:rFonts w:ascii="Microsoft JhengHei" w:eastAsia="Microsoft JhengHei"/>
                <w:b/>
                <w:spacing w:val="-4"/>
                <w:sz w:val="21"/>
              </w:rPr>
              <w:t>金提交方</w:t>
            </w:r>
            <w:r>
              <w:rPr>
                <w:rFonts w:ascii="Microsoft JhengHei" w:eastAsia="Microsoft JhengHei"/>
                <w:b/>
                <w:spacing w:val="-3"/>
                <w:sz w:val="21"/>
              </w:rPr>
              <w:t>式和金额</w:t>
            </w:r>
          </w:p>
        </w:tc>
        <w:tc>
          <w:tcPr>
            <w:tcW w:w="6604" w:type="dxa"/>
            <w:tcBorders>
              <w:right w:val="single" w:sz="8" w:space="0" w:color="000000"/>
            </w:tcBorders>
          </w:tcPr>
          <w:p>
            <w:pPr>
              <w:pStyle w:val="TableParagraph"/>
              <w:rPr>
                <w:sz w:val="20"/>
              </w:rPr>
            </w:pPr>
          </w:p>
          <w:p>
            <w:pPr>
              <w:pStyle w:val="TableParagraph"/>
              <w:spacing w:before="3"/>
              <w:rPr>
                <w:sz w:val="17"/>
              </w:rPr>
            </w:pPr>
          </w:p>
          <w:p>
            <w:pPr>
              <w:pStyle w:val="TableParagraph"/>
              <w:spacing w:before="1"/>
              <w:ind w:left="457"/>
              <w:rPr>
                <w:sz w:val="20"/>
              </w:rPr>
            </w:pPr>
            <w:r>
              <w:rPr>
                <w:spacing w:val="-8"/>
                <w:sz w:val="20"/>
              </w:rPr>
              <w:t xml:space="preserve">见招标公告第 </w:t>
            </w:r>
            <w:r>
              <w:rPr>
                <w:sz w:val="20"/>
              </w:rPr>
              <w:t>6</w:t>
            </w:r>
            <w:r>
              <w:rPr>
                <w:spacing w:val="-9"/>
                <w:sz w:val="20"/>
              </w:rPr>
              <w:t xml:space="preserve"> 条。投标保证金有效期应当与投标有效期一致。</w:t>
            </w:r>
          </w:p>
        </w:tc>
      </w:tr>
      <w:tr>
        <w:tblPrEx>
          <w:tblW w:w="0" w:type="auto"/>
          <w:jc w:val="left"/>
          <w:tblInd w:w="530" w:type="dxa"/>
          <w:tblLayout w:type="fixed"/>
          <w:tblCellMar>
            <w:top w:w="0" w:type="dxa"/>
            <w:left w:w="0" w:type="dxa"/>
            <w:bottom w:w="0" w:type="dxa"/>
            <w:right w:w="0" w:type="dxa"/>
          </w:tblCellMar>
          <w:tblLook w:val="01E0"/>
        </w:tblPrEx>
        <w:trPr>
          <w:trHeight w:val="2520"/>
          <w:jc w:val="left"/>
        </w:trPr>
        <w:tc>
          <w:tcPr>
            <w:tcW w:w="534" w:type="dxa"/>
            <w:tcBorders>
              <w:left w:val="single" w:sz="8"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39"/>
              <w:ind w:right="82"/>
              <w:jc w:val="right"/>
              <w:rPr>
                <w:sz w:val="21"/>
              </w:rPr>
            </w:pPr>
            <w:r>
              <w:rPr>
                <w:spacing w:val="-5"/>
                <w:sz w:val="21"/>
              </w:rPr>
              <w:t>18</w:t>
            </w:r>
          </w:p>
        </w:tc>
        <w:tc>
          <w:tcPr>
            <w:tcW w:w="738"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39"/>
              <w:ind w:left="140" w:right="120"/>
              <w:jc w:val="center"/>
              <w:rPr>
                <w:sz w:val="21"/>
              </w:rPr>
            </w:pPr>
            <w:r>
              <w:rPr>
                <w:spacing w:val="-4"/>
                <w:sz w:val="21"/>
              </w:rPr>
              <w:t>17.1</w:t>
            </w:r>
          </w:p>
        </w:tc>
        <w:tc>
          <w:tcPr>
            <w:tcW w:w="1240" w:type="dxa"/>
          </w:tcPr>
          <w:p>
            <w:pPr>
              <w:pStyle w:val="TableParagraph"/>
              <w:rPr>
                <w:sz w:val="20"/>
              </w:rPr>
            </w:pPr>
          </w:p>
          <w:p>
            <w:pPr>
              <w:pStyle w:val="TableParagraph"/>
              <w:rPr>
                <w:sz w:val="20"/>
              </w:rPr>
            </w:pPr>
          </w:p>
          <w:p>
            <w:pPr>
              <w:pStyle w:val="TableParagraph"/>
              <w:rPr>
                <w:sz w:val="20"/>
              </w:rPr>
            </w:pPr>
          </w:p>
          <w:p>
            <w:pPr>
              <w:pStyle w:val="TableParagraph"/>
              <w:spacing w:before="141" w:line="235" w:lineRule="auto"/>
              <w:ind w:left="414" w:right="182" w:hanging="211"/>
              <w:rPr>
                <w:rFonts w:ascii="Microsoft JhengHei" w:eastAsia="Microsoft JhengHei"/>
                <w:b/>
                <w:sz w:val="21"/>
              </w:rPr>
            </w:pPr>
            <w:r>
              <w:rPr>
                <w:rFonts w:ascii="Microsoft JhengHei" w:eastAsia="Microsoft JhengHei"/>
                <w:b/>
                <w:spacing w:val="-4"/>
                <w:sz w:val="21"/>
              </w:rPr>
              <w:t>投标文件</w:t>
            </w:r>
            <w:r>
              <w:rPr>
                <w:rFonts w:ascii="Microsoft JhengHei" w:eastAsia="Microsoft JhengHei"/>
                <w:b/>
                <w:spacing w:val="-6"/>
                <w:sz w:val="21"/>
              </w:rPr>
              <w:t>份数</w:t>
            </w:r>
          </w:p>
        </w:tc>
        <w:tc>
          <w:tcPr>
            <w:tcW w:w="6604" w:type="dxa"/>
            <w:tcBorders>
              <w:right w:val="single" w:sz="8" w:space="0" w:color="000000"/>
            </w:tcBorders>
          </w:tcPr>
          <w:p>
            <w:pPr>
              <w:pStyle w:val="TableParagraph"/>
              <w:spacing w:before="78" w:line="321" w:lineRule="auto"/>
              <w:ind w:left="107" w:right="4165"/>
              <w:rPr>
                <w:sz w:val="21"/>
              </w:rPr>
            </w:pPr>
            <w:r>
              <w:rPr>
                <w:spacing w:val="-2"/>
                <w:sz w:val="21"/>
              </w:rPr>
              <w:t>资格审查文件：网上提交</w:t>
            </w:r>
            <w:r>
              <w:rPr>
                <w:spacing w:val="-2"/>
                <w:sz w:val="21"/>
              </w:rPr>
              <w:t>商务文件：网上提交</w:t>
            </w:r>
          </w:p>
          <w:p>
            <w:pPr>
              <w:pStyle w:val="TableParagraph"/>
              <w:spacing w:line="321" w:lineRule="auto"/>
              <w:ind w:left="107" w:right="86"/>
              <w:rPr>
                <w:sz w:val="21"/>
              </w:rPr>
            </w:pPr>
            <w:r>
              <w:rPr>
                <w:spacing w:val="-13"/>
                <w:sz w:val="21"/>
              </w:rPr>
              <w:t>技术文件：</w:t>
            </w:r>
            <w:r>
              <w:rPr>
                <w:spacing w:val="-2"/>
                <w:sz w:val="21"/>
              </w:rPr>
              <w:t>（采用书面形式递交</w:t>
            </w:r>
            <w:r>
              <w:rPr>
                <w:spacing w:val="-105"/>
                <w:sz w:val="21"/>
              </w:rPr>
              <w:t>）</w:t>
            </w:r>
            <w:r>
              <w:rPr>
                <w:spacing w:val="-32"/>
                <w:sz w:val="21"/>
              </w:rPr>
              <w:t xml:space="preserve">按 </w:t>
            </w:r>
            <w:r>
              <w:rPr>
                <w:spacing w:val="-2"/>
                <w:sz w:val="21"/>
              </w:rPr>
              <w:t>A3</w:t>
            </w:r>
            <w:r>
              <w:rPr>
                <w:spacing w:val="-22"/>
                <w:sz w:val="21"/>
              </w:rPr>
              <w:t xml:space="preserve"> 大小装订成册，具体要求详见《福</w:t>
            </w:r>
            <w:r>
              <w:rPr>
                <w:sz w:val="21"/>
              </w:rPr>
              <w:t>建省建筑工程标准设计招标文件（2013</w:t>
            </w:r>
            <w:r>
              <w:rPr>
                <w:spacing w:val="-12"/>
                <w:sz w:val="21"/>
              </w:rPr>
              <w:t xml:space="preserve"> 年自版</w:t>
            </w:r>
            <w:r>
              <w:rPr>
                <w:sz w:val="21"/>
              </w:rPr>
              <w:t>）</w:t>
            </w:r>
            <w:r>
              <w:rPr>
                <w:spacing w:val="-27"/>
                <w:sz w:val="21"/>
              </w:rPr>
              <w:t>通用本》</w:t>
            </w:r>
            <w:r>
              <w:rPr>
                <w:sz w:val="21"/>
              </w:rPr>
              <w:t>（莆田市）</w:t>
            </w:r>
            <w:r>
              <w:rPr>
                <w:spacing w:val="-21"/>
                <w:sz w:val="21"/>
              </w:rPr>
              <w:t xml:space="preserve">中 </w:t>
            </w:r>
            <w:r>
              <w:rPr>
                <w:sz w:val="21"/>
              </w:rPr>
              <w:t>19.4。</w:t>
            </w:r>
            <w:r>
              <w:rPr>
                <w:sz w:val="21"/>
                <w:u w:val="single"/>
              </w:rPr>
              <w:t>壹套</w:t>
            </w:r>
            <w:r>
              <w:rPr>
                <w:sz w:val="21"/>
              </w:rPr>
              <w:t>正本，</w:t>
            </w:r>
            <w:r>
              <w:rPr>
                <w:color w:val="FF0000"/>
                <w:sz w:val="21"/>
                <w:u w:val="single" w:color="FF0000"/>
              </w:rPr>
              <w:t>伍</w:t>
            </w:r>
            <w:r>
              <w:rPr>
                <w:sz w:val="21"/>
                <w:u w:val="single" w:color="FF0000"/>
              </w:rPr>
              <w:t>套</w:t>
            </w:r>
            <w:r>
              <w:rPr>
                <w:sz w:val="21"/>
              </w:rPr>
              <w:t>副本；</w:t>
            </w:r>
          </w:p>
          <w:p>
            <w:pPr>
              <w:pStyle w:val="TableParagraph"/>
              <w:spacing w:line="267" w:lineRule="exact"/>
              <w:ind w:left="107"/>
              <w:rPr>
                <w:sz w:val="21"/>
              </w:rPr>
            </w:pPr>
            <w:r>
              <w:rPr>
                <w:spacing w:val="-4"/>
                <w:sz w:val="21"/>
              </w:rPr>
              <w:t>其他技术文件（计算机文件、展示图、演示盘、模型</w:t>
            </w:r>
            <w:r>
              <w:rPr>
                <w:spacing w:val="-53"/>
                <w:sz w:val="21"/>
              </w:rPr>
              <w:t>）：</w:t>
            </w:r>
            <w:r>
              <w:rPr>
                <w:spacing w:val="-6"/>
                <w:sz w:val="21"/>
              </w:rPr>
              <w:t xml:space="preserve">如前附表第 </w:t>
            </w:r>
            <w:r>
              <w:rPr>
                <w:spacing w:val="-5"/>
                <w:sz w:val="21"/>
              </w:rPr>
              <w:t>13</w:t>
            </w:r>
          </w:p>
          <w:p>
            <w:pPr>
              <w:pStyle w:val="TableParagraph"/>
              <w:spacing w:before="90" w:line="262" w:lineRule="exact"/>
              <w:ind w:left="107"/>
              <w:rPr>
                <w:sz w:val="21"/>
              </w:rPr>
            </w:pPr>
            <w:r>
              <w:rPr>
                <w:spacing w:val="-1"/>
                <w:sz w:val="21"/>
              </w:rPr>
              <w:t>项有明确要求时，须提供一套。</w:t>
            </w:r>
          </w:p>
        </w:tc>
      </w:tr>
      <w:tr>
        <w:tblPrEx>
          <w:tblW w:w="0" w:type="auto"/>
          <w:jc w:val="left"/>
          <w:tblInd w:w="530" w:type="dxa"/>
          <w:tblLayout w:type="fixed"/>
          <w:tblCellMar>
            <w:top w:w="0" w:type="dxa"/>
            <w:left w:w="0" w:type="dxa"/>
            <w:bottom w:w="0" w:type="dxa"/>
            <w:right w:w="0" w:type="dxa"/>
          </w:tblCellMar>
          <w:tblLook w:val="01E0"/>
        </w:tblPrEx>
        <w:trPr>
          <w:trHeight w:val="1900"/>
          <w:jc w:val="left"/>
        </w:trPr>
        <w:tc>
          <w:tcPr>
            <w:tcW w:w="534" w:type="dxa"/>
            <w:tcBorders>
              <w:left w:val="single" w:sz="8" w:space="0" w:color="000000"/>
            </w:tcBorders>
          </w:tcPr>
          <w:p>
            <w:pPr>
              <w:pStyle w:val="TableParagraph"/>
              <w:rPr>
                <w:sz w:val="20"/>
              </w:rPr>
            </w:pPr>
          </w:p>
          <w:p>
            <w:pPr>
              <w:pStyle w:val="TableParagraph"/>
              <w:rPr>
                <w:sz w:val="20"/>
              </w:rPr>
            </w:pPr>
          </w:p>
          <w:p>
            <w:pPr>
              <w:pStyle w:val="TableParagraph"/>
              <w:spacing w:before="8"/>
              <w:rPr>
                <w:sz w:val="26"/>
              </w:rPr>
            </w:pPr>
          </w:p>
          <w:p>
            <w:pPr>
              <w:pStyle w:val="TableParagraph"/>
              <w:ind w:right="82"/>
              <w:jc w:val="right"/>
              <w:rPr>
                <w:sz w:val="21"/>
              </w:rPr>
            </w:pPr>
            <w:r>
              <w:rPr>
                <w:spacing w:val="-5"/>
                <w:sz w:val="21"/>
              </w:rPr>
              <w:t>19</w:t>
            </w:r>
          </w:p>
        </w:tc>
        <w:tc>
          <w:tcPr>
            <w:tcW w:w="738" w:type="dxa"/>
          </w:tcPr>
          <w:p>
            <w:pPr>
              <w:pStyle w:val="TableParagraph"/>
              <w:rPr>
                <w:sz w:val="20"/>
              </w:rPr>
            </w:pPr>
          </w:p>
          <w:p>
            <w:pPr>
              <w:pStyle w:val="TableParagraph"/>
              <w:rPr>
                <w:sz w:val="20"/>
              </w:rPr>
            </w:pPr>
          </w:p>
          <w:p>
            <w:pPr>
              <w:pStyle w:val="TableParagraph"/>
              <w:spacing w:before="8"/>
              <w:rPr>
                <w:sz w:val="26"/>
              </w:rPr>
            </w:pPr>
          </w:p>
          <w:p>
            <w:pPr>
              <w:pStyle w:val="TableParagraph"/>
              <w:ind w:left="140" w:right="120"/>
              <w:jc w:val="center"/>
              <w:rPr>
                <w:sz w:val="21"/>
              </w:rPr>
            </w:pPr>
            <w:r>
              <w:rPr>
                <w:spacing w:val="-4"/>
                <w:sz w:val="21"/>
              </w:rPr>
              <w:t>18.1</w:t>
            </w:r>
          </w:p>
        </w:tc>
        <w:tc>
          <w:tcPr>
            <w:tcW w:w="1240" w:type="dxa"/>
          </w:tcPr>
          <w:p>
            <w:pPr>
              <w:pStyle w:val="TableParagraph"/>
              <w:spacing w:line="380" w:lineRule="exact"/>
              <w:ind w:left="112" w:right="91" w:firstLine="90"/>
              <w:jc w:val="both"/>
              <w:rPr>
                <w:rFonts w:ascii="Microsoft JhengHei" w:eastAsia="Microsoft JhengHei"/>
                <w:b/>
                <w:sz w:val="21"/>
              </w:rPr>
            </w:pPr>
            <w:r>
              <w:rPr>
                <w:rFonts w:ascii="Microsoft JhengHei" w:eastAsia="Microsoft JhengHei"/>
                <w:b/>
                <w:spacing w:val="-4"/>
                <w:sz w:val="21"/>
              </w:rPr>
              <w:t>资格审查</w:t>
            </w:r>
            <w:r>
              <w:rPr>
                <w:rFonts w:ascii="Microsoft JhengHei" w:eastAsia="Microsoft JhengHei"/>
                <w:b/>
                <w:spacing w:val="-8"/>
                <w:sz w:val="21"/>
              </w:rPr>
              <w:t>文件、商务</w:t>
            </w:r>
            <w:r>
              <w:rPr>
                <w:rFonts w:ascii="Microsoft JhengHei" w:eastAsia="Microsoft JhengHei"/>
                <w:b/>
                <w:spacing w:val="-8"/>
                <w:sz w:val="21"/>
              </w:rPr>
              <w:t>文件、技术</w:t>
            </w:r>
            <w:r>
              <w:rPr>
                <w:rFonts w:ascii="Microsoft JhengHei" w:eastAsia="Microsoft JhengHei"/>
                <w:b/>
                <w:spacing w:val="-4"/>
                <w:sz w:val="21"/>
              </w:rPr>
              <w:t>文件的总</w:t>
            </w:r>
            <w:r>
              <w:rPr>
                <w:rFonts w:ascii="Microsoft JhengHei" w:eastAsia="Microsoft JhengHei"/>
                <w:b/>
                <w:spacing w:val="-4"/>
                <w:sz w:val="21"/>
              </w:rPr>
              <w:t>包封要求</w:t>
            </w:r>
          </w:p>
        </w:tc>
        <w:tc>
          <w:tcPr>
            <w:tcW w:w="6604" w:type="dxa"/>
            <w:tcBorders>
              <w:right w:val="single" w:sz="8" w:space="0" w:color="000000"/>
            </w:tcBorders>
          </w:tcPr>
          <w:p>
            <w:pPr>
              <w:pStyle w:val="TableParagraph"/>
              <w:spacing w:before="2"/>
              <w:rPr>
                <w:sz w:val="22"/>
              </w:rPr>
            </w:pPr>
          </w:p>
          <w:p>
            <w:pPr>
              <w:pStyle w:val="TableParagraph"/>
              <w:spacing w:line="338" w:lineRule="auto"/>
              <w:ind w:left="107" w:right="86" w:firstLine="420"/>
              <w:jc w:val="both"/>
              <w:rPr>
                <w:sz w:val="21"/>
              </w:rPr>
            </w:pPr>
            <w:r>
              <w:rPr>
                <w:spacing w:val="-5"/>
                <w:sz w:val="21"/>
              </w:rPr>
              <w:t xml:space="preserve">资格审查文件、商务文件按照本须知 </w:t>
            </w:r>
            <w:r>
              <w:rPr>
                <w:spacing w:val="-4"/>
                <w:sz w:val="21"/>
              </w:rPr>
              <w:t>18.1</w:t>
            </w:r>
            <w:r>
              <w:rPr>
                <w:spacing w:val="-8"/>
                <w:sz w:val="21"/>
              </w:rPr>
              <w:t xml:space="preserve"> 包封；本项目技术文件</w:t>
            </w:r>
            <w:r>
              <w:rPr>
                <w:spacing w:val="-10"/>
                <w:sz w:val="21"/>
              </w:rPr>
              <w:t xml:space="preserve">按 </w:t>
            </w:r>
            <w:r>
              <w:rPr>
                <w:spacing w:val="-4"/>
                <w:sz w:val="21"/>
              </w:rPr>
              <w:t>A3</w:t>
            </w:r>
            <w:r>
              <w:rPr>
                <w:spacing w:val="-7"/>
                <w:sz w:val="21"/>
              </w:rPr>
              <w:t xml:space="preserve"> 大小装订成册，具体要求详见《福建省建筑工程标准设计招标文</w:t>
            </w:r>
            <w:r>
              <w:rPr>
                <w:spacing w:val="-6"/>
                <w:sz w:val="21"/>
              </w:rPr>
              <w:t>件（2013</w:t>
            </w:r>
            <w:r>
              <w:rPr>
                <w:spacing w:val="-9"/>
                <w:sz w:val="21"/>
              </w:rPr>
              <w:t xml:space="preserve"> 年自版</w:t>
            </w:r>
            <w:r>
              <w:rPr>
                <w:spacing w:val="-6"/>
                <w:sz w:val="21"/>
              </w:rPr>
              <w:t>）</w:t>
            </w:r>
            <w:r>
              <w:rPr>
                <w:spacing w:val="-31"/>
                <w:sz w:val="21"/>
              </w:rPr>
              <w:t>通用本》</w:t>
            </w:r>
            <w:r>
              <w:rPr>
                <w:spacing w:val="-6"/>
                <w:sz w:val="21"/>
              </w:rPr>
              <w:t>（莆田市）</w:t>
            </w:r>
            <w:r>
              <w:rPr>
                <w:spacing w:val="-10"/>
                <w:sz w:val="21"/>
              </w:rPr>
              <w:t xml:space="preserve">中 </w:t>
            </w:r>
            <w:r>
              <w:rPr>
                <w:spacing w:val="-6"/>
                <w:sz w:val="21"/>
              </w:rPr>
              <w:t>19.4</w:t>
            </w:r>
            <w:r>
              <w:rPr>
                <w:spacing w:val="-7"/>
                <w:sz w:val="21"/>
              </w:rPr>
              <w:t xml:space="preserve">，按照本须知 </w:t>
            </w:r>
            <w:r>
              <w:rPr>
                <w:spacing w:val="-6"/>
                <w:sz w:val="21"/>
              </w:rPr>
              <w:t>17.1</w:t>
            </w:r>
            <w:r>
              <w:rPr>
                <w:spacing w:val="-9"/>
                <w:sz w:val="21"/>
              </w:rPr>
              <w:t xml:space="preserve"> 规定</w:t>
            </w:r>
            <w:r>
              <w:rPr>
                <w:spacing w:val="-2"/>
                <w:sz w:val="21"/>
              </w:rPr>
              <w:t>的包装、密封和标志。</w:t>
            </w:r>
          </w:p>
        </w:tc>
      </w:tr>
      <w:tr>
        <w:tblPrEx>
          <w:tblW w:w="0" w:type="auto"/>
          <w:jc w:val="left"/>
          <w:tblInd w:w="530" w:type="dxa"/>
          <w:tblLayout w:type="fixed"/>
          <w:tblCellMar>
            <w:top w:w="0" w:type="dxa"/>
            <w:left w:w="0" w:type="dxa"/>
            <w:bottom w:w="0" w:type="dxa"/>
            <w:right w:w="0" w:type="dxa"/>
          </w:tblCellMar>
          <w:tblLook w:val="01E0"/>
        </w:tblPrEx>
        <w:trPr>
          <w:trHeight w:val="760"/>
          <w:jc w:val="left"/>
        </w:trPr>
        <w:tc>
          <w:tcPr>
            <w:tcW w:w="534" w:type="dxa"/>
            <w:tcBorders>
              <w:left w:val="single" w:sz="8" w:space="0" w:color="000000"/>
            </w:tcBorders>
          </w:tcPr>
          <w:p>
            <w:pPr>
              <w:pStyle w:val="TableParagraph"/>
              <w:spacing w:before="2"/>
              <w:rPr>
                <w:sz w:val="22"/>
              </w:rPr>
            </w:pPr>
          </w:p>
          <w:p>
            <w:pPr>
              <w:pStyle w:val="TableParagraph"/>
              <w:ind w:right="82"/>
              <w:jc w:val="right"/>
              <w:rPr>
                <w:sz w:val="21"/>
              </w:rPr>
            </w:pPr>
            <w:r>
              <w:rPr>
                <w:spacing w:val="-5"/>
                <w:sz w:val="21"/>
              </w:rPr>
              <w:t>20</w:t>
            </w:r>
          </w:p>
        </w:tc>
        <w:tc>
          <w:tcPr>
            <w:tcW w:w="738" w:type="dxa"/>
          </w:tcPr>
          <w:p>
            <w:pPr>
              <w:pStyle w:val="TableParagraph"/>
              <w:spacing w:before="2"/>
              <w:rPr>
                <w:sz w:val="22"/>
              </w:rPr>
            </w:pPr>
          </w:p>
          <w:p>
            <w:pPr>
              <w:pStyle w:val="TableParagraph"/>
              <w:ind w:left="140" w:right="120"/>
              <w:jc w:val="center"/>
              <w:rPr>
                <w:sz w:val="21"/>
              </w:rPr>
            </w:pPr>
            <w:r>
              <w:rPr>
                <w:spacing w:val="-4"/>
                <w:sz w:val="21"/>
              </w:rPr>
              <w:t>18.6</w:t>
            </w:r>
          </w:p>
        </w:tc>
        <w:tc>
          <w:tcPr>
            <w:tcW w:w="1240" w:type="dxa"/>
          </w:tcPr>
          <w:p>
            <w:pPr>
              <w:pStyle w:val="TableParagraph"/>
              <w:spacing w:line="380" w:lineRule="exact"/>
              <w:ind w:left="43" w:right="130"/>
              <w:rPr>
                <w:rFonts w:ascii="Microsoft JhengHei" w:eastAsia="Microsoft JhengHei"/>
                <w:b/>
                <w:sz w:val="21"/>
              </w:rPr>
            </w:pPr>
            <w:r>
              <w:rPr>
                <w:rFonts w:ascii="Microsoft JhengHei" w:eastAsia="Microsoft JhengHei"/>
                <w:b/>
                <w:spacing w:val="-2"/>
                <w:sz w:val="21"/>
              </w:rPr>
              <w:t>招标人是否</w:t>
            </w:r>
            <w:r>
              <w:rPr>
                <w:rFonts w:ascii="Microsoft JhengHei" w:eastAsia="Microsoft JhengHei"/>
                <w:b/>
                <w:spacing w:val="-2"/>
                <w:sz w:val="21"/>
              </w:rPr>
              <w:t>提供包封袋</w:t>
            </w:r>
          </w:p>
        </w:tc>
        <w:tc>
          <w:tcPr>
            <w:tcW w:w="6604" w:type="dxa"/>
            <w:tcBorders>
              <w:right w:val="single" w:sz="8" w:space="0" w:color="000000"/>
            </w:tcBorders>
          </w:tcPr>
          <w:p>
            <w:pPr>
              <w:pStyle w:val="TableParagraph"/>
              <w:spacing w:before="8"/>
              <w:rPr>
                <w:sz w:val="16"/>
              </w:rPr>
            </w:pPr>
          </w:p>
          <w:p>
            <w:pPr>
              <w:pStyle w:val="TableParagraph"/>
              <w:tabs>
                <w:tab w:val="left" w:pos="1472"/>
                <w:tab w:val="left" w:pos="2312"/>
              </w:tabs>
              <w:ind w:left="527"/>
              <w:rPr>
                <w:sz w:val="21"/>
              </w:rPr>
            </w:pPr>
            <w:r>
              <w:rPr>
                <w:sz w:val="21"/>
              </w:rPr>
              <w:t>招标</w:t>
            </w:r>
            <w:r>
              <w:rPr>
                <w:spacing w:val="-10"/>
                <w:sz w:val="21"/>
              </w:rPr>
              <w:t>人</w:t>
            </w:r>
            <w:r>
              <w:rPr>
                <w:rFonts w:ascii="Times New Roman" w:eastAsia="Times New Roman"/>
                <w:sz w:val="21"/>
                <w:u w:val="single"/>
              </w:rPr>
              <w:tab/>
            </w:r>
            <w:r>
              <w:rPr>
                <w:sz w:val="21"/>
                <w:u w:val="single"/>
              </w:rPr>
              <w:t>不提</w:t>
            </w:r>
            <w:r>
              <w:rPr>
                <w:spacing w:val="-10"/>
                <w:sz w:val="21"/>
                <w:u w:val="single"/>
              </w:rPr>
              <w:t>供</w:t>
            </w:r>
            <w:r>
              <w:rPr>
                <w:sz w:val="21"/>
                <w:u w:val="single"/>
              </w:rPr>
              <w:tab/>
            </w:r>
            <w:r>
              <w:rPr>
                <w:sz w:val="21"/>
              </w:rPr>
              <w:t>包封袋</w:t>
            </w:r>
            <w:r>
              <w:rPr>
                <w:spacing w:val="-10"/>
                <w:sz w:val="21"/>
              </w:rPr>
              <w:t>。</w:t>
            </w:r>
          </w:p>
        </w:tc>
      </w:tr>
      <w:tr>
        <w:tblPrEx>
          <w:tblW w:w="0" w:type="auto"/>
          <w:jc w:val="left"/>
          <w:tblInd w:w="530" w:type="dxa"/>
          <w:tblLayout w:type="fixed"/>
          <w:tblCellMar>
            <w:top w:w="0" w:type="dxa"/>
            <w:left w:w="0" w:type="dxa"/>
            <w:bottom w:w="0" w:type="dxa"/>
            <w:right w:w="0" w:type="dxa"/>
          </w:tblCellMar>
          <w:tblLook w:val="01E0"/>
        </w:tblPrEx>
        <w:trPr>
          <w:trHeight w:val="760"/>
          <w:jc w:val="left"/>
        </w:trPr>
        <w:tc>
          <w:tcPr>
            <w:tcW w:w="534" w:type="dxa"/>
            <w:tcBorders>
              <w:left w:val="single" w:sz="8" w:space="0" w:color="000000"/>
            </w:tcBorders>
          </w:tcPr>
          <w:p>
            <w:pPr>
              <w:pStyle w:val="TableParagraph"/>
              <w:spacing w:before="2"/>
              <w:rPr>
                <w:sz w:val="22"/>
              </w:rPr>
            </w:pPr>
          </w:p>
          <w:p>
            <w:pPr>
              <w:pStyle w:val="TableParagraph"/>
              <w:ind w:right="82"/>
              <w:jc w:val="right"/>
              <w:rPr>
                <w:sz w:val="21"/>
              </w:rPr>
            </w:pPr>
            <w:r>
              <w:rPr>
                <w:spacing w:val="-5"/>
                <w:sz w:val="21"/>
              </w:rPr>
              <w:t>21</w:t>
            </w:r>
          </w:p>
        </w:tc>
        <w:tc>
          <w:tcPr>
            <w:tcW w:w="738" w:type="dxa"/>
          </w:tcPr>
          <w:p>
            <w:pPr>
              <w:pStyle w:val="TableParagraph"/>
              <w:spacing w:before="2"/>
              <w:rPr>
                <w:sz w:val="22"/>
              </w:rPr>
            </w:pPr>
          </w:p>
          <w:p>
            <w:pPr>
              <w:pStyle w:val="TableParagraph"/>
              <w:ind w:left="140" w:right="120"/>
              <w:jc w:val="center"/>
              <w:rPr>
                <w:sz w:val="21"/>
              </w:rPr>
            </w:pPr>
            <w:r>
              <w:rPr>
                <w:spacing w:val="-4"/>
                <w:sz w:val="21"/>
              </w:rPr>
              <w:t>19.1</w:t>
            </w:r>
          </w:p>
        </w:tc>
        <w:tc>
          <w:tcPr>
            <w:tcW w:w="1240" w:type="dxa"/>
          </w:tcPr>
          <w:p>
            <w:pPr>
              <w:pStyle w:val="TableParagraph"/>
              <w:spacing w:line="380" w:lineRule="exact"/>
              <w:ind w:left="254" w:right="130" w:hanging="211"/>
              <w:rPr>
                <w:rFonts w:ascii="Microsoft JhengHei" w:eastAsia="Microsoft JhengHei"/>
                <w:b/>
                <w:sz w:val="21"/>
              </w:rPr>
            </w:pPr>
            <w:r>
              <w:rPr>
                <w:rFonts w:ascii="Microsoft JhengHei" w:eastAsia="Microsoft JhengHei"/>
                <w:b/>
                <w:spacing w:val="-2"/>
                <w:sz w:val="21"/>
              </w:rPr>
              <w:t>投标文件提</w:t>
            </w:r>
            <w:r>
              <w:rPr>
                <w:rFonts w:ascii="Microsoft JhengHei" w:eastAsia="Microsoft JhengHei"/>
                <w:b/>
                <w:spacing w:val="-4"/>
                <w:sz w:val="21"/>
              </w:rPr>
              <w:t>交地点</w:t>
            </w:r>
          </w:p>
        </w:tc>
        <w:tc>
          <w:tcPr>
            <w:tcW w:w="6604" w:type="dxa"/>
            <w:tcBorders>
              <w:right w:val="single" w:sz="8" w:space="0" w:color="000000"/>
            </w:tcBorders>
          </w:tcPr>
          <w:p>
            <w:pPr>
              <w:pStyle w:val="TableParagraph"/>
              <w:spacing w:before="111" w:line="242" w:lineRule="auto"/>
              <w:ind w:left="107" w:right="2905"/>
              <w:rPr>
                <w:sz w:val="21"/>
              </w:rPr>
            </w:pPr>
            <w:r>
              <w:rPr>
                <w:spacing w:val="-2"/>
                <w:sz w:val="21"/>
              </w:rPr>
              <w:t>地点：</w:t>
            </w:r>
            <w:r>
              <w:rPr>
                <w:spacing w:val="-2"/>
                <w:sz w:val="21"/>
                <w:u w:val="single"/>
              </w:rPr>
              <w:t>莆田市行政服务中心新大楼三层</w:t>
            </w:r>
            <w:r>
              <w:rPr>
                <w:sz w:val="21"/>
              </w:rPr>
              <w:t>收件人：福</w:t>
            </w:r>
            <w:r>
              <w:rPr>
                <w:spacing w:val="-1"/>
                <w:sz w:val="21"/>
                <w:u w:val="single"/>
              </w:rPr>
              <w:t>建省仟羽工程咨询有限公司</w:t>
            </w:r>
          </w:p>
        </w:tc>
      </w:tr>
      <w:tr>
        <w:tblPrEx>
          <w:tblW w:w="0" w:type="auto"/>
          <w:jc w:val="left"/>
          <w:tblInd w:w="530" w:type="dxa"/>
          <w:tblLayout w:type="fixed"/>
          <w:tblCellMar>
            <w:top w:w="0" w:type="dxa"/>
            <w:left w:w="0" w:type="dxa"/>
            <w:bottom w:w="0" w:type="dxa"/>
            <w:right w:w="0" w:type="dxa"/>
          </w:tblCellMar>
          <w:tblLook w:val="01E0"/>
        </w:tblPrEx>
        <w:trPr>
          <w:trHeight w:val="1070"/>
          <w:jc w:val="left"/>
        </w:trPr>
        <w:tc>
          <w:tcPr>
            <w:tcW w:w="534" w:type="dxa"/>
            <w:tcBorders>
              <w:left w:val="single" w:sz="8" w:space="0" w:color="000000"/>
            </w:tcBorders>
          </w:tcPr>
          <w:p>
            <w:pPr>
              <w:pStyle w:val="TableParagraph"/>
              <w:rPr>
                <w:sz w:val="20"/>
              </w:rPr>
            </w:pPr>
          </w:p>
          <w:p>
            <w:pPr>
              <w:pStyle w:val="TableParagraph"/>
              <w:spacing w:before="3"/>
              <w:rPr>
                <w:sz w:val="14"/>
              </w:rPr>
            </w:pPr>
          </w:p>
          <w:p>
            <w:pPr>
              <w:pStyle w:val="TableParagraph"/>
              <w:spacing w:before="1"/>
              <w:ind w:right="82"/>
              <w:jc w:val="right"/>
              <w:rPr>
                <w:sz w:val="21"/>
              </w:rPr>
            </w:pPr>
            <w:r>
              <w:rPr>
                <w:spacing w:val="-5"/>
                <w:sz w:val="21"/>
              </w:rPr>
              <w:t>22</w:t>
            </w:r>
          </w:p>
        </w:tc>
        <w:tc>
          <w:tcPr>
            <w:tcW w:w="738" w:type="dxa"/>
          </w:tcPr>
          <w:p>
            <w:pPr>
              <w:pStyle w:val="TableParagraph"/>
              <w:rPr>
                <w:sz w:val="20"/>
              </w:rPr>
            </w:pPr>
          </w:p>
          <w:p>
            <w:pPr>
              <w:pStyle w:val="TableParagraph"/>
              <w:spacing w:before="3"/>
              <w:rPr>
                <w:sz w:val="14"/>
              </w:rPr>
            </w:pPr>
          </w:p>
          <w:p>
            <w:pPr>
              <w:pStyle w:val="TableParagraph"/>
              <w:spacing w:before="1"/>
              <w:ind w:left="140" w:right="120"/>
              <w:jc w:val="center"/>
              <w:rPr>
                <w:sz w:val="21"/>
              </w:rPr>
            </w:pPr>
            <w:r>
              <w:rPr>
                <w:spacing w:val="-4"/>
                <w:sz w:val="21"/>
              </w:rPr>
              <w:t>20.1</w:t>
            </w:r>
          </w:p>
        </w:tc>
        <w:tc>
          <w:tcPr>
            <w:tcW w:w="1240" w:type="dxa"/>
          </w:tcPr>
          <w:p>
            <w:pPr>
              <w:pStyle w:val="TableParagraph"/>
              <w:spacing w:before="6"/>
              <w:rPr>
                <w:sz w:val="14"/>
              </w:rPr>
            </w:pPr>
          </w:p>
          <w:p>
            <w:pPr>
              <w:pStyle w:val="TableParagraph"/>
              <w:spacing w:line="235" w:lineRule="auto"/>
              <w:ind w:left="43" w:right="130"/>
              <w:rPr>
                <w:rFonts w:ascii="Microsoft JhengHei" w:eastAsia="Microsoft JhengHei"/>
                <w:b/>
                <w:sz w:val="21"/>
              </w:rPr>
            </w:pPr>
            <w:r>
              <w:rPr>
                <w:rFonts w:ascii="Microsoft JhengHei" w:eastAsia="Microsoft JhengHei"/>
                <w:b/>
                <w:spacing w:val="-2"/>
                <w:sz w:val="21"/>
              </w:rPr>
              <w:t>递交投标文</w:t>
            </w:r>
            <w:r>
              <w:rPr>
                <w:rFonts w:ascii="Microsoft JhengHei" w:eastAsia="Microsoft JhengHei"/>
                <w:b/>
                <w:spacing w:val="-2"/>
                <w:sz w:val="21"/>
              </w:rPr>
              <w:t>件截止时间</w:t>
            </w:r>
          </w:p>
        </w:tc>
        <w:tc>
          <w:tcPr>
            <w:tcW w:w="6604" w:type="dxa"/>
            <w:tcBorders>
              <w:right w:val="single" w:sz="8" w:space="0" w:color="000000"/>
            </w:tcBorders>
          </w:tcPr>
          <w:p>
            <w:pPr>
              <w:pStyle w:val="TableParagraph"/>
              <w:spacing w:before="6"/>
              <w:rPr>
                <w:sz w:val="19"/>
              </w:rPr>
            </w:pPr>
          </w:p>
          <w:p>
            <w:pPr>
              <w:pStyle w:val="TableParagraph"/>
              <w:spacing w:line="338" w:lineRule="auto"/>
              <w:ind w:left="99" w:right="86" w:firstLine="420"/>
              <w:rPr>
                <w:sz w:val="21"/>
              </w:rPr>
            </w:pPr>
            <w:r>
              <w:rPr>
                <w:sz w:val="21"/>
              </w:rPr>
              <w:t>截止时间：</w:t>
            </w:r>
            <w:r>
              <w:rPr>
                <w:sz w:val="21"/>
                <w:u w:val="single"/>
              </w:rPr>
              <w:t>2015</w:t>
            </w:r>
            <w:r>
              <w:rPr>
                <w:spacing w:val="-27"/>
                <w:sz w:val="21"/>
              </w:rPr>
              <w:t xml:space="preserve"> 年</w:t>
            </w:r>
            <w:r>
              <w:rPr>
                <w:spacing w:val="-11"/>
                <w:sz w:val="21"/>
                <w:u w:val="single"/>
              </w:rPr>
              <w:t xml:space="preserve"> </w:t>
            </w:r>
            <w:r>
              <w:rPr>
                <w:sz w:val="21"/>
                <w:u w:val="single"/>
              </w:rPr>
              <w:t>04</w:t>
            </w:r>
            <w:r>
              <w:rPr>
                <w:spacing w:val="-5"/>
                <w:sz w:val="21"/>
                <w:u w:val="single"/>
              </w:rPr>
              <w:t xml:space="preserve"> </w:t>
            </w:r>
            <w:r>
              <w:rPr>
                <w:sz w:val="21"/>
              </w:rPr>
              <w:t>月</w:t>
            </w:r>
            <w:r>
              <w:rPr>
                <w:spacing w:val="-6"/>
                <w:sz w:val="21"/>
                <w:u w:val="single"/>
              </w:rPr>
              <w:t xml:space="preserve"> </w:t>
            </w:r>
            <w:r>
              <w:rPr>
                <w:sz w:val="21"/>
                <w:u w:val="single"/>
              </w:rPr>
              <w:t>17</w:t>
            </w:r>
            <w:r>
              <w:rPr>
                <w:spacing w:val="-5"/>
                <w:sz w:val="21"/>
                <w:u w:val="single"/>
              </w:rPr>
              <w:t xml:space="preserve"> </w:t>
            </w:r>
            <w:r>
              <w:rPr>
                <w:sz w:val="21"/>
              </w:rPr>
              <w:t>日</w:t>
            </w:r>
            <w:r>
              <w:rPr>
                <w:spacing w:val="-6"/>
                <w:sz w:val="21"/>
                <w:u w:val="single"/>
              </w:rPr>
              <w:t xml:space="preserve"> </w:t>
            </w:r>
            <w:r>
              <w:rPr>
                <w:sz w:val="21"/>
                <w:u w:val="single"/>
              </w:rPr>
              <w:t>08</w:t>
            </w:r>
            <w:r>
              <w:rPr>
                <w:spacing w:val="-5"/>
                <w:sz w:val="21"/>
                <w:u w:val="single"/>
              </w:rPr>
              <w:t xml:space="preserve"> </w:t>
            </w:r>
            <w:r>
              <w:rPr>
                <w:sz w:val="21"/>
              </w:rPr>
              <w:t>时</w:t>
            </w:r>
            <w:r>
              <w:rPr>
                <w:spacing w:val="-6"/>
                <w:sz w:val="21"/>
                <w:u w:val="single"/>
              </w:rPr>
              <w:t xml:space="preserve"> </w:t>
            </w:r>
            <w:r>
              <w:rPr>
                <w:sz w:val="21"/>
                <w:u w:val="single"/>
              </w:rPr>
              <w:t>30</w:t>
            </w:r>
            <w:r>
              <w:rPr>
                <w:spacing w:val="-27"/>
                <w:sz w:val="21"/>
              </w:rPr>
              <w:t xml:space="preserve"> 分</w:t>
            </w:r>
            <w:r>
              <w:rPr>
                <w:sz w:val="21"/>
              </w:rPr>
              <w:t>（北京时间</w:t>
            </w:r>
            <w:r>
              <w:rPr>
                <w:spacing w:val="-105"/>
                <w:sz w:val="21"/>
              </w:rPr>
              <w:t>）</w:t>
            </w:r>
            <w:r>
              <w:rPr>
                <w:sz w:val="21"/>
              </w:rPr>
              <w:t>。招标</w:t>
            </w:r>
            <w:r>
              <w:rPr>
                <w:sz w:val="21"/>
              </w:rPr>
              <w:t>人（招标代理人）</w:t>
            </w:r>
            <w:r>
              <w:rPr>
                <w:spacing w:val="-4"/>
                <w:sz w:val="21"/>
              </w:rPr>
              <w:t xml:space="preserve">在截止时间前 </w:t>
            </w:r>
            <w:r>
              <w:rPr>
                <w:sz w:val="21"/>
                <w:u w:val="single"/>
              </w:rPr>
              <w:t>30</w:t>
            </w:r>
            <w:r>
              <w:rPr>
                <w:spacing w:val="-5"/>
                <w:sz w:val="21"/>
              </w:rPr>
              <w:t xml:space="preserve"> 分钟开始接收。</w:t>
            </w:r>
          </w:p>
        </w:tc>
      </w:tr>
      <w:tr>
        <w:tblPrEx>
          <w:tblW w:w="0" w:type="auto"/>
          <w:jc w:val="left"/>
          <w:tblInd w:w="530" w:type="dxa"/>
          <w:tblLayout w:type="fixed"/>
          <w:tblCellMar>
            <w:top w:w="0" w:type="dxa"/>
            <w:left w:w="0" w:type="dxa"/>
            <w:bottom w:w="0" w:type="dxa"/>
            <w:right w:w="0" w:type="dxa"/>
          </w:tblCellMar>
          <w:tblLook w:val="01E0"/>
        </w:tblPrEx>
        <w:trPr>
          <w:trHeight w:val="881"/>
          <w:jc w:val="left"/>
        </w:trPr>
        <w:tc>
          <w:tcPr>
            <w:tcW w:w="534" w:type="dxa"/>
            <w:tcBorders>
              <w:left w:val="single" w:sz="8" w:space="0" w:color="000000"/>
            </w:tcBorders>
          </w:tcPr>
          <w:p>
            <w:pPr>
              <w:pStyle w:val="TableParagraph"/>
              <w:spacing w:before="11"/>
              <w:rPr>
                <w:sz w:val="26"/>
              </w:rPr>
            </w:pPr>
          </w:p>
          <w:p>
            <w:pPr>
              <w:pStyle w:val="TableParagraph"/>
              <w:spacing w:before="1"/>
              <w:ind w:right="82"/>
              <w:jc w:val="right"/>
              <w:rPr>
                <w:sz w:val="21"/>
              </w:rPr>
            </w:pPr>
            <w:r>
              <w:rPr>
                <w:spacing w:val="-5"/>
                <w:sz w:val="21"/>
              </w:rPr>
              <w:t>23</w:t>
            </w:r>
          </w:p>
        </w:tc>
        <w:tc>
          <w:tcPr>
            <w:tcW w:w="738" w:type="dxa"/>
          </w:tcPr>
          <w:p>
            <w:pPr>
              <w:pStyle w:val="TableParagraph"/>
              <w:spacing w:before="11"/>
              <w:rPr>
                <w:sz w:val="26"/>
              </w:rPr>
            </w:pPr>
          </w:p>
          <w:p>
            <w:pPr>
              <w:pStyle w:val="TableParagraph"/>
              <w:spacing w:before="1"/>
              <w:ind w:left="152" w:right="108"/>
              <w:jc w:val="center"/>
              <w:rPr>
                <w:sz w:val="21"/>
              </w:rPr>
            </w:pPr>
            <w:r>
              <w:rPr>
                <w:spacing w:val="-4"/>
                <w:sz w:val="21"/>
              </w:rPr>
              <w:t>22.1</w:t>
            </w:r>
          </w:p>
        </w:tc>
        <w:tc>
          <w:tcPr>
            <w:tcW w:w="1240" w:type="dxa"/>
          </w:tcPr>
          <w:p>
            <w:pPr>
              <w:pStyle w:val="TableParagraph"/>
              <w:spacing w:before="6"/>
              <w:rPr>
                <w:sz w:val="21"/>
              </w:rPr>
            </w:pPr>
          </w:p>
          <w:p>
            <w:pPr>
              <w:pStyle w:val="TableParagraph"/>
              <w:ind w:left="450"/>
              <w:rPr>
                <w:rFonts w:ascii="Microsoft JhengHei" w:eastAsia="Microsoft JhengHei"/>
                <w:b/>
                <w:sz w:val="21"/>
              </w:rPr>
            </w:pPr>
            <w:r>
              <w:rPr>
                <w:rFonts w:ascii="Microsoft JhengHei" w:eastAsia="Microsoft JhengHei"/>
                <w:b/>
                <w:spacing w:val="-17"/>
                <w:sz w:val="21"/>
              </w:rPr>
              <w:t>开标</w:t>
            </w:r>
          </w:p>
        </w:tc>
        <w:tc>
          <w:tcPr>
            <w:tcW w:w="6604" w:type="dxa"/>
            <w:tcBorders>
              <w:right w:val="single" w:sz="8" w:space="0" w:color="000000"/>
            </w:tcBorders>
          </w:tcPr>
          <w:p>
            <w:pPr>
              <w:pStyle w:val="TableParagraph"/>
              <w:spacing w:before="91" w:line="235" w:lineRule="auto"/>
              <w:ind w:left="551" w:right="2235"/>
              <w:rPr>
                <w:rFonts w:ascii="Microsoft JhengHei" w:eastAsia="Microsoft JhengHei"/>
                <w:b/>
                <w:sz w:val="21"/>
              </w:rPr>
            </w:pPr>
            <w:r>
              <w:rPr>
                <w:rFonts w:ascii="Microsoft JhengHei" w:eastAsia="Microsoft JhengHei"/>
                <w:b/>
                <w:spacing w:val="-2"/>
                <w:sz w:val="21"/>
                <w:u w:val="thick"/>
              </w:rPr>
              <w:t>开标时间：与提交文件截止时间同一时刻</w:t>
            </w:r>
            <w:r>
              <w:rPr>
                <w:rFonts w:ascii="Microsoft JhengHei" w:eastAsia="Microsoft JhengHei"/>
                <w:b/>
                <w:spacing w:val="-2"/>
                <w:sz w:val="21"/>
                <w:u w:val="thick"/>
              </w:rPr>
              <w:t>地点：与提交文件地点同一地点</w:t>
            </w:r>
          </w:p>
        </w:tc>
      </w:tr>
    </w:tbl>
    <w:p>
      <w:pPr>
        <w:spacing w:after="0" w:line="235" w:lineRule="auto"/>
        <w:rPr>
          <w:rFonts w:ascii="Microsoft JhengHei" w:eastAsia="Microsoft JhengHei"/>
          <w:sz w:val="21"/>
        </w:rPr>
        <w:sectPr>
          <w:headerReference w:type="even" r:id="rId46"/>
          <w:headerReference w:type="default" r:id="rId47"/>
          <w:footerReference w:type="even" r:id="rId48"/>
          <w:footerReference w:type="default" r:id="rId49"/>
          <w:pgSz w:w="11910" w:h="16840"/>
          <w:pgMar w:top="1380" w:right="800" w:bottom="1200" w:left="960" w:header="971" w:footer="1002"/>
          <w:pgNumType w:start="4"/>
          <w:cols w:space="708"/>
        </w:sectPr>
      </w:pPr>
    </w:p>
    <w:p>
      <w:pPr>
        <w:pStyle w:val="BodyText"/>
        <w:spacing w:before="1"/>
        <w:rPr>
          <w:sz w:val="4"/>
        </w:rPr>
      </w:pPr>
      <w:r>
        <w:pict>
          <v:group id="_x0000_s1032" style="width:120.75pt;height:0.55pt;margin-top:161.28pt;margin-left:236.5pt;mso-position-horizontal-relative:page;mso-position-vertical-relative:page;position:absolute;z-index:-251653120" coordorigin="4730,3226" coordsize="2415,11">
            <v:line id="_x0000_s1033" style="position:absolute" from="4730,3231" to="5413,3231" stroked="t" strokecolor="black" strokeweight="0.53pt">
              <v:stroke dashstyle="solid"/>
            </v:line>
            <v:line id="_x0000_s1034" style="position:absolute" from="5413,3231" to="5570,3231" stroked="t" strokecolor="red" strokeweight="0.53pt">
              <v:stroke dashstyle="solid"/>
            </v:line>
            <v:line id="_x0000_s1035" style="position:absolute" from="5570,3231" to="7145,3231" stroked="t" strokecolor="black" strokeweight="0.53pt">
              <v:stroke dashstyle="solid"/>
            </v:line>
          </v:group>
        </w:pict>
      </w:r>
      <w:r>
        <w:pict>
          <v:group id="_x0000_s1036" style="width:126pt;height:0.55pt;margin-top:216.28pt;margin-left:236.5pt;mso-position-horizontal-relative:page;mso-position-vertical-relative:page;position:absolute;z-index:-251652096" coordorigin="4730,4326" coordsize="2520,11">
            <v:line id="_x0000_s1037" style="position:absolute" from="4730,4331" to="5413,4331" stroked="t" strokecolor="black" strokeweight="0.53pt">
              <v:stroke dashstyle="solid"/>
            </v:line>
            <v:line id="_x0000_s1038" style="position:absolute" from="5413,4331" to="5675,4331" stroked="t" strokecolor="red" strokeweight="0.53pt">
              <v:stroke dashstyle="solid"/>
            </v:line>
            <v:line id="_x0000_s1039" style="position:absolute" from="5675,4331" to="7250,4331" stroked="t" strokecolor="black" strokeweight="0.53pt">
              <v:stroke dashstyle="solid"/>
            </v:line>
          </v:group>
        </w:pict>
      </w:r>
    </w:p>
    <w:tbl>
      <w:tblPr>
        <w:tblStyle w:val="TableNormal4"/>
        <w:tblW w:w="0" w:type="auto"/>
        <w:jc w:val="left"/>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738"/>
        <w:gridCol w:w="1240"/>
        <w:gridCol w:w="6604"/>
      </w:tblGrid>
      <w:tr>
        <w:tblPrEx>
          <w:tblW w:w="0" w:type="auto"/>
          <w:jc w:val="left"/>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080"/>
          <w:jc w:val="left"/>
        </w:trPr>
        <w:tc>
          <w:tcPr>
            <w:tcW w:w="534" w:type="dxa"/>
            <w:tcBorders>
              <w:left w:val="single" w:sz="8" w:space="0" w:color="000000"/>
            </w:tcBorders>
          </w:tcPr>
          <w:p>
            <w:pPr>
              <w:pStyle w:val="TableParagraph"/>
              <w:rPr>
                <w:sz w:val="20"/>
              </w:rPr>
            </w:pPr>
          </w:p>
          <w:p>
            <w:pPr>
              <w:pStyle w:val="TableParagraph"/>
              <w:spacing w:before="8"/>
              <w:rPr>
                <w:sz w:val="14"/>
              </w:rPr>
            </w:pPr>
          </w:p>
          <w:p>
            <w:pPr>
              <w:pStyle w:val="TableParagraph"/>
              <w:spacing w:before="1"/>
              <w:ind w:right="82"/>
              <w:jc w:val="right"/>
              <w:rPr>
                <w:sz w:val="21"/>
              </w:rPr>
            </w:pPr>
            <w:r>
              <w:rPr>
                <w:spacing w:val="-5"/>
                <w:sz w:val="21"/>
              </w:rPr>
              <w:t>24</w:t>
            </w:r>
          </w:p>
        </w:tc>
        <w:tc>
          <w:tcPr>
            <w:tcW w:w="738" w:type="dxa"/>
          </w:tcPr>
          <w:p>
            <w:pPr>
              <w:pStyle w:val="TableParagraph"/>
              <w:rPr>
                <w:sz w:val="20"/>
              </w:rPr>
            </w:pPr>
          </w:p>
          <w:p>
            <w:pPr>
              <w:pStyle w:val="TableParagraph"/>
              <w:spacing w:before="8"/>
              <w:rPr>
                <w:sz w:val="14"/>
              </w:rPr>
            </w:pPr>
          </w:p>
          <w:p>
            <w:pPr>
              <w:pStyle w:val="TableParagraph"/>
              <w:spacing w:before="1"/>
              <w:ind w:right="131"/>
              <w:jc w:val="right"/>
              <w:rPr>
                <w:sz w:val="21"/>
              </w:rPr>
            </w:pPr>
            <w:r>
              <w:rPr>
                <w:spacing w:val="-4"/>
                <w:sz w:val="21"/>
              </w:rPr>
              <w:t>26.1</w:t>
            </w:r>
          </w:p>
        </w:tc>
        <w:tc>
          <w:tcPr>
            <w:tcW w:w="1240" w:type="dxa"/>
          </w:tcPr>
          <w:p>
            <w:pPr>
              <w:pStyle w:val="TableParagraph"/>
              <w:spacing w:before="3"/>
              <w:rPr>
                <w:sz w:val="29"/>
              </w:rPr>
            </w:pPr>
          </w:p>
          <w:p>
            <w:pPr>
              <w:pStyle w:val="TableParagraph"/>
              <w:ind w:left="102" w:right="91"/>
              <w:jc w:val="center"/>
              <w:rPr>
                <w:rFonts w:ascii="Microsoft JhengHei" w:eastAsia="Microsoft JhengHei"/>
                <w:b/>
                <w:sz w:val="21"/>
              </w:rPr>
            </w:pPr>
            <w:r>
              <w:rPr>
                <w:rFonts w:ascii="Microsoft JhengHei" w:eastAsia="Microsoft JhengHei"/>
                <w:b/>
                <w:spacing w:val="-3"/>
                <w:sz w:val="21"/>
              </w:rPr>
              <w:t>评标办法</w:t>
            </w:r>
          </w:p>
        </w:tc>
        <w:tc>
          <w:tcPr>
            <w:tcW w:w="6604" w:type="dxa"/>
            <w:tcBorders>
              <w:right w:val="single" w:sz="8" w:space="0" w:color="000000"/>
            </w:tcBorders>
          </w:tcPr>
          <w:p>
            <w:pPr>
              <w:pStyle w:val="TableParagraph"/>
              <w:rPr>
                <w:sz w:val="22"/>
              </w:rPr>
            </w:pPr>
          </w:p>
          <w:p>
            <w:pPr>
              <w:pStyle w:val="TableParagraph"/>
              <w:spacing w:before="162"/>
              <w:ind w:left="551"/>
              <w:rPr>
                <w:sz w:val="21"/>
              </w:rPr>
            </w:pPr>
            <w:r>
              <w:rPr>
                <w:sz w:val="21"/>
              </w:rPr>
              <w:t>采用</w:t>
            </w:r>
            <w:r>
              <w:rPr>
                <w:rFonts w:ascii="Times New Roman" w:eastAsia="Times New Roman"/>
                <w:spacing w:val="52"/>
                <w:sz w:val="21"/>
                <w:u w:val="single"/>
              </w:rPr>
              <w:t xml:space="preserve">  </w:t>
            </w:r>
            <w:r>
              <w:rPr>
                <w:spacing w:val="-2"/>
                <w:sz w:val="21"/>
                <w:u w:val="single"/>
              </w:rPr>
              <w:t>综合评估法</w:t>
            </w:r>
          </w:p>
        </w:tc>
      </w:tr>
      <w:tr>
        <w:tblPrEx>
          <w:tblW w:w="0" w:type="auto"/>
          <w:jc w:val="left"/>
          <w:tblInd w:w="530" w:type="dxa"/>
          <w:tblLayout w:type="fixed"/>
          <w:tblCellMar>
            <w:top w:w="0" w:type="dxa"/>
            <w:left w:w="0" w:type="dxa"/>
            <w:bottom w:w="0" w:type="dxa"/>
            <w:right w:w="0" w:type="dxa"/>
          </w:tblCellMar>
          <w:tblLook w:val="01E0"/>
        </w:tblPrEx>
        <w:trPr>
          <w:trHeight w:val="2200"/>
          <w:jc w:val="left"/>
        </w:trPr>
        <w:tc>
          <w:tcPr>
            <w:tcW w:w="534" w:type="dxa"/>
            <w:tcBorders>
              <w:left w:val="single" w:sz="8"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4"/>
              <w:rPr>
                <w:sz w:val="18"/>
              </w:rPr>
            </w:pPr>
          </w:p>
          <w:p>
            <w:pPr>
              <w:pStyle w:val="TableParagraph"/>
              <w:ind w:right="82"/>
              <w:jc w:val="right"/>
              <w:rPr>
                <w:sz w:val="21"/>
              </w:rPr>
            </w:pPr>
            <w:r>
              <w:rPr>
                <w:spacing w:val="-5"/>
                <w:sz w:val="21"/>
              </w:rPr>
              <w:t>25</w:t>
            </w:r>
          </w:p>
        </w:tc>
        <w:tc>
          <w:tcPr>
            <w:tcW w:w="738" w:type="dxa"/>
          </w:tcPr>
          <w:p>
            <w:pPr>
              <w:pStyle w:val="TableParagraph"/>
              <w:rPr>
                <w:sz w:val="20"/>
              </w:rPr>
            </w:pPr>
          </w:p>
          <w:p>
            <w:pPr>
              <w:pStyle w:val="TableParagraph"/>
              <w:rPr>
                <w:sz w:val="20"/>
              </w:rPr>
            </w:pPr>
          </w:p>
          <w:p>
            <w:pPr>
              <w:pStyle w:val="TableParagraph"/>
              <w:rPr>
                <w:sz w:val="20"/>
              </w:rPr>
            </w:pPr>
          </w:p>
          <w:p>
            <w:pPr>
              <w:pStyle w:val="TableParagraph"/>
              <w:spacing w:before="4"/>
              <w:rPr>
                <w:sz w:val="18"/>
              </w:rPr>
            </w:pPr>
          </w:p>
          <w:p>
            <w:pPr>
              <w:pStyle w:val="TableParagraph"/>
              <w:ind w:right="131"/>
              <w:jc w:val="right"/>
              <w:rPr>
                <w:sz w:val="21"/>
              </w:rPr>
            </w:pPr>
            <w:r>
              <w:rPr>
                <w:spacing w:val="-4"/>
                <w:sz w:val="21"/>
              </w:rPr>
              <w:t>27.2</w:t>
            </w:r>
          </w:p>
        </w:tc>
        <w:tc>
          <w:tcPr>
            <w:tcW w:w="1240" w:type="dxa"/>
          </w:tcPr>
          <w:p>
            <w:pPr>
              <w:pStyle w:val="TableParagraph"/>
              <w:rPr>
                <w:sz w:val="20"/>
              </w:rPr>
            </w:pPr>
          </w:p>
          <w:p>
            <w:pPr>
              <w:pStyle w:val="TableParagraph"/>
              <w:rPr>
                <w:sz w:val="20"/>
              </w:rPr>
            </w:pPr>
          </w:p>
          <w:p>
            <w:pPr>
              <w:pStyle w:val="TableParagraph"/>
              <w:rPr>
                <w:sz w:val="20"/>
              </w:rPr>
            </w:pPr>
          </w:p>
          <w:p>
            <w:pPr>
              <w:pStyle w:val="TableParagraph"/>
              <w:spacing w:before="166"/>
              <w:ind w:left="102" w:right="91"/>
              <w:jc w:val="center"/>
              <w:rPr>
                <w:rFonts w:ascii="Microsoft JhengHei" w:eastAsia="Microsoft JhengHei"/>
                <w:b/>
                <w:sz w:val="21"/>
              </w:rPr>
            </w:pPr>
            <w:r>
              <w:rPr>
                <w:rFonts w:ascii="Microsoft JhengHei" w:eastAsia="Microsoft JhengHei"/>
                <w:b/>
                <w:spacing w:val="-5"/>
                <w:sz w:val="21"/>
              </w:rPr>
              <w:t>公示</w:t>
            </w:r>
          </w:p>
        </w:tc>
        <w:tc>
          <w:tcPr>
            <w:tcW w:w="6604" w:type="dxa"/>
            <w:tcBorders>
              <w:right w:val="single" w:sz="8" w:space="0" w:color="000000"/>
            </w:tcBorders>
          </w:tcPr>
          <w:p>
            <w:pPr>
              <w:pStyle w:val="TableParagraph"/>
              <w:tabs>
                <w:tab w:val="left" w:pos="947"/>
                <w:tab w:val="left" w:pos="3782"/>
              </w:tabs>
              <w:spacing w:before="91" w:line="321" w:lineRule="auto"/>
              <w:ind w:left="107" w:right="2799"/>
              <w:rPr>
                <w:sz w:val="21"/>
              </w:rPr>
            </w:pPr>
            <w:r>
              <w:rPr>
                <w:sz w:val="21"/>
              </w:rPr>
              <w:t>1、中标候选人公示方式：</w:t>
            </w:r>
            <w:r>
              <w:rPr>
                <w:rFonts w:ascii="Times New Roman" w:eastAsia="Times New Roman"/>
                <w:spacing w:val="80"/>
                <w:w w:val="150"/>
                <w:sz w:val="21"/>
                <w:u w:val="single"/>
              </w:rPr>
              <w:t xml:space="preserve"> </w:t>
            </w:r>
            <w:r>
              <w:rPr>
                <w:sz w:val="21"/>
                <w:u w:val="single"/>
              </w:rPr>
              <w:t>网上公示</w:t>
              <w:tab/>
            </w:r>
            <w:r>
              <w:rPr>
                <w:sz w:val="21"/>
              </w:rPr>
              <w:t xml:space="preserve"> </w:t>
            </w:r>
            <w:r>
              <w:rPr>
                <w:spacing w:val="-4"/>
                <w:sz w:val="21"/>
              </w:rPr>
              <w:t>时</w:t>
            </w:r>
            <w:r>
              <w:rPr>
                <w:spacing w:val="-4"/>
                <w:sz w:val="21"/>
              </w:rPr>
              <w:t>间</w:t>
            </w:r>
            <w:r>
              <w:rPr>
                <w:spacing w:val="-4"/>
                <w:sz w:val="21"/>
              </w:rPr>
              <w:t>：</w:t>
            </w:r>
            <w:r>
              <w:rPr>
                <w:sz w:val="21"/>
              </w:rPr>
              <w:tab/>
              <w:t>公示</w:t>
            </w:r>
            <w:r>
              <w:rPr>
                <w:spacing w:val="-22"/>
                <w:sz w:val="21"/>
              </w:rPr>
              <w:t xml:space="preserve"> </w:t>
            </w:r>
            <w:r>
              <w:rPr>
                <w:color w:val="FF0000"/>
                <w:sz w:val="21"/>
              </w:rPr>
              <w:t>3</w:t>
            </w:r>
            <w:r>
              <w:rPr>
                <w:color w:val="FF0000"/>
                <w:spacing w:val="-22"/>
                <w:sz w:val="21"/>
              </w:rPr>
              <w:t xml:space="preserve"> </w:t>
            </w:r>
            <w:r>
              <w:rPr>
                <w:sz w:val="21"/>
              </w:rPr>
              <w:t>日历天</w:t>
            </w:r>
          </w:p>
          <w:p>
            <w:pPr>
              <w:pStyle w:val="TableParagraph"/>
              <w:tabs>
                <w:tab w:val="left" w:pos="947"/>
                <w:tab w:val="left" w:pos="1052"/>
                <w:tab w:val="left" w:pos="3362"/>
                <w:tab w:val="left" w:pos="3572"/>
              </w:tabs>
              <w:spacing w:before="2" w:line="328" w:lineRule="auto"/>
              <w:ind w:left="107" w:right="3009"/>
              <w:rPr>
                <w:sz w:val="21"/>
              </w:rPr>
            </w:pPr>
            <w:r>
              <w:rPr>
                <w:spacing w:val="-4"/>
                <w:sz w:val="21"/>
              </w:rPr>
              <w:t>地</w:t>
            </w:r>
            <w:r>
              <w:rPr>
                <w:spacing w:val="-4"/>
                <w:sz w:val="21"/>
              </w:rPr>
              <w:t>点</w:t>
            </w:r>
            <w:r>
              <w:rPr>
                <w:spacing w:val="-4"/>
                <w:sz w:val="21"/>
              </w:rPr>
              <w:t>：</w:t>
            </w:r>
            <w:r>
              <w:rPr>
                <w:rFonts w:ascii="Times New Roman" w:eastAsia="Times New Roman"/>
                <w:sz w:val="21"/>
                <w:u w:val="single"/>
              </w:rPr>
              <w:tab/>
              <w:tab/>
            </w:r>
            <w:r>
              <w:rPr>
                <w:spacing w:val="-2"/>
                <w:sz w:val="21"/>
                <w:u w:val="single"/>
              </w:rPr>
              <w:t>莆</w:t>
            </w:r>
            <w:r>
              <w:rPr>
                <w:spacing w:val="-2"/>
                <w:sz w:val="21"/>
                <w:u w:val="single"/>
              </w:rPr>
              <w:t>田</w:t>
            </w:r>
            <w:r>
              <w:rPr>
                <w:spacing w:val="-2"/>
                <w:sz w:val="21"/>
                <w:u w:val="single"/>
              </w:rPr>
              <w:t>市</w:t>
            </w:r>
            <w:r>
              <w:rPr>
                <w:spacing w:val="-2"/>
                <w:sz w:val="21"/>
                <w:u w:val="single"/>
              </w:rPr>
              <w:t>行</w:t>
            </w:r>
            <w:r>
              <w:rPr>
                <w:spacing w:val="-2"/>
                <w:sz w:val="21"/>
                <w:u w:val="single"/>
              </w:rPr>
              <w:t>政</w:t>
            </w:r>
            <w:r>
              <w:rPr>
                <w:spacing w:val="-2"/>
                <w:sz w:val="21"/>
                <w:u w:val="single"/>
              </w:rPr>
              <w:t>服</w:t>
            </w:r>
            <w:r>
              <w:rPr>
                <w:spacing w:val="-2"/>
                <w:sz w:val="21"/>
                <w:u w:val="single"/>
              </w:rPr>
              <w:t>务</w:t>
            </w:r>
            <w:r>
              <w:rPr>
                <w:spacing w:val="-2"/>
                <w:sz w:val="21"/>
                <w:u w:val="single"/>
              </w:rPr>
              <w:t>中</w:t>
            </w:r>
            <w:r>
              <w:rPr>
                <w:spacing w:val="-2"/>
                <w:sz w:val="21"/>
                <w:u w:val="single"/>
              </w:rPr>
              <w:t>心</w:t>
            </w:r>
            <w:r>
              <w:rPr>
                <w:spacing w:val="-2"/>
                <w:sz w:val="21"/>
                <w:u w:val="single"/>
              </w:rPr>
              <w:t>网</w:t>
            </w:r>
            <w:r>
              <w:rPr>
                <w:sz w:val="21"/>
                <w:u w:val="single"/>
              </w:rPr>
              <w:tab/>
            </w:r>
            <w:r>
              <w:rPr>
                <w:spacing w:val="80"/>
                <w:sz w:val="21"/>
              </w:rPr>
              <w:t xml:space="preserve"> </w:t>
            </w:r>
            <w:r>
              <w:rPr>
                <w:sz w:val="21"/>
              </w:rPr>
              <w:t>2、中标结果公示方式：</w:t>
            </w:r>
            <w:r>
              <w:rPr>
                <w:rFonts w:ascii="Times New Roman" w:eastAsia="Times New Roman"/>
                <w:spacing w:val="80"/>
                <w:w w:val="150"/>
                <w:sz w:val="21"/>
                <w:u w:val="single"/>
              </w:rPr>
              <w:t xml:space="preserve"> </w:t>
            </w:r>
            <w:r>
              <w:rPr>
                <w:sz w:val="21"/>
                <w:u w:val="single"/>
              </w:rPr>
              <w:t>网上公示</w:t>
              <w:tab/>
              <w:tab/>
            </w:r>
            <w:r>
              <w:rPr>
                <w:sz w:val="21"/>
              </w:rPr>
              <w:t xml:space="preserve"> </w:t>
            </w:r>
            <w:r>
              <w:rPr>
                <w:spacing w:val="-4"/>
                <w:sz w:val="21"/>
              </w:rPr>
              <w:t>时</w:t>
            </w:r>
            <w:r>
              <w:rPr>
                <w:spacing w:val="-4"/>
                <w:sz w:val="21"/>
              </w:rPr>
              <w:t>间</w:t>
            </w:r>
            <w:r>
              <w:rPr>
                <w:spacing w:val="-4"/>
                <w:sz w:val="21"/>
              </w:rPr>
              <w:t>：</w:t>
            </w:r>
            <w:r>
              <w:rPr>
                <w:sz w:val="21"/>
              </w:rPr>
              <w:tab/>
              <w:t>公示</w:t>
            </w:r>
            <w:r>
              <w:rPr>
                <w:spacing w:val="-22"/>
                <w:sz w:val="21"/>
              </w:rPr>
              <w:t xml:space="preserve"> </w:t>
            </w:r>
            <w:r>
              <w:rPr>
                <w:color w:val="FF0000"/>
                <w:sz w:val="21"/>
              </w:rPr>
              <w:t>10</w:t>
            </w:r>
            <w:r>
              <w:rPr>
                <w:color w:val="FF0000"/>
                <w:spacing w:val="-22"/>
                <w:sz w:val="21"/>
              </w:rPr>
              <w:t xml:space="preserve"> </w:t>
            </w:r>
            <w:r>
              <w:rPr>
                <w:sz w:val="21"/>
              </w:rPr>
              <w:t>日历天</w:t>
            </w:r>
          </w:p>
          <w:p>
            <w:pPr>
              <w:pStyle w:val="TableParagraph"/>
              <w:tabs>
                <w:tab w:val="left" w:pos="1052"/>
                <w:tab w:val="left" w:pos="3362"/>
              </w:tabs>
              <w:spacing w:line="260" w:lineRule="exact"/>
              <w:ind w:left="107"/>
              <w:rPr>
                <w:sz w:val="21"/>
              </w:rPr>
            </w:pPr>
            <w:r>
              <w:rPr>
                <w:sz w:val="21"/>
              </w:rPr>
              <w:t>地点</w:t>
            </w:r>
            <w:r>
              <w:rPr>
                <w:spacing w:val="-10"/>
                <w:sz w:val="21"/>
              </w:rPr>
              <w:t>：</w:t>
            </w:r>
            <w:r>
              <w:rPr>
                <w:rFonts w:ascii="Times New Roman" w:eastAsia="Times New Roman"/>
                <w:sz w:val="21"/>
                <w:u w:val="single"/>
              </w:rPr>
              <w:tab/>
            </w:r>
            <w:r>
              <w:rPr>
                <w:sz w:val="21"/>
                <w:u w:val="single"/>
              </w:rPr>
              <w:t>莆田市行政服务中心</w:t>
            </w:r>
            <w:r>
              <w:rPr>
                <w:spacing w:val="-10"/>
                <w:sz w:val="21"/>
                <w:u w:val="single"/>
              </w:rPr>
              <w:t>网</w:t>
            </w:r>
            <w:r>
              <w:rPr>
                <w:sz w:val="21"/>
                <w:u w:val="single"/>
              </w:rPr>
              <w:tab/>
            </w:r>
          </w:p>
        </w:tc>
      </w:tr>
      <w:tr>
        <w:tblPrEx>
          <w:tblW w:w="0" w:type="auto"/>
          <w:jc w:val="left"/>
          <w:tblInd w:w="530" w:type="dxa"/>
          <w:tblLayout w:type="fixed"/>
          <w:tblCellMar>
            <w:top w:w="0" w:type="dxa"/>
            <w:left w:w="0" w:type="dxa"/>
            <w:bottom w:w="0" w:type="dxa"/>
            <w:right w:w="0" w:type="dxa"/>
          </w:tblCellMar>
          <w:tblLook w:val="01E0"/>
        </w:tblPrEx>
        <w:trPr>
          <w:trHeight w:val="760"/>
          <w:jc w:val="left"/>
        </w:trPr>
        <w:tc>
          <w:tcPr>
            <w:tcW w:w="534" w:type="dxa"/>
            <w:tcBorders>
              <w:left w:val="single" w:sz="8" w:space="0" w:color="000000"/>
            </w:tcBorders>
          </w:tcPr>
          <w:p>
            <w:pPr>
              <w:pStyle w:val="TableParagraph"/>
              <w:rPr>
                <w:rFonts w:ascii="Times New Roman"/>
                <w:sz w:val="20"/>
              </w:rPr>
            </w:pPr>
          </w:p>
        </w:tc>
        <w:tc>
          <w:tcPr>
            <w:tcW w:w="738" w:type="dxa"/>
          </w:tcPr>
          <w:p>
            <w:pPr>
              <w:pStyle w:val="TableParagraph"/>
              <w:rPr>
                <w:rFonts w:ascii="Times New Roman"/>
                <w:sz w:val="20"/>
              </w:rPr>
            </w:pPr>
          </w:p>
        </w:tc>
        <w:tc>
          <w:tcPr>
            <w:tcW w:w="1240" w:type="dxa"/>
          </w:tcPr>
          <w:p>
            <w:pPr>
              <w:pStyle w:val="TableParagraph"/>
              <w:spacing w:line="380" w:lineRule="exact"/>
              <w:ind w:left="500" w:right="126" w:hanging="362"/>
              <w:rPr>
                <w:rFonts w:ascii="Microsoft JhengHei" w:eastAsia="Microsoft JhengHei"/>
                <w:b/>
                <w:sz w:val="24"/>
              </w:rPr>
            </w:pPr>
            <w:r>
              <w:rPr>
                <w:rFonts w:ascii="Microsoft JhengHei" w:eastAsia="Microsoft JhengHei"/>
                <w:b/>
                <w:spacing w:val="-4"/>
                <w:sz w:val="24"/>
              </w:rPr>
              <w:t>履约保证</w:t>
            </w:r>
            <w:r>
              <w:rPr>
                <w:rFonts w:ascii="Microsoft JhengHei" w:eastAsia="Microsoft JhengHei"/>
                <w:b/>
                <w:spacing w:val="-10"/>
                <w:sz w:val="24"/>
              </w:rPr>
              <w:t>金</w:t>
            </w:r>
          </w:p>
        </w:tc>
        <w:tc>
          <w:tcPr>
            <w:tcW w:w="6604" w:type="dxa"/>
            <w:tcBorders>
              <w:right w:val="single" w:sz="8" w:space="0" w:color="000000"/>
            </w:tcBorders>
          </w:tcPr>
          <w:p>
            <w:pPr>
              <w:pStyle w:val="TableParagraph"/>
              <w:spacing w:before="111" w:line="242" w:lineRule="auto"/>
              <w:ind w:left="107" w:right="86"/>
              <w:rPr>
                <w:sz w:val="21"/>
              </w:rPr>
            </w:pPr>
            <w:r>
              <w:rPr>
                <w:spacing w:val="-2"/>
                <w:sz w:val="21"/>
              </w:rPr>
              <w:t>中标人中标后在签订建设工程勘察设计合同前须向招标人交纳的履约</w:t>
            </w:r>
            <w:r>
              <w:rPr>
                <w:spacing w:val="-5"/>
                <w:sz w:val="21"/>
              </w:rPr>
              <w:t xml:space="preserve">保证金为合同金额的 </w:t>
            </w:r>
            <w:r>
              <w:rPr>
                <w:sz w:val="21"/>
              </w:rPr>
              <w:t>10%</w:t>
            </w:r>
          </w:p>
        </w:tc>
      </w:tr>
      <w:tr>
        <w:tblPrEx>
          <w:tblW w:w="0" w:type="auto"/>
          <w:jc w:val="left"/>
          <w:tblInd w:w="530" w:type="dxa"/>
          <w:tblLayout w:type="fixed"/>
          <w:tblCellMar>
            <w:top w:w="0" w:type="dxa"/>
            <w:left w:w="0" w:type="dxa"/>
            <w:bottom w:w="0" w:type="dxa"/>
            <w:right w:w="0" w:type="dxa"/>
          </w:tblCellMar>
          <w:tblLook w:val="01E0"/>
        </w:tblPrEx>
        <w:trPr>
          <w:trHeight w:val="790"/>
          <w:jc w:val="left"/>
        </w:trPr>
        <w:tc>
          <w:tcPr>
            <w:tcW w:w="534" w:type="dxa"/>
            <w:tcBorders>
              <w:left w:val="single" w:sz="8" w:space="0" w:color="000000"/>
            </w:tcBorders>
          </w:tcPr>
          <w:p>
            <w:pPr>
              <w:pStyle w:val="TableParagraph"/>
              <w:spacing w:before="4"/>
              <w:rPr>
                <w:sz w:val="23"/>
              </w:rPr>
            </w:pPr>
          </w:p>
          <w:p>
            <w:pPr>
              <w:pStyle w:val="TableParagraph"/>
              <w:ind w:right="82"/>
              <w:jc w:val="right"/>
              <w:rPr>
                <w:sz w:val="21"/>
              </w:rPr>
            </w:pPr>
            <w:r>
              <w:rPr>
                <w:spacing w:val="-5"/>
                <w:sz w:val="21"/>
              </w:rPr>
              <w:t>26</w:t>
            </w:r>
          </w:p>
        </w:tc>
        <w:tc>
          <w:tcPr>
            <w:tcW w:w="738" w:type="dxa"/>
          </w:tcPr>
          <w:p>
            <w:pPr>
              <w:pStyle w:val="TableParagraph"/>
              <w:spacing w:before="4"/>
              <w:rPr>
                <w:sz w:val="23"/>
              </w:rPr>
            </w:pPr>
          </w:p>
          <w:p>
            <w:pPr>
              <w:pStyle w:val="TableParagraph"/>
              <w:ind w:right="131"/>
              <w:jc w:val="right"/>
              <w:rPr>
                <w:sz w:val="21"/>
              </w:rPr>
            </w:pPr>
            <w:r>
              <w:rPr>
                <w:spacing w:val="-4"/>
                <w:sz w:val="21"/>
              </w:rPr>
              <w:t>29.1</w:t>
            </w:r>
          </w:p>
        </w:tc>
        <w:tc>
          <w:tcPr>
            <w:tcW w:w="1240" w:type="dxa"/>
          </w:tcPr>
          <w:p>
            <w:pPr>
              <w:pStyle w:val="TableParagraph"/>
              <w:spacing w:before="11"/>
              <w:rPr>
                <w:sz w:val="17"/>
              </w:rPr>
            </w:pPr>
          </w:p>
          <w:p>
            <w:pPr>
              <w:pStyle w:val="TableParagraph"/>
              <w:spacing w:before="1"/>
              <w:ind w:left="102" w:right="91"/>
              <w:jc w:val="center"/>
              <w:rPr>
                <w:rFonts w:ascii="Microsoft JhengHei" w:eastAsia="Microsoft JhengHei"/>
                <w:b/>
                <w:sz w:val="21"/>
              </w:rPr>
            </w:pPr>
            <w:r>
              <w:rPr>
                <w:rFonts w:ascii="Microsoft JhengHei" w:eastAsia="Microsoft JhengHei"/>
                <w:b/>
                <w:spacing w:val="-3"/>
                <w:sz w:val="21"/>
              </w:rPr>
              <w:t>合同签订</w:t>
            </w:r>
          </w:p>
        </w:tc>
        <w:tc>
          <w:tcPr>
            <w:tcW w:w="6604" w:type="dxa"/>
            <w:tcBorders>
              <w:right w:val="single" w:sz="8" w:space="0" w:color="000000"/>
            </w:tcBorders>
          </w:tcPr>
          <w:p>
            <w:pPr>
              <w:pStyle w:val="TableParagraph"/>
              <w:spacing w:before="10" w:line="380" w:lineRule="exact"/>
              <w:ind w:left="99" w:right="86" w:firstLine="420"/>
              <w:rPr>
                <w:rFonts w:ascii="Microsoft JhengHei" w:eastAsia="Microsoft JhengHei"/>
                <w:b/>
                <w:sz w:val="21"/>
              </w:rPr>
            </w:pPr>
            <w:r>
              <w:rPr>
                <w:rFonts w:ascii="Microsoft JhengHei" w:eastAsia="Microsoft JhengHei"/>
                <w:b/>
                <w:sz w:val="21"/>
              </w:rPr>
              <w:t>中标人在收到中标通知书后</w:t>
            </w:r>
            <w:r>
              <w:rPr>
                <w:rFonts w:ascii="Microsoft JhengHei" w:eastAsia="Microsoft JhengHei"/>
                <w:b/>
                <w:spacing w:val="21"/>
                <w:sz w:val="21"/>
                <w:u w:val="thick"/>
              </w:rPr>
              <w:t xml:space="preserve"> </w:t>
            </w:r>
            <w:r>
              <w:rPr>
                <w:rFonts w:ascii="Microsoft JhengHei" w:eastAsia="Microsoft JhengHei"/>
                <w:b/>
                <w:sz w:val="21"/>
                <w:u w:val="thick"/>
              </w:rPr>
              <w:t>3</w:t>
            </w:r>
            <w:r>
              <w:rPr>
                <w:rFonts w:ascii="Microsoft JhengHei" w:eastAsia="Microsoft JhengHei"/>
                <w:b/>
                <w:spacing w:val="21"/>
                <w:sz w:val="21"/>
                <w:u w:val="thick"/>
              </w:rPr>
              <w:t xml:space="preserve"> </w:t>
            </w:r>
            <w:r>
              <w:rPr>
                <w:rFonts w:ascii="Microsoft JhengHei" w:eastAsia="Microsoft JhengHei"/>
                <w:b/>
                <w:sz w:val="21"/>
              </w:rPr>
              <w:t xml:space="preserve">天内，应派代表与招标人联系，商讨签订合同事宜，并在中标通知书发出后 </w:t>
            </w:r>
            <w:r>
              <w:rPr>
                <w:rFonts w:ascii="Microsoft JhengHei" w:eastAsia="Microsoft JhengHei"/>
                <w:b/>
                <w:sz w:val="21"/>
                <w:u w:val="thick"/>
              </w:rPr>
              <w:t>15</w:t>
            </w:r>
            <w:r>
              <w:rPr>
                <w:rFonts w:ascii="Microsoft JhengHei" w:eastAsia="Microsoft JhengHei"/>
                <w:b/>
                <w:sz w:val="21"/>
              </w:rPr>
              <w:t xml:space="preserve"> 天内完成合同订立。</w:t>
            </w:r>
          </w:p>
        </w:tc>
      </w:tr>
      <w:tr>
        <w:tblPrEx>
          <w:tblW w:w="0" w:type="auto"/>
          <w:jc w:val="left"/>
          <w:tblInd w:w="530" w:type="dxa"/>
          <w:tblLayout w:type="fixed"/>
          <w:tblCellMar>
            <w:top w:w="0" w:type="dxa"/>
            <w:left w:w="0" w:type="dxa"/>
            <w:bottom w:w="0" w:type="dxa"/>
            <w:right w:w="0" w:type="dxa"/>
          </w:tblCellMar>
          <w:tblLook w:val="01E0"/>
        </w:tblPrEx>
        <w:trPr>
          <w:trHeight w:val="759"/>
          <w:jc w:val="left"/>
        </w:trPr>
        <w:tc>
          <w:tcPr>
            <w:tcW w:w="534" w:type="dxa"/>
            <w:tcBorders>
              <w:left w:val="single" w:sz="8" w:space="0" w:color="000000"/>
            </w:tcBorders>
          </w:tcPr>
          <w:p>
            <w:pPr>
              <w:pStyle w:val="TableParagraph"/>
              <w:spacing w:before="2"/>
              <w:rPr>
                <w:sz w:val="22"/>
              </w:rPr>
            </w:pPr>
          </w:p>
          <w:p>
            <w:pPr>
              <w:pStyle w:val="TableParagraph"/>
              <w:ind w:right="82"/>
              <w:jc w:val="right"/>
              <w:rPr>
                <w:sz w:val="21"/>
              </w:rPr>
            </w:pPr>
            <w:r>
              <w:rPr>
                <w:spacing w:val="-5"/>
                <w:sz w:val="21"/>
              </w:rPr>
              <w:t>27</w:t>
            </w:r>
          </w:p>
        </w:tc>
        <w:tc>
          <w:tcPr>
            <w:tcW w:w="738" w:type="dxa"/>
          </w:tcPr>
          <w:p>
            <w:pPr>
              <w:pStyle w:val="TableParagraph"/>
              <w:spacing w:before="2"/>
              <w:rPr>
                <w:sz w:val="22"/>
              </w:rPr>
            </w:pPr>
          </w:p>
          <w:p>
            <w:pPr>
              <w:pStyle w:val="TableParagraph"/>
              <w:ind w:right="131"/>
              <w:jc w:val="right"/>
              <w:rPr>
                <w:sz w:val="21"/>
              </w:rPr>
            </w:pPr>
            <w:r>
              <w:rPr>
                <w:spacing w:val="-4"/>
                <w:sz w:val="21"/>
              </w:rPr>
              <w:t>31.3</w:t>
            </w:r>
          </w:p>
        </w:tc>
        <w:tc>
          <w:tcPr>
            <w:tcW w:w="1240" w:type="dxa"/>
          </w:tcPr>
          <w:p>
            <w:pPr>
              <w:pStyle w:val="TableParagraph"/>
              <w:spacing w:line="380" w:lineRule="exact"/>
              <w:ind w:left="304" w:right="186" w:hanging="106"/>
              <w:rPr>
                <w:rFonts w:ascii="Microsoft JhengHei" w:eastAsia="Microsoft JhengHei"/>
                <w:b/>
                <w:sz w:val="21"/>
              </w:rPr>
            </w:pPr>
            <w:r>
              <w:rPr>
                <w:rFonts w:ascii="Microsoft JhengHei" w:eastAsia="Microsoft JhengHei"/>
                <w:b/>
                <w:spacing w:val="-4"/>
                <w:sz w:val="21"/>
              </w:rPr>
              <w:t>未中标方</w:t>
            </w:r>
            <w:r>
              <w:rPr>
                <w:rFonts w:ascii="Microsoft JhengHei" w:eastAsia="Microsoft JhengHei"/>
                <w:b/>
                <w:spacing w:val="-4"/>
                <w:sz w:val="21"/>
              </w:rPr>
              <w:t>案补偿</w:t>
            </w:r>
          </w:p>
        </w:tc>
        <w:tc>
          <w:tcPr>
            <w:tcW w:w="6604" w:type="dxa"/>
            <w:tcBorders>
              <w:right w:val="single" w:sz="8" w:space="0" w:color="000000"/>
            </w:tcBorders>
          </w:tcPr>
          <w:p>
            <w:pPr>
              <w:pStyle w:val="TableParagraph"/>
              <w:spacing w:line="380" w:lineRule="exact"/>
              <w:ind w:left="131" w:right="87" w:firstLine="420"/>
              <w:rPr>
                <w:rFonts w:ascii="Microsoft JhengHei" w:eastAsia="Microsoft JhengHei"/>
                <w:b/>
                <w:sz w:val="21"/>
              </w:rPr>
            </w:pPr>
            <w:r>
              <w:rPr>
                <w:rFonts w:ascii="Microsoft JhengHei" w:eastAsia="Microsoft JhengHei"/>
                <w:b/>
                <w:spacing w:val="-2"/>
                <w:sz w:val="21"/>
              </w:rPr>
              <w:t>未中标投标人不予经济补偿。参加本项目设计所有投标人在开标</w:t>
            </w:r>
            <w:r>
              <w:rPr>
                <w:rFonts w:ascii="Microsoft JhengHei" w:eastAsia="Microsoft JhengHei"/>
                <w:b/>
                <w:spacing w:val="-2"/>
                <w:sz w:val="21"/>
              </w:rPr>
              <w:t>后，其设计方案及成果归招标人所有。</w:t>
            </w:r>
          </w:p>
        </w:tc>
      </w:tr>
      <w:tr>
        <w:tblPrEx>
          <w:tblW w:w="0" w:type="auto"/>
          <w:jc w:val="left"/>
          <w:tblInd w:w="530" w:type="dxa"/>
          <w:tblLayout w:type="fixed"/>
          <w:tblCellMar>
            <w:top w:w="0" w:type="dxa"/>
            <w:left w:w="0" w:type="dxa"/>
            <w:bottom w:w="0" w:type="dxa"/>
            <w:right w:w="0" w:type="dxa"/>
          </w:tblCellMar>
          <w:tblLook w:val="01E0"/>
        </w:tblPrEx>
        <w:trPr>
          <w:trHeight w:val="1140"/>
          <w:jc w:val="left"/>
        </w:trPr>
        <w:tc>
          <w:tcPr>
            <w:tcW w:w="534" w:type="dxa"/>
            <w:tcBorders>
              <w:left w:val="single" w:sz="8" w:space="0" w:color="000000"/>
            </w:tcBorders>
          </w:tcPr>
          <w:p>
            <w:pPr>
              <w:pStyle w:val="TableParagraph"/>
              <w:rPr>
                <w:sz w:val="20"/>
              </w:rPr>
            </w:pPr>
          </w:p>
          <w:p>
            <w:pPr>
              <w:pStyle w:val="TableParagraph"/>
              <w:spacing w:before="12"/>
              <w:rPr>
                <w:sz w:val="16"/>
              </w:rPr>
            </w:pPr>
          </w:p>
          <w:p>
            <w:pPr>
              <w:pStyle w:val="TableParagraph"/>
              <w:ind w:right="82"/>
              <w:jc w:val="right"/>
              <w:rPr>
                <w:sz w:val="21"/>
              </w:rPr>
            </w:pPr>
            <w:r>
              <w:rPr>
                <w:spacing w:val="-5"/>
                <w:sz w:val="21"/>
              </w:rPr>
              <w:t>28</w:t>
            </w:r>
          </w:p>
        </w:tc>
        <w:tc>
          <w:tcPr>
            <w:tcW w:w="738" w:type="dxa"/>
          </w:tcPr>
          <w:p>
            <w:pPr>
              <w:pStyle w:val="TableParagraph"/>
              <w:rPr>
                <w:sz w:val="20"/>
              </w:rPr>
            </w:pPr>
          </w:p>
          <w:p>
            <w:pPr>
              <w:pStyle w:val="TableParagraph"/>
              <w:spacing w:before="12"/>
              <w:rPr>
                <w:sz w:val="16"/>
              </w:rPr>
            </w:pPr>
          </w:p>
          <w:p>
            <w:pPr>
              <w:pStyle w:val="TableParagraph"/>
              <w:ind w:right="131"/>
              <w:jc w:val="right"/>
              <w:rPr>
                <w:sz w:val="21"/>
              </w:rPr>
            </w:pPr>
            <w:r>
              <w:rPr>
                <w:spacing w:val="-4"/>
                <w:sz w:val="21"/>
              </w:rPr>
              <w:t>32.1</w:t>
            </w:r>
          </w:p>
        </w:tc>
        <w:tc>
          <w:tcPr>
            <w:tcW w:w="1240" w:type="dxa"/>
          </w:tcPr>
          <w:p>
            <w:pPr>
              <w:pStyle w:val="TableParagraph"/>
              <w:rPr>
                <w:sz w:val="20"/>
              </w:rPr>
            </w:pPr>
          </w:p>
          <w:p>
            <w:pPr>
              <w:pStyle w:val="TableParagraph"/>
              <w:spacing w:before="148"/>
              <w:ind w:left="102" w:right="91"/>
              <w:jc w:val="center"/>
              <w:rPr>
                <w:rFonts w:ascii="Microsoft JhengHei" w:eastAsia="Microsoft JhengHei"/>
                <w:b/>
                <w:sz w:val="21"/>
              </w:rPr>
            </w:pPr>
            <w:r>
              <w:rPr>
                <w:rFonts w:ascii="Microsoft JhengHei" w:eastAsia="Microsoft JhengHei"/>
                <w:b/>
                <w:spacing w:val="-3"/>
                <w:sz w:val="21"/>
              </w:rPr>
              <w:t>监管部门</w:t>
            </w:r>
          </w:p>
        </w:tc>
        <w:tc>
          <w:tcPr>
            <w:tcW w:w="6604" w:type="dxa"/>
            <w:tcBorders>
              <w:right w:val="single" w:sz="8" w:space="0" w:color="000000"/>
            </w:tcBorders>
          </w:tcPr>
          <w:p>
            <w:pPr>
              <w:pStyle w:val="TableParagraph"/>
              <w:tabs>
                <w:tab w:val="left" w:pos="3644"/>
              </w:tabs>
              <w:spacing w:before="94" w:line="338" w:lineRule="auto"/>
              <w:ind w:left="551" w:right="2671"/>
              <w:rPr>
                <w:rFonts w:ascii="Times New Roman" w:eastAsia="Times New Roman"/>
                <w:sz w:val="21"/>
              </w:rPr>
            </w:pPr>
            <w:r>
              <w:rPr>
                <w:color w:val="FF0000"/>
                <w:spacing w:val="-2"/>
                <w:sz w:val="21"/>
              </w:rPr>
              <w:t>部</w:t>
            </w:r>
            <w:r>
              <w:rPr>
                <w:color w:val="FF0000"/>
                <w:spacing w:val="-2"/>
                <w:sz w:val="21"/>
              </w:rPr>
              <w:t>门</w:t>
            </w:r>
            <w:r>
              <w:rPr>
                <w:color w:val="FF0000"/>
                <w:spacing w:val="-2"/>
                <w:sz w:val="21"/>
              </w:rPr>
              <w:t>名</w:t>
            </w:r>
            <w:r>
              <w:rPr>
                <w:color w:val="FF0000"/>
                <w:spacing w:val="-2"/>
                <w:sz w:val="21"/>
              </w:rPr>
              <w:t>称</w:t>
            </w:r>
            <w:r>
              <w:rPr>
                <w:color w:val="FF0000"/>
                <w:spacing w:val="-2"/>
                <w:sz w:val="21"/>
              </w:rPr>
              <w:t>：</w:t>
            </w:r>
            <w:r>
              <w:rPr>
                <w:color w:val="FF0000"/>
                <w:spacing w:val="-2"/>
                <w:sz w:val="21"/>
                <w:u w:val="single" w:color="FF0000"/>
              </w:rPr>
              <w:t>莆</w:t>
            </w:r>
            <w:r>
              <w:rPr>
                <w:color w:val="FF0000"/>
                <w:spacing w:val="-2"/>
                <w:sz w:val="21"/>
                <w:u w:val="single" w:color="FF0000"/>
              </w:rPr>
              <w:t>田</w:t>
            </w:r>
            <w:r>
              <w:rPr>
                <w:color w:val="FF0000"/>
                <w:spacing w:val="-2"/>
                <w:sz w:val="21"/>
                <w:u w:val="single" w:color="FF0000"/>
              </w:rPr>
              <w:t>市</w:t>
            </w:r>
            <w:r>
              <w:rPr>
                <w:color w:val="FF0000"/>
                <w:spacing w:val="-2"/>
                <w:sz w:val="21"/>
                <w:u w:val="single" w:color="FF0000"/>
              </w:rPr>
              <w:t>住</w:t>
            </w:r>
            <w:r>
              <w:rPr>
                <w:color w:val="FF0000"/>
                <w:spacing w:val="-2"/>
                <w:sz w:val="21"/>
                <w:u w:val="single" w:color="FF0000"/>
              </w:rPr>
              <w:t>房</w:t>
            </w:r>
            <w:r>
              <w:rPr>
                <w:color w:val="FF0000"/>
                <w:spacing w:val="-2"/>
                <w:sz w:val="21"/>
                <w:u w:val="single" w:color="FF0000"/>
              </w:rPr>
              <w:t>和</w:t>
            </w:r>
            <w:r>
              <w:rPr>
                <w:color w:val="FF0000"/>
                <w:spacing w:val="-2"/>
                <w:sz w:val="21"/>
                <w:u w:val="single" w:color="FF0000"/>
              </w:rPr>
              <w:t>城</w:t>
            </w:r>
            <w:r>
              <w:rPr>
                <w:color w:val="FF0000"/>
                <w:spacing w:val="-2"/>
                <w:sz w:val="21"/>
                <w:u w:val="single" w:color="FF0000"/>
              </w:rPr>
              <w:t>乡</w:t>
            </w:r>
            <w:r>
              <w:rPr>
                <w:color w:val="FF0000"/>
                <w:spacing w:val="-2"/>
                <w:sz w:val="21"/>
                <w:u w:val="single" w:color="FF0000"/>
              </w:rPr>
              <w:t>建</w:t>
            </w:r>
            <w:r>
              <w:rPr>
                <w:color w:val="FF0000"/>
                <w:spacing w:val="-2"/>
                <w:sz w:val="21"/>
                <w:u w:val="single" w:color="FF0000"/>
              </w:rPr>
              <w:t>设</w:t>
            </w:r>
            <w:r>
              <w:rPr>
                <w:color w:val="FF0000"/>
                <w:spacing w:val="-2"/>
                <w:sz w:val="21"/>
                <w:u w:val="single" w:color="FF0000"/>
              </w:rPr>
              <w:t>局</w:t>
            </w:r>
            <w:r>
              <w:rPr>
                <w:color w:val="FF0000"/>
                <w:spacing w:val="-4"/>
                <w:sz w:val="21"/>
              </w:rPr>
              <w:t>地</w:t>
            </w:r>
            <w:r>
              <w:rPr>
                <w:color w:val="FF0000"/>
                <w:spacing w:val="-4"/>
                <w:sz w:val="21"/>
              </w:rPr>
              <w:t>点</w:t>
            </w:r>
            <w:r>
              <w:rPr>
                <w:color w:val="FF0000"/>
                <w:spacing w:val="-4"/>
                <w:sz w:val="21"/>
              </w:rPr>
              <w:t>：</w:t>
            </w:r>
            <w:r>
              <w:rPr>
                <w:rFonts w:ascii="Times New Roman" w:eastAsia="Times New Roman"/>
                <w:color w:val="FF0000"/>
                <w:sz w:val="21"/>
                <w:u w:val="single" w:color="FF0000"/>
              </w:rPr>
              <w:tab/>
            </w:r>
          </w:p>
          <w:p>
            <w:pPr>
              <w:pStyle w:val="TableParagraph"/>
              <w:tabs>
                <w:tab w:val="left" w:pos="3434"/>
              </w:tabs>
              <w:spacing w:before="1" w:line="266" w:lineRule="exact"/>
              <w:ind w:left="551"/>
              <w:rPr>
                <w:rFonts w:ascii="Times New Roman" w:eastAsia="Times New Roman"/>
                <w:sz w:val="21"/>
              </w:rPr>
            </w:pPr>
            <w:r>
              <w:rPr>
                <w:color w:val="FF0000"/>
                <w:sz w:val="21"/>
              </w:rPr>
              <w:t>电话</w:t>
            </w:r>
            <w:r>
              <w:rPr>
                <w:color w:val="FF0000"/>
                <w:spacing w:val="-10"/>
                <w:sz w:val="21"/>
              </w:rPr>
              <w:t>：</w:t>
            </w:r>
            <w:r>
              <w:rPr>
                <w:rFonts w:ascii="Times New Roman" w:eastAsia="Times New Roman"/>
                <w:color w:val="FF0000"/>
                <w:sz w:val="21"/>
                <w:u w:val="single" w:color="FF0000"/>
              </w:rPr>
              <w:tab/>
            </w:r>
          </w:p>
        </w:tc>
      </w:tr>
      <w:tr>
        <w:tblPrEx>
          <w:tblW w:w="0" w:type="auto"/>
          <w:jc w:val="left"/>
          <w:tblInd w:w="530" w:type="dxa"/>
          <w:tblLayout w:type="fixed"/>
          <w:tblCellMar>
            <w:top w:w="0" w:type="dxa"/>
            <w:left w:w="0" w:type="dxa"/>
            <w:bottom w:w="0" w:type="dxa"/>
            <w:right w:w="0" w:type="dxa"/>
          </w:tblCellMar>
          <w:tblLook w:val="01E0"/>
        </w:tblPrEx>
        <w:trPr>
          <w:trHeight w:val="3681"/>
          <w:jc w:val="left"/>
        </w:trPr>
        <w:tc>
          <w:tcPr>
            <w:tcW w:w="534" w:type="dxa"/>
            <w:tcBorders>
              <w:left w:val="single" w:sz="8"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
              <w:rPr>
                <w:sz w:val="16"/>
              </w:rPr>
            </w:pPr>
          </w:p>
          <w:p>
            <w:pPr>
              <w:pStyle w:val="TableParagraph"/>
              <w:ind w:right="82"/>
              <w:jc w:val="right"/>
              <w:rPr>
                <w:sz w:val="21"/>
              </w:rPr>
            </w:pPr>
            <w:r>
              <w:rPr>
                <w:spacing w:val="-5"/>
                <w:sz w:val="21"/>
              </w:rPr>
              <w:t>29</w:t>
            </w:r>
          </w:p>
        </w:tc>
        <w:tc>
          <w:tcPr>
            <w:tcW w:w="738"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
              <w:rPr>
                <w:sz w:val="16"/>
              </w:rPr>
            </w:pPr>
          </w:p>
          <w:p>
            <w:pPr>
              <w:pStyle w:val="TableParagraph"/>
              <w:ind w:right="131"/>
              <w:jc w:val="right"/>
              <w:rPr>
                <w:sz w:val="21"/>
              </w:rPr>
            </w:pPr>
            <w:r>
              <w:rPr>
                <w:spacing w:val="-4"/>
                <w:sz w:val="21"/>
              </w:rPr>
              <w:t>33.1</w:t>
            </w:r>
          </w:p>
        </w:tc>
        <w:tc>
          <w:tcPr>
            <w:tcW w:w="1240"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38"/>
              <w:ind w:left="112" w:right="69"/>
              <w:jc w:val="center"/>
              <w:rPr>
                <w:rFonts w:ascii="Microsoft JhengHei" w:eastAsia="Microsoft JhengHei"/>
                <w:b/>
                <w:sz w:val="21"/>
              </w:rPr>
            </w:pPr>
            <w:r>
              <w:rPr>
                <w:rFonts w:ascii="Microsoft JhengHei" w:eastAsia="Microsoft JhengHei"/>
                <w:b/>
                <w:spacing w:val="-5"/>
                <w:sz w:val="21"/>
              </w:rPr>
              <w:t>其他</w:t>
            </w:r>
          </w:p>
        </w:tc>
        <w:tc>
          <w:tcPr>
            <w:tcW w:w="6604" w:type="dxa"/>
            <w:tcBorders>
              <w:right w:val="single" w:sz="8" w:space="0" w:color="000000"/>
            </w:tcBorders>
          </w:tcPr>
          <w:p>
            <w:pPr>
              <w:pStyle w:val="TableParagraph"/>
              <w:spacing w:before="3" w:line="364" w:lineRule="auto"/>
              <w:ind w:left="107" w:right="86"/>
              <w:rPr>
                <w:sz w:val="21"/>
              </w:rPr>
            </w:pPr>
            <w:r>
              <w:rPr>
                <w:spacing w:val="-2"/>
                <w:sz w:val="21"/>
              </w:rPr>
              <w:t>1、中标单位根据专家的建议意见及业主、规划管理部门的要求修改设</w:t>
            </w:r>
            <w:r>
              <w:rPr>
                <w:spacing w:val="-2"/>
                <w:sz w:val="21"/>
              </w:rPr>
              <w:t>计方案，直至通过规划管理部门的审批。</w:t>
            </w:r>
          </w:p>
          <w:p>
            <w:pPr>
              <w:pStyle w:val="TableParagraph"/>
              <w:spacing w:line="268" w:lineRule="exact"/>
              <w:ind w:left="107"/>
              <w:rPr>
                <w:sz w:val="21"/>
              </w:rPr>
            </w:pPr>
            <w:r>
              <w:rPr>
                <w:sz w:val="21"/>
              </w:rPr>
              <w:t>2</w:t>
            </w:r>
            <w:r>
              <w:rPr>
                <w:spacing w:val="-1"/>
                <w:sz w:val="21"/>
              </w:rPr>
              <w:t>、中标单位必须根据规划管理部门审批方案进行优化和施工图设计。</w:t>
            </w:r>
          </w:p>
          <w:p>
            <w:pPr>
              <w:pStyle w:val="TableParagraph"/>
              <w:spacing w:before="12"/>
              <w:rPr>
                <w:sz w:val="17"/>
              </w:rPr>
            </w:pPr>
          </w:p>
          <w:p>
            <w:pPr>
              <w:pStyle w:val="TableParagraph"/>
              <w:ind w:left="107"/>
              <w:rPr>
                <w:sz w:val="21"/>
              </w:rPr>
            </w:pPr>
            <w:r>
              <w:rPr>
                <w:sz w:val="21"/>
              </w:rPr>
              <w:t>3</w:t>
            </w:r>
            <w:r>
              <w:rPr>
                <w:spacing w:val="-1"/>
                <w:sz w:val="21"/>
              </w:rPr>
              <w:t>、专用本与通用本不一致的，以专用本为准</w:t>
            </w:r>
          </w:p>
          <w:p>
            <w:pPr>
              <w:pStyle w:val="TableParagraph"/>
              <w:spacing w:before="111" w:line="338" w:lineRule="auto"/>
              <w:ind w:left="107" w:right="86"/>
              <w:rPr>
                <w:sz w:val="21"/>
              </w:rPr>
            </w:pPr>
            <w:r>
              <w:rPr>
                <w:spacing w:val="-2"/>
                <w:sz w:val="21"/>
              </w:rPr>
              <w:t>4、</w:t>
            </w:r>
            <w:r>
              <w:rPr>
                <w:color w:val="FF0000"/>
                <w:spacing w:val="-2"/>
                <w:sz w:val="21"/>
              </w:rPr>
              <w:t>中标人应向市工程交易中心缴纳建设工程交易费，标准及收费依据</w:t>
            </w:r>
            <w:r>
              <w:rPr>
                <w:color w:val="FF0000"/>
                <w:spacing w:val="-2"/>
                <w:sz w:val="21"/>
              </w:rPr>
              <w:t>见《福建物价局关于重新规范建设工程交易服务收费标准及有关问题</w:t>
            </w:r>
            <w:r>
              <w:rPr>
                <w:color w:val="FF0000"/>
                <w:spacing w:val="-27"/>
                <w:sz w:val="21"/>
              </w:rPr>
              <w:t>的通知》</w:t>
            </w:r>
            <w:r>
              <w:rPr>
                <w:color w:val="FF0000"/>
                <w:sz w:val="21"/>
              </w:rPr>
              <w:t>（闽价[2003]</w:t>
            </w:r>
            <w:r>
              <w:rPr>
                <w:color w:val="FF0000"/>
                <w:spacing w:val="-11"/>
                <w:sz w:val="21"/>
              </w:rPr>
              <w:t xml:space="preserve">房 </w:t>
            </w:r>
            <w:r>
              <w:rPr>
                <w:color w:val="FF0000"/>
                <w:sz w:val="21"/>
              </w:rPr>
              <w:t>505</w:t>
            </w:r>
            <w:r>
              <w:rPr>
                <w:color w:val="FF0000"/>
                <w:spacing w:val="-6"/>
                <w:sz w:val="21"/>
              </w:rPr>
              <w:t xml:space="preserve"> 号文件</w:t>
            </w:r>
          </w:p>
          <w:p>
            <w:pPr>
              <w:pStyle w:val="TableParagraph"/>
              <w:spacing w:before="9"/>
              <w:ind w:left="107"/>
              <w:rPr>
                <w:sz w:val="21"/>
              </w:rPr>
            </w:pPr>
            <w:r>
              <w:rPr>
                <w:color w:val="FF0000"/>
                <w:sz w:val="20"/>
              </w:rPr>
              <w:t>5、</w:t>
            </w:r>
            <w:r>
              <w:rPr>
                <w:color w:val="FF0000"/>
                <w:spacing w:val="-1"/>
                <w:sz w:val="21"/>
              </w:rPr>
              <w:t xml:space="preserve">招标代理服务费为 </w:t>
            </w:r>
            <w:r>
              <w:rPr>
                <w:color w:val="FF0000"/>
                <w:sz w:val="21"/>
              </w:rPr>
              <w:t>6000</w:t>
            </w:r>
            <w:r>
              <w:rPr>
                <w:color w:val="FF0000"/>
                <w:spacing w:val="-4"/>
                <w:sz w:val="21"/>
              </w:rPr>
              <w:t xml:space="preserve"> 元，由中标人支付。中标人应在领取中标</w:t>
            </w:r>
          </w:p>
          <w:p>
            <w:pPr>
              <w:pStyle w:val="TableParagraph"/>
              <w:spacing w:before="7"/>
              <w:rPr>
                <w:sz w:val="15"/>
              </w:rPr>
            </w:pPr>
          </w:p>
          <w:p>
            <w:pPr>
              <w:pStyle w:val="TableParagraph"/>
              <w:ind w:left="107"/>
              <w:rPr>
                <w:sz w:val="21"/>
              </w:rPr>
            </w:pPr>
            <w:r>
              <w:rPr>
                <w:color w:val="FF0000"/>
                <w:spacing w:val="-1"/>
                <w:sz w:val="21"/>
              </w:rPr>
              <w:t>通知书的同时以现金形式支付给招标代理机构。</w:t>
            </w:r>
          </w:p>
        </w:tc>
      </w:tr>
    </w:tbl>
    <w:p>
      <w:pPr>
        <w:spacing w:after="0"/>
        <w:rPr>
          <w:sz w:val="21"/>
        </w:rPr>
        <w:sectPr>
          <w:headerReference w:type="even" r:id="rId50"/>
          <w:headerReference w:type="default" r:id="rId51"/>
          <w:footerReference w:type="even" r:id="rId52"/>
          <w:footerReference w:type="default" r:id="rId53"/>
          <w:pgSz w:w="11910" w:h="16840"/>
          <w:pgMar w:top="1380" w:right="800" w:bottom="1200" w:left="960" w:header="971" w:footer="1002"/>
          <w:pgNumType w:start="5"/>
          <w:cols w:space="708"/>
        </w:sectPr>
      </w:pPr>
    </w:p>
    <w:p>
      <w:pPr>
        <w:pStyle w:val="Heading3"/>
        <w:tabs>
          <w:tab w:val="left" w:pos="1886"/>
        </w:tabs>
        <w:spacing w:before="56"/>
        <w:ind w:left="426"/>
      </w:pPr>
      <w:bookmarkStart w:id="3" w:name="_TOC_250020"/>
      <w:r>
        <w:t>第</w:t>
      </w:r>
      <w:r>
        <w:rPr>
          <w:spacing w:val="1"/>
        </w:rPr>
        <w:t xml:space="preserve"> </w:t>
      </w:r>
      <w:r>
        <w:rPr>
          <w:rFonts w:ascii="Arial" w:eastAsia="Arial"/>
        </w:rPr>
        <w:t>2</w:t>
      </w:r>
      <w:r>
        <w:rPr>
          <w:rFonts w:ascii="Arial" w:eastAsia="Arial"/>
          <w:spacing w:val="-9"/>
        </w:rPr>
        <w:t xml:space="preserve"> </w:t>
      </w:r>
      <w:r>
        <w:rPr>
          <w:spacing w:val="-10"/>
        </w:rPr>
        <w:t>节</w:t>
      </w:r>
      <w:r>
        <w:tab/>
        <w:t>投</w:t>
      </w:r>
      <w:r>
        <w:t>标</w:t>
      </w:r>
      <w:r>
        <w:t>须</w:t>
      </w:r>
      <w:r>
        <w:t>知</w:t>
      </w:r>
      <w:r>
        <w:t>和</w:t>
      </w:r>
      <w:r>
        <w:t>附</w:t>
      </w:r>
      <w:bookmarkEnd w:id="3"/>
      <w:r>
        <w:rPr>
          <w:spacing w:val="-10"/>
        </w:rPr>
        <w:t>件</w:t>
      </w:r>
    </w:p>
    <w:p>
      <w:pPr>
        <w:pStyle w:val="BodyText"/>
        <w:spacing w:before="7"/>
        <w:rPr>
          <w:rFonts w:ascii="Microsoft JhengHei"/>
          <w:b/>
          <w:sz w:val="29"/>
        </w:rPr>
      </w:pPr>
    </w:p>
    <w:p>
      <w:pPr>
        <w:pStyle w:val="BodyText"/>
        <w:spacing w:line="324" w:lineRule="auto"/>
        <w:ind w:left="628" w:right="615" w:firstLine="470"/>
        <w:jc w:val="both"/>
        <w:rPr>
          <w:rFonts w:ascii="黑体" w:eastAsia="黑体" w:hAnsi="黑体"/>
        </w:rPr>
      </w:pPr>
      <w:r>
        <w:rPr>
          <w:rFonts w:ascii="Arial" w:eastAsia="Arial" w:hAnsi="Arial"/>
          <w:spacing w:val="-2"/>
        </w:rPr>
        <w:t xml:space="preserve">19.1 </w:t>
      </w:r>
      <w:r>
        <w:rPr>
          <w:rFonts w:ascii="黑体" w:eastAsia="黑体" w:hAnsi="黑体"/>
          <w:spacing w:val="-2"/>
        </w:rPr>
        <w:t>资格审查文件、商务文件必须提交网上投标文件，同时提交一份电子自版投</w:t>
      </w:r>
      <w:r>
        <w:rPr>
          <w:rFonts w:ascii="黑体" w:eastAsia="黑体" w:hAnsi="黑体"/>
        </w:rPr>
        <w:t>标文件</w:t>
      </w:r>
      <w:r>
        <w:rPr>
          <w:rFonts w:ascii="Arial" w:eastAsia="Arial" w:hAnsi="Arial"/>
        </w:rPr>
        <w:t>(</w:t>
      </w:r>
      <w:r>
        <w:rPr>
          <w:rFonts w:ascii="黑体" w:eastAsia="黑体" w:hAnsi="黑体"/>
          <w:spacing w:val="-27"/>
        </w:rPr>
        <w:t>如光盘、</w:t>
      </w:r>
      <w:r>
        <w:rPr>
          <w:rFonts w:ascii="Arial" w:eastAsia="Arial" w:hAnsi="Arial"/>
        </w:rPr>
        <w:t>U</w:t>
      </w:r>
      <w:r>
        <w:rPr>
          <w:rFonts w:ascii="Arial" w:eastAsia="Arial" w:hAnsi="Arial"/>
          <w:spacing w:val="-17"/>
        </w:rPr>
        <w:t xml:space="preserve"> </w:t>
      </w:r>
      <w:r>
        <w:rPr>
          <w:rFonts w:ascii="黑体" w:eastAsia="黑体" w:hAnsi="黑体"/>
          <w:spacing w:val="-24"/>
        </w:rPr>
        <w:t>盘，用无字牛皮纸包卦，封面注明投标项目名称、招标编号和标段</w:t>
      </w:r>
      <w:r>
        <w:rPr>
          <w:rFonts w:ascii="黑体" w:eastAsia="黑体" w:hAnsi="黑体"/>
        </w:rPr>
        <w:t>（如</w:t>
      </w:r>
      <w:r>
        <w:rPr>
          <w:rFonts w:ascii="黑体" w:eastAsia="黑体" w:hAnsi="黑体"/>
          <w:spacing w:val="-2"/>
        </w:rPr>
        <w:t>有）及投标人名称，注明“资格审查文件、商务文件电子版”。接缝处应用卦条密封</w:t>
      </w:r>
      <w:r>
        <w:rPr>
          <w:rFonts w:ascii="黑体" w:eastAsia="黑体" w:hAnsi="黑体"/>
          <w:spacing w:val="-2"/>
        </w:rPr>
        <w:t>并加盖投标人公章</w:t>
      </w:r>
      <w:r>
        <w:rPr>
          <w:rFonts w:ascii="Arial" w:eastAsia="Arial" w:hAnsi="Arial"/>
          <w:spacing w:val="-2"/>
        </w:rPr>
        <w:t>)</w:t>
      </w:r>
      <w:r>
        <w:rPr>
          <w:rFonts w:ascii="黑体" w:eastAsia="黑体" w:hAnsi="黑体"/>
          <w:spacing w:val="-2"/>
        </w:rPr>
        <w:t>备用。投标人是否提交资格审查文件、商务文件以网上投标文件为</w:t>
      </w:r>
      <w:r>
        <w:rPr>
          <w:rFonts w:ascii="黑体" w:eastAsia="黑体" w:hAnsi="黑体"/>
          <w:spacing w:val="-2"/>
        </w:rPr>
        <w:t>准。评标委员会只对网上资格审查文件、商务文件进行评审，特殊情况下由莆田市招</w:t>
      </w:r>
      <w:r>
        <w:rPr>
          <w:rFonts w:ascii="黑体" w:eastAsia="黑体" w:hAnsi="黑体"/>
          <w:spacing w:val="-2"/>
        </w:rPr>
        <w:t>投标办决定启用电子版资格审查文件、商务文件进行评审（若用电子版投标文件进行</w:t>
      </w:r>
      <w:r>
        <w:rPr>
          <w:rFonts w:ascii="黑体" w:eastAsia="黑体" w:hAnsi="黑体"/>
          <w:spacing w:val="-2"/>
        </w:rPr>
        <w:t>评审，则投标人是否提交资格审查文件、商务文件以电子版投标文件为准）。</w:t>
      </w:r>
    </w:p>
    <w:p>
      <w:pPr>
        <w:pStyle w:val="BodyText"/>
        <w:rPr>
          <w:rFonts w:ascii="黑体"/>
        </w:rPr>
      </w:pPr>
    </w:p>
    <w:p>
      <w:pPr>
        <w:pStyle w:val="BodyText"/>
        <w:rPr>
          <w:rFonts w:ascii="黑体"/>
        </w:rPr>
      </w:pPr>
    </w:p>
    <w:p>
      <w:pPr>
        <w:pStyle w:val="BodyText"/>
        <w:rPr>
          <w:rFonts w:ascii="黑体"/>
        </w:rPr>
      </w:pPr>
    </w:p>
    <w:p>
      <w:pPr>
        <w:pStyle w:val="BodyText"/>
        <w:spacing w:before="9"/>
        <w:rPr>
          <w:rFonts w:ascii="黑体"/>
          <w:sz w:val="35"/>
        </w:rPr>
      </w:pPr>
    </w:p>
    <w:p>
      <w:pPr>
        <w:pStyle w:val="Heading5"/>
      </w:pPr>
      <w:bookmarkStart w:id="4" w:name="_TOC_250019"/>
      <w:bookmarkEnd w:id="4"/>
      <w:r>
        <w:rPr>
          <w:spacing w:val="-1"/>
        </w:rPr>
        <w:t>“投标须知和附件”内容见设计招标文件《通用本》</w:t>
      </w:r>
    </w:p>
    <w:p>
      <w:pPr>
        <w:spacing w:after="0"/>
        <w:sectPr>
          <w:headerReference w:type="even" r:id="rId54"/>
          <w:headerReference w:type="default" r:id="rId55"/>
          <w:footerReference w:type="even" r:id="rId56"/>
          <w:footerReference w:type="default" r:id="rId57"/>
          <w:pgSz w:w="11910" w:h="16840"/>
          <w:pgMar w:top="1380" w:right="800" w:bottom="1200" w:left="960" w:header="971" w:footer="1002"/>
          <w:pgNumType w:start="6"/>
          <w:cols w:space="708"/>
        </w:sectPr>
      </w:pPr>
    </w:p>
    <w:p>
      <w:pPr>
        <w:pStyle w:val="BodyText"/>
        <w:spacing w:before="3"/>
        <w:rPr>
          <w:rFonts w:ascii="Microsoft JhengHei"/>
          <w:b/>
          <w:sz w:val="6"/>
        </w:rPr>
      </w:pPr>
    </w:p>
    <w:p>
      <w:pPr>
        <w:pStyle w:val="Heading2"/>
        <w:tabs>
          <w:tab w:val="left" w:pos="4768"/>
        </w:tabs>
        <w:ind w:left="3328"/>
        <w:jc w:val="left"/>
      </w:pPr>
      <w:bookmarkStart w:id="5" w:name="_TOC_250018"/>
      <w:r>
        <w:t>第</w:t>
      </w:r>
      <w:r>
        <w:rPr>
          <w:rFonts w:ascii="Times New Roman" w:eastAsia="Times New Roman"/>
        </w:rPr>
        <w:t>3</w:t>
      </w:r>
      <w:r>
        <w:rPr>
          <w:spacing w:val="-10"/>
        </w:rPr>
        <w:t>章</w:t>
      </w:r>
      <w:r>
        <w:tab/>
        <w:t>评</w:t>
      </w:r>
      <w:r>
        <w:t>标</w:t>
      </w:r>
      <w:r>
        <w:t>办</w:t>
      </w:r>
      <w:r>
        <w:t>法</w:t>
      </w:r>
      <w:r>
        <w:t>和</w:t>
      </w:r>
      <w:r>
        <w:t>标</w:t>
      </w:r>
      <w:bookmarkEnd w:id="5"/>
      <w:r>
        <w:rPr>
          <w:spacing w:val="-10"/>
        </w:rPr>
        <w:t>准</w:t>
      </w:r>
    </w:p>
    <w:p>
      <w:pPr>
        <w:pStyle w:val="BodyText"/>
        <w:spacing w:before="14"/>
        <w:rPr>
          <w:rFonts w:ascii="Microsoft JhengHei"/>
          <w:b/>
          <w:sz w:val="33"/>
        </w:rPr>
      </w:pPr>
    </w:p>
    <w:p>
      <w:pPr>
        <w:pStyle w:val="BodyText"/>
        <w:spacing w:line="360" w:lineRule="exact"/>
        <w:ind w:left="628" w:right="495" w:firstLine="480"/>
      </w:pPr>
      <w:r>
        <w:rPr>
          <w:spacing w:val="-11"/>
        </w:rPr>
        <w:t xml:space="preserve">说明：本章分为三部分，第一部分为第 </w:t>
      </w:r>
      <w:r>
        <w:t>1</w:t>
      </w:r>
      <w:r>
        <w:rPr>
          <w:spacing w:val="-8"/>
        </w:rPr>
        <w:t xml:space="preserve"> 节 评标办法和标准前附表，由招标人根</w:t>
      </w:r>
      <w:r>
        <w:rPr>
          <w:spacing w:val="-2"/>
        </w:rPr>
        <w:t>据招标项目具体特点和实际需要确定本招标项目所选用的评标办法（“</w:t>
      </w:r>
      <w:r>
        <w:rPr>
          <w:spacing w:val="-11"/>
        </w:rPr>
        <w:t>记名投票法”、</w:t>
      </w:r>
      <w:r>
        <w:rPr>
          <w:spacing w:val="-2"/>
        </w:rPr>
        <w:t xml:space="preserve"> </w:t>
      </w:r>
      <w:r>
        <w:t>“排序法”和“综合评估法”三者之一，须与招标公告发布的一致</w:t>
      </w:r>
      <w:r>
        <w:rPr>
          <w:spacing w:val="-60"/>
        </w:rPr>
        <w:t>）；</w:t>
      </w:r>
      <w:r>
        <w:rPr>
          <w:spacing w:val="-6"/>
        </w:rPr>
        <w:t xml:space="preserve">第二部分为第 </w:t>
      </w:r>
      <w:r>
        <w:t>2</w:t>
      </w:r>
      <w:r>
        <w:rPr>
          <w:spacing w:val="-2"/>
        </w:rPr>
        <w:t>节 评标办法和标准数据表，根据所选用的评标办法和标准填入相应的数据，第三部分</w:t>
      </w:r>
      <w:r>
        <w:rPr>
          <w:spacing w:val="-17"/>
        </w:rPr>
        <w:t xml:space="preserve">为第 </w:t>
      </w:r>
      <w:r>
        <w:t>3</w:t>
      </w:r>
      <w:r>
        <w:rPr>
          <w:spacing w:val="-11"/>
        </w:rPr>
        <w:t xml:space="preserve"> 节 评标办法和标准的基本内容，列出“记名投票法”、“排序法”和“综合评</w:t>
      </w:r>
      <w:r>
        <w:rPr>
          <w:spacing w:val="-1"/>
        </w:rPr>
        <w:t>估法”三种评标办法，招标人应将“评标办法和标准前附表” 、“评标办法和标准数</w:t>
      </w:r>
      <w:r>
        <w:rPr>
          <w:spacing w:val="-4"/>
        </w:rPr>
        <w:t>据表” 和“评标办法和标准”配合使用。招标人应在第一部分所确定的评标办法基础</w:t>
      </w:r>
      <w:r>
        <w:rPr>
          <w:spacing w:val="-2"/>
        </w:rPr>
        <w:t>上，从第二部分中选择与该评标办法相对应的评标办法和标准数据表，并对应第三部</w:t>
      </w:r>
      <w:r>
        <w:rPr>
          <w:spacing w:val="-2"/>
        </w:rPr>
        <w:t>分评标办法和标准的基本内容的要求填入数据。</w:t>
      </w:r>
      <w:r>
        <w:rPr>
          <w:rFonts w:ascii="Microsoft JhengHei" w:eastAsia="Microsoft JhengHei" w:hAnsi="Microsoft JhengHei"/>
          <w:b/>
          <w:spacing w:val="-2"/>
          <w:u w:val="double"/>
        </w:rPr>
        <w:t>每一个招标项目只能选择一种评标办</w:t>
      </w:r>
      <w:r>
        <w:rPr>
          <w:rFonts w:ascii="Microsoft JhengHei" w:eastAsia="Microsoft JhengHei" w:hAnsi="Microsoft JhengHei"/>
          <w:b/>
          <w:spacing w:val="-2"/>
          <w:u w:val="double"/>
        </w:rPr>
        <w:t>法</w:t>
      </w:r>
      <w:r>
        <w:rPr>
          <w:spacing w:val="-20"/>
        </w:rPr>
        <w:t>，招标人应根据所选用的评标办法选择相对应的“评标办法和标准数据表</w:t>
      </w:r>
      <w:r>
        <w:rPr>
          <w:spacing w:val="-2"/>
        </w:rPr>
        <w:t>（格式）”，</w:t>
      </w:r>
      <w:r>
        <w:rPr>
          <w:spacing w:val="-2"/>
        </w:rPr>
        <w:t>并在《专用本》中按数据表的格式和内容要求填入具体数据。</w:t>
      </w:r>
    </w:p>
    <w:p>
      <w:pPr>
        <w:spacing w:after="0" w:line="360" w:lineRule="exact"/>
        <w:sectPr>
          <w:headerReference w:type="even" r:id="rId58"/>
          <w:headerReference w:type="default" r:id="rId59"/>
          <w:footerReference w:type="even" r:id="rId60"/>
          <w:footerReference w:type="default" r:id="rId61"/>
          <w:pgSz w:w="11910" w:h="16840"/>
          <w:pgMar w:top="1380" w:right="800" w:bottom="1200" w:left="960" w:header="971" w:footer="1002"/>
          <w:pgNumType w:start="7"/>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9"/>
        </w:rPr>
      </w:pPr>
    </w:p>
    <w:p>
      <w:pPr>
        <w:tabs>
          <w:tab w:val="left" w:pos="4827"/>
        </w:tabs>
        <w:spacing w:before="0" w:line="553" w:lineRule="exact"/>
        <w:ind w:left="3748" w:right="0" w:firstLine="0"/>
        <w:jc w:val="left"/>
        <w:rPr>
          <w:rFonts w:ascii="Microsoft JhengHei" w:eastAsia="Microsoft JhengHei"/>
          <w:b/>
          <w:sz w:val="32"/>
        </w:rPr>
      </w:pPr>
      <w:bookmarkStart w:id="6" w:name="_TOC_250017"/>
      <w:r>
        <w:rPr>
          <w:rFonts w:ascii="Microsoft JhengHei" w:eastAsia="Microsoft JhengHei"/>
          <w:b/>
          <w:sz w:val="32"/>
        </w:rPr>
        <w:t>第</w:t>
      </w:r>
      <w:r>
        <w:rPr>
          <w:rFonts w:ascii="Arial" w:eastAsia="Arial"/>
          <w:b/>
          <w:sz w:val="32"/>
        </w:rPr>
        <w:t>1</w:t>
      </w:r>
      <w:r>
        <w:rPr>
          <w:rFonts w:ascii="Microsoft JhengHei" w:eastAsia="Microsoft JhengHei"/>
          <w:b/>
          <w:spacing w:val="-10"/>
          <w:sz w:val="32"/>
        </w:rPr>
        <w:t>节</w:t>
      </w:r>
      <w:r>
        <w:rPr>
          <w:rFonts w:ascii="Microsoft JhengHei" w:eastAsia="Microsoft JhengHei"/>
          <w:b/>
          <w:sz w:val="32"/>
        </w:rPr>
        <w:tab/>
        <w:t>评</w:t>
      </w:r>
      <w:r>
        <w:rPr>
          <w:rFonts w:ascii="Microsoft JhengHei" w:eastAsia="Microsoft JhengHei"/>
          <w:b/>
          <w:sz w:val="32"/>
        </w:rPr>
        <w:t>标</w:t>
      </w:r>
      <w:r>
        <w:rPr>
          <w:rFonts w:ascii="Microsoft JhengHei" w:eastAsia="Microsoft JhengHei"/>
          <w:b/>
          <w:sz w:val="32"/>
        </w:rPr>
        <w:t>办</w:t>
      </w:r>
      <w:r>
        <w:rPr>
          <w:rFonts w:ascii="Microsoft JhengHei" w:eastAsia="Microsoft JhengHei"/>
          <w:b/>
          <w:sz w:val="32"/>
        </w:rPr>
        <w:t>法</w:t>
      </w:r>
      <w:r>
        <w:rPr>
          <w:rFonts w:ascii="Microsoft JhengHei" w:eastAsia="Microsoft JhengHei"/>
          <w:b/>
          <w:sz w:val="32"/>
        </w:rPr>
        <w:t>和</w:t>
      </w:r>
      <w:r>
        <w:rPr>
          <w:rFonts w:ascii="Microsoft JhengHei" w:eastAsia="Microsoft JhengHei"/>
          <w:b/>
          <w:sz w:val="32"/>
        </w:rPr>
        <w:t>标</w:t>
      </w:r>
      <w:r>
        <w:rPr>
          <w:rFonts w:ascii="Microsoft JhengHei" w:eastAsia="Microsoft JhengHei"/>
          <w:b/>
          <w:sz w:val="32"/>
        </w:rPr>
        <w:t>准</w:t>
      </w:r>
      <w:r>
        <w:rPr>
          <w:rFonts w:ascii="Microsoft JhengHei" w:eastAsia="Microsoft JhengHei"/>
          <w:b/>
          <w:sz w:val="32"/>
        </w:rPr>
        <w:t>前</w:t>
      </w:r>
      <w:r>
        <w:rPr>
          <w:rFonts w:ascii="Microsoft JhengHei" w:eastAsia="Microsoft JhengHei"/>
          <w:b/>
          <w:sz w:val="32"/>
        </w:rPr>
        <w:t>附</w:t>
      </w:r>
      <w:bookmarkEnd w:id="6"/>
      <w:r>
        <w:rPr>
          <w:rFonts w:ascii="Microsoft JhengHei" w:eastAsia="Microsoft JhengHei"/>
          <w:b/>
          <w:spacing w:val="-10"/>
          <w:sz w:val="32"/>
        </w:rPr>
        <w:t>表</w:t>
      </w:r>
    </w:p>
    <w:p>
      <w:pPr>
        <w:pStyle w:val="BodyText"/>
        <w:spacing w:before="1"/>
        <w:rPr>
          <w:rFonts w:ascii="Microsoft JhengHei"/>
          <w:b/>
          <w:sz w:val="41"/>
        </w:rPr>
      </w:pPr>
    </w:p>
    <w:p>
      <w:pPr>
        <w:pStyle w:val="Heading3"/>
        <w:ind w:left="4148"/>
        <w:jc w:val="left"/>
      </w:pPr>
      <w:bookmarkStart w:id="7" w:name="_TOC_250016"/>
      <w:bookmarkEnd w:id="7"/>
      <w:r>
        <w:rPr>
          <w:spacing w:val="-1"/>
        </w:rPr>
        <w:t>评标办法和标准前附表</w:t>
      </w:r>
    </w:p>
    <w:p>
      <w:pPr>
        <w:pStyle w:val="BodyText"/>
        <w:spacing w:before="5"/>
        <w:rPr>
          <w:rFonts w:ascii="Microsoft JhengHei"/>
          <w:b/>
          <w:sz w:val="8"/>
        </w:rPr>
      </w:pPr>
    </w:p>
    <w:tbl>
      <w:tblPr>
        <w:tblStyle w:val="TableNormal5"/>
        <w:tblW w:w="0" w:type="auto"/>
        <w:jc w:val="left"/>
        <w:tblInd w:w="6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0"/>
        <w:gridCol w:w="6840"/>
      </w:tblGrid>
      <w:tr>
        <w:tblPrEx>
          <w:tblW w:w="0" w:type="auto"/>
          <w:jc w:val="left"/>
          <w:tblInd w:w="6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900"/>
          <w:jc w:val="left"/>
        </w:trPr>
        <w:tc>
          <w:tcPr>
            <w:tcW w:w="1980" w:type="dxa"/>
          </w:tcPr>
          <w:p>
            <w:pPr>
              <w:pStyle w:val="TableParagraph"/>
              <w:spacing w:before="9"/>
              <w:rPr>
                <w:rFonts w:ascii="Microsoft JhengHei"/>
                <w:b/>
                <w:sz w:val="17"/>
              </w:rPr>
            </w:pPr>
          </w:p>
          <w:p>
            <w:pPr>
              <w:pStyle w:val="TableParagraph"/>
              <w:spacing w:before="1"/>
              <w:ind w:left="256" w:right="246"/>
              <w:jc w:val="center"/>
              <w:rPr>
                <w:sz w:val="24"/>
              </w:rPr>
            </w:pPr>
            <w:r>
              <w:rPr>
                <w:spacing w:val="-4"/>
                <w:sz w:val="24"/>
              </w:rPr>
              <w:t>招标人</w:t>
            </w:r>
          </w:p>
        </w:tc>
        <w:tc>
          <w:tcPr>
            <w:tcW w:w="6840" w:type="dxa"/>
          </w:tcPr>
          <w:p>
            <w:pPr>
              <w:pStyle w:val="TableParagraph"/>
              <w:spacing w:before="2"/>
              <w:rPr>
                <w:rFonts w:ascii="Microsoft JhengHei"/>
                <w:b/>
                <w:sz w:val="13"/>
              </w:rPr>
            </w:pPr>
          </w:p>
          <w:p>
            <w:pPr>
              <w:pStyle w:val="TableParagraph"/>
              <w:ind w:left="108"/>
              <w:rPr>
                <w:rFonts w:ascii="等线" w:eastAsia="等线"/>
                <w:b/>
                <w:sz w:val="24"/>
              </w:rPr>
            </w:pPr>
            <w:r>
              <w:rPr>
                <w:rFonts w:ascii="等线" w:eastAsia="等线"/>
                <w:b/>
                <w:spacing w:val="-1"/>
                <w:sz w:val="24"/>
                <w:u w:val="thick"/>
              </w:rPr>
              <w:t>福建省莆田市技工学校</w:t>
            </w:r>
          </w:p>
        </w:tc>
      </w:tr>
      <w:tr>
        <w:tblPrEx>
          <w:tblW w:w="0" w:type="auto"/>
          <w:jc w:val="left"/>
          <w:tblInd w:w="633" w:type="dxa"/>
          <w:tblLayout w:type="fixed"/>
          <w:tblCellMar>
            <w:top w:w="0" w:type="dxa"/>
            <w:left w:w="0" w:type="dxa"/>
            <w:bottom w:w="0" w:type="dxa"/>
            <w:right w:w="0" w:type="dxa"/>
          </w:tblCellMar>
          <w:tblLook w:val="01E0"/>
        </w:tblPrEx>
        <w:trPr>
          <w:trHeight w:val="900"/>
          <w:jc w:val="left"/>
        </w:trPr>
        <w:tc>
          <w:tcPr>
            <w:tcW w:w="1980" w:type="dxa"/>
          </w:tcPr>
          <w:p>
            <w:pPr>
              <w:pStyle w:val="TableParagraph"/>
              <w:spacing w:before="9"/>
              <w:rPr>
                <w:rFonts w:ascii="Microsoft JhengHei"/>
                <w:b/>
                <w:sz w:val="17"/>
              </w:rPr>
            </w:pPr>
          </w:p>
          <w:p>
            <w:pPr>
              <w:pStyle w:val="TableParagraph"/>
              <w:spacing w:before="1"/>
              <w:ind w:left="256" w:right="246"/>
              <w:jc w:val="center"/>
              <w:rPr>
                <w:sz w:val="24"/>
              </w:rPr>
            </w:pPr>
            <w:r>
              <w:rPr>
                <w:spacing w:val="-2"/>
                <w:sz w:val="24"/>
              </w:rPr>
              <w:t>招标代理机构</w:t>
            </w:r>
          </w:p>
        </w:tc>
        <w:tc>
          <w:tcPr>
            <w:tcW w:w="6840" w:type="dxa"/>
          </w:tcPr>
          <w:p>
            <w:pPr>
              <w:pStyle w:val="TableParagraph"/>
              <w:spacing w:before="2"/>
              <w:rPr>
                <w:rFonts w:ascii="Microsoft JhengHei"/>
                <w:b/>
                <w:sz w:val="13"/>
              </w:rPr>
            </w:pPr>
          </w:p>
          <w:p>
            <w:pPr>
              <w:pStyle w:val="TableParagraph"/>
              <w:ind w:left="348"/>
              <w:rPr>
                <w:rFonts w:ascii="等线" w:eastAsia="等线"/>
                <w:b/>
                <w:sz w:val="24"/>
              </w:rPr>
            </w:pPr>
            <w:r>
              <w:rPr>
                <w:rFonts w:ascii="等线" w:eastAsia="等线"/>
                <w:b/>
                <w:spacing w:val="-1"/>
                <w:sz w:val="24"/>
                <w:u w:val="thick"/>
              </w:rPr>
              <w:t>福建省仟羽工程咨询有限公司</w:t>
            </w:r>
          </w:p>
        </w:tc>
      </w:tr>
      <w:tr>
        <w:tblPrEx>
          <w:tblW w:w="0" w:type="auto"/>
          <w:jc w:val="left"/>
          <w:tblInd w:w="633" w:type="dxa"/>
          <w:tblLayout w:type="fixed"/>
          <w:tblCellMar>
            <w:top w:w="0" w:type="dxa"/>
            <w:left w:w="0" w:type="dxa"/>
            <w:bottom w:w="0" w:type="dxa"/>
            <w:right w:w="0" w:type="dxa"/>
          </w:tblCellMar>
          <w:tblLook w:val="01E0"/>
        </w:tblPrEx>
        <w:trPr>
          <w:trHeight w:val="1872"/>
          <w:jc w:val="left"/>
        </w:trPr>
        <w:tc>
          <w:tcPr>
            <w:tcW w:w="1980" w:type="dxa"/>
          </w:tcPr>
          <w:p>
            <w:pPr>
              <w:pStyle w:val="TableParagraph"/>
              <w:spacing w:before="3"/>
              <w:rPr>
                <w:rFonts w:ascii="Microsoft JhengHei"/>
                <w:b/>
                <w:sz w:val="34"/>
              </w:rPr>
            </w:pPr>
          </w:p>
          <w:p>
            <w:pPr>
              <w:pStyle w:val="TableParagraph"/>
              <w:spacing w:line="280" w:lineRule="auto"/>
              <w:ind w:left="510" w:right="139" w:hanging="360"/>
              <w:rPr>
                <w:sz w:val="24"/>
              </w:rPr>
            </w:pPr>
            <w:r>
              <w:rPr>
                <w:spacing w:val="-2"/>
                <w:sz w:val="24"/>
              </w:rPr>
              <w:t>招标项目名称和</w:t>
            </w:r>
            <w:r>
              <w:rPr>
                <w:spacing w:val="-4"/>
                <w:sz w:val="24"/>
              </w:rPr>
              <w:t>招标编号</w:t>
            </w:r>
          </w:p>
        </w:tc>
        <w:tc>
          <w:tcPr>
            <w:tcW w:w="6840" w:type="dxa"/>
          </w:tcPr>
          <w:p>
            <w:pPr>
              <w:pStyle w:val="TableParagraph"/>
              <w:spacing w:before="123" w:line="400" w:lineRule="auto"/>
              <w:ind w:left="108" w:right="97"/>
              <w:rPr>
                <w:rFonts w:ascii="等线" w:eastAsia="等线"/>
                <w:b/>
                <w:sz w:val="24"/>
              </w:rPr>
            </w:pPr>
            <w:r>
              <w:rPr>
                <w:spacing w:val="-4"/>
                <w:sz w:val="24"/>
              </w:rPr>
              <w:t>招标项目名称：</w:t>
            </w:r>
            <w:r>
              <w:rPr>
                <w:rFonts w:ascii="等线" w:eastAsia="等线"/>
                <w:b/>
                <w:spacing w:val="-4"/>
                <w:sz w:val="24"/>
                <w:u w:val="thick"/>
              </w:rPr>
              <w:t>福建省莆田市技工学校教学楼勘察、设计（重新</w:t>
            </w:r>
            <w:r>
              <w:rPr>
                <w:rFonts w:ascii="等线" w:eastAsia="等线"/>
                <w:b/>
                <w:spacing w:val="80"/>
                <w:w w:val="150"/>
                <w:sz w:val="24"/>
                <w:u w:val="thick"/>
              </w:rPr>
              <w:t xml:space="preserve">                                               </w:t>
            </w:r>
            <w:r>
              <w:rPr>
                <w:rFonts w:ascii="等线" w:eastAsia="等线"/>
                <w:b/>
                <w:spacing w:val="-4"/>
                <w:sz w:val="24"/>
                <w:u w:val="thick"/>
              </w:rPr>
              <w:t>招标）</w:t>
            </w:r>
          </w:p>
          <w:p>
            <w:pPr>
              <w:pStyle w:val="TableParagraph"/>
              <w:tabs>
                <w:tab w:val="left" w:pos="4139"/>
              </w:tabs>
              <w:spacing w:before="41"/>
              <w:ind w:left="108"/>
              <w:rPr>
                <w:rFonts w:ascii="等线" w:eastAsia="等线"/>
                <w:b/>
                <w:sz w:val="24"/>
              </w:rPr>
            </w:pPr>
            <w:r>
              <w:rPr>
                <w:sz w:val="24"/>
              </w:rPr>
              <w:t>招标编号：</w:t>
            </w:r>
            <w:r>
              <w:rPr>
                <w:rFonts w:ascii="等线" w:eastAsia="等线"/>
                <w:b/>
                <w:sz w:val="24"/>
                <w:u w:val="thick"/>
              </w:rPr>
              <w:t>仟羽莆招字[2014]006</w:t>
            </w:r>
            <w:r>
              <w:rPr>
                <w:rFonts w:ascii="等线" w:eastAsia="等线"/>
                <w:b/>
                <w:spacing w:val="-11"/>
                <w:sz w:val="24"/>
                <w:u w:val="thick"/>
              </w:rPr>
              <w:t xml:space="preserve"> </w:t>
            </w:r>
            <w:r>
              <w:rPr>
                <w:rFonts w:ascii="等线" w:eastAsia="等线"/>
                <w:b/>
                <w:spacing w:val="-10"/>
                <w:sz w:val="24"/>
                <w:u w:val="thick"/>
              </w:rPr>
              <w:t>号</w:t>
            </w:r>
            <w:r>
              <w:rPr>
                <w:rFonts w:ascii="等线" w:eastAsia="等线"/>
                <w:b/>
                <w:sz w:val="24"/>
                <w:u w:val="thick"/>
              </w:rPr>
              <w:tab/>
            </w:r>
          </w:p>
        </w:tc>
      </w:tr>
      <w:tr>
        <w:tblPrEx>
          <w:tblW w:w="0" w:type="auto"/>
          <w:jc w:val="left"/>
          <w:tblInd w:w="633" w:type="dxa"/>
          <w:tblLayout w:type="fixed"/>
          <w:tblCellMar>
            <w:top w:w="0" w:type="dxa"/>
            <w:left w:w="0" w:type="dxa"/>
            <w:bottom w:w="0" w:type="dxa"/>
            <w:right w:w="0" w:type="dxa"/>
          </w:tblCellMar>
          <w:tblLook w:val="01E0"/>
        </w:tblPrEx>
        <w:trPr>
          <w:trHeight w:val="900"/>
          <w:jc w:val="left"/>
        </w:trPr>
        <w:tc>
          <w:tcPr>
            <w:tcW w:w="1980" w:type="dxa"/>
          </w:tcPr>
          <w:p>
            <w:pPr>
              <w:pStyle w:val="TableParagraph"/>
              <w:spacing w:before="142" w:line="280" w:lineRule="auto"/>
              <w:ind w:left="390" w:right="139" w:hanging="240"/>
              <w:rPr>
                <w:sz w:val="24"/>
              </w:rPr>
            </w:pPr>
            <w:r>
              <w:rPr>
                <w:spacing w:val="-2"/>
                <w:sz w:val="24"/>
              </w:rPr>
              <w:t>本招标项目采用</w:t>
            </w:r>
            <w:r>
              <w:rPr>
                <w:spacing w:val="-2"/>
                <w:sz w:val="24"/>
              </w:rPr>
              <w:t>的评标办法</w:t>
            </w:r>
          </w:p>
        </w:tc>
        <w:tc>
          <w:tcPr>
            <w:tcW w:w="6840" w:type="dxa"/>
          </w:tcPr>
          <w:p>
            <w:pPr>
              <w:pStyle w:val="TableParagraph"/>
              <w:spacing w:before="9"/>
              <w:rPr>
                <w:rFonts w:ascii="Microsoft JhengHei"/>
                <w:b/>
                <w:sz w:val="17"/>
              </w:rPr>
            </w:pPr>
          </w:p>
          <w:p>
            <w:pPr>
              <w:pStyle w:val="TableParagraph"/>
              <w:spacing w:before="1"/>
              <w:ind w:left="108"/>
              <w:rPr>
                <w:sz w:val="24"/>
              </w:rPr>
            </w:pPr>
            <w:r>
              <w:rPr>
                <w:spacing w:val="-2"/>
                <w:sz w:val="24"/>
              </w:rPr>
              <w:t>综合评估法</w:t>
            </w:r>
          </w:p>
        </w:tc>
      </w:tr>
    </w:tbl>
    <w:p>
      <w:pPr>
        <w:spacing w:after="0"/>
        <w:rPr>
          <w:sz w:val="24"/>
        </w:rPr>
        <w:sectPr>
          <w:headerReference w:type="even" r:id="rId62"/>
          <w:headerReference w:type="default" r:id="rId63"/>
          <w:footerReference w:type="even" r:id="rId64"/>
          <w:footerReference w:type="default" r:id="rId65"/>
          <w:pgSz w:w="11910" w:h="16840"/>
          <w:pgMar w:top="1380" w:right="800" w:bottom="1200" w:left="960" w:header="971" w:footer="1002"/>
          <w:pgNumType w:start="8"/>
          <w:cols w:space="708"/>
        </w:sectPr>
      </w:pPr>
    </w:p>
    <w:p>
      <w:pPr>
        <w:pStyle w:val="BodyText"/>
        <w:rPr>
          <w:rFonts w:ascii="Microsoft JhengHei"/>
          <w:b/>
          <w:sz w:val="20"/>
        </w:rPr>
      </w:pPr>
    </w:p>
    <w:p>
      <w:pPr>
        <w:pStyle w:val="BodyText"/>
        <w:rPr>
          <w:rFonts w:ascii="Microsoft JhengHei"/>
          <w:b/>
          <w:sz w:val="20"/>
        </w:rPr>
      </w:pPr>
    </w:p>
    <w:p>
      <w:pPr>
        <w:pStyle w:val="BodyText"/>
        <w:spacing w:before="14"/>
        <w:rPr>
          <w:rFonts w:ascii="Microsoft JhengHei"/>
          <w:b/>
          <w:sz w:val="26"/>
        </w:rPr>
      </w:pPr>
    </w:p>
    <w:p>
      <w:pPr>
        <w:spacing w:before="0" w:line="553" w:lineRule="exact"/>
        <w:ind w:left="2211" w:right="0" w:firstLine="0"/>
        <w:jc w:val="left"/>
        <w:rPr>
          <w:rFonts w:ascii="等线" w:eastAsia="等线"/>
          <w:b/>
          <w:sz w:val="32"/>
        </w:rPr>
      </w:pPr>
      <w:bookmarkStart w:id="8" w:name="_TOC_250015"/>
      <w:r>
        <w:rPr>
          <w:rFonts w:ascii="Microsoft JhengHei" w:eastAsia="Microsoft JhengHei"/>
          <w:b/>
          <w:spacing w:val="1"/>
          <w:sz w:val="32"/>
        </w:rPr>
        <w:t xml:space="preserve">第 </w:t>
      </w:r>
      <w:r>
        <w:rPr>
          <w:rFonts w:ascii="Arial" w:eastAsia="Arial"/>
          <w:b/>
          <w:sz w:val="32"/>
        </w:rPr>
        <w:t>2</w:t>
      </w:r>
      <w:r>
        <w:rPr>
          <w:rFonts w:ascii="Arial" w:eastAsia="Arial"/>
          <w:b/>
          <w:spacing w:val="-6"/>
          <w:sz w:val="32"/>
        </w:rPr>
        <w:t xml:space="preserve"> </w:t>
      </w:r>
      <w:r>
        <w:rPr>
          <w:rFonts w:ascii="Microsoft JhengHei" w:eastAsia="Microsoft JhengHei"/>
          <w:b/>
          <w:sz w:val="32"/>
        </w:rPr>
        <w:t>节</w:t>
      </w:r>
      <w:r>
        <w:rPr>
          <w:rFonts w:ascii="Microsoft JhengHei" w:eastAsia="Microsoft JhengHei"/>
          <w:b/>
          <w:spacing w:val="46"/>
          <w:w w:val="150"/>
          <w:sz w:val="32"/>
        </w:rPr>
        <w:t xml:space="preserve"> </w:t>
      </w:r>
      <w:r>
        <w:rPr>
          <w:rFonts w:ascii="Microsoft JhengHei" w:eastAsia="Microsoft JhengHei"/>
          <w:b/>
          <w:sz w:val="32"/>
        </w:rPr>
        <w:t>评标办法和标准数据表</w:t>
      </w:r>
      <w:r>
        <w:rPr>
          <w:rFonts w:ascii="等线" w:eastAsia="等线"/>
          <w:b/>
          <w:sz w:val="32"/>
        </w:rPr>
        <w:t>（综合评估法</w:t>
      </w:r>
      <w:bookmarkEnd w:id="8"/>
      <w:r>
        <w:rPr>
          <w:rFonts w:ascii="等线" w:eastAsia="等线"/>
          <w:b/>
          <w:spacing w:val="-10"/>
          <w:sz w:val="32"/>
        </w:rPr>
        <w:t>）</w:t>
      </w:r>
    </w:p>
    <w:p>
      <w:pPr>
        <w:pStyle w:val="BodyText"/>
        <w:rPr>
          <w:rFonts w:ascii="等线"/>
          <w:b/>
          <w:sz w:val="20"/>
        </w:rPr>
      </w:pPr>
    </w:p>
    <w:p>
      <w:pPr>
        <w:pStyle w:val="BodyText"/>
        <w:rPr>
          <w:rFonts w:ascii="等线"/>
          <w:b/>
          <w:sz w:val="20"/>
        </w:rPr>
      </w:pPr>
    </w:p>
    <w:p>
      <w:pPr>
        <w:pStyle w:val="BodyText"/>
        <w:spacing w:before="13"/>
        <w:rPr>
          <w:rFonts w:ascii="等线"/>
          <w:b/>
          <w:sz w:val="20"/>
        </w:rPr>
      </w:pPr>
    </w:p>
    <w:tbl>
      <w:tblPr>
        <w:tblStyle w:val="TableNormal6"/>
        <w:tblW w:w="0" w:type="auto"/>
        <w:jc w:val="left"/>
        <w:tblInd w:w="6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20"/>
        <w:gridCol w:w="900"/>
        <w:gridCol w:w="1980"/>
        <w:gridCol w:w="5400"/>
      </w:tblGrid>
      <w:tr>
        <w:tblPrEx>
          <w:tblW w:w="0" w:type="auto"/>
          <w:jc w:val="left"/>
          <w:tblInd w:w="6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720"/>
          <w:jc w:val="left"/>
        </w:trPr>
        <w:tc>
          <w:tcPr>
            <w:tcW w:w="720" w:type="dxa"/>
            <w:tcBorders>
              <w:right w:val="single" w:sz="4" w:space="0" w:color="000000"/>
            </w:tcBorders>
          </w:tcPr>
          <w:p>
            <w:pPr>
              <w:pStyle w:val="TableParagraph"/>
              <w:spacing w:before="11"/>
              <w:rPr>
                <w:rFonts w:ascii="等线"/>
                <w:b/>
                <w:sz w:val="15"/>
              </w:rPr>
            </w:pPr>
          </w:p>
          <w:p>
            <w:pPr>
              <w:pStyle w:val="TableParagraph"/>
              <w:ind w:left="108"/>
              <w:rPr>
                <w:sz w:val="24"/>
              </w:rPr>
            </w:pPr>
            <w:r>
              <w:rPr>
                <w:color w:val="FF0000"/>
                <w:spacing w:val="-5"/>
                <w:sz w:val="24"/>
              </w:rPr>
              <w:t>项号</w:t>
            </w:r>
          </w:p>
        </w:tc>
        <w:tc>
          <w:tcPr>
            <w:tcW w:w="900" w:type="dxa"/>
            <w:tcBorders>
              <w:left w:val="single" w:sz="4" w:space="0" w:color="000000"/>
              <w:right w:val="single" w:sz="4" w:space="0" w:color="000000"/>
            </w:tcBorders>
          </w:tcPr>
          <w:p>
            <w:pPr>
              <w:pStyle w:val="TableParagraph"/>
              <w:spacing w:line="360" w:lineRule="atLeast"/>
              <w:ind w:left="113" w:right="92"/>
              <w:rPr>
                <w:sz w:val="24"/>
              </w:rPr>
            </w:pPr>
            <w:r>
              <w:rPr>
                <w:color w:val="FF0000"/>
                <w:spacing w:val="13"/>
                <w:sz w:val="24"/>
              </w:rPr>
              <w:t>条 款</w:t>
            </w:r>
            <w:r>
              <w:rPr>
                <w:color w:val="FF0000"/>
                <w:spacing w:val="-10"/>
                <w:sz w:val="24"/>
              </w:rPr>
              <w:t>号</w:t>
            </w:r>
          </w:p>
        </w:tc>
        <w:tc>
          <w:tcPr>
            <w:tcW w:w="1980" w:type="dxa"/>
            <w:tcBorders>
              <w:top w:val="single" w:sz="4" w:space="0" w:color="000000"/>
              <w:left w:val="single" w:sz="4" w:space="0" w:color="000000"/>
              <w:bottom w:val="single" w:sz="4" w:space="0" w:color="000000"/>
              <w:right w:val="single" w:sz="4" w:space="0" w:color="000000"/>
            </w:tcBorders>
          </w:tcPr>
          <w:p>
            <w:pPr>
              <w:pStyle w:val="TableParagraph"/>
              <w:spacing w:before="11"/>
              <w:rPr>
                <w:rFonts w:ascii="等线"/>
                <w:b/>
                <w:sz w:val="15"/>
              </w:rPr>
            </w:pPr>
          </w:p>
          <w:p>
            <w:pPr>
              <w:pStyle w:val="TableParagraph"/>
              <w:ind w:left="113"/>
              <w:rPr>
                <w:sz w:val="24"/>
              </w:rPr>
            </w:pPr>
            <w:r>
              <w:rPr>
                <w:color w:val="FF0000"/>
                <w:spacing w:val="-3"/>
                <w:sz w:val="24"/>
              </w:rPr>
              <w:t>条款名称</w:t>
            </w:r>
          </w:p>
        </w:tc>
        <w:tc>
          <w:tcPr>
            <w:tcW w:w="5400" w:type="dxa"/>
            <w:tcBorders>
              <w:top w:val="single" w:sz="4" w:space="0" w:color="000000"/>
              <w:left w:val="single" w:sz="4" w:space="0" w:color="000000"/>
              <w:bottom w:val="single" w:sz="4" w:space="0" w:color="000000"/>
            </w:tcBorders>
          </w:tcPr>
          <w:p>
            <w:pPr>
              <w:pStyle w:val="TableParagraph"/>
              <w:spacing w:before="11"/>
              <w:rPr>
                <w:rFonts w:ascii="等线"/>
                <w:b/>
                <w:sz w:val="15"/>
              </w:rPr>
            </w:pPr>
          </w:p>
          <w:p>
            <w:pPr>
              <w:pStyle w:val="TableParagraph"/>
              <w:ind w:left="108"/>
              <w:rPr>
                <w:sz w:val="24"/>
              </w:rPr>
            </w:pPr>
            <w:r>
              <w:rPr>
                <w:color w:val="FF0000"/>
                <w:spacing w:val="-3"/>
                <w:sz w:val="24"/>
              </w:rPr>
              <w:t>编列内容</w:t>
            </w:r>
          </w:p>
        </w:tc>
      </w:tr>
      <w:tr>
        <w:tblPrEx>
          <w:tblW w:w="0" w:type="auto"/>
          <w:jc w:val="left"/>
          <w:tblInd w:w="638" w:type="dxa"/>
          <w:tblLayout w:type="fixed"/>
          <w:tblCellMar>
            <w:top w:w="0" w:type="dxa"/>
            <w:left w:w="0" w:type="dxa"/>
            <w:bottom w:w="0" w:type="dxa"/>
            <w:right w:w="0" w:type="dxa"/>
          </w:tblCellMar>
          <w:tblLook w:val="01E0"/>
        </w:tblPrEx>
        <w:trPr>
          <w:trHeight w:val="1336"/>
          <w:jc w:val="left"/>
        </w:trPr>
        <w:tc>
          <w:tcPr>
            <w:tcW w:w="720" w:type="dxa"/>
            <w:tcBorders>
              <w:right w:val="single" w:sz="4" w:space="0" w:color="000000"/>
            </w:tcBorders>
          </w:tcPr>
          <w:p>
            <w:pPr>
              <w:pStyle w:val="TableParagraph"/>
              <w:spacing w:before="5"/>
              <w:rPr>
                <w:rFonts w:ascii="等线"/>
                <w:b/>
                <w:sz w:val="38"/>
              </w:rPr>
            </w:pPr>
          </w:p>
          <w:p>
            <w:pPr>
              <w:pStyle w:val="TableParagraph"/>
              <w:ind w:left="150"/>
              <w:rPr>
                <w:rFonts w:ascii="Times New Roman"/>
                <w:sz w:val="24"/>
              </w:rPr>
            </w:pPr>
            <w:r>
              <w:rPr>
                <w:rFonts w:ascii="Times New Roman"/>
                <w:color w:val="FF0000"/>
                <w:sz w:val="24"/>
              </w:rPr>
              <w:t>1</w:t>
            </w:r>
          </w:p>
        </w:tc>
        <w:tc>
          <w:tcPr>
            <w:tcW w:w="900" w:type="dxa"/>
            <w:tcBorders>
              <w:left w:val="single" w:sz="4" w:space="0" w:color="000000"/>
              <w:right w:val="single" w:sz="4" w:space="0" w:color="000000"/>
            </w:tcBorders>
          </w:tcPr>
          <w:p>
            <w:pPr>
              <w:pStyle w:val="TableParagraph"/>
              <w:spacing w:before="5"/>
              <w:rPr>
                <w:rFonts w:ascii="等线"/>
                <w:b/>
                <w:sz w:val="38"/>
              </w:rPr>
            </w:pPr>
          </w:p>
          <w:p>
            <w:pPr>
              <w:pStyle w:val="TableParagraph"/>
              <w:ind w:left="292" w:right="272"/>
              <w:jc w:val="center"/>
              <w:rPr>
                <w:rFonts w:ascii="Times New Roman"/>
                <w:sz w:val="24"/>
              </w:rPr>
            </w:pPr>
            <w:r>
              <w:rPr>
                <w:rFonts w:ascii="Times New Roman"/>
                <w:color w:val="FF0000"/>
                <w:spacing w:val="-5"/>
                <w:sz w:val="24"/>
              </w:rPr>
              <w:t>2.1</w:t>
            </w:r>
          </w:p>
        </w:tc>
        <w:tc>
          <w:tcPr>
            <w:tcW w:w="1980" w:type="dxa"/>
            <w:tcBorders>
              <w:top w:val="single" w:sz="4" w:space="0" w:color="000000"/>
              <w:left w:val="single" w:sz="4" w:space="0" w:color="000000"/>
              <w:bottom w:val="single" w:sz="4" w:space="0" w:color="000000"/>
              <w:right w:val="single" w:sz="4" w:space="0" w:color="000000"/>
            </w:tcBorders>
          </w:tcPr>
          <w:p>
            <w:pPr>
              <w:pStyle w:val="TableParagraph"/>
              <w:spacing w:before="4"/>
              <w:rPr>
                <w:rFonts w:ascii="等线"/>
                <w:b/>
                <w:sz w:val="24"/>
              </w:rPr>
            </w:pPr>
          </w:p>
          <w:p>
            <w:pPr>
              <w:pStyle w:val="TableParagraph"/>
              <w:spacing w:line="280" w:lineRule="auto"/>
              <w:ind w:left="113" w:right="92"/>
              <w:rPr>
                <w:sz w:val="24"/>
              </w:rPr>
            </w:pPr>
            <w:r>
              <w:rPr>
                <w:color w:val="FF0000"/>
                <w:spacing w:val="8"/>
                <w:sz w:val="24"/>
              </w:rPr>
              <w:t>评标委员会的组</w:t>
            </w:r>
            <w:r>
              <w:rPr>
                <w:color w:val="FF0000"/>
                <w:spacing w:val="-10"/>
                <w:sz w:val="24"/>
              </w:rPr>
              <w:t>建</w:t>
            </w:r>
          </w:p>
        </w:tc>
        <w:tc>
          <w:tcPr>
            <w:tcW w:w="5400" w:type="dxa"/>
            <w:tcBorders>
              <w:top w:val="single" w:sz="4" w:space="0" w:color="000000"/>
              <w:left w:val="single" w:sz="4" w:space="0" w:color="000000"/>
              <w:bottom w:val="single" w:sz="4" w:space="0" w:color="000000"/>
            </w:tcBorders>
          </w:tcPr>
          <w:p>
            <w:pPr>
              <w:pStyle w:val="TableParagraph"/>
              <w:spacing w:before="57" w:line="294" w:lineRule="exact"/>
              <w:ind w:left="108"/>
              <w:rPr>
                <w:sz w:val="24"/>
              </w:rPr>
            </w:pPr>
            <w:r>
              <w:rPr>
                <w:color w:val="FF0000"/>
                <w:spacing w:val="-8"/>
                <w:sz w:val="24"/>
              </w:rPr>
              <w:t xml:space="preserve">评标委员会构成 </w:t>
            </w:r>
            <w:r>
              <w:rPr>
                <w:rFonts w:ascii="Times New Roman" w:eastAsia="Times New Roman"/>
                <w:color w:val="FF0000"/>
                <w:sz w:val="24"/>
                <w:u w:val="single" w:color="FF0000"/>
              </w:rPr>
              <w:t>5</w:t>
            </w:r>
            <w:r>
              <w:rPr>
                <w:rFonts w:ascii="Times New Roman" w:eastAsia="Times New Roman"/>
                <w:color w:val="FF0000"/>
                <w:spacing w:val="60"/>
                <w:sz w:val="24"/>
                <w:u w:val="single" w:color="FF0000"/>
              </w:rPr>
              <w:t xml:space="preserve"> </w:t>
            </w:r>
            <w:r>
              <w:rPr>
                <w:color w:val="FF0000"/>
                <w:spacing w:val="-10"/>
                <w:sz w:val="24"/>
              </w:rPr>
              <w:t>人</w:t>
            </w:r>
          </w:p>
          <w:p>
            <w:pPr>
              <w:pStyle w:val="TableParagraph"/>
              <w:tabs>
                <w:tab w:val="left" w:pos="2636"/>
                <w:tab w:val="left" w:pos="5291"/>
              </w:tabs>
              <w:spacing w:before="44" w:line="196" w:lineRule="auto"/>
              <w:ind w:left="108" w:right="87"/>
              <w:rPr>
                <w:rFonts w:ascii="Microsoft JhengHei" w:eastAsia="Microsoft JhengHei"/>
                <w:b/>
                <w:sz w:val="24"/>
              </w:rPr>
            </w:pPr>
            <w:r>
              <w:rPr>
                <w:color w:val="FF0000"/>
                <w:sz w:val="24"/>
              </w:rPr>
              <w:t xml:space="preserve">评 标 专 家 确 定 方 式 ： </w:t>
            </w:r>
            <w:r>
              <w:rPr>
                <w:rFonts w:ascii="Microsoft JhengHei" w:eastAsia="Microsoft JhengHei"/>
                <w:b/>
                <w:color w:val="FF0000"/>
                <w:sz w:val="24"/>
                <w:u w:val="thick" w:color="FF0000"/>
              </w:rPr>
              <w:t>从</w:t>
            </w:r>
            <w:r>
              <w:rPr>
                <w:rFonts w:ascii="Microsoft JhengHei" w:eastAsia="Microsoft JhengHei"/>
                <w:b/>
                <w:color w:val="FF0000"/>
                <w:spacing w:val="40"/>
                <w:sz w:val="24"/>
                <w:u w:val="thick" w:color="FF0000"/>
              </w:rPr>
              <w:t xml:space="preserve"> </w:t>
            </w:r>
            <w:r>
              <w:rPr>
                <w:rFonts w:ascii="Microsoft JhengHei" w:eastAsia="Microsoft JhengHei"/>
                <w:b/>
                <w:color w:val="FF0000"/>
                <w:sz w:val="24"/>
                <w:u w:val="thick" w:color="FF0000"/>
              </w:rPr>
              <w:t>福</w:t>
            </w:r>
            <w:r>
              <w:rPr>
                <w:rFonts w:ascii="Microsoft JhengHei" w:eastAsia="Microsoft JhengHei"/>
                <w:b/>
                <w:color w:val="FF0000"/>
                <w:spacing w:val="40"/>
                <w:sz w:val="24"/>
                <w:u w:val="thick" w:color="FF0000"/>
              </w:rPr>
              <w:t xml:space="preserve"> </w:t>
            </w:r>
            <w:r>
              <w:rPr>
                <w:rFonts w:ascii="Microsoft JhengHei" w:eastAsia="Microsoft JhengHei"/>
                <w:b/>
                <w:color w:val="FF0000"/>
                <w:sz w:val="24"/>
                <w:u w:val="thick" w:color="FF0000"/>
              </w:rPr>
              <w:t>建</w:t>
            </w:r>
            <w:r>
              <w:rPr>
                <w:rFonts w:ascii="Microsoft JhengHei" w:eastAsia="Microsoft JhengHei"/>
                <w:b/>
                <w:color w:val="FF0000"/>
                <w:spacing w:val="40"/>
                <w:sz w:val="24"/>
                <w:u w:val="thick" w:color="FF0000"/>
              </w:rPr>
              <w:t xml:space="preserve"> </w:t>
            </w:r>
            <w:r>
              <w:rPr>
                <w:rFonts w:ascii="Microsoft JhengHei" w:eastAsia="Microsoft JhengHei"/>
                <w:b/>
                <w:color w:val="FF0000"/>
                <w:sz w:val="24"/>
                <w:u w:val="thick" w:color="FF0000"/>
              </w:rPr>
              <w:t>省</w:t>
              <w:tab/>
            </w:r>
            <w:r>
              <w:rPr>
                <w:rFonts w:ascii="Microsoft JhengHei" w:eastAsia="Microsoft JhengHei"/>
                <w:b/>
                <w:color w:val="FF0000"/>
                <w:sz w:val="24"/>
              </w:rPr>
              <w:t xml:space="preserve"> </w:t>
            </w:r>
            <w:r>
              <w:rPr>
                <w:rFonts w:ascii="Microsoft JhengHei" w:eastAsia="Microsoft JhengHei"/>
                <w:b/>
                <w:color w:val="FF0000"/>
                <w:spacing w:val="-2"/>
                <w:sz w:val="24"/>
                <w:u w:val="thick" w:color="FF0000"/>
              </w:rPr>
              <w:t>工</w:t>
            </w:r>
            <w:r>
              <w:rPr>
                <w:rFonts w:ascii="Microsoft JhengHei" w:eastAsia="Microsoft JhengHei"/>
                <w:b/>
                <w:color w:val="FF0000"/>
                <w:spacing w:val="-2"/>
                <w:sz w:val="24"/>
                <w:u w:val="thick" w:color="FF0000"/>
              </w:rPr>
              <w:t>程</w:t>
            </w:r>
            <w:r>
              <w:rPr>
                <w:rFonts w:ascii="Microsoft JhengHei" w:eastAsia="Microsoft JhengHei"/>
                <w:b/>
                <w:color w:val="FF0000"/>
                <w:spacing w:val="-2"/>
                <w:sz w:val="24"/>
                <w:u w:val="thick" w:color="FF0000"/>
              </w:rPr>
              <w:t>专</w:t>
            </w:r>
            <w:r>
              <w:rPr>
                <w:rFonts w:ascii="Microsoft JhengHei" w:eastAsia="Microsoft JhengHei"/>
                <w:b/>
                <w:color w:val="FF0000"/>
                <w:spacing w:val="-2"/>
                <w:sz w:val="24"/>
                <w:u w:val="thick" w:color="FF0000"/>
              </w:rPr>
              <w:t>家</w:t>
            </w:r>
            <w:r>
              <w:rPr>
                <w:rFonts w:ascii="Microsoft JhengHei" w:eastAsia="Microsoft JhengHei"/>
                <w:b/>
                <w:color w:val="FF0000"/>
                <w:spacing w:val="-2"/>
                <w:sz w:val="24"/>
                <w:u w:val="thick" w:color="FF0000"/>
              </w:rPr>
              <w:t>库</w:t>
            </w:r>
            <w:r>
              <w:rPr>
                <w:rFonts w:ascii="Microsoft JhengHei" w:eastAsia="Microsoft JhengHei"/>
                <w:b/>
                <w:color w:val="FF0000"/>
                <w:spacing w:val="-2"/>
                <w:sz w:val="24"/>
                <w:u w:val="thick" w:color="FF0000"/>
              </w:rPr>
              <w:t>中</w:t>
            </w:r>
            <w:r>
              <w:rPr>
                <w:rFonts w:ascii="Microsoft JhengHei" w:eastAsia="Microsoft JhengHei"/>
                <w:b/>
                <w:color w:val="FF0000"/>
                <w:spacing w:val="-2"/>
                <w:sz w:val="24"/>
                <w:u w:val="thick" w:color="FF0000"/>
              </w:rPr>
              <w:t>抽</w:t>
            </w:r>
            <w:r>
              <w:rPr>
                <w:rFonts w:ascii="Microsoft JhengHei" w:eastAsia="Microsoft JhengHei"/>
                <w:b/>
                <w:color w:val="FF0000"/>
                <w:spacing w:val="-2"/>
                <w:sz w:val="24"/>
                <w:u w:val="thick" w:color="FF0000"/>
              </w:rPr>
              <w:t>取</w:t>
            </w:r>
            <w:r>
              <w:rPr>
                <w:rFonts w:ascii="Microsoft JhengHei" w:eastAsia="Microsoft JhengHei"/>
                <w:b/>
                <w:color w:val="FF0000"/>
                <w:spacing w:val="-2"/>
                <w:sz w:val="24"/>
                <w:u w:val="thick" w:color="FF0000"/>
              </w:rPr>
              <w:t>。</w:t>
            </w:r>
            <w:r>
              <w:rPr>
                <w:rFonts w:ascii="Microsoft JhengHei" w:eastAsia="Microsoft JhengHei"/>
                <w:b/>
                <w:color w:val="FF0000"/>
                <w:sz w:val="24"/>
                <w:u w:val="thick" w:color="FF0000"/>
              </w:rPr>
              <w:tab/>
            </w:r>
          </w:p>
        </w:tc>
      </w:tr>
      <w:tr>
        <w:tblPrEx>
          <w:tblW w:w="0" w:type="auto"/>
          <w:jc w:val="left"/>
          <w:tblInd w:w="638" w:type="dxa"/>
          <w:tblLayout w:type="fixed"/>
          <w:tblCellMar>
            <w:top w:w="0" w:type="dxa"/>
            <w:left w:w="0" w:type="dxa"/>
            <w:bottom w:w="0" w:type="dxa"/>
            <w:right w:w="0" w:type="dxa"/>
          </w:tblCellMar>
          <w:tblLook w:val="01E0"/>
        </w:tblPrEx>
        <w:trPr>
          <w:trHeight w:val="1058"/>
          <w:jc w:val="left"/>
        </w:trPr>
        <w:tc>
          <w:tcPr>
            <w:tcW w:w="720" w:type="dxa"/>
            <w:tcBorders>
              <w:right w:val="single" w:sz="4" w:space="0" w:color="000000"/>
            </w:tcBorders>
          </w:tcPr>
          <w:p>
            <w:pPr>
              <w:pStyle w:val="TableParagraph"/>
              <w:spacing w:before="1"/>
              <w:rPr>
                <w:rFonts w:ascii="等线"/>
                <w:b/>
                <w:sz w:val="29"/>
              </w:rPr>
            </w:pPr>
          </w:p>
          <w:p>
            <w:pPr>
              <w:pStyle w:val="TableParagraph"/>
              <w:ind w:left="150"/>
              <w:rPr>
                <w:rFonts w:ascii="Times New Roman"/>
                <w:sz w:val="24"/>
              </w:rPr>
            </w:pPr>
            <w:r>
              <w:rPr>
                <w:rFonts w:ascii="Times New Roman"/>
                <w:color w:val="FF0000"/>
                <w:sz w:val="24"/>
              </w:rPr>
              <w:t>2</w:t>
            </w:r>
          </w:p>
        </w:tc>
        <w:tc>
          <w:tcPr>
            <w:tcW w:w="900" w:type="dxa"/>
            <w:tcBorders>
              <w:left w:val="single" w:sz="4" w:space="0" w:color="000000"/>
              <w:right w:val="single" w:sz="4" w:space="0" w:color="000000"/>
            </w:tcBorders>
          </w:tcPr>
          <w:p>
            <w:pPr>
              <w:pStyle w:val="TableParagraph"/>
              <w:spacing w:before="1"/>
              <w:rPr>
                <w:rFonts w:ascii="等线"/>
                <w:b/>
                <w:sz w:val="29"/>
              </w:rPr>
            </w:pPr>
          </w:p>
          <w:p>
            <w:pPr>
              <w:pStyle w:val="TableParagraph"/>
              <w:ind w:left="292" w:right="272"/>
              <w:jc w:val="center"/>
              <w:rPr>
                <w:rFonts w:ascii="Times New Roman"/>
                <w:sz w:val="24"/>
              </w:rPr>
            </w:pPr>
            <w:r>
              <w:rPr>
                <w:rFonts w:ascii="Times New Roman"/>
                <w:color w:val="FF0000"/>
                <w:spacing w:val="-5"/>
                <w:sz w:val="24"/>
              </w:rPr>
              <w:t>6.1</w:t>
            </w:r>
          </w:p>
        </w:tc>
        <w:tc>
          <w:tcPr>
            <w:tcW w:w="1980" w:type="dxa"/>
            <w:tcBorders>
              <w:top w:val="single" w:sz="4" w:space="0" w:color="000000"/>
              <w:left w:val="single" w:sz="4" w:space="0" w:color="000000"/>
              <w:bottom w:val="single" w:sz="4" w:space="0" w:color="000000"/>
              <w:right w:val="single" w:sz="4" w:space="0" w:color="000000"/>
            </w:tcBorders>
          </w:tcPr>
          <w:p>
            <w:pPr>
              <w:pStyle w:val="TableParagraph"/>
              <w:spacing w:before="14"/>
              <w:rPr>
                <w:rFonts w:ascii="等线"/>
                <w:b/>
                <w:sz w:val="26"/>
              </w:rPr>
            </w:pPr>
          </w:p>
          <w:p>
            <w:pPr>
              <w:pStyle w:val="TableParagraph"/>
              <w:spacing w:before="1"/>
              <w:ind w:left="113"/>
              <w:rPr>
                <w:sz w:val="24"/>
              </w:rPr>
            </w:pPr>
            <w:r>
              <w:rPr>
                <w:color w:val="FF0000"/>
                <w:spacing w:val="-2"/>
                <w:sz w:val="24"/>
              </w:rPr>
              <w:t>资格审查方式</w:t>
            </w:r>
          </w:p>
        </w:tc>
        <w:tc>
          <w:tcPr>
            <w:tcW w:w="5400" w:type="dxa"/>
            <w:tcBorders>
              <w:top w:val="single" w:sz="4" w:space="0" w:color="000000"/>
              <w:left w:val="single" w:sz="4" w:space="0" w:color="000000"/>
              <w:bottom w:val="single" w:sz="4" w:space="0" w:color="000000"/>
            </w:tcBorders>
          </w:tcPr>
          <w:p>
            <w:pPr>
              <w:pStyle w:val="TableParagraph"/>
              <w:tabs>
                <w:tab w:val="left" w:pos="1795"/>
                <w:tab w:val="left" w:pos="3847"/>
              </w:tabs>
              <w:spacing w:before="47" w:line="278" w:lineRule="auto"/>
              <w:ind w:left="108" w:right="87" w:firstLine="480"/>
              <w:rPr>
                <w:sz w:val="24"/>
              </w:rPr>
            </w:pPr>
            <w:r>
              <w:rPr>
                <w:color w:val="FF0000"/>
                <w:spacing w:val="-6"/>
                <w:sz w:val="24"/>
              </w:rPr>
              <w:t>采</w:t>
            </w:r>
            <w:r>
              <w:rPr>
                <w:color w:val="FF0000"/>
                <w:spacing w:val="-6"/>
                <w:sz w:val="24"/>
              </w:rPr>
              <w:t>用</w:t>
            </w:r>
            <w:r>
              <w:rPr>
                <w:rFonts w:ascii="Times New Roman" w:eastAsia="Times New Roman"/>
                <w:i/>
                <w:color w:val="FF0000"/>
                <w:sz w:val="25"/>
                <w:u w:val="single" w:color="FF0000"/>
              </w:rPr>
              <w:tab/>
            </w:r>
            <w:r>
              <w:rPr>
                <w:color w:val="FF0000"/>
                <w:spacing w:val="-4"/>
                <w:sz w:val="25"/>
                <w:u w:val="single" w:color="FF0000"/>
              </w:rPr>
              <w:t>资</w:t>
            </w:r>
            <w:r>
              <w:rPr>
                <w:color w:val="FF0000"/>
                <w:spacing w:val="-4"/>
                <w:sz w:val="25"/>
                <w:u w:val="single" w:color="FF0000"/>
              </w:rPr>
              <w:t>格</w:t>
            </w:r>
            <w:r>
              <w:rPr>
                <w:color w:val="FF0000"/>
                <w:spacing w:val="-4"/>
                <w:sz w:val="25"/>
                <w:u w:val="single" w:color="FF0000"/>
              </w:rPr>
              <w:t>后</w:t>
            </w:r>
            <w:r>
              <w:rPr>
                <w:color w:val="FF0000"/>
                <w:spacing w:val="-4"/>
                <w:sz w:val="25"/>
                <w:u w:val="single" w:color="FF0000"/>
              </w:rPr>
              <w:t>审</w:t>
            </w:r>
            <w:r>
              <w:rPr>
                <w:color w:val="FF0000"/>
                <w:sz w:val="25"/>
                <w:u w:val="single" w:color="FF0000"/>
              </w:rPr>
              <w:tab/>
            </w:r>
            <w:r>
              <w:rPr>
                <w:color w:val="FF0000"/>
                <w:spacing w:val="-2"/>
                <w:sz w:val="24"/>
              </w:rPr>
              <w:t>方</w:t>
            </w:r>
            <w:r>
              <w:rPr>
                <w:color w:val="FF0000"/>
                <w:spacing w:val="-2"/>
                <w:sz w:val="24"/>
              </w:rPr>
              <w:t>式</w:t>
            </w:r>
            <w:r>
              <w:rPr>
                <w:color w:val="FF0000"/>
                <w:spacing w:val="-2"/>
                <w:sz w:val="24"/>
              </w:rPr>
              <w:t>对</w:t>
            </w:r>
            <w:r>
              <w:rPr>
                <w:color w:val="FF0000"/>
                <w:spacing w:val="-2"/>
                <w:sz w:val="24"/>
              </w:rPr>
              <w:t>投</w:t>
            </w:r>
            <w:r>
              <w:rPr>
                <w:color w:val="FF0000"/>
                <w:spacing w:val="-2"/>
                <w:sz w:val="24"/>
              </w:rPr>
              <w:t>标</w:t>
            </w:r>
            <w:r>
              <w:rPr>
                <w:color w:val="FF0000"/>
                <w:spacing w:val="-2"/>
                <w:sz w:val="24"/>
              </w:rPr>
              <w:t>人</w:t>
            </w:r>
            <w:r>
              <w:rPr>
                <w:color w:val="FF0000"/>
                <w:spacing w:val="-2"/>
                <w:sz w:val="24"/>
              </w:rPr>
              <w:t>进</w:t>
            </w:r>
            <w:r>
              <w:rPr>
                <w:color w:val="FF0000"/>
                <w:spacing w:val="-2"/>
                <w:sz w:val="24"/>
              </w:rPr>
              <w:t>行</w:t>
            </w:r>
            <w:r>
              <w:rPr>
                <w:color w:val="FF0000"/>
                <w:spacing w:val="-2"/>
                <w:sz w:val="24"/>
              </w:rPr>
              <w:t>资</w:t>
            </w:r>
            <w:r>
              <w:rPr>
                <w:color w:val="FF0000"/>
                <w:spacing w:val="-2"/>
                <w:sz w:val="24"/>
              </w:rPr>
              <w:t>格</w:t>
            </w:r>
            <w:r>
              <w:rPr>
                <w:color w:val="FF0000"/>
                <w:spacing w:val="-2"/>
                <w:sz w:val="24"/>
              </w:rPr>
              <w:t>审</w:t>
            </w:r>
            <w:r>
              <w:rPr>
                <w:color w:val="FF0000"/>
                <w:spacing w:val="-2"/>
                <w:sz w:val="24"/>
              </w:rPr>
              <w:t>查</w:t>
            </w:r>
            <w:r>
              <w:rPr>
                <w:color w:val="FF0000"/>
                <w:spacing w:val="-2"/>
                <w:sz w:val="24"/>
              </w:rPr>
              <w:t>。</w:t>
            </w:r>
          </w:p>
        </w:tc>
      </w:tr>
      <w:tr>
        <w:tblPrEx>
          <w:tblW w:w="0" w:type="auto"/>
          <w:jc w:val="left"/>
          <w:tblInd w:w="638" w:type="dxa"/>
          <w:tblLayout w:type="fixed"/>
          <w:tblCellMar>
            <w:top w:w="0" w:type="dxa"/>
            <w:left w:w="0" w:type="dxa"/>
            <w:bottom w:w="0" w:type="dxa"/>
            <w:right w:w="0" w:type="dxa"/>
          </w:tblCellMar>
          <w:tblLook w:val="01E0"/>
        </w:tblPrEx>
        <w:trPr>
          <w:trHeight w:val="1827"/>
          <w:jc w:val="left"/>
        </w:trPr>
        <w:tc>
          <w:tcPr>
            <w:tcW w:w="720" w:type="dxa"/>
            <w:tcBorders>
              <w:right w:val="single" w:sz="4" w:space="0" w:color="000000"/>
            </w:tcBorders>
          </w:tcPr>
          <w:p>
            <w:pPr>
              <w:pStyle w:val="TableParagraph"/>
              <w:rPr>
                <w:rFonts w:ascii="等线"/>
                <w:b/>
                <w:sz w:val="26"/>
              </w:rPr>
            </w:pPr>
          </w:p>
          <w:p>
            <w:pPr>
              <w:pStyle w:val="TableParagraph"/>
              <w:spacing w:before="9"/>
              <w:rPr>
                <w:rFonts w:ascii="等线"/>
                <w:b/>
                <w:sz w:val="28"/>
              </w:rPr>
            </w:pPr>
          </w:p>
          <w:p>
            <w:pPr>
              <w:pStyle w:val="TableParagraph"/>
              <w:ind w:left="150"/>
              <w:rPr>
                <w:rFonts w:ascii="Times New Roman"/>
                <w:sz w:val="24"/>
              </w:rPr>
            </w:pPr>
            <w:r>
              <w:rPr>
                <w:rFonts w:ascii="Times New Roman"/>
                <w:color w:val="FF0000"/>
                <w:sz w:val="24"/>
              </w:rPr>
              <w:t>3</w:t>
            </w:r>
          </w:p>
        </w:tc>
        <w:tc>
          <w:tcPr>
            <w:tcW w:w="900" w:type="dxa"/>
            <w:tcBorders>
              <w:left w:val="single" w:sz="4" w:space="0" w:color="000000"/>
              <w:right w:val="single" w:sz="4" w:space="0" w:color="000000"/>
            </w:tcBorders>
          </w:tcPr>
          <w:p>
            <w:pPr>
              <w:pStyle w:val="TableParagraph"/>
              <w:rPr>
                <w:rFonts w:ascii="等线"/>
                <w:b/>
                <w:sz w:val="26"/>
              </w:rPr>
            </w:pPr>
          </w:p>
          <w:p>
            <w:pPr>
              <w:pStyle w:val="TableParagraph"/>
              <w:spacing w:before="9"/>
              <w:rPr>
                <w:rFonts w:ascii="等线"/>
                <w:b/>
                <w:sz w:val="28"/>
              </w:rPr>
            </w:pPr>
          </w:p>
          <w:p>
            <w:pPr>
              <w:pStyle w:val="TableParagraph"/>
              <w:ind w:left="292" w:right="272"/>
              <w:jc w:val="center"/>
              <w:rPr>
                <w:rFonts w:ascii="Times New Roman"/>
                <w:sz w:val="24"/>
              </w:rPr>
            </w:pPr>
            <w:r>
              <w:rPr>
                <w:rFonts w:ascii="Times New Roman"/>
                <w:color w:val="FF0000"/>
                <w:spacing w:val="-5"/>
                <w:sz w:val="24"/>
              </w:rPr>
              <w:t>9.3</w:t>
            </w:r>
          </w:p>
        </w:tc>
        <w:tc>
          <w:tcPr>
            <w:tcW w:w="1980" w:type="dxa"/>
            <w:tcBorders>
              <w:top w:val="single" w:sz="4" w:space="0" w:color="000000"/>
              <w:left w:val="single" w:sz="4" w:space="0" w:color="000000"/>
              <w:bottom w:val="single" w:sz="4" w:space="0" w:color="000000"/>
              <w:right w:val="single" w:sz="4" w:space="0" w:color="000000"/>
            </w:tcBorders>
          </w:tcPr>
          <w:p>
            <w:pPr>
              <w:pStyle w:val="TableParagraph"/>
              <w:spacing w:before="9"/>
              <w:rPr>
                <w:rFonts w:ascii="等线"/>
                <w:b/>
                <w:sz w:val="28"/>
              </w:rPr>
            </w:pPr>
          </w:p>
          <w:p>
            <w:pPr>
              <w:pStyle w:val="TableParagraph"/>
              <w:spacing w:line="280" w:lineRule="auto"/>
              <w:ind w:left="113" w:right="92"/>
              <w:jc w:val="both"/>
              <w:rPr>
                <w:sz w:val="24"/>
              </w:rPr>
            </w:pPr>
            <w:r>
              <w:rPr>
                <w:color w:val="FF0000"/>
                <w:spacing w:val="8"/>
                <w:sz w:val="24"/>
              </w:rPr>
              <w:t>设计方案和专题</w:t>
            </w:r>
            <w:r>
              <w:rPr>
                <w:color w:val="FF0000"/>
                <w:spacing w:val="8"/>
                <w:sz w:val="24"/>
              </w:rPr>
              <w:t>分析各分值的详</w:t>
            </w:r>
            <w:r>
              <w:rPr>
                <w:color w:val="FF0000"/>
                <w:spacing w:val="-4"/>
                <w:sz w:val="24"/>
              </w:rPr>
              <w:t>细分布</w:t>
            </w:r>
          </w:p>
        </w:tc>
        <w:tc>
          <w:tcPr>
            <w:tcW w:w="5400" w:type="dxa"/>
            <w:tcBorders>
              <w:top w:val="single" w:sz="4" w:space="0" w:color="000000"/>
              <w:left w:val="single" w:sz="4" w:space="0" w:color="000000"/>
              <w:bottom w:val="single" w:sz="4" w:space="0" w:color="000000"/>
            </w:tcBorders>
          </w:tcPr>
          <w:p>
            <w:pPr>
              <w:pStyle w:val="TableParagraph"/>
              <w:spacing w:before="57"/>
              <w:ind w:left="108"/>
              <w:rPr>
                <w:sz w:val="24"/>
              </w:rPr>
            </w:pPr>
            <w:r>
              <w:rPr>
                <w:color w:val="FF0000"/>
                <w:spacing w:val="-4"/>
                <w:sz w:val="24"/>
              </w:rPr>
              <w:t>见下表</w:t>
            </w:r>
          </w:p>
        </w:tc>
      </w:tr>
    </w:tbl>
    <w:p>
      <w:pPr>
        <w:spacing w:after="0"/>
        <w:rPr>
          <w:sz w:val="24"/>
        </w:rPr>
        <w:sectPr>
          <w:headerReference w:type="even" r:id="rId66"/>
          <w:headerReference w:type="default" r:id="rId67"/>
          <w:footerReference w:type="even" r:id="rId68"/>
          <w:footerReference w:type="default" r:id="rId69"/>
          <w:pgSz w:w="11910" w:h="16840"/>
          <w:pgMar w:top="1380" w:right="800" w:bottom="1200" w:left="960" w:header="971" w:footer="1002"/>
          <w:pgNumType w:start="9"/>
          <w:cols w:space="708"/>
        </w:sectPr>
      </w:pPr>
    </w:p>
    <w:p>
      <w:pPr>
        <w:pStyle w:val="BodyText"/>
        <w:rPr>
          <w:rFonts w:ascii="等线"/>
          <w:b/>
        </w:rPr>
      </w:pPr>
    </w:p>
    <w:p>
      <w:pPr>
        <w:pStyle w:val="BodyText"/>
        <w:spacing w:before="10"/>
        <w:rPr>
          <w:rFonts w:ascii="等线"/>
          <w:b/>
          <w:sz w:val="19"/>
        </w:rPr>
      </w:pPr>
    </w:p>
    <w:p>
      <w:pPr>
        <w:pStyle w:val="ListParagraph"/>
        <w:numPr>
          <w:ilvl w:val="0"/>
          <w:numId w:val="19"/>
        </w:numPr>
        <w:tabs>
          <w:tab w:val="left" w:pos="1350"/>
        </w:tabs>
        <w:spacing w:before="0" w:after="0" w:line="240" w:lineRule="auto"/>
        <w:ind w:left="1349" w:right="0" w:hanging="242"/>
        <w:jc w:val="left"/>
        <w:rPr>
          <w:rFonts w:ascii="微软雅黑" w:eastAsia="微软雅黑"/>
          <w:b/>
          <w:sz w:val="22"/>
        </w:rPr>
      </w:pPr>
      <w:r>
        <w:rPr>
          <w:rFonts w:ascii="微软雅黑" w:eastAsia="微软雅黑"/>
          <w:b/>
          <w:spacing w:val="-5"/>
          <w:sz w:val="24"/>
        </w:rPr>
        <w:t>总则</w:t>
      </w:r>
    </w:p>
    <w:p>
      <w:pPr>
        <w:pStyle w:val="Heading4"/>
        <w:spacing w:before="154"/>
        <w:ind w:left="1108"/>
      </w:pPr>
      <w:bookmarkStart w:id="9" w:name="_TOC_250014"/>
      <w:r>
        <w:br w:type="column"/>
      </w:r>
      <w:r>
        <w:rPr>
          <w:color w:val="FF0000"/>
          <w:spacing w:val="-40"/>
        </w:rPr>
        <w:t xml:space="preserve">第 </w:t>
      </w:r>
      <w:r>
        <w:rPr>
          <w:rFonts w:ascii="Times New Roman" w:eastAsia="Times New Roman"/>
          <w:color w:val="FF0000"/>
        </w:rPr>
        <w:t xml:space="preserve">3 </w:t>
      </w:r>
      <w:bookmarkEnd w:id="9"/>
      <w:r>
        <w:rPr>
          <w:color w:val="FF0000"/>
          <w:spacing w:val="-2"/>
        </w:rPr>
        <w:t>节评标办法和标准</w:t>
      </w:r>
    </w:p>
    <w:p>
      <w:pPr>
        <w:spacing w:after="0"/>
        <w:sectPr>
          <w:headerReference w:type="even" r:id="rId70"/>
          <w:headerReference w:type="default" r:id="rId71"/>
          <w:footerReference w:type="even" r:id="rId72"/>
          <w:footerReference w:type="default" r:id="rId73"/>
          <w:pgSz w:w="11910" w:h="16840"/>
          <w:pgMar w:top="1380" w:right="800" w:bottom="1200" w:left="960" w:header="971" w:footer="1002"/>
          <w:pgNumType w:start="10"/>
          <w:cols w:num="2" w:space="708" w:equalWidth="0">
            <w:col w:w="1871" w:space="529"/>
            <w:col w:w="7750" w:space="0"/>
          </w:cols>
        </w:sectPr>
      </w:pPr>
    </w:p>
    <w:p>
      <w:pPr>
        <w:pStyle w:val="BodyText"/>
        <w:spacing w:line="280" w:lineRule="auto"/>
        <w:ind w:left="628" w:right="496" w:firstLine="360"/>
      </w:pPr>
      <w:r>
        <w:rPr>
          <w:spacing w:val="-5"/>
        </w:rPr>
        <w:t>本招标项目评标依据《中华人民共和国招标投标法》、《中华人民共和国招标投标</w:t>
      </w:r>
      <w:r>
        <w:rPr>
          <w:spacing w:val="-17"/>
        </w:rPr>
        <w:t>法实施条例》、《评标委员会和评标方法暂行规定》</w:t>
      </w:r>
      <w:r>
        <w:rPr>
          <w:spacing w:val="-2"/>
        </w:rPr>
        <w:t>（</w:t>
      </w:r>
      <w:r>
        <w:rPr>
          <w:spacing w:val="-9"/>
        </w:rPr>
        <w:t xml:space="preserve">国家发计委等 </w:t>
      </w:r>
      <w:r>
        <w:rPr>
          <w:spacing w:val="-2"/>
        </w:rPr>
        <w:t>7</w:t>
      </w:r>
      <w:r>
        <w:rPr>
          <w:spacing w:val="-20"/>
        </w:rPr>
        <w:t xml:space="preserve"> 部委令第 </w:t>
      </w:r>
      <w:r>
        <w:rPr>
          <w:spacing w:val="-2"/>
        </w:rPr>
        <w:t>12</w:t>
      </w:r>
      <w:r>
        <w:rPr>
          <w:spacing w:val="-27"/>
        </w:rPr>
        <w:t xml:space="preserve"> 号</w:t>
      </w:r>
      <w:r>
        <w:rPr>
          <w:spacing w:val="-2"/>
        </w:rPr>
        <w:t>）</w:t>
      </w:r>
      <w:r>
        <w:t>和《福建省招标投标条例》（</w:t>
      </w:r>
      <w:r>
        <w:rPr>
          <w:spacing w:val="-4"/>
        </w:rPr>
        <w:t xml:space="preserve">福建省人民代表大会常务委员会 </w:t>
      </w:r>
      <w:r>
        <w:t>2006</w:t>
      </w:r>
      <w:r>
        <w:rPr>
          <w:spacing w:val="-40"/>
        </w:rPr>
        <w:t xml:space="preserve"> 年 </w:t>
      </w:r>
      <w:r>
        <w:t>8</w:t>
      </w:r>
      <w:r>
        <w:rPr>
          <w:spacing w:val="-40"/>
        </w:rPr>
        <w:t xml:space="preserve"> 月 </w:t>
      </w:r>
      <w:r>
        <w:t>4</w:t>
      </w:r>
      <w:r>
        <w:rPr>
          <w:spacing w:val="-15"/>
        </w:rPr>
        <w:t xml:space="preserve"> 日通过</w:t>
      </w:r>
      <w:r>
        <w:t>）</w:t>
      </w:r>
      <w:r>
        <w:rPr>
          <w:spacing w:val="-2"/>
        </w:rPr>
        <w:t>等国家、地方有关招标投标的法律、法规、规章和规定。</w:t>
      </w:r>
    </w:p>
    <w:p>
      <w:pPr>
        <w:pStyle w:val="ListParagraph"/>
        <w:numPr>
          <w:ilvl w:val="0"/>
          <w:numId w:val="19"/>
        </w:numPr>
        <w:tabs>
          <w:tab w:val="left" w:pos="1470"/>
        </w:tabs>
        <w:spacing w:before="0" w:after="0" w:line="364" w:lineRule="exact"/>
        <w:ind w:left="1469" w:right="0" w:hanging="362"/>
        <w:jc w:val="left"/>
        <w:rPr>
          <w:rFonts w:ascii="微软雅黑" w:eastAsia="微软雅黑"/>
          <w:b/>
          <w:sz w:val="22"/>
        </w:rPr>
      </w:pPr>
      <w:r>
        <w:rPr>
          <w:rFonts w:ascii="微软雅黑" w:eastAsia="微软雅黑"/>
          <w:b/>
          <w:spacing w:val="-2"/>
          <w:sz w:val="24"/>
        </w:rPr>
        <w:t>评标委员会</w:t>
      </w:r>
    </w:p>
    <w:p>
      <w:pPr>
        <w:pStyle w:val="ListParagraph"/>
        <w:numPr>
          <w:ilvl w:val="1"/>
          <w:numId w:val="19"/>
        </w:numPr>
        <w:tabs>
          <w:tab w:val="left" w:pos="1468"/>
        </w:tabs>
        <w:spacing w:before="0" w:after="0" w:line="280" w:lineRule="auto"/>
        <w:ind w:left="628" w:right="615" w:firstLine="360"/>
        <w:jc w:val="both"/>
        <w:rPr>
          <w:sz w:val="24"/>
        </w:rPr>
      </w:pPr>
      <w:r>
        <w:rPr>
          <w:spacing w:val="-7"/>
          <w:sz w:val="24"/>
        </w:rPr>
        <w:t>本招标项目由招标人依法组建的评标委员会负责评标，其评标委员会成员的组</w:t>
      </w:r>
      <w:r>
        <w:rPr>
          <w:spacing w:val="-7"/>
          <w:sz w:val="24"/>
        </w:rPr>
        <w:t xml:space="preserve">成要求见本招标文件投标须知第 </w:t>
      </w:r>
      <w:r>
        <w:rPr>
          <w:spacing w:val="-6"/>
          <w:sz w:val="24"/>
        </w:rPr>
        <w:t>23</w:t>
      </w:r>
      <w:r>
        <w:rPr>
          <w:spacing w:val="-9"/>
          <w:sz w:val="24"/>
        </w:rPr>
        <w:t xml:space="preserve"> 条，具体确定方式见“评标办法和标准数据表</w:t>
      </w:r>
      <w:r>
        <w:rPr>
          <w:spacing w:val="-6"/>
          <w:sz w:val="24"/>
        </w:rPr>
        <w:t>（记</w:t>
      </w:r>
      <w:r>
        <w:rPr>
          <w:sz w:val="24"/>
        </w:rPr>
        <w:t>名投票法）”</w:t>
      </w:r>
      <w:r>
        <w:rPr>
          <w:spacing w:val="-11"/>
          <w:sz w:val="24"/>
        </w:rPr>
        <w:t xml:space="preserve">第 </w:t>
      </w:r>
      <w:r>
        <w:rPr>
          <w:sz w:val="24"/>
        </w:rPr>
        <w:t>1</w:t>
      </w:r>
      <w:r>
        <w:rPr>
          <w:spacing w:val="-8"/>
          <w:sz w:val="24"/>
        </w:rPr>
        <w:t xml:space="preserve"> 项。</w:t>
      </w:r>
    </w:p>
    <w:p>
      <w:pPr>
        <w:pStyle w:val="ListParagraph"/>
        <w:numPr>
          <w:ilvl w:val="1"/>
          <w:numId w:val="19"/>
        </w:numPr>
        <w:tabs>
          <w:tab w:val="left" w:pos="1468"/>
        </w:tabs>
        <w:spacing w:before="0" w:after="0" w:line="280" w:lineRule="auto"/>
        <w:ind w:left="628" w:right="517" w:firstLine="360"/>
        <w:jc w:val="left"/>
        <w:rPr>
          <w:sz w:val="24"/>
        </w:rPr>
      </w:pPr>
      <w:r>
        <w:rPr>
          <w:spacing w:val="-2"/>
          <w:sz w:val="24"/>
        </w:rPr>
        <w:t>采用资格预审方式对投标人进行资格审查的，招标人应组建资格审查委员会，</w:t>
      </w:r>
      <w:r>
        <w:rPr>
          <w:spacing w:val="-1"/>
          <w:sz w:val="24"/>
        </w:rPr>
        <w:t xml:space="preserve">负责对投标申请人的《资格审查文件》进行评审，其成员由 </w:t>
      </w:r>
      <w:r>
        <w:rPr>
          <w:sz w:val="24"/>
        </w:rPr>
        <w:t>5</w:t>
      </w:r>
      <w:r>
        <w:rPr>
          <w:spacing w:val="-5"/>
          <w:sz w:val="24"/>
        </w:rPr>
        <w:t xml:space="preserve"> 人以上单数组成，专家</w:t>
      </w:r>
      <w:r>
        <w:rPr>
          <w:spacing w:val="-2"/>
          <w:sz w:val="24"/>
        </w:rPr>
        <w:t>成员应不少于总数的三分之二。</w:t>
      </w:r>
    </w:p>
    <w:p>
      <w:pPr>
        <w:pStyle w:val="ListParagraph"/>
        <w:numPr>
          <w:ilvl w:val="0"/>
          <w:numId w:val="19"/>
        </w:numPr>
        <w:tabs>
          <w:tab w:val="left" w:pos="1350"/>
        </w:tabs>
        <w:spacing w:before="0" w:after="0" w:line="363" w:lineRule="exact"/>
        <w:ind w:left="1349" w:right="0" w:hanging="362"/>
        <w:jc w:val="left"/>
        <w:rPr>
          <w:rFonts w:ascii="微软雅黑" w:eastAsia="微软雅黑"/>
          <w:b/>
          <w:sz w:val="24"/>
        </w:rPr>
      </w:pPr>
      <w:r>
        <w:rPr>
          <w:rFonts w:ascii="微软雅黑" w:eastAsia="微软雅黑"/>
          <w:b/>
          <w:sz w:val="24"/>
        </w:rPr>
        <w:t>评标委员会在评标过程中应当遵守下列规</w:t>
      </w:r>
      <w:r>
        <w:rPr>
          <w:spacing w:val="-5"/>
          <w:sz w:val="24"/>
        </w:rPr>
        <w:t>定：</w:t>
      </w:r>
    </w:p>
    <w:p>
      <w:pPr>
        <w:pStyle w:val="ListParagraph"/>
        <w:numPr>
          <w:ilvl w:val="1"/>
          <w:numId w:val="19"/>
        </w:numPr>
        <w:tabs>
          <w:tab w:val="left" w:pos="1468"/>
        </w:tabs>
        <w:spacing w:before="0" w:after="0" w:line="280" w:lineRule="auto"/>
        <w:ind w:left="628" w:right="616" w:firstLine="360"/>
        <w:jc w:val="both"/>
        <w:rPr>
          <w:sz w:val="24"/>
        </w:rPr>
      </w:pPr>
      <w:r>
        <w:rPr>
          <w:spacing w:val="-7"/>
          <w:sz w:val="24"/>
        </w:rPr>
        <w:t>评标委员会应当根据招标文件规定的评标办法和标准，对投标文件进行系统地</w:t>
      </w:r>
      <w:r>
        <w:rPr>
          <w:spacing w:val="-2"/>
          <w:sz w:val="24"/>
        </w:rPr>
        <w:t>评审和比较。</w:t>
      </w:r>
    </w:p>
    <w:p>
      <w:pPr>
        <w:pStyle w:val="ListParagraph"/>
        <w:numPr>
          <w:ilvl w:val="1"/>
          <w:numId w:val="19"/>
        </w:numPr>
        <w:tabs>
          <w:tab w:val="left" w:pos="1468"/>
        </w:tabs>
        <w:spacing w:before="0" w:after="0" w:line="280" w:lineRule="auto"/>
        <w:ind w:left="628" w:right="616" w:firstLine="360"/>
        <w:jc w:val="both"/>
        <w:rPr>
          <w:sz w:val="24"/>
        </w:rPr>
      </w:pPr>
      <w:r>
        <w:rPr>
          <w:spacing w:val="-7"/>
          <w:sz w:val="24"/>
        </w:rPr>
        <w:t>对投标人进行资格审查和商务文件的符合性、响应性审查进行评审应当按照招</w:t>
      </w:r>
      <w:r>
        <w:rPr>
          <w:spacing w:val="-2"/>
          <w:sz w:val="24"/>
        </w:rPr>
        <w:t>标文件规定的内容和标准。资格审查不合格或不响应招标文件要求的投标文件按废标</w:t>
      </w:r>
      <w:r>
        <w:rPr>
          <w:spacing w:val="-2"/>
          <w:sz w:val="24"/>
        </w:rPr>
        <w:t>处理。商务文件的详细评审（评分）和技术文件的评审均应由评标委员会负责。</w:t>
      </w:r>
    </w:p>
    <w:p>
      <w:pPr>
        <w:pStyle w:val="ListParagraph"/>
        <w:numPr>
          <w:ilvl w:val="1"/>
          <w:numId w:val="19"/>
        </w:numPr>
        <w:tabs>
          <w:tab w:val="left" w:pos="1408"/>
        </w:tabs>
        <w:spacing w:before="0" w:after="0" w:line="280" w:lineRule="auto"/>
        <w:ind w:left="628" w:right="616" w:firstLine="360"/>
        <w:jc w:val="both"/>
        <w:rPr>
          <w:sz w:val="24"/>
        </w:rPr>
      </w:pPr>
      <w:r>
        <w:rPr>
          <w:spacing w:val="-2"/>
          <w:sz w:val="24"/>
        </w:rPr>
        <w:t>对技术文件的评审采用暗标式评审办法，即评标工作人员将没有标明投标人名</w:t>
      </w:r>
      <w:r>
        <w:rPr>
          <w:spacing w:val="-2"/>
          <w:sz w:val="24"/>
        </w:rPr>
        <w:t>称的技术文件副本进行编号后，交给评委会进行评审，技术文件副本评审结果确定后</w:t>
      </w:r>
      <w:r>
        <w:rPr>
          <w:spacing w:val="-2"/>
          <w:sz w:val="24"/>
        </w:rPr>
        <w:t>打开正本核对各编号的投标人，并对正本进行评审确认。</w:t>
      </w:r>
    </w:p>
    <w:p>
      <w:pPr>
        <w:pStyle w:val="ListParagraph"/>
        <w:numPr>
          <w:ilvl w:val="1"/>
          <w:numId w:val="19"/>
        </w:numPr>
        <w:tabs>
          <w:tab w:val="left" w:pos="1408"/>
        </w:tabs>
        <w:spacing w:before="0" w:after="0" w:line="280" w:lineRule="auto"/>
        <w:ind w:left="628" w:right="616" w:firstLine="360"/>
        <w:jc w:val="both"/>
        <w:rPr>
          <w:sz w:val="24"/>
        </w:rPr>
      </w:pPr>
      <w:r>
        <w:rPr>
          <w:spacing w:val="-2"/>
          <w:sz w:val="24"/>
        </w:rPr>
        <w:t>评标应严格按照招标文件中规定的评标标准和办法进行，除了有关法律、法规</w:t>
      </w:r>
      <w:r>
        <w:rPr>
          <w:spacing w:val="-2"/>
          <w:sz w:val="24"/>
        </w:rPr>
        <w:t>以及国家标准中规定的强制性条文外，不得引用招标文件规定以外的标准和办法进行</w:t>
      </w:r>
      <w:r>
        <w:rPr>
          <w:spacing w:val="-4"/>
          <w:sz w:val="24"/>
        </w:rPr>
        <w:t>评审。</w:t>
      </w:r>
    </w:p>
    <w:p>
      <w:pPr>
        <w:pStyle w:val="ListParagraph"/>
        <w:numPr>
          <w:ilvl w:val="1"/>
          <w:numId w:val="19"/>
        </w:numPr>
        <w:tabs>
          <w:tab w:val="left" w:pos="1408"/>
        </w:tabs>
        <w:spacing w:before="0" w:after="0" w:line="280" w:lineRule="auto"/>
        <w:ind w:left="628" w:right="496" w:firstLine="360"/>
        <w:jc w:val="left"/>
        <w:rPr>
          <w:sz w:val="24"/>
        </w:rPr>
      </w:pPr>
      <w:r>
        <w:rPr>
          <w:spacing w:val="-2"/>
          <w:sz w:val="24"/>
        </w:rPr>
        <w:t>评标委员会可以书面方式要求投标人对投标文件中含义不明确、对同类问题表</w:t>
      </w:r>
      <w:r>
        <w:rPr>
          <w:spacing w:val="-2"/>
          <w:sz w:val="24"/>
        </w:rPr>
        <w:t>述不一致或者有明显文字和计算错误的内容作必要的澄清、说明或者补正。评标委员</w:t>
      </w:r>
      <w:r>
        <w:rPr>
          <w:spacing w:val="-2"/>
          <w:sz w:val="24"/>
        </w:rPr>
        <w:t>会不接受投标人主动提出的澄清、说明或者补正。澄清、说明或者补正应以书面方式</w:t>
      </w:r>
      <w:r>
        <w:rPr>
          <w:spacing w:val="-6"/>
          <w:sz w:val="24"/>
        </w:rPr>
        <w:t>进行并不得超出投标文件的范围或者改变投标文件的实质性内容。投标人的书面澄清、</w:t>
      </w:r>
      <w:r>
        <w:rPr>
          <w:spacing w:val="-2"/>
          <w:sz w:val="24"/>
        </w:rPr>
        <w:t>说明或者补正属于投标文件的组成部分。评标委员会对投标人提交的澄清、说明或者</w:t>
      </w:r>
      <w:r>
        <w:rPr>
          <w:spacing w:val="-2"/>
          <w:sz w:val="24"/>
        </w:rPr>
        <w:t>补正有疑问的，可以要求投标人进一步澄清、说明或者补正，直至满足评标委员会的</w:t>
      </w:r>
      <w:r>
        <w:rPr>
          <w:spacing w:val="-2"/>
          <w:sz w:val="24"/>
        </w:rPr>
        <w:t>要求。投标人拒不按照要求对投标文件进行澄清、说明或者补正的，评标委员会可以</w:t>
      </w:r>
      <w:r>
        <w:rPr>
          <w:spacing w:val="-2"/>
          <w:sz w:val="24"/>
        </w:rPr>
        <w:t>否决其投标。</w:t>
      </w:r>
    </w:p>
    <w:p>
      <w:pPr>
        <w:pStyle w:val="ListParagraph"/>
        <w:numPr>
          <w:ilvl w:val="1"/>
          <w:numId w:val="19"/>
        </w:numPr>
        <w:tabs>
          <w:tab w:val="left" w:pos="1408"/>
        </w:tabs>
        <w:spacing w:before="0" w:after="0" w:line="280" w:lineRule="auto"/>
        <w:ind w:left="628" w:right="616" w:firstLine="360"/>
        <w:jc w:val="left"/>
        <w:rPr>
          <w:sz w:val="24"/>
        </w:rPr>
      </w:pPr>
      <w:r>
        <w:rPr>
          <w:spacing w:val="-2"/>
          <w:sz w:val="24"/>
        </w:rPr>
        <w:t>招标文件条款存在含义不清或者相互矛盾的，评标委员会应当针对相应条款作</w:t>
      </w:r>
      <w:r>
        <w:rPr>
          <w:spacing w:val="-2"/>
          <w:sz w:val="24"/>
        </w:rPr>
        <w:t>出有利于相应投标人的结论。</w:t>
      </w:r>
    </w:p>
    <w:p>
      <w:pPr>
        <w:pStyle w:val="ListParagraph"/>
        <w:numPr>
          <w:ilvl w:val="1"/>
          <w:numId w:val="19"/>
        </w:numPr>
        <w:tabs>
          <w:tab w:val="left" w:pos="1408"/>
        </w:tabs>
        <w:spacing w:before="0" w:after="0" w:line="280" w:lineRule="auto"/>
        <w:ind w:left="628" w:right="616" w:firstLine="360"/>
        <w:jc w:val="both"/>
        <w:rPr>
          <w:sz w:val="24"/>
        </w:rPr>
      </w:pPr>
      <w:r>
        <w:rPr>
          <w:spacing w:val="-2"/>
          <w:sz w:val="24"/>
        </w:rPr>
        <w:t>评委的评审意见不一致时，应以书面形式进行表决，并按照少数服从多数的原</w:t>
      </w:r>
      <w:r>
        <w:rPr>
          <w:spacing w:val="-2"/>
          <w:sz w:val="24"/>
        </w:rPr>
        <w:t>则处理。评审结束后，评标委员会应当对否决投标或不采信投标人说明的情况在评标</w:t>
      </w:r>
      <w:r>
        <w:rPr>
          <w:spacing w:val="-2"/>
          <w:sz w:val="24"/>
        </w:rPr>
        <w:t>报告中作详细说明。</w:t>
      </w:r>
    </w:p>
    <w:p>
      <w:pPr>
        <w:spacing w:after="0" w:line="280" w:lineRule="auto"/>
        <w:jc w:val="both"/>
        <w:rPr>
          <w:sz w:val="24"/>
        </w:rPr>
        <w:sectPr>
          <w:headerReference w:type="even" r:id="rId74"/>
          <w:headerReference w:type="default" r:id="rId75"/>
          <w:footerReference w:type="even" r:id="rId76"/>
          <w:footerReference w:type="default" r:id="rId77"/>
          <w:type w:val="continuous"/>
          <w:pgSz w:w="11910" w:h="16840"/>
          <w:pgMar w:top="1380" w:right="800" w:bottom="1200" w:left="960" w:header="971" w:footer="1002"/>
          <w:pgNumType w:start="11"/>
          <w:cols w:space="708"/>
        </w:sectPr>
      </w:pPr>
    </w:p>
    <w:p>
      <w:pPr>
        <w:pStyle w:val="ListParagraph"/>
        <w:numPr>
          <w:ilvl w:val="0"/>
          <w:numId w:val="19"/>
        </w:numPr>
        <w:tabs>
          <w:tab w:val="left" w:pos="1230"/>
        </w:tabs>
        <w:spacing w:before="6" w:after="0" w:line="440" w:lineRule="exact"/>
        <w:ind w:left="1229" w:right="0" w:hanging="242"/>
        <w:jc w:val="left"/>
        <w:rPr>
          <w:rFonts w:ascii="微软雅黑" w:eastAsia="微软雅黑"/>
          <w:b/>
          <w:sz w:val="22"/>
        </w:rPr>
      </w:pPr>
      <w:r>
        <w:rPr>
          <w:rFonts w:ascii="微软雅黑" w:eastAsia="微软雅黑"/>
          <w:b/>
          <w:spacing w:val="-3"/>
          <w:sz w:val="24"/>
        </w:rPr>
        <w:t>评标程序</w:t>
      </w:r>
    </w:p>
    <w:p>
      <w:pPr>
        <w:pStyle w:val="ListParagraph"/>
        <w:numPr>
          <w:ilvl w:val="1"/>
          <w:numId w:val="19"/>
        </w:numPr>
        <w:tabs>
          <w:tab w:val="left" w:pos="1408"/>
        </w:tabs>
        <w:spacing w:before="0" w:after="0" w:line="305" w:lineRule="exact"/>
        <w:ind w:left="1408" w:right="0" w:hanging="420"/>
        <w:jc w:val="left"/>
        <w:rPr>
          <w:sz w:val="24"/>
        </w:rPr>
      </w:pPr>
      <w:r>
        <w:rPr>
          <w:spacing w:val="-1"/>
          <w:sz w:val="24"/>
        </w:rPr>
        <w:t>采用资格后审的，本招标项目评标将按以下程序进行：</w:t>
      </w:r>
    </w:p>
    <w:p>
      <w:pPr>
        <w:pStyle w:val="ListParagraph"/>
        <w:numPr>
          <w:ilvl w:val="0"/>
          <w:numId w:val="18"/>
        </w:numPr>
        <w:tabs>
          <w:tab w:val="left" w:pos="1469"/>
        </w:tabs>
        <w:spacing w:before="52" w:after="0" w:line="240" w:lineRule="auto"/>
        <w:ind w:left="1469" w:right="0" w:hanging="601"/>
        <w:jc w:val="left"/>
        <w:rPr>
          <w:sz w:val="24"/>
        </w:rPr>
      </w:pPr>
      <w:r>
        <w:rPr>
          <w:spacing w:val="-2"/>
          <w:sz w:val="24"/>
        </w:rPr>
        <w:t>评标前准备工作；</w:t>
      </w:r>
    </w:p>
    <w:p>
      <w:pPr>
        <w:pStyle w:val="ListParagraph"/>
        <w:numPr>
          <w:ilvl w:val="0"/>
          <w:numId w:val="18"/>
        </w:numPr>
        <w:tabs>
          <w:tab w:val="left" w:pos="1469"/>
        </w:tabs>
        <w:spacing w:before="53" w:after="0" w:line="240" w:lineRule="auto"/>
        <w:ind w:left="1469" w:right="0" w:hanging="601"/>
        <w:jc w:val="left"/>
        <w:rPr>
          <w:sz w:val="24"/>
        </w:rPr>
      </w:pPr>
      <w:r>
        <w:rPr>
          <w:spacing w:val="-1"/>
          <w:sz w:val="24"/>
        </w:rPr>
        <w:t>对投标人资格审查文件进行评审；</w:t>
      </w:r>
    </w:p>
    <w:p>
      <w:pPr>
        <w:pStyle w:val="ListParagraph"/>
        <w:numPr>
          <w:ilvl w:val="0"/>
          <w:numId w:val="18"/>
        </w:numPr>
        <w:tabs>
          <w:tab w:val="left" w:pos="1469"/>
        </w:tabs>
        <w:spacing w:before="52" w:after="0" w:line="240" w:lineRule="auto"/>
        <w:ind w:left="1469" w:right="0" w:hanging="601"/>
        <w:jc w:val="left"/>
        <w:rPr>
          <w:sz w:val="24"/>
        </w:rPr>
      </w:pPr>
      <w:r>
        <w:rPr>
          <w:sz w:val="24"/>
        </w:rPr>
        <w:t>对商务文件进行初步评审（包括符合性和响应性评审</w:t>
      </w:r>
      <w:r>
        <w:rPr>
          <w:spacing w:val="-5"/>
          <w:sz w:val="24"/>
        </w:rPr>
        <w:t>）；</w:t>
      </w:r>
    </w:p>
    <w:p>
      <w:pPr>
        <w:pStyle w:val="ListParagraph"/>
        <w:numPr>
          <w:ilvl w:val="0"/>
          <w:numId w:val="18"/>
        </w:numPr>
        <w:tabs>
          <w:tab w:val="left" w:pos="1469"/>
        </w:tabs>
        <w:spacing w:before="53" w:after="0" w:line="240" w:lineRule="auto"/>
        <w:ind w:left="1469" w:right="0" w:hanging="601"/>
        <w:jc w:val="left"/>
        <w:rPr>
          <w:sz w:val="24"/>
        </w:rPr>
      </w:pPr>
      <w:r>
        <w:rPr>
          <w:sz w:val="24"/>
        </w:rPr>
        <w:t>对投标文件的澄清和补正（如有时</w:t>
      </w:r>
      <w:r>
        <w:rPr>
          <w:spacing w:val="-10"/>
          <w:sz w:val="24"/>
        </w:rPr>
        <w:t>）</w:t>
      </w:r>
    </w:p>
    <w:p>
      <w:pPr>
        <w:pStyle w:val="ListParagraph"/>
        <w:numPr>
          <w:ilvl w:val="0"/>
          <w:numId w:val="18"/>
        </w:numPr>
        <w:tabs>
          <w:tab w:val="left" w:pos="1469"/>
        </w:tabs>
        <w:spacing w:before="52" w:after="0" w:line="240" w:lineRule="auto"/>
        <w:ind w:left="1469" w:right="0" w:hanging="601"/>
        <w:jc w:val="left"/>
        <w:rPr>
          <w:sz w:val="24"/>
        </w:rPr>
      </w:pPr>
      <w:r>
        <w:rPr>
          <w:sz w:val="24"/>
        </w:rPr>
        <w:t>对投标文件的进行详细评审（包括技术文件和商务文件的详细评审</w:t>
      </w:r>
      <w:r>
        <w:rPr>
          <w:spacing w:val="-5"/>
          <w:sz w:val="24"/>
        </w:rPr>
        <w:t>）；</w:t>
      </w:r>
    </w:p>
    <w:p>
      <w:pPr>
        <w:pStyle w:val="ListParagraph"/>
        <w:numPr>
          <w:ilvl w:val="0"/>
          <w:numId w:val="18"/>
        </w:numPr>
        <w:tabs>
          <w:tab w:val="left" w:pos="1469"/>
        </w:tabs>
        <w:spacing w:before="53" w:after="0" w:line="240" w:lineRule="auto"/>
        <w:ind w:left="1469" w:right="0" w:hanging="601"/>
        <w:jc w:val="left"/>
        <w:rPr>
          <w:sz w:val="24"/>
        </w:rPr>
      </w:pPr>
      <w:r>
        <w:rPr>
          <w:spacing w:val="-1"/>
          <w:sz w:val="24"/>
        </w:rPr>
        <w:t>推荐中标候选人、提交评标报告。</w:t>
      </w:r>
    </w:p>
    <w:p>
      <w:pPr>
        <w:pStyle w:val="BodyText"/>
        <w:spacing w:before="52" w:line="280" w:lineRule="auto"/>
        <w:ind w:left="628" w:right="616" w:firstLine="360"/>
      </w:pPr>
      <w:r>
        <w:rPr>
          <w:spacing w:val="-4"/>
        </w:rPr>
        <w:t>说明：（如招标文件约定在其他文件评审之前先对技术文件副本进行评审的，从其</w:t>
      </w:r>
      <w:r>
        <w:rPr>
          <w:spacing w:val="-4"/>
        </w:rPr>
        <w:t>约定）。</w:t>
      </w:r>
    </w:p>
    <w:p>
      <w:pPr>
        <w:pStyle w:val="ListParagraph"/>
        <w:numPr>
          <w:ilvl w:val="1"/>
          <w:numId w:val="19"/>
        </w:numPr>
        <w:tabs>
          <w:tab w:val="left" w:pos="1468"/>
        </w:tabs>
        <w:spacing w:before="1" w:after="0" w:line="295" w:lineRule="exact"/>
        <w:ind w:left="1468" w:right="0" w:hanging="480"/>
        <w:jc w:val="left"/>
        <w:rPr>
          <w:sz w:val="24"/>
        </w:rPr>
      </w:pPr>
      <w:r>
        <w:rPr>
          <w:spacing w:val="-1"/>
          <w:sz w:val="24"/>
        </w:rPr>
        <w:t>采用资格预审的，不再对投标人进行资格审查，其他评标程序与上款相同。</w:t>
      </w:r>
    </w:p>
    <w:p>
      <w:pPr>
        <w:pStyle w:val="ListParagraph"/>
        <w:numPr>
          <w:ilvl w:val="0"/>
          <w:numId w:val="19"/>
        </w:numPr>
        <w:tabs>
          <w:tab w:val="left" w:pos="1230"/>
        </w:tabs>
        <w:spacing w:before="0" w:after="0" w:line="427" w:lineRule="exact"/>
        <w:ind w:left="1229" w:right="0" w:hanging="242"/>
        <w:jc w:val="left"/>
        <w:rPr>
          <w:rFonts w:ascii="微软雅黑" w:eastAsia="微软雅黑"/>
          <w:b/>
          <w:sz w:val="22"/>
        </w:rPr>
      </w:pPr>
      <w:r>
        <w:rPr>
          <w:rFonts w:ascii="微软雅黑" w:eastAsia="微软雅黑"/>
          <w:b/>
          <w:spacing w:val="-2"/>
          <w:sz w:val="24"/>
        </w:rPr>
        <w:t>评标前的准备工作</w:t>
      </w:r>
    </w:p>
    <w:p>
      <w:pPr>
        <w:pStyle w:val="ListParagraph"/>
        <w:numPr>
          <w:ilvl w:val="1"/>
          <w:numId w:val="19"/>
        </w:numPr>
        <w:tabs>
          <w:tab w:val="left" w:pos="1408"/>
        </w:tabs>
        <w:spacing w:before="0" w:after="0" w:line="280" w:lineRule="auto"/>
        <w:ind w:left="628" w:right="616" w:firstLine="360"/>
        <w:jc w:val="left"/>
        <w:rPr>
          <w:sz w:val="24"/>
        </w:rPr>
      </w:pPr>
      <w:r>
        <w:rPr>
          <w:spacing w:val="5"/>
          <w:sz w:val="24"/>
        </w:rPr>
        <w:t>招标人或者其委托的招标代理机构应当向评标委员会提供评标所需的重要信</w:t>
      </w:r>
      <w:r>
        <w:rPr>
          <w:sz w:val="24"/>
        </w:rPr>
        <w:t>息和数据。</w:t>
      </w:r>
    </w:p>
    <w:p>
      <w:pPr>
        <w:pStyle w:val="ListParagraph"/>
        <w:numPr>
          <w:ilvl w:val="1"/>
          <w:numId w:val="19"/>
        </w:numPr>
        <w:tabs>
          <w:tab w:val="left" w:pos="1288"/>
        </w:tabs>
        <w:spacing w:before="0" w:after="0" w:line="280" w:lineRule="auto"/>
        <w:ind w:left="628" w:right="616" w:firstLine="240"/>
        <w:jc w:val="both"/>
        <w:rPr>
          <w:sz w:val="24"/>
        </w:rPr>
      </w:pPr>
      <w:r>
        <w:rPr>
          <w:spacing w:val="-2"/>
          <w:sz w:val="24"/>
        </w:rPr>
        <w:t>评标委员会成员在评标前应当认真研究招标文件，至少应了解和熟悉本工程招</w:t>
      </w:r>
      <w:r>
        <w:rPr>
          <w:spacing w:val="-2"/>
          <w:sz w:val="24"/>
        </w:rPr>
        <w:t>标的目标、范围、性质、主要技术要求、标准、商务条款以及评标定标程序、标准、</w:t>
      </w:r>
      <w:r>
        <w:rPr>
          <w:spacing w:val="-2"/>
          <w:sz w:val="24"/>
        </w:rPr>
        <w:t>方法和在评标过程中考虑的相关因素。</w:t>
      </w:r>
    </w:p>
    <w:p>
      <w:pPr>
        <w:pStyle w:val="ListParagraph"/>
        <w:numPr>
          <w:ilvl w:val="0"/>
          <w:numId w:val="19"/>
        </w:numPr>
        <w:tabs>
          <w:tab w:val="left" w:pos="1230"/>
        </w:tabs>
        <w:spacing w:before="0" w:after="0" w:line="363" w:lineRule="exact"/>
        <w:ind w:left="1229" w:right="0" w:hanging="362"/>
        <w:jc w:val="left"/>
        <w:rPr>
          <w:rFonts w:ascii="微软雅黑" w:eastAsia="微软雅黑"/>
          <w:b/>
          <w:sz w:val="24"/>
        </w:rPr>
      </w:pPr>
      <w:r>
        <w:rPr>
          <w:rFonts w:ascii="微软雅黑" w:eastAsia="微软雅黑"/>
          <w:b/>
          <w:spacing w:val="-3"/>
          <w:sz w:val="24"/>
        </w:rPr>
        <w:t>资格审查</w:t>
      </w:r>
    </w:p>
    <w:p>
      <w:pPr>
        <w:pStyle w:val="ListParagraph"/>
        <w:numPr>
          <w:ilvl w:val="1"/>
          <w:numId w:val="19"/>
        </w:numPr>
        <w:tabs>
          <w:tab w:val="left" w:pos="1288"/>
        </w:tabs>
        <w:spacing w:before="0" w:after="0" w:line="305" w:lineRule="exact"/>
        <w:ind w:left="1288" w:right="0" w:hanging="420"/>
        <w:jc w:val="left"/>
        <w:rPr>
          <w:sz w:val="24"/>
        </w:rPr>
      </w:pPr>
      <w:r>
        <w:rPr>
          <w:spacing w:val="-2"/>
          <w:sz w:val="24"/>
        </w:rPr>
        <w:t>资格审查方式</w:t>
      </w:r>
    </w:p>
    <w:p>
      <w:pPr>
        <w:pStyle w:val="BodyText"/>
        <w:spacing w:before="50" w:line="280" w:lineRule="auto"/>
        <w:ind w:left="628" w:right="616" w:firstLine="360"/>
        <w:jc w:val="both"/>
      </w:pPr>
      <w:r>
        <w:rPr>
          <w:spacing w:val="-4"/>
        </w:rPr>
        <w:t>本招标项目对投标人的资格审查方式（资格预审、资格后审）见“评标办法和标准</w:t>
      </w:r>
      <w:r>
        <w:rPr>
          <w:spacing w:val="-2"/>
        </w:rPr>
        <w:t>数据表（记名投票法）”</w:t>
      </w:r>
      <w:r>
        <w:rPr>
          <w:spacing w:val="-15"/>
        </w:rPr>
        <w:t xml:space="preserve">第 </w:t>
      </w:r>
      <w:r>
        <w:rPr>
          <w:spacing w:val="-2"/>
        </w:rPr>
        <w:t>2</w:t>
      </w:r>
      <w:r>
        <w:rPr>
          <w:spacing w:val="-7"/>
        </w:rPr>
        <w:t xml:space="preserve"> 项。不管是采用资格预审，还是采用资格后审，其资格</w:t>
      </w:r>
      <w:r>
        <w:rPr>
          <w:spacing w:val="-2"/>
        </w:rPr>
        <w:t>审查文件评审合格标准都一样。</w:t>
      </w:r>
    </w:p>
    <w:p>
      <w:pPr>
        <w:pStyle w:val="ListParagraph"/>
        <w:numPr>
          <w:ilvl w:val="1"/>
          <w:numId w:val="19"/>
        </w:numPr>
        <w:tabs>
          <w:tab w:val="left" w:pos="1348"/>
        </w:tabs>
        <w:spacing w:before="1" w:after="0" w:line="240" w:lineRule="auto"/>
        <w:ind w:left="1348" w:right="0" w:hanging="480"/>
        <w:jc w:val="both"/>
        <w:rPr>
          <w:sz w:val="24"/>
        </w:rPr>
      </w:pPr>
      <w:r>
        <w:rPr>
          <w:spacing w:val="-1"/>
          <w:sz w:val="24"/>
        </w:rPr>
        <w:t>资格审查文件评审办法</w:t>
      </w:r>
    </w:p>
    <w:p>
      <w:pPr>
        <w:pStyle w:val="ListParagraph"/>
        <w:numPr>
          <w:ilvl w:val="2"/>
          <w:numId w:val="19"/>
        </w:numPr>
        <w:tabs>
          <w:tab w:val="left" w:pos="1528"/>
        </w:tabs>
        <w:spacing w:before="52" w:after="0" w:line="280" w:lineRule="auto"/>
        <w:ind w:left="628" w:right="616" w:firstLine="240"/>
        <w:jc w:val="both"/>
        <w:rPr>
          <w:sz w:val="24"/>
        </w:rPr>
      </w:pPr>
      <w:r>
        <w:rPr>
          <w:spacing w:val="-2"/>
          <w:sz w:val="24"/>
        </w:rPr>
        <w:t>采用资格预审的，资格审查委员会按照本评标办法对投标申请人进行资格审</w:t>
      </w:r>
      <w:r>
        <w:rPr>
          <w:spacing w:val="-2"/>
          <w:sz w:val="24"/>
        </w:rPr>
        <w:t>查，经资格审查评审合格的，招标人向其发出“投标通知书”，并确定投标人提交商</w:t>
      </w:r>
      <w:r>
        <w:rPr>
          <w:spacing w:val="-2"/>
          <w:sz w:val="24"/>
        </w:rPr>
        <w:t>务文件和技术文件的时间和地点，以及开标的时间和地点；经资格审查不合格的，招</w:t>
      </w:r>
      <w:r>
        <w:rPr>
          <w:spacing w:val="-2"/>
          <w:sz w:val="24"/>
        </w:rPr>
        <w:t>标人向其发出“资格审查结果通知书”，并告知其资格审查不合格的原因。经资格审</w:t>
      </w:r>
      <w:r>
        <w:rPr>
          <w:spacing w:val="-2"/>
          <w:sz w:val="24"/>
        </w:rPr>
        <w:t>查不合格的投标申请人不得参加投标。</w:t>
      </w:r>
    </w:p>
    <w:p>
      <w:pPr>
        <w:pStyle w:val="ListParagraph"/>
        <w:numPr>
          <w:ilvl w:val="2"/>
          <w:numId w:val="19"/>
        </w:numPr>
        <w:tabs>
          <w:tab w:val="left" w:pos="1528"/>
        </w:tabs>
        <w:spacing w:before="1" w:after="0" w:line="280" w:lineRule="auto"/>
        <w:ind w:left="628" w:right="616" w:firstLine="240"/>
        <w:jc w:val="both"/>
        <w:rPr>
          <w:sz w:val="24"/>
        </w:rPr>
      </w:pPr>
      <w:r>
        <w:rPr>
          <w:spacing w:val="-2"/>
          <w:sz w:val="24"/>
        </w:rPr>
        <w:t xml:space="preserve">采用资格后审的，按照本评标办法和标准第 </w:t>
      </w:r>
      <w:r>
        <w:rPr>
          <w:sz w:val="24"/>
        </w:rPr>
        <w:t>6.3</w:t>
      </w:r>
      <w:r>
        <w:rPr>
          <w:spacing w:val="-6"/>
          <w:sz w:val="24"/>
        </w:rPr>
        <w:t xml:space="preserve"> 款规定的“资格审查评审合</w:t>
      </w:r>
      <w:r>
        <w:rPr>
          <w:spacing w:val="-2"/>
          <w:sz w:val="24"/>
        </w:rPr>
        <w:t>格标准”对投标人进行资格审查，以确定符合招标文件规定要求的合格投标人。经资</w:t>
      </w:r>
      <w:r>
        <w:rPr>
          <w:spacing w:val="-2"/>
          <w:sz w:val="24"/>
        </w:rPr>
        <w:t>格审查合格的投标人进入下一程序的评审，经资格审查不合格的投标文件按照废标处</w:t>
      </w:r>
      <w:r>
        <w:rPr>
          <w:spacing w:val="-6"/>
          <w:sz w:val="24"/>
        </w:rPr>
        <w:t>理。</w:t>
      </w:r>
    </w:p>
    <w:p>
      <w:pPr>
        <w:pStyle w:val="ListParagraph"/>
        <w:numPr>
          <w:ilvl w:val="1"/>
          <w:numId w:val="19"/>
        </w:numPr>
        <w:tabs>
          <w:tab w:val="left" w:pos="1288"/>
        </w:tabs>
        <w:spacing w:before="1" w:after="0" w:line="295" w:lineRule="exact"/>
        <w:ind w:left="1288" w:right="0" w:hanging="420"/>
        <w:jc w:val="left"/>
        <w:rPr>
          <w:sz w:val="24"/>
        </w:rPr>
      </w:pPr>
      <w:r>
        <w:rPr>
          <w:spacing w:val="-1"/>
          <w:sz w:val="24"/>
        </w:rPr>
        <w:t>资格审查评审合格标准</w:t>
      </w:r>
    </w:p>
    <w:p>
      <w:pPr>
        <w:spacing w:before="48" w:line="194" w:lineRule="auto"/>
        <w:ind w:left="628" w:right="617" w:firstLine="480"/>
        <w:jc w:val="left"/>
        <w:rPr>
          <w:rFonts w:ascii="微软雅黑" w:eastAsia="微软雅黑"/>
          <w:b/>
          <w:sz w:val="24"/>
        </w:rPr>
      </w:pPr>
      <w:r>
        <w:rPr>
          <w:rFonts w:ascii="微软雅黑" w:eastAsia="微软雅黑"/>
          <w:b/>
          <w:spacing w:val="-2"/>
          <w:sz w:val="24"/>
          <w:u w:val="thick"/>
        </w:rPr>
        <w:t>只有全部满足下列资格审查文件评审标准的投标人，才能通过资格审查，否则其</w:t>
      </w:r>
      <w:r>
        <w:rPr>
          <w:rFonts w:ascii="微软雅黑" w:eastAsia="微软雅黑"/>
          <w:b/>
          <w:spacing w:val="-2"/>
          <w:sz w:val="24"/>
          <w:u w:val="thick"/>
        </w:rPr>
        <w:t>投标文件作废标处理。</w:t>
      </w:r>
    </w:p>
    <w:p>
      <w:pPr>
        <w:pStyle w:val="ListParagraph"/>
        <w:numPr>
          <w:ilvl w:val="0"/>
          <w:numId w:val="17"/>
        </w:numPr>
        <w:tabs>
          <w:tab w:val="left" w:pos="1471"/>
        </w:tabs>
        <w:spacing w:before="4" w:after="0" w:line="194" w:lineRule="auto"/>
        <w:ind w:left="628" w:right="617" w:firstLine="240"/>
        <w:jc w:val="left"/>
        <w:rPr>
          <w:rFonts w:ascii="微软雅黑" w:eastAsia="微软雅黑" w:hAnsi="微软雅黑"/>
          <w:b/>
          <w:sz w:val="24"/>
        </w:rPr>
      </w:pPr>
      <w:r>
        <w:rPr>
          <w:rFonts w:ascii="微软雅黑" w:eastAsia="微软雅黑" w:hAnsi="微软雅黑"/>
          <w:b/>
          <w:spacing w:val="-2"/>
          <w:sz w:val="24"/>
          <w:u w:val="thick"/>
        </w:rPr>
        <w:t xml:space="preserve">完整提供招标文件第 </w:t>
      </w:r>
      <w:r>
        <w:rPr>
          <w:rFonts w:ascii="微软雅黑" w:eastAsia="微软雅黑" w:hAnsi="微软雅黑"/>
          <w:b/>
          <w:sz w:val="24"/>
          <w:u w:val="thick"/>
        </w:rPr>
        <w:t>7</w:t>
      </w:r>
      <w:r>
        <w:rPr>
          <w:rFonts w:ascii="微软雅黑" w:eastAsia="微软雅黑" w:hAnsi="微软雅黑"/>
          <w:b/>
          <w:spacing w:val="-1"/>
          <w:sz w:val="24"/>
          <w:u w:val="thick"/>
        </w:rPr>
        <w:t xml:space="preserve"> 章 “资格审查文件格式”所规定的全部资格审查申请</w:t>
      </w:r>
      <w:r>
        <w:rPr>
          <w:rFonts w:ascii="微软雅黑" w:eastAsia="微软雅黑" w:hAnsi="微软雅黑"/>
          <w:b/>
          <w:spacing w:val="80"/>
          <w:w w:val="150"/>
          <w:sz w:val="24"/>
          <w:u w:val="thick"/>
        </w:rPr>
        <w:t xml:space="preserve">                                                             </w:t>
      </w:r>
      <w:r>
        <w:rPr>
          <w:rFonts w:ascii="微软雅黑" w:eastAsia="微软雅黑" w:hAnsi="微软雅黑"/>
          <w:b/>
          <w:spacing w:val="-2"/>
          <w:sz w:val="24"/>
          <w:u w:val="thick"/>
        </w:rPr>
        <w:t>材料并按规定盖章和签署；</w:t>
      </w:r>
    </w:p>
    <w:p>
      <w:pPr>
        <w:pStyle w:val="ListParagraph"/>
        <w:numPr>
          <w:ilvl w:val="0"/>
          <w:numId w:val="17"/>
        </w:numPr>
        <w:tabs>
          <w:tab w:val="left" w:pos="1478"/>
        </w:tabs>
        <w:spacing w:before="0" w:after="0" w:line="386" w:lineRule="exact"/>
        <w:ind w:left="1477" w:right="0" w:hanging="610"/>
        <w:jc w:val="left"/>
        <w:rPr>
          <w:rFonts w:ascii="微软雅黑" w:eastAsia="微软雅黑"/>
          <w:b/>
          <w:sz w:val="24"/>
        </w:rPr>
      </w:pPr>
      <w:r>
        <w:rPr>
          <w:rFonts w:ascii="微软雅黑" w:eastAsia="微软雅黑"/>
          <w:b/>
          <w:spacing w:val="-1"/>
          <w:sz w:val="24"/>
          <w:u w:val="thick"/>
        </w:rPr>
        <w:t>由设计单位法定代表人委托代理人签署的，随投标文件提供了合法、有效的</w:t>
      </w:r>
    </w:p>
    <w:p>
      <w:pPr>
        <w:spacing w:after="0" w:line="386" w:lineRule="exact"/>
        <w:jc w:val="left"/>
        <w:rPr>
          <w:rFonts w:ascii="微软雅黑" w:eastAsia="微软雅黑"/>
          <w:sz w:val="24"/>
        </w:rPr>
        <w:sectPr>
          <w:headerReference w:type="even" r:id="rId78"/>
          <w:headerReference w:type="default" r:id="rId79"/>
          <w:footerReference w:type="even" r:id="rId80"/>
          <w:footerReference w:type="default" r:id="rId81"/>
          <w:pgSz w:w="11910" w:h="16840"/>
          <w:pgMar w:top="1380" w:right="800" w:bottom="1200" w:left="960" w:header="971" w:footer="1002"/>
          <w:pgNumType w:start="12"/>
          <w:cols w:space="708"/>
        </w:sectPr>
      </w:pPr>
    </w:p>
    <w:p>
      <w:pPr>
        <w:spacing w:before="6" w:line="401" w:lineRule="exact"/>
        <w:ind w:left="628" w:right="0" w:firstLine="0"/>
        <w:jc w:val="left"/>
        <w:rPr>
          <w:sz w:val="24"/>
        </w:rPr>
      </w:pPr>
      <w:r>
        <w:rPr>
          <w:rFonts w:ascii="微软雅黑" w:eastAsia="微软雅黑"/>
          <w:b/>
          <w:sz w:val="24"/>
          <w:u w:val="thick"/>
        </w:rPr>
        <w:t>授权委托书（原件</w:t>
      </w:r>
      <w:r>
        <w:rPr>
          <w:rFonts w:ascii="微软雅黑" w:eastAsia="微软雅黑"/>
          <w:b/>
          <w:spacing w:val="-5"/>
          <w:sz w:val="24"/>
          <w:u w:val="thick"/>
        </w:rPr>
        <w:t>）</w:t>
      </w:r>
      <w:r>
        <w:rPr>
          <w:spacing w:val="-5"/>
          <w:sz w:val="24"/>
        </w:rPr>
        <w:t>；</w:t>
      </w:r>
    </w:p>
    <w:p>
      <w:pPr>
        <w:pStyle w:val="ListParagraph"/>
        <w:numPr>
          <w:ilvl w:val="0"/>
          <w:numId w:val="32"/>
        </w:numPr>
        <w:tabs>
          <w:tab w:val="left" w:pos="1471"/>
        </w:tabs>
        <w:spacing w:before="0" w:after="0" w:line="360" w:lineRule="exact"/>
        <w:ind w:left="1470" w:right="0" w:hanging="603"/>
        <w:jc w:val="left"/>
        <w:rPr>
          <w:rFonts w:ascii="微软雅黑" w:eastAsia="微软雅黑"/>
          <w:b/>
          <w:sz w:val="24"/>
        </w:rPr>
      </w:pPr>
      <w:r>
        <w:rPr>
          <w:rFonts w:ascii="微软雅黑" w:eastAsia="微软雅黑"/>
          <w:b/>
          <w:spacing w:val="-3"/>
          <w:sz w:val="24"/>
          <w:u w:val="thick"/>
        </w:rPr>
        <w:t xml:space="preserve">具备有效的建设行政主管部门核发的投标须知前附表第 </w:t>
      </w:r>
      <w:r>
        <w:rPr>
          <w:rFonts w:ascii="微软雅黑" w:eastAsia="微软雅黑"/>
          <w:b/>
          <w:spacing w:val="-2"/>
          <w:sz w:val="24"/>
          <w:u w:val="thick"/>
        </w:rPr>
        <w:t>10</w:t>
      </w:r>
      <w:r>
        <w:rPr>
          <w:rFonts w:ascii="微软雅黑" w:eastAsia="微软雅黑"/>
          <w:b/>
          <w:spacing w:val="-11"/>
          <w:sz w:val="24"/>
          <w:u w:val="thick"/>
        </w:rPr>
        <w:t xml:space="preserve"> 项规定的资质证书；</w:t>
      </w:r>
    </w:p>
    <w:p>
      <w:pPr>
        <w:pStyle w:val="ListParagraph"/>
        <w:numPr>
          <w:ilvl w:val="0"/>
          <w:numId w:val="32"/>
        </w:numPr>
        <w:tabs>
          <w:tab w:val="left" w:pos="1478"/>
        </w:tabs>
        <w:spacing w:before="19" w:after="0" w:line="194" w:lineRule="auto"/>
        <w:ind w:left="628" w:right="617" w:firstLine="240"/>
        <w:jc w:val="left"/>
        <w:rPr>
          <w:rFonts w:ascii="微软雅黑" w:eastAsia="微软雅黑"/>
          <w:b/>
          <w:sz w:val="24"/>
        </w:rPr>
      </w:pPr>
      <w:r>
        <w:rPr>
          <w:rFonts w:ascii="微软雅黑" w:eastAsia="微软雅黑"/>
          <w:b/>
          <w:spacing w:val="-2"/>
          <w:sz w:val="24"/>
          <w:u w:val="thick"/>
        </w:rPr>
        <w:t>具备已通过年检合格有效的营业执照（联合体投标泊，其组成联合体的各方</w:t>
      </w:r>
      <w:r>
        <w:rPr>
          <w:rFonts w:ascii="微软雅黑" w:eastAsia="微软雅黑"/>
          <w:b/>
          <w:spacing w:val="80"/>
          <w:w w:val="150"/>
          <w:sz w:val="24"/>
          <w:u w:val="thick"/>
        </w:rPr>
        <w:t xml:space="preserve">                                                             </w:t>
      </w:r>
      <w:r>
        <w:rPr>
          <w:rFonts w:ascii="微软雅黑" w:eastAsia="微软雅黑"/>
          <w:b/>
          <w:spacing w:val="-2"/>
          <w:sz w:val="24"/>
          <w:u w:val="thick"/>
        </w:rPr>
        <w:t>均须提交）；</w:t>
      </w:r>
    </w:p>
    <w:p>
      <w:pPr>
        <w:pStyle w:val="ListParagraph"/>
        <w:numPr>
          <w:ilvl w:val="0"/>
          <w:numId w:val="32"/>
        </w:numPr>
        <w:tabs>
          <w:tab w:val="left" w:pos="1478"/>
        </w:tabs>
        <w:spacing w:before="3" w:after="0" w:line="194" w:lineRule="auto"/>
        <w:ind w:left="628" w:right="617" w:firstLine="240"/>
        <w:jc w:val="both"/>
        <w:rPr>
          <w:rFonts w:ascii="微软雅黑" w:eastAsia="微软雅黑"/>
          <w:b/>
          <w:sz w:val="24"/>
        </w:rPr>
      </w:pPr>
      <w:r>
        <w:rPr>
          <w:rFonts w:ascii="微软雅黑" w:eastAsia="微软雅黑"/>
          <w:b/>
          <w:spacing w:val="-2"/>
          <w:sz w:val="24"/>
          <w:u w:val="thick"/>
        </w:rPr>
        <w:t>拟担任的设计项目负责人其他主要设计人员的类型、数量和条件符合投标须</w:t>
      </w:r>
      <w:r>
        <w:rPr>
          <w:rFonts w:ascii="微软雅黑" w:eastAsia="微软雅黑"/>
          <w:b/>
          <w:spacing w:val="40"/>
          <w:sz w:val="24"/>
          <w:u w:val="thick"/>
        </w:rPr>
        <w:t xml:space="preserve"> </w:t>
      </w:r>
      <w:r>
        <w:rPr>
          <w:rFonts w:ascii="微软雅黑" w:eastAsia="微软雅黑"/>
          <w:b/>
          <w:sz w:val="24"/>
          <w:u w:val="thick"/>
        </w:rPr>
        <w:t>知前附表第 10 项要求的最低标准的（本招标项目发包内容包含勘察的，还包含对勘</w:t>
      </w:r>
      <w:r>
        <w:rPr>
          <w:rFonts w:ascii="微软雅黑" w:eastAsia="微软雅黑"/>
          <w:b/>
          <w:spacing w:val="-2"/>
          <w:sz w:val="24"/>
          <w:u w:val="thick"/>
        </w:rPr>
        <w:t>察负责人的要求）；</w:t>
      </w:r>
    </w:p>
    <w:p>
      <w:pPr>
        <w:pStyle w:val="ListParagraph"/>
        <w:numPr>
          <w:ilvl w:val="0"/>
          <w:numId w:val="32"/>
        </w:numPr>
        <w:tabs>
          <w:tab w:val="left" w:pos="1471"/>
        </w:tabs>
        <w:spacing w:before="0" w:after="0" w:line="346" w:lineRule="exact"/>
        <w:ind w:left="1470" w:right="0" w:hanging="603"/>
        <w:jc w:val="left"/>
        <w:rPr>
          <w:rFonts w:ascii="微软雅黑" w:eastAsia="微软雅黑"/>
          <w:b/>
          <w:sz w:val="24"/>
        </w:rPr>
      </w:pPr>
      <w:r>
        <w:rPr>
          <w:rFonts w:ascii="微软雅黑" w:eastAsia="微软雅黑"/>
          <w:b/>
          <w:spacing w:val="-3"/>
          <w:sz w:val="24"/>
          <w:u w:val="thick"/>
        </w:rPr>
        <w:t xml:space="preserve">类似项目设计业绩满足投标须知前附表第 </w:t>
      </w:r>
      <w:r>
        <w:rPr>
          <w:rFonts w:ascii="微软雅黑" w:eastAsia="微软雅黑"/>
          <w:b/>
          <w:spacing w:val="-2"/>
          <w:sz w:val="24"/>
          <w:u w:val="thick"/>
        </w:rPr>
        <w:t>10</w:t>
      </w:r>
      <w:r>
        <w:rPr>
          <w:rFonts w:ascii="微软雅黑" w:eastAsia="微软雅黑"/>
          <w:b/>
          <w:spacing w:val="-6"/>
          <w:sz w:val="24"/>
          <w:u w:val="thick"/>
        </w:rPr>
        <w:t xml:space="preserve"> 项的规定要求；</w:t>
      </w:r>
    </w:p>
    <w:p>
      <w:pPr>
        <w:pStyle w:val="ListParagraph"/>
        <w:numPr>
          <w:ilvl w:val="0"/>
          <w:numId w:val="32"/>
        </w:numPr>
        <w:tabs>
          <w:tab w:val="left" w:pos="1471"/>
        </w:tabs>
        <w:spacing w:before="0" w:after="0" w:line="360" w:lineRule="exact"/>
        <w:ind w:left="1470" w:right="0" w:hanging="603"/>
        <w:jc w:val="left"/>
        <w:rPr>
          <w:rFonts w:ascii="微软雅黑" w:eastAsia="微软雅黑"/>
          <w:b/>
          <w:sz w:val="24"/>
        </w:rPr>
      </w:pPr>
      <w:r>
        <w:rPr>
          <w:rFonts w:ascii="微软雅黑" w:eastAsia="微软雅黑"/>
          <w:b/>
          <w:spacing w:val="-1"/>
          <w:sz w:val="24"/>
          <w:u w:val="thick"/>
        </w:rPr>
        <w:t>采用邀请招标方式的，投标人应是招标人确定邀请参加投标的被邀请者；</w:t>
      </w:r>
    </w:p>
    <w:p>
      <w:pPr>
        <w:pStyle w:val="ListParagraph"/>
        <w:numPr>
          <w:ilvl w:val="0"/>
          <w:numId w:val="32"/>
        </w:numPr>
        <w:tabs>
          <w:tab w:val="left" w:pos="1471"/>
        </w:tabs>
        <w:spacing w:before="0" w:after="0" w:line="360" w:lineRule="exact"/>
        <w:ind w:left="1470" w:right="0" w:hanging="603"/>
        <w:jc w:val="left"/>
        <w:rPr>
          <w:rFonts w:ascii="微软雅黑" w:eastAsia="微软雅黑"/>
          <w:b/>
          <w:sz w:val="24"/>
        </w:rPr>
      </w:pPr>
      <w:r>
        <w:rPr>
          <w:rFonts w:ascii="微软雅黑" w:eastAsia="微软雅黑"/>
          <w:b/>
          <w:spacing w:val="-1"/>
          <w:sz w:val="24"/>
          <w:u w:val="thick"/>
        </w:rPr>
        <w:t>组成联合体投标的，已附上联合体协议书且符合招标文件规定的；</w:t>
      </w:r>
    </w:p>
    <w:p>
      <w:pPr>
        <w:pStyle w:val="ListParagraph"/>
        <w:numPr>
          <w:ilvl w:val="0"/>
          <w:numId w:val="32"/>
        </w:numPr>
        <w:tabs>
          <w:tab w:val="left" w:pos="1471"/>
        </w:tabs>
        <w:spacing w:before="0" w:after="0" w:line="360" w:lineRule="exact"/>
        <w:ind w:left="1470" w:right="0" w:hanging="603"/>
        <w:jc w:val="left"/>
        <w:rPr>
          <w:rFonts w:ascii="微软雅黑" w:eastAsia="微软雅黑"/>
          <w:b/>
          <w:sz w:val="24"/>
        </w:rPr>
      </w:pPr>
      <w:r>
        <w:rPr>
          <w:rFonts w:ascii="微软雅黑" w:eastAsia="微软雅黑"/>
          <w:b/>
          <w:spacing w:val="-1"/>
          <w:sz w:val="24"/>
          <w:u w:val="thick"/>
        </w:rPr>
        <w:t>符合招标文件规定的其他资格条件的。</w:t>
      </w:r>
    </w:p>
    <w:p>
      <w:pPr>
        <w:pStyle w:val="ListParagraph"/>
        <w:numPr>
          <w:ilvl w:val="0"/>
          <w:numId w:val="19"/>
        </w:numPr>
        <w:tabs>
          <w:tab w:val="left" w:pos="1230"/>
        </w:tabs>
        <w:spacing w:before="0" w:after="0" w:line="398" w:lineRule="exact"/>
        <w:ind w:left="1229" w:right="0" w:hanging="362"/>
        <w:jc w:val="left"/>
        <w:rPr>
          <w:rFonts w:ascii="微软雅黑" w:eastAsia="微软雅黑"/>
          <w:b/>
          <w:sz w:val="24"/>
        </w:rPr>
      </w:pPr>
      <w:r>
        <w:rPr>
          <w:rFonts w:ascii="微软雅黑" w:eastAsia="微软雅黑"/>
          <w:b/>
          <w:spacing w:val="-3"/>
          <w:sz w:val="24"/>
        </w:rPr>
        <w:t>初步评审</w:t>
      </w:r>
    </w:p>
    <w:p>
      <w:pPr>
        <w:pStyle w:val="ListParagraph"/>
        <w:numPr>
          <w:ilvl w:val="1"/>
          <w:numId w:val="19"/>
        </w:numPr>
        <w:tabs>
          <w:tab w:val="left" w:pos="1288"/>
        </w:tabs>
        <w:spacing w:before="0" w:after="0" w:line="305" w:lineRule="exact"/>
        <w:ind w:left="1288" w:right="0" w:hanging="420"/>
        <w:jc w:val="left"/>
        <w:rPr>
          <w:sz w:val="24"/>
        </w:rPr>
      </w:pPr>
      <w:r>
        <w:rPr>
          <w:spacing w:val="-1"/>
          <w:sz w:val="24"/>
        </w:rPr>
        <w:t>投标文件的符合性检查和响应性确定</w:t>
      </w:r>
    </w:p>
    <w:p>
      <w:pPr>
        <w:pStyle w:val="BodyText"/>
        <w:spacing w:before="53" w:line="295" w:lineRule="exact"/>
        <w:ind w:left="988"/>
      </w:pPr>
      <w:r>
        <w:rPr>
          <w:spacing w:val="-11"/>
        </w:rPr>
        <w:t>在详细评标之前，将对通过资格审查合格的投标文件进行符合性检查和响应性确定。</w:t>
      </w:r>
    </w:p>
    <w:p>
      <w:pPr>
        <w:spacing w:before="0" w:line="389" w:lineRule="exact"/>
        <w:ind w:left="628" w:right="0" w:firstLine="0"/>
        <w:jc w:val="left"/>
        <w:rPr>
          <w:rFonts w:ascii="微软雅黑" w:eastAsia="微软雅黑"/>
          <w:b/>
          <w:sz w:val="24"/>
        </w:rPr>
      </w:pPr>
      <w:r>
        <w:rPr>
          <w:rFonts w:ascii="微软雅黑" w:eastAsia="微软雅黑"/>
          <w:b/>
          <w:spacing w:val="-1"/>
          <w:sz w:val="24"/>
        </w:rPr>
        <w:t>当投标文件出现下列情形之一的将视为无效，按废标处理，不得进入详细评审：</w:t>
      </w:r>
    </w:p>
    <w:p>
      <w:pPr>
        <w:pStyle w:val="ListParagraph"/>
        <w:numPr>
          <w:ilvl w:val="0"/>
          <w:numId w:val="16"/>
        </w:numPr>
        <w:tabs>
          <w:tab w:val="left" w:pos="1471"/>
        </w:tabs>
        <w:spacing w:before="0" w:after="0" w:line="360" w:lineRule="exact"/>
        <w:ind w:left="1470" w:right="0" w:hanging="603"/>
        <w:jc w:val="left"/>
        <w:rPr>
          <w:rFonts w:ascii="微软雅黑" w:eastAsia="微软雅黑"/>
          <w:b/>
          <w:sz w:val="24"/>
        </w:rPr>
      </w:pPr>
      <w:r>
        <w:rPr>
          <w:rFonts w:ascii="微软雅黑" w:eastAsia="微软雅黑"/>
          <w:b/>
          <w:sz w:val="24"/>
          <w:u w:val="thick"/>
        </w:rPr>
        <w:t>未按招标文件规定密封的</w:t>
      </w:r>
      <w:r>
        <w:rPr>
          <w:rFonts w:ascii="微软雅黑" w:eastAsia="微软雅黑"/>
          <w:b/>
          <w:spacing w:val="-10"/>
          <w:sz w:val="24"/>
        </w:rPr>
        <w:t>；</w:t>
      </w:r>
    </w:p>
    <w:p>
      <w:pPr>
        <w:pStyle w:val="ListParagraph"/>
        <w:numPr>
          <w:ilvl w:val="0"/>
          <w:numId w:val="16"/>
        </w:numPr>
        <w:tabs>
          <w:tab w:val="left" w:pos="1473"/>
        </w:tabs>
        <w:spacing w:before="19" w:after="0" w:line="194" w:lineRule="auto"/>
        <w:ind w:left="628" w:right="617" w:firstLine="235"/>
        <w:jc w:val="both"/>
        <w:rPr>
          <w:rFonts w:ascii="微软雅黑" w:eastAsia="微软雅黑"/>
          <w:b/>
          <w:sz w:val="24"/>
        </w:rPr>
      </w:pPr>
      <w:r>
        <w:rPr>
          <w:rFonts w:ascii="微软雅黑" w:eastAsia="微软雅黑"/>
          <w:b/>
          <w:spacing w:val="-2"/>
          <w:sz w:val="24"/>
          <w:u w:val="thick"/>
        </w:rPr>
        <w:t>投标文件中的投标函未加盖投标人的单位及单位法定代表人印章（或签字</w:t>
      </w:r>
      <w:r>
        <w:rPr>
          <w:rFonts w:ascii="微软雅黑" w:eastAsia="微软雅黑"/>
          <w:b/>
          <w:spacing w:val="-2"/>
          <w:sz w:val="24"/>
          <w:u w:val="thick"/>
        </w:rPr>
        <w:t>）</w:t>
      </w:r>
      <w:r>
        <w:rPr>
          <w:rFonts w:ascii="微软雅黑" w:eastAsia="微软雅黑"/>
          <w:b/>
          <w:spacing w:val="40"/>
          <w:sz w:val="24"/>
          <w:u w:val="thick"/>
        </w:rPr>
        <w:t xml:space="preserve"> </w:t>
      </w:r>
      <w:r>
        <w:rPr>
          <w:rFonts w:ascii="微软雅黑" w:eastAsia="微软雅黑"/>
          <w:b/>
          <w:spacing w:val="-2"/>
          <w:sz w:val="24"/>
          <w:u w:val="thick"/>
        </w:rPr>
        <w:t>的，或者由设计单位法定代表人委托代理人签署的而没有随投标文件提供合法、有效的授权委托书（原件）及委托代理人签字的（资格审查文件已提交的，商务文件不需要再提交）；</w:t>
      </w:r>
    </w:p>
    <w:p>
      <w:pPr>
        <w:pStyle w:val="ListParagraph"/>
        <w:numPr>
          <w:ilvl w:val="0"/>
          <w:numId w:val="16"/>
        </w:numPr>
        <w:tabs>
          <w:tab w:val="left" w:pos="1471"/>
        </w:tabs>
        <w:spacing w:before="0" w:after="0" w:line="348" w:lineRule="exact"/>
        <w:ind w:left="1470" w:right="0" w:hanging="603"/>
        <w:jc w:val="left"/>
        <w:rPr>
          <w:sz w:val="24"/>
        </w:rPr>
      </w:pPr>
      <w:r>
        <w:rPr>
          <w:rFonts w:ascii="微软雅黑" w:eastAsia="微软雅黑"/>
          <w:b/>
          <w:sz w:val="24"/>
          <w:u w:val="thick"/>
        </w:rPr>
        <w:t>未按招标文件规定要求提交投标保证金的</w:t>
      </w:r>
      <w:r>
        <w:rPr>
          <w:spacing w:val="-10"/>
          <w:sz w:val="24"/>
        </w:rPr>
        <w:t>；</w:t>
      </w:r>
    </w:p>
    <w:p>
      <w:pPr>
        <w:pStyle w:val="ListParagraph"/>
        <w:numPr>
          <w:ilvl w:val="0"/>
          <w:numId w:val="16"/>
        </w:numPr>
        <w:tabs>
          <w:tab w:val="left" w:pos="1471"/>
        </w:tabs>
        <w:spacing w:before="19" w:after="0" w:line="194" w:lineRule="auto"/>
        <w:ind w:left="628" w:right="497" w:firstLine="240"/>
        <w:jc w:val="left"/>
        <w:rPr>
          <w:rFonts w:ascii="微软雅黑" w:eastAsia="微软雅黑"/>
          <w:b/>
          <w:sz w:val="24"/>
        </w:rPr>
      </w:pPr>
      <w:r>
        <w:rPr>
          <w:rFonts w:ascii="微软雅黑" w:eastAsia="微软雅黑"/>
          <w:b/>
          <w:spacing w:val="-2"/>
          <w:sz w:val="24"/>
          <w:u w:val="thick"/>
        </w:rPr>
        <w:t>投标文件未按照招标文件规定的格式填写，内容不全或者关键内容字迹模糊、无法辨认的；</w:t>
      </w:r>
    </w:p>
    <w:p>
      <w:pPr>
        <w:pStyle w:val="ListParagraph"/>
        <w:numPr>
          <w:ilvl w:val="0"/>
          <w:numId w:val="16"/>
        </w:numPr>
        <w:tabs>
          <w:tab w:val="left" w:pos="1591"/>
        </w:tabs>
        <w:spacing w:before="3" w:after="0" w:line="194" w:lineRule="auto"/>
        <w:ind w:left="628" w:right="617" w:firstLine="360"/>
        <w:jc w:val="left"/>
        <w:rPr>
          <w:rFonts w:ascii="微软雅黑" w:eastAsia="微软雅黑"/>
          <w:b/>
          <w:sz w:val="24"/>
        </w:rPr>
      </w:pPr>
      <w:r>
        <w:rPr>
          <w:rFonts w:ascii="微软雅黑" w:eastAsia="微软雅黑"/>
          <w:b/>
          <w:spacing w:val="-2"/>
          <w:sz w:val="24"/>
          <w:u w:val="thick"/>
        </w:rPr>
        <w:t>投标人递交两份或者多份内容不同的投标文件的，但按照招标文件规定提交</w:t>
      </w:r>
      <w:r>
        <w:rPr>
          <w:rFonts w:ascii="微软雅黑" w:eastAsia="微软雅黑"/>
          <w:b/>
          <w:spacing w:val="80"/>
          <w:w w:val="150"/>
          <w:sz w:val="24"/>
          <w:u w:val="thick"/>
        </w:rPr>
        <w:t xml:space="preserve">                                                             </w:t>
      </w:r>
      <w:r>
        <w:rPr>
          <w:rFonts w:ascii="微软雅黑" w:eastAsia="微软雅黑"/>
          <w:b/>
          <w:spacing w:val="-2"/>
          <w:sz w:val="24"/>
          <w:u w:val="thick"/>
        </w:rPr>
        <w:t>备选投标方案的除外；</w:t>
      </w:r>
    </w:p>
    <w:p>
      <w:pPr>
        <w:pStyle w:val="ListParagraph"/>
        <w:numPr>
          <w:ilvl w:val="0"/>
          <w:numId w:val="16"/>
        </w:numPr>
        <w:tabs>
          <w:tab w:val="left" w:pos="1478"/>
        </w:tabs>
        <w:spacing w:before="3" w:after="0" w:line="194" w:lineRule="auto"/>
        <w:ind w:left="628" w:right="617" w:firstLine="240"/>
        <w:jc w:val="left"/>
        <w:rPr>
          <w:rFonts w:ascii="微软雅黑" w:eastAsia="微软雅黑"/>
          <w:b/>
          <w:sz w:val="24"/>
        </w:rPr>
      </w:pPr>
      <w:r>
        <w:rPr>
          <w:rFonts w:ascii="微软雅黑" w:eastAsia="微软雅黑"/>
          <w:b/>
          <w:spacing w:val="-2"/>
          <w:sz w:val="24"/>
          <w:u w:val="thick"/>
        </w:rPr>
        <w:t>投标文件中标明的投标人名称或者组织结构与资格审查时不一致且未提供有</w:t>
      </w:r>
      <w:r>
        <w:rPr>
          <w:rFonts w:ascii="微软雅黑" w:eastAsia="微软雅黑"/>
          <w:b/>
          <w:spacing w:val="80"/>
          <w:w w:val="150"/>
          <w:sz w:val="24"/>
          <w:u w:val="thick"/>
        </w:rPr>
        <w:t xml:space="preserve">                                                             </w:t>
      </w:r>
      <w:r>
        <w:rPr>
          <w:rFonts w:ascii="微软雅黑" w:eastAsia="微软雅黑"/>
          <w:b/>
          <w:spacing w:val="-2"/>
          <w:sz w:val="24"/>
          <w:u w:val="thick"/>
        </w:rPr>
        <w:t>效证明的；</w:t>
      </w:r>
    </w:p>
    <w:p>
      <w:pPr>
        <w:pStyle w:val="ListParagraph"/>
        <w:numPr>
          <w:ilvl w:val="0"/>
          <w:numId w:val="16"/>
        </w:numPr>
        <w:tabs>
          <w:tab w:val="left" w:pos="1351"/>
        </w:tabs>
        <w:spacing w:before="0" w:after="0" w:line="344" w:lineRule="exact"/>
        <w:ind w:left="1350" w:right="0" w:hanging="603"/>
        <w:jc w:val="left"/>
        <w:rPr>
          <w:rFonts w:ascii="微软雅黑" w:eastAsia="微软雅黑"/>
          <w:b/>
          <w:sz w:val="24"/>
        </w:rPr>
      </w:pPr>
      <w:r>
        <w:rPr>
          <w:rFonts w:ascii="微软雅黑" w:eastAsia="微软雅黑"/>
          <w:b/>
          <w:spacing w:val="-1"/>
          <w:sz w:val="24"/>
          <w:u w:val="thick"/>
        </w:rPr>
        <w:t>投标有效期不满足招标文件要求的；</w:t>
      </w:r>
    </w:p>
    <w:p>
      <w:pPr>
        <w:pStyle w:val="ListParagraph"/>
        <w:numPr>
          <w:ilvl w:val="1"/>
          <w:numId w:val="16"/>
        </w:numPr>
        <w:tabs>
          <w:tab w:val="left" w:pos="1231"/>
        </w:tabs>
        <w:spacing w:before="0" w:after="0" w:line="360" w:lineRule="exact"/>
        <w:ind w:left="1230" w:right="0" w:hanging="363"/>
        <w:jc w:val="left"/>
        <w:rPr>
          <w:sz w:val="24"/>
        </w:rPr>
      </w:pPr>
      <w:r>
        <w:rPr>
          <w:rFonts w:ascii="微软雅黑" w:eastAsia="微软雅黑"/>
          <w:b/>
          <w:sz w:val="24"/>
          <w:u w:val="thick"/>
        </w:rPr>
        <w:t>设计周期不能满足完成投标项目规定的期限要求</w:t>
      </w:r>
      <w:r>
        <w:rPr>
          <w:spacing w:val="-10"/>
          <w:sz w:val="24"/>
        </w:rPr>
        <w:t>；</w:t>
      </w:r>
    </w:p>
    <w:p>
      <w:pPr>
        <w:pStyle w:val="ListParagraph"/>
        <w:numPr>
          <w:ilvl w:val="1"/>
          <w:numId w:val="16"/>
        </w:numPr>
        <w:tabs>
          <w:tab w:val="left" w:pos="1231"/>
        </w:tabs>
        <w:spacing w:before="19" w:after="0" w:line="194" w:lineRule="auto"/>
        <w:ind w:left="628" w:right="617" w:firstLine="240"/>
        <w:jc w:val="both"/>
        <w:rPr>
          <w:rFonts w:ascii="微软雅黑" w:eastAsia="微软雅黑"/>
          <w:b/>
          <w:sz w:val="24"/>
        </w:rPr>
      </w:pPr>
      <w:r>
        <w:rPr>
          <w:rFonts w:ascii="微软雅黑" w:eastAsia="微软雅黑"/>
          <w:b/>
          <w:spacing w:val="-2"/>
          <w:sz w:val="24"/>
          <w:u w:val="thick"/>
        </w:rPr>
        <w:t>设计费报价金额超过招标人公布的设计费金额，或其上下浮动的幅度超过国家</w:t>
      </w:r>
      <w:r>
        <w:rPr>
          <w:rFonts w:ascii="微软雅黑" w:eastAsia="微软雅黑"/>
          <w:b/>
          <w:spacing w:val="40"/>
          <w:sz w:val="24"/>
          <w:u w:val="thick"/>
        </w:rPr>
        <w:t xml:space="preserve"> </w:t>
      </w:r>
      <w:r>
        <w:rPr>
          <w:rFonts w:ascii="微软雅黑" w:eastAsia="微软雅黑"/>
          <w:b/>
          <w:spacing w:val="-2"/>
          <w:sz w:val="24"/>
          <w:u w:val="thick"/>
        </w:rPr>
        <w:t>规定所允许的上下浮动的幅度；招标内容包含勘察的，其勘察费的投标报价金额（上下幅度值）超过招标人公布的勘察费收费金额（允许的上下幅度值范围）；投标人不按招标文件要求对设计费和勘察费（如有时）的全部费用做出完整报价。</w:t>
      </w:r>
    </w:p>
    <w:p>
      <w:pPr>
        <w:pStyle w:val="ListParagraph"/>
        <w:numPr>
          <w:ilvl w:val="1"/>
          <w:numId w:val="16"/>
        </w:numPr>
        <w:tabs>
          <w:tab w:val="left" w:pos="1352"/>
        </w:tabs>
        <w:spacing w:before="0" w:after="0" w:line="348" w:lineRule="exact"/>
        <w:ind w:left="1351" w:right="0" w:hanging="484"/>
        <w:jc w:val="left"/>
        <w:rPr>
          <w:sz w:val="24"/>
        </w:rPr>
      </w:pPr>
      <w:r>
        <w:rPr>
          <w:rFonts w:ascii="微软雅黑" w:eastAsia="微软雅黑"/>
          <w:b/>
          <w:sz w:val="24"/>
          <w:u w:val="thick"/>
        </w:rPr>
        <w:t>投标文件附有招标人不能接受的条件</w:t>
      </w:r>
      <w:r>
        <w:rPr>
          <w:spacing w:val="-10"/>
          <w:sz w:val="24"/>
        </w:rPr>
        <w:t>；</w:t>
      </w:r>
    </w:p>
    <w:p>
      <w:pPr>
        <w:pStyle w:val="ListParagraph"/>
        <w:numPr>
          <w:ilvl w:val="1"/>
          <w:numId w:val="16"/>
        </w:numPr>
        <w:tabs>
          <w:tab w:val="left" w:pos="1352"/>
        </w:tabs>
        <w:spacing w:before="19" w:after="0" w:line="194" w:lineRule="auto"/>
        <w:ind w:left="628" w:right="617" w:firstLine="240"/>
        <w:jc w:val="both"/>
        <w:rPr>
          <w:rFonts w:ascii="微软雅黑" w:eastAsia="微软雅黑"/>
          <w:b/>
          <w:sz w:val="24"/>
        </w:rPr>
      </w:pPr>
      <w:r>
        <w:rPr>
          <w:rFonts w:ascii="微软雅黑" w:eastAsia="微软雅黑"/>
          <w:b/>
          <w:spacing w:val="-2"/>
          <w:sz w:val="24"/>
          <w:u w:val="thick"/>
        </w:rPr>
        <w:t>技术文件正本无拟担任本设计项目负责人的注册建筑师签章（须加盖注册建筑</w:t>
      </w:r>
      <w:r>
        <w:rPr>
          <w:rFonts w:ascii="微软雅黑" w:eastAsia="微软雅黑"/>
          <w:b/>
          <w:spacing w:val="40"/>
          <w:sz w:val="24"/>
          <w:u w:val="thick"/>
        </w:rPr>
        <w:t xml:space="preserve"> </w:t>
      </w:r>
      <w:r>
        <w:rPr>
          <w:rFonts w:ascii="微软雅黑" w:eastAsia="微软雅黑"/>
          <w:b/>
          <w:spacing w:val="-2"/>
          <w:sz w:val="24"/>
          <w:u w:val="thick"/>
        </w:rPr>
        <w:t>师执业专用章并签字）的；或拟担任本设计项目负责人的注册建筑师注册单位与投标人不符的；或拟担任本设计项目负责人与资格审查时不一致的；技术文件明显不符合招标文件规定合格性标准的；</w:t>
      </w:r>
    </w:p>
    <w:p>
      <w:pPr>
        <w:spacing w:after="0" w:line="194" w:lineRule="auto"/>
        <w:jc w:val="both"/>
        <w:rPr>
          <w:rFonts w:ascii="微软雅黑" w:eastAsia="微软雅黑"/>
          <w:sz w:val="24"/>
        </w:rPr>
        <w:sectPr>
          <w:headerReference w:type="even" r:id="rId82"/>
          <w:headerReference w:type="default" r:id="rId83"/>
          <w:footerReference w:type="even" r:id="rId84"/>
          <w:footerReference w:type="default" r:id="rId85"/>
          <w:pgSz w:w="11910" w:h="16840"/>
          <w:pgMar w:top="1380" w:right="800" w:bottom="1200" w:left="960" w:header="971" w:footer="1002"/>
          <w:pgNumType w:start="13"/>
          <w:cols w:space="708"/>
        </w:sectPr>
      </w:pPr>
    </w:p>
    <w:p>
      <w:pPr>
        <w:pStyle w:val="ListParagraph"/>
        <w:numPr>
          <w:ilvl w:val="1"/>
          <w:numId w:val="16"/>
        </w:numPr>
        <w:tabs>
          <w:tab w:val="left" w:pos="1352"/>
        </w:tabs>
        <w:spacing w:before="66" w:after="0" w:line="194" w:lineRule="auto"/>
        <w:ind w:left="628" w:right="617" w:firstLine="240"/>
        <w:jc w:val="left"/>
        <w:rPr>
          <w:rFonts w:ascii="微软雅黑" w:eastAsia="微软雅黑"/>
          <w:b/>
          <w:sz w:val="24"/>
        </w:rPr>
      </w:pPr>
      <w:r>
        <w:rPr>
          <w:rFonts w:ascii="微软雅黑" w:eastAsia="微软雅黑"/>
          <w:b/>
          <w:spacing w:val="-2"/>
          <w:sz w:val="24"/>
          <w:u w:val="thick"/>
        </w:rPr>
        <w:t>投标人以他人的名义投标、串通投标、以行贿手段谋取中标或者以其他弄虚作</w:t>
      </w:r>
      <w:r>
        <w:rPr>
          <w:rFonts w:ascii="微软雅黑" w:eastAsia="微软雅黑"/>
          <w:b/>
          <w:spacing w:val="80"/>
          <w:w w:val="150"/>
          <w:sz w:val="24"/>
          <w:u w:val="thick"/>
        </w:rPr>
        <w:t xml:space="preserve">                                                             </w:t>
      </w:r>
      <w:r>
        <w:rPr>
          <w:rFonts w:ascii="微软雅黑" w:eastAsia="微软雅黑"/>
          <w:b/>
          <w:spacing w:val="-2"/>
          <w:sz w:val="24"/>
          <w:u w:val="thick"/>
        </w:rPr>
        <w:t>假方式投标的；反映投标文件个性特征的内容出现明显雷同的；</w:t>
      </w:r>
    </w:p>
    <w:p>
      <w:pPr>
        <w:pStyle w:val="ListParagraph"/>
        <w:numPr>
          <w:ilvl w:val="1"/>
          <w:numId w:val="16"/>
        </w:numPr>
        <w:tabs>
          <w:tab w:val="left" w:pos="1472"/>
        </w:tabs>
        <w:spacing w:before="0" w:after="0" w:line="344" w:lineRule="exact"/>
        <w:ind w:left="1471" w:right="0" w:hanging="484"/>
        <w:jc w:val="left"/>
        <w:rPr>
          <w:sz w:val="24"/>
        </w:rPr>
      </w:pPr>
      <w:r>
        <w:rPr>
          <w:rFonts w:ascii="微软雅黑" w:eastAsia="微软雅黑"/>
          <w:b/>
          <w:sz w:val="24"/>
          <w:u w:val="thick"/>
        </w:rPr>
        <w:t>招标文件规定的可以废标的实质性要求</w:t>
      </w:r>
      <w:r>
        <w:rPr>
          <w:spacing w:val="-10"/>
          <w:sz w:val="24"/>
        </w:rPr>
        <w:t>。</w:t>
      </w:r>
    </w:p>
    <w:p>
      <w:pPr>
        <w:pStyle w:val="ListParagraph"/>
        <w:numPr>
          <w:ilvl w:val="0"/>
          <w:numId w:val="19"/>
        </w:numPr>
        <w:tabs>
          <w:tab w:val="left" w:pos="1230"/>
        </w:tabs>
        <w:spacing w:before="0" w:after="0" w:line="398" w:lineRule="exact"/>
        <w:ind w:left="1229" w:right="0" w:hanging="362"/>
        <w:jc w:val="left"/>
        <w:rPr>
          <w:rFonts w:ascii="微软雅黑" w:eastAsia="微软雅黑"/>
          <w:b/>
          <w:sz w:val="24"/>
        </w:rPr>
      </w:pPr>
      <w:r>
        <w:rPr>
          <w:rFonts w:ascii="微软雅黑" w:eastAsia="微软雅黑"/>
          <w:b/>
          <w:spacing w:val="-2"/>
          <w:sz w:val="24"/>
        </w:rPr>
        <w:t>澄清和补正</w:t>
      </w:r>
    </w:p>
    <w:p>
      <w:pPr>
        <w:pStyle w:val="ListParagraph"/>
        <w:numPr>
          <w:ilvl w:val="1"/>
          <w:numId w:val="19"/>
        </w:numPr>
        <w:tabs>
          <w:tab w:val="left" w:pos="1348"/>
        </w:tabs>
        <w:spacing w:before="0" w:after="0" w:line="305" w:lineRule="exact"/>
        <w:ind w:left="1348" w:right="0" w:hanging="480"/>
        <w:jc w:val="both"/>
        <w:rPr>
          <w:sz w:val="24"/>
        </w:rPr>
      </w:pPr>
      <w:r>
        <w:rPr>
          <w:spacing w:val="-2"/>
          <w:sz w:val="24"/>
        </w:rPr>
        <w:t>投标文件的澄清</w:t>
      </w:r>
    </w:p>
    <w:p>
      <w:pPr>
        <w:pStyle w:val="ListParagraph"/>
        <w:numPr>
          <w:ilvl w:val="2"/>
          <w:numId w:val="19"/>
        </w:numPr>
        <w:tabs>
          <w:tab w:val="left" w:pos="1528"/>
        </w:tabs>
        <w:spacing w:before="53" w:after="0" w:line="280" w:lineRule="auto"/>
        <w:ind w:left="628" w:right="616" w:firstLine="240"/>
        <w:jc w:val="both"/>
        <w:rPr>
          <w:sz w:val="24"/>
        </w:rPr>
      </w:pPr>
      <w:r>
        <w:rPr>
          <w:spacing w:val="-2"/>
          <w:sz w:val="24"/>
        </w:rPr>
        <w:t>为了有助于投标文件的审查、评价和比较，根据需要，可以要求投标人对投</w:t>
      </w:r>
      <w:r>
        <w:rPr>
          <w:spacing w:val="-2"/>
          <w:sz w:val="24"/>
        </w:rPr>
        <w:t>标文件含义不明确的内容作必要的澄清或说明。有关澄清的要求与答复应采用书面形</w:t>
      </w:r>
      <w:r>
        <w:rPr>
          <w:spacing w:val="-2"/>
          <w:sz w:val="24"/>
        </w:rPr>
        <w:t>式，但不应寻求、提出或允许更改投标价格或投标文件的实质性内容。按照本评标办</w:t>
      </w:r>
      <w:r>
        <w:rPr>
          <w:spacing w:val="-4"/>
          <w:sz w:val="24"/>
        </w:rPr>
        <w:t xml:space="preserve">法和标准第 </w:t>
      </w:r>
      <w:r>
        <w:rPr>
          <w:sz w:val="24"/>
        </w:rPr>
        <w:t>8.2</w:t>
      </w:r>
      <w:r>
        <w:rPr>
          <w:spacing w:val="-5"/>
          <w:sz w:val="24"/>
        </w:rPr>
        <w:t xml:space="preserve"> 款的规定对评委会在评标时发现的错误所进行的核实补正除外。</w:t>
      </w:r>
    </w:p>
    <w:p>
      <w:pPr>
        <w:pStyle w:val="ListParagraph"/>
        <w:numPr>
          <w:ilvl w:val="1"/>
          <w:numId w:val="19"/>
        </w:numPr>
        <w:tabs>
          <w:tab w:val="left" w:pos="1288"/>
        </w:tabs>
        <w:spacing w:before="1" w:after="0" w:line="240" w:lineRule="auto"/>
        <w:ind w:left="1288" w:right="0" w:hanging="420"/>
        <w:jc w:val="both"/>
        <w:rPr>
          <w:sz w:val="24"/>
        </w:rPr>
      </w:pPr>
      <w:r>
        <w:rPr>
          <w:spacing w:val="-2"/>
          <w:sz w:val="24"/>
        </w:rPr>
        <w:t>细微偏差补正</w:t>
      </w:r>
    </w:p>
    <w:p>
      <w:pPr>
        <w:pStyle w:val="ListParagraph"/>
        <w:numPr>
          <w:ilvl w:val="2"/>
          <w:numId w:val="19"/>
        </w:numPr>
        <w:tabs>
          <w:tab w:val="left" w:pos="1528"/>
        </w:tabs>
        <w:spacing w:before="52" w:after="0" w:line="280" w:lineRule="auto"/>
        <w:ind w:left="628" w:right="616" w:firstLine="240"/>
        <w:jc w:val="both"/>
        <w:rPr>
          <w:sz w:val="24"/>
        </w:rPr>
      </w:pPr>
      <w:r>
        <w:rPr>
          <w:spacing w:val="-2"/>
          <w:sz w:val="24"/>
        </w:rPr>
        <w:t>细微偏差是指投标文件在实质上响应招标文件要求，但在个别地方存在漏项</w:t>
      </w:r>
      <w:r>
        <w:rPr>
          <w:spacing w:val="-2"/>
          <w:sz w:val="24"/>
        </w:rPr>
        <w:t>或者提供了不完整的技术信息和数据等情况，并且补正这些遗漏或者不完整不会对其</w:t>
      </w:r>
      <w:r>
        <w:rPr>
          <w:spacing w:val="-2"/>
          <w:sz w:val="24"/>
        </w:rPr>
        <w:t>他投标人造成不公平的结果。细微偏差不影响投标文件的有效性。拒不补正的，在详</w:t>
      </w:r>
      <w:r>
        <w:rPr>
          <w:spacing w:val="-2"/>
          <w:sz w:val="24"/>
        </w:rPr>
        <w:t>细评审时可以对细微偏差作不利于该投标人的量化，量化标准按照下列约定：</w:t>
      </w:r>
    </w:p>
    <w:p>
      <w:pPr>
        <w:pStyle w:val="ListParagraph"/>
        <w:numPr>
          <w:ilvl w:val="0"/>
          <w:numId w:val="15"/>
        </w:numPr>
        <w:tabs>
          <w:tab w:val="left" w:pos="1229"/>
        </w:tabs>
        <w:spacing w:before="1" w:after="0" w:line="280" w:lineRule="auto"/>
        <w:ind w:left="628" w:right="517" w:firstLine="240"/>
        <w:jc w:val="left"/>
        <w:rPr>
          <w:sz w:val="24"/>
        </w:rPr>
      </w:pPr>
      <w:r>
        <w:rPr>
          <w:spacing w:val="-2"/>
          <w:sz w:val="24"/>
        </w:rPr>
        <w:t>投标文件中填报的设计周期前后不一致时，以投标函及投标函附录填报的为准，</w:t>
      </w:r>
      <w:r>
        <w:rPr>
          <w:spacing w:val="-2"/>
          <w:sz w:val="24"/>
        </w:rPr>
        <w:t>投标函和投标函附录数据有矛盾的，以投标函数据为准。</w:t>
      </w:r>
    </w:p>
    <w:p>
      <w:pPr>
        <w:pStyle w:val="ListParagraph"/>
        <w:numPr>
          <w:ilvl w:val="0"/>
          <w:numId w:val="15"/>
        </w:numPr>
        <w:tabs>
          <w:tab w:val="left" w:pos="1229"/>
        </w:tabs>
        <w:spacing w:before="0" w:after="0" w:line="280" w:lineRule="auto"/>
        <w:ind w:left="868" w:right="1957" w:firstLine="0"/>
        <w:jc w:val="left"/>
        <w:rPr>
          <w:sz w:val="24"/>
        </w:rPr>
      </w:pPr>
      <w:r>
        <w:rPr>
          <w:spacing w:val="-2"/>
          <w:sz w:val="24"/>
        </w:rPr>
        <w:t>投标文件中填写的工程名称有误时，以招标项目的实际内容为准。</w:t>
      </w:r>
      <w:r>
        <w:rPr>
          <w:spacing w:val="-2"/>
          <w:sz w:val="24"/>
        </w:rPr>
        <w:t xml:space="preserve"> (3)投标报价金额大写与小写不一致的，以大写为准。</w:t>
      </w:r>
    </w:p>
    <w:p>
      <w:pPr>
        <w:pStyle w:val="ListParagraph"/>
        <w:numPr>
          <w:ilvl w:val="2"/>
          <w:numId w:val="19"/>
        </w:numPr>
        <w:tabs>
          <w:tab w:val="left" w:pos="1528"/>
        </w:tabs>
        <w:spacing w:before="1" w:after="0" w:line="280" w:lineRule="auto"/>
        <w:ind w:left="628" w:right="616" w:firstLine="240"/>
        <w:jc w:val="left"/>
        <w:rPr>
          <w:sz w:val="24"/>
        </w:rPr>
      </w:pPr>
      <w:r>
        <w:rPr>
          <w:spacing w:val="-2"/>
          <w:sz w:val="24"/>
        </w:rPr>
        <w:t>按照本约定进行补正后的数据经投标人的法定代表人或其委托代理人或拟担</w:t>
      </w:r>
      <w:r>
        <w:rPr>
          <w:spacing w:val="-2"/>
          <w:sz w:val="24"/>
        </w:rPr>
        <w:t>任的设计项目负责人确认后产生约束力。</w:t>
      </w:r>
    </w:p>
    <w:p>
      <w:pPr>
        <w:pStyle w:val="ListParagraph"/>
        <w:numPr>
          <w:ilvl w:val="0"/>
          <w:numId w:val="19"/>
        </w:numPr>
        <w:tabs>
          <w:tab w:val="left" w:pos="1230"/>
        </w:tabs>
        <w:spacing w:before="0" w:after="0" w:line="366" w:lineRule="exact"/>
        <w:ind w:left="1229" w:right="0" w:hanging="362"/>
        <w:jc w:val="left"/>
        <w:rPr>
          <w:rFonts w:ascii="微软雅黑" w:eastAsia="微软雅黑"/>
          <w:b/>
          <w:sz w:val="24"/>
        </w:rPr>
      </w:pPr>
      <w:r>
        <w:rPr>
          <w:rFonts w:ascii="微软雅黑" w:eastAsia="微软雅黑"/>
          <w:b/>
          <w:spacing w:val="-3"/>
          <w:sz w:val="24"/>
        </w:rPr>
        <w:t>详细评审</w:t>
      </w:r>
    </w:p>
    <w:p>
      <w:pPr>
        <w:pStyle w:val="ListParagraph"/>
        <w:numPr>
          <w:ilvl w:val="1"/>
          <w:numId w:val="19"/>
        </w:numPr>
        <w:tabs>
          <w:tab w:val="left" w:pos="1468"/>
        </w:tabs>
        <w:spacing w:before="34" w:after="0" w:line="240" w:lineRule="auto"/>
        <w:ind w:left="1468" w:right="0" w:hanging="600"/>
        <w:jc w:val="both"/>
        <w:rPr>
          <w:sz w:val="24"/>
        </w:rPr>
      </w:pPr>
      <w:r>
        <w:rPr>
          <w:spacing w:val="-1"/>
          <w:sz w:val="24"/>
        </w:rPr>
        <w:t>评标委员会仅对进入初选名单的技术文件进行详细评审。</w:t>
      </w:r>
    </w:p>
    <w:p>
      <w:pPr>
        <w:pStyle w:val="ListParagraph"/>
        <w:numPr>
          <w:ilvl w:val="1"/>
          <w:numId w:val="19"/>
        </w:numPr>
        <w:tabs>
          <w:tab w:val="left" w:pos="1348"/>
        </w:tabs>
        <w:spacing w:before="182" w:after="0" w:line="240" w:lineRule="auto"/>
        <w:ind w:left="1348" w:right="0" w:hanging="480"/>
        <w:jc w:val="both"/>
        <w:rPr>
          <w:sz w:val="24"/>
        </w:rPr>
      </w:pPr>
      <w:r>
        <w:rPr>
          <w:spacing w:val="-1"/>
          <w:sz w:val="24"/>
        </w:rPr>
        <w:t>综合评估法的分值构成和评分标准</w:t>
      </w:r>
    </w:p>
    <w:p>
      <w:pPr>
        <w:pStyle w:val="BodyText"/>
        <w:rPr>
          <w:sz w:val="9"/>
        </w:rPr>
      </w:pPr>
    </w:p>
    <w:p>
      <w:pPr>
        <w:pStyle w:val="ListParagraph"/>
        <w:numPr>
          <w:ilvl w:val="2"/>
          <w:numId w:val="19"/>
        </w:numPr>
        <w:tabs>
          <w:tab w:val="left" w:pos="1528"/>
        </w:tabs>
        <w:spacing w:before="66" w:after="0" w:line="381" w:lineRule="auto"/>
        <w:ind w:left="628" w:right="615" w:firstLine="240"/>
        <w:jc w:val="both"/>
        <w:rPr>
          <w:sz w:val="24"/>
        </w:rPr>
      </w:pPr>
      <w:r>
        <w:rPr>
          <w:spacing w:val="-4"/>
          <w:sz w:val="24"/>
        </w:rPr>
        <w:t>综合评估法采用百分制进行量化。</w:t>
      </w:r>
      <w:r>
        <w:rPr>
          <w:color w:val="000000"/>
          <w:spacing w:val="-4"/>
          <w:sz w:val="24"/>
          <w:shd w:val="clear" w:color="auto" w:fill="FFFF00"/>
        </w:rPr>
        <w:t>其中商务分占</w:t>
      </w:r>
      <w:r>
        <w:rPr>
          <w:color w:val="000000"/>
          <w:spacing w:val="-25"/>
          <w:sz w:val="24"/>
        </w:rPr>
        <w:t xml:space="preserve"> </w:t>
      </w:r>
      <w:r>
        <w:rPr>
          <w:color w:val="000000"/>
          <w:spacing w:val="-4"/>
          <w:sz w:val="24"/>
          <w:shd w:val="clear" w:color="auto" w:fill="FFFF00"/>
        </w:rPr>
        <w:t>10%，技术分占</w:t>
      </w:r>
      <w:r>
        <w:rPr>
          <w:color w:val="000000"/>
          <w:spacing w:val="-25"/>
          <w:sz w:val="24"/>
        </w:rPr>
        <w:t xml:space="preserve"> </w:t>
      </w:r>
      <w:r>
        <w:rPr>
          <w:color w:val="000000"/>
          <w:spacing w:val="-4"/>
          <w:sz w:val="24"/>
          <w:shd w:val="clear" w:color="auto" w:fill="FFFF00"/>
        </w:rPr>
        <w:t>90%</w:t>
      </w:r>
      <w:r>
        <w:rPr>
          <w:color w:val="000000"/>
          <w:spacing w:val="-4"/>
          <w:sz w:val="24"/>
        </w:rPr>
        <w:t>。综合评</w:t>
      </w:r>
      <w:r>
        <w:rPr>
          <w:color w:val="000000"/>
          <w:spacing w:val="-6"/>
          <w:sz w:val="24"/>
        </w:rPr>
        <w:t>估法的评分标准见附件《福建省建筑工程设计招标综合评估法评分标准》。</w:t>
      </w:r>
    </w:p>
    <w:p>
      <w:pPr>
        <w:pStyle w:val="ListParagraph"/>
        <w:numPr>
          <w:ilvl w:val="2"/>
          <w:numId w:val="19"/>
        </w:numPr>
        <w:tabs>
          <w:tab w:val="left" w:pos="1648"/>
        </w:tabs>
        <w:spacing w:before="0" w:after="0" w:line="381" w:lineRule="auto"/>
        <w:ind w:left="628" w:right="616" w:firstLine="360"/>
        <w:jc w:val="both"/>
        <w:rPr>
          <w:sz w:val="24"/>
        </w:rPr>
      </w:pPr>
      <w:r>
        <w:rPr>
          <w:spacing w:val="-2"/>
          <w:sz w:val="24"/>
        </w:rPr>
        <w:t>技术分评分可以结合项目实际，在评分项目分值总数不变的原则框架内，由</w:t>
      </w:r>
      <w:r>
        <w:rPr>
          <w:spacing w:val="-2"/>
          <w:sz w:val="24"/>
        </w:rPr>
        <w:t>招标人确定各评审内容的分值的详细分布。本招标项目招标人确定的设计方案和专题</w:t>
      </w:r>
      <w:r>
        <w:rPr>
          <w:sz w:val="24"/>
        </w:rPr>
        <w:t>分析各分值的详细分布见“评标办法和标准数据表（综合评估法</w:t>
      </w:r>
      <w:r>
        <w:rPr>
          <w:spacing w:val="-120"/>
          <w:sz w:val="24"/>
        </w:rPr>
        <w:t>）</w:t>
      </w:r>
      <w:r>
        <w:rPr>
          <w:spacing w:val="-8"/>
          <w:sz w:val="24"/>
        </w:rPr>
        <w:t xml:space="preserve">”第 </w:t>
      </w:r>
      <w:r>
        <w:rPr>
          <w:sz w:val="24"/>
        </w:rPr>
        <w:t>3</w:t>
      </w:r>
      <w:r>
        <w:rPr>
          <w:spacing w:val="-8"/>
          <w:sz w:val="24"/>
        </w:rPr>
        <w:t xml:space="preserve"> 项。</w:t>
      </w:r>
    </w:p>
    <w:p>
      <w:pPr>
        <w:pStyle w:val="ListParagraph"/>
        <w:numPr>
          <w:ilvl w:val="2"/>
          <w:numId w:val="19"/>
        </w:numPr>
        <w:tabs>
          <w:tab w:val="left" w:pos="1408"/>
        </w:tabs>
        <w:spacing w:before="0" w:after="0" w:line="381" w:lineRule="auto"/>
        <w:ind w:left="628" w:right="577" w:firstLine="120"/>
        <w:jc w:val="both"/>
        <w:rPr>
          <w:sz w:val="24"/>
        </w:rPr>
      </w:pPr>
      <w:r>
        <w:rPr>
          <w:spacing w:val="-2"/>
          <w:sz w:val="24"/>
        </w:rPr>
        <w:t>评标委员会成员应当按照招标文件所规定的评标办法和标准进行独立、客观、</w:t>
      </w:r>
      <w:r>
        <w:rPr>
          <w:spacing w:val="-2"/>
          <w:sz w:val="24"/>
        </w:rPr>
        <w:t xml:space="preserve">公正地进行量化打分。在不缺项情况下每分项得分不得低于该项分值的 </w:t>
      </w:r>
      <w:r>
        <w:rPr>
          <w:sz w:val="24"/>
        </w:rPr>
        <w:t>60%。</w:t>
      </w:r>
    </w:p>
    <w:p>
      <w:pPr>
        <w:pStyle w:val="BodyText"/>
        <w:spacing w:before="1" w:line="381" w:lineRule="auto"/>
        <w:ind w:left="628" w:right="616" w:firstLine="480"/>
      </w:pPr>
      <w:r>
        <w:rPr>
          <w:spacing w:val="-2"/>
        </w:rPr>
        <w:t>每一项计分时，去掉一个最高和一个最低评分，取平均值作为投标人该项得分，</w:t>
      </w:r>
      <w:r>
        <w:rPr>
          <w:spacing w:val="-2"/>
        </w:rPr>
        <w:t>分数值保留至小数点后两位。</w:t>
      </w:r>
    </w:p>
    <w:p>
      <w:pPr>
        <w:pStyle w:val="ListParagraph"/>
        <w:numPr>
          <w:ilvl w:val="1"/>
          <w:numId w:val="19"/>
        </w:numPr>
        <w:tabs>
          <w:tab w:val="left" w:pos="1587"/>
          <w:tab w:val="left" w:pos="1588"/>
        </w:tabs>
        <w:spacing w:before="0" w:after="0" w:line="381" w:lineRule="auto"/>
        <w:ind w:left="1228" w:right="616" w:hanging="360"/>
        <w:jc w:val="left"/>
        <w:rPr>
          <w:sz w:val="24"/>
        </w:rPr>
      </w:pPr>
      <w:r>
        <w:rPr>
          <w:spacing w:val="-2"/>
          <w:sz w:val="24"/>
        </w:rPr>
        <w:t>评标委员会按照综合评估法的评标得分的从高到低的顺序进行排名，推荐合</w:t>
      </w:r>
      <w:r>
        <w:rPr>
          <w:spacing w:val="-2"/>
          <w:sz w:val="24"/>
        </w:rPr>
        <w:t>格的中标候选人。</w:t>
      </w:r>
    </w:p>
    <w:p>
      <w:pPr>
        <w:spacing w:after="0" w:line="381" w:lineRule="auto"/>
        <w:jc w:val="left"/>
        <w:rPr>
          <w:sz w:val="24"/>
        </w:rPr>
        <w:sectPr>
          <w:headerReference w:type="even" r:id="rId86"/>
          <w:headerReference w:type="default" r:id="rId87"/>
          <w:footerReference w:type="even" r:id="rId88"/>
          <w:footerReference w:type="default" r:id="rId89"/>
          <w:pgSz w:w="11910" w:h="16840"/>
          <w:pgMar w:top="1380" w:right="800" w:bottom="1200" w:left="960" w:header="971" w:footer="1002"/>
          <w:pgNumType w:start="14"/>
          <w:cols w:space="708"/>
        </w:sectPr>
      </w:pPr>
    </w:p>
    <w:p>
      <w:pPr>
        <w:pStyle w:val="ListParagraph"/>
        <w:numPr>
          <w:ilvl w:val="0"/>
          <w:numId w:val="19"/>
        </w:numPr>
        <w:tabs>
          <w:tab w:val="left" w:pos="1468"/>
        </w:tabs>
        <w:spacing w:before="46" w:after="0" w:line="240" w:lineRule="auto"/>
        <w:ind w:left="1468" w:right="0" w:hanging="600"/>
        <w:jc w:val="both"/>
        <w:rPr>
          <w:rFonts w:ascii="微软雅黑" w:eastAsia="微软雅黑"/>
          <w:b/>
          <w:sz w:val="24"/>
        </w:rPr>
      </w:pPr>
      <w:r>
        <w:rPr>
          <w:rFonts w:ascii="微软雅黑" w:eastAsia="微软雅黑"/>
          <w:b/>
          <w:spacing w:val="-2"/>
          <w:sz w:val="24"/>
        </w:rPr>
        <w:t>推荐中标候选人</w:t>
      </w:r>
    </w:p>
    <w:p>
      <w:pPr>
        <w:pStyle w:val="ListParagraph"/>
        <w:numPr>
          <w:ilvl w:val="1"/>
          <w:numId w:val="14"/>
        </w:numPr>
        <w:tabs>
          <w:tab w:val="left" w:pos="1888"/>
        </w:tabs>
        <w:spacing w:before="123" w:after="0" w:line="381" w:lineRule="auto"/>
        <w:ind w:left="868" w:right="616" w:firstLine="0"/>
        <w:jc w:val="both"/>
        <w:rPr>
          <w:sz w:val="24"/>
        </w:rPr>
      </w:pPr>
      <w:r>
        <w:rPr>
          <w:spacing w:val="-2"/>
          <w:sz w:val="24"/>
        </w:rPr>
        <w:t>评标委员会对满足招标文件实质性要求的投标文件，按照招标文件规定的</w:t>
      </w:r>
      <w:r>
        <w:rPr>
          <w:spacing w:val="-4"/>
          <w:sz w:val="24"/>
        </w:rPr>
        <w:t>评分标准进行评分，汇总各投标人的“技术文件得分+商务文件得分”之和，作为各</w:t>
      </w:r>
      <w:r>
        <w:rPr>
          <w:spacing w:val="-2"/>
          <w:sz w:val="24"/>
        </w:rPr>
        <w:t>投标人的最终得分。</w:t>
      </w:r>
    </w:p>
    <w:p>
      <w:pPr>
        <w:pStyle w:val="ListParagraph"/>
        <w:numPr>
          <w:ilvl w:val="1"/>
          <w:numId w:val="14"/>
        </w:numPr>
        <w:tabs>
          <w:tab w:val="left" w:pos="1888"/>
        </w:tabs>
        <w:spacing w:before="1" w:after="0" w:line="381" w:lineRule="auto"/>
        <w:ind w:left="868" w:right="616" w:firstLine="0"/>
        <w:jc w:val="both"/>
        <w:rPr>
          <w:sz w:val="24"/>
        </w:rPr>
      </w:pPr>
      <w:r>
        <w:rPr>
          <w:spacing w:val="-2"/>
          <w:sz w:val="24"/>
        </w:rPr>
        <w:t>按最终得分由高到低顺序推荐中标候选人，最终得分最高的投标人为第一</w:t>
      </w:r>
      <w:r>
        <w:rPr>
          <w:spacing w:val="-2"/>
          <w:sz w:val="24"/>
        </w:rPr>
        <w:t>中标候选人，以此类推选择第二、第三中标候选人。当出现二个或二个以上投标人</w:t>
      </w:r>
      <w:r>
        <w:rPr>
          <w:spacing w:val="-2"/>
          <w:sz w:val="24"/>
        </w:rPr>
        <w:t>的最终得分相同时，由评标委员会依次按投标人的设计方案得分和商务文件得分高</w:t>
      </w:r>
      <w:r>
        <w:rPr>
          <w:spacing w:val="-2"/>
          <w:sz w:val="24"/>
        </w:rPr>
        <w:t>低进行排序，即先确定设计方案得分高的优先，若上述两项均相同时，则由招标人</w:t>
      </w:r>
      <w:r>
        <w:rPr>
          <w:spacing w:val="-2"/>
          <w:sz w:val="24"/>
        </w:rPr>
        <w:t>选择确定。</w:t>
      </w:r>
    </w:p>
    <w:p>
      <w:pPr>
        <w:pStyle w:val="ListParagraph"/>
        <w:numPr>
          <w:ilvl w:val="1"/>
          <w:numId w:val="14"/>
        </w:numPr>
        <w:tabs>
          <w:tab w:val="left" w:pos="1888"/>
        </w:tabs>
        <w:spacing w:before="0" w:after="0" w:line="381" w:lineRule="auto"/>
        <w:ind w:left="868" w:right="616" w:firstLine="0"/>
        <w:jc w:val="both"/>
        <w:rPr>
          <w:sz w:val="24"/>
        </w:rPr>
      </w:pPr>
      <w:r>
        <w:rPr>
          <w:spacing w:val="-4"/>
          <w:sz w:val="24"/>
        </w:rPr>
        <w:t xml:space="preserve">通过评审合格的投标人少于 </w:t>
      </w:r>
      <w:r>
        <w:rPr>
          <w:spacing w:val="-2"/>
          <w:sz w:val="24"/>
        </w:rPr>
        <w:t>3</w:t>
      </w:r>
      <w:r>
        <w:rPr>
          <w:spacing w:val="-15"/>
          <w:sz w:val="24"/>
        </w:rPr>
        <w:t xml:space="preserve"> 家</w:t>
      </w:r>
      <w:r>
        <w:rPr>
          <w:spacing w:val="-2"/>
          <w:sz w:val="24"/>
        </w:rPr>
        <w:t>（</w:t>
      </w:r>
      <w:r>
        <w:rPr>
          <w:spacing w:val="-11"/>
          <w:sz w:val="24"/>
        </w:rPr>
        <w:t xml:space="preserve">不含 </w:t>
      </w:r>
      <w:r>
        <w:rPr>
          <w:spacing w:val="-2"/>
          <w:sz w:val="24"/>
        </w:rPr>
        <w:t>3</w:t>
      </w:r>
      <w:r>
        <w:rPr>
          <w:spacing w:val="-15"/>
          <w:sz w:val="24"/>
        </w:rPr>
        <w:t xml:space="preserve"> 家</w:t>
      </w:r>
      <w:r>
        <w:rPr>
          <w:spacing w:val="-118"/>
          <w:sz w:val="24"/>
        </w:rPr>
        <w:t>）</w:t>
      </w:r>
      <w:r>
        <w:rPr>
          <w:spacing w:val="-2"/>
          <w:sz w:val="24"/>
        </w:rPr>
        <w:t>，评标委员会认为投标明显</w:t>
      </w:r>
      <w:r>
        <w:rPr>
          <w:spacing w:val="-2"/>
          <w:sz w:val="24"/>
        </w:rPr>
        <w:t>缺乏竞争的，可以否决全部投标。</w:t>
      </w:r>
    </w:p>
    <w:p>
      <w:pPr>
        <w:pStyle w:val="ListParagraph"/>
        <w:numPr>
          <w:ilvl w:val="1"/>
          <w:numId w:val="14"/>
        </w:numPr>
        <w:tabs>
          <w:tab w:val="left" w:pos="1888"/>
        </w:tabs>
        <w:spacing w:before="0" w:after="0" w:line="381" w:lineRule="auto"/>
        <w:ind w:left="868" w:right="616" w:firstLine="0"/>
        <w:jc w:val="both"/>
        <w:rPr>
          <w:sz w:val="24"/>
        </w:rPr>
      </w:pPr>
      <w:r>
        <w:rPr>
          <w:spacing w:val="-2"/>
          <w:sz w:val="24"/>
        </w:rPr>
        <w:t>评标委员会经评审，认为所有投标都不符合招标文件要求的，可以否决所</w:t>
      </w:r>
      <w:r>
        <w:rPr>
          <w:spacing w:val="-2"/>
          <w:sz w:val="24"/>
        </w:rPr>
        <w:t>有投标。所有投标被否决后，招标人应当依法重新招标。</w:t>
      </w:r>
    </w:p>
    <w:p>
      <w:pPr>
        <w:pStyle w:val="ListParagraph"/>
        <w:numPr>
          <w:ilvl w:val="0"/>
          <w:numId w:val="19"/>
        </w:numPr>
        <w:tabs>
          <w:tab w:val="left" w:pos="1468"/>
        </w:tabs>
        <w:spacing w:before="0" w:after="0" w:line="366" w:lineRule="exact"/>
        <w:ind w:left="1468" w:right="0" w:hanging="600"/>
        <w:jc w:val="both"/>
        <w:rPr>
          <w:rFonts w:ascii="微软雅黑" w:eastAsia="微软雅黑"/>
          <w:b/>
          <w:sz w:val="24"/>
        </w:rPr>
      </w:pPr>
      <w:r>
        <w:rPr>
          <w:rFonts w:ascii="微软雅黑" w:eastAsia="微软雅黑"/>
          <w:b/>
          <w:spacing w:val="-3"/>
          <w:sz w:val="24"/>
        </w:rPr>
        <w:t>评标报告</w:t>
      </w:r>
    </w:p>
    <w:p>
      <w:pPr>
        <w:pStyle w:val="ListParagraph"/>
        <w:numPr>
          <w:ilvl w:val="1"/>
          <w:numId w:val="13"/>
        </w:numPr>
        <w:tabs>
          <w:tab w:val="left" w:pos="1888"/>
        </w:tabs>
        <w:spacing w:before="124" w:after="0" w:line="240" w:lineRule="auto"/>
        <w:ind w:left="1888" w:right="0" w:hanging="1020"/>
        <w:jc w:val="both"/>
        <w:rPr>
          <w:sz w:val="24"/>
        </w:rPr>
      </w:pPr>
      <w:r>
        <w:rPr>
          <w:spacing w:val="-12"/>
          <w:sz w:val="24"/>
        </w:rPr>
        <w:t>评标委员会完成评标后，应当向招标人提交记载以下内容的书面评标报告：</w:t>
      </w:r>
    </w:p>
    <w:p>
      <w:pPr>
        <w:pStyle w:val="ListParagraph"/>
        <w:numPr>
          <w:ilvl w:val="0"/>
          <w:numId w:val="12"/>
        </w:numPr>
        <w:tabs>
          <w:tab w:val="left" w:pos="1887"/>
          <w:tab w:val="left" w:pos="1888"/>
        </w:tabs>
        <w:spacing w:before="181" w:after="0" w:line="240" w:lineRule="auto"/>
        <w:ind w:left="1888" w:right="0" w:hanging="1020"/>
        <w:jc w:val="left"/>
        <w:rPr>
          <w:sz w:val="24"/>
        </w:rPr>
      </w:pPr>
      <w:r>
        <w:rPr>
          <w:spacing w:val="-2"/>
          <w:sz w:val="24"/>
        </w:rPr>
        <w:t>基本情况和数据表；</w:t>
      </w:r>
    </w:p>
    <w:p>
      <w:pPr>
        <w:pStyle w:val="ListParagraph"/>
        <w:numPr>
          <w:ilvl w:val="0"/>
          <w:numId w:val="12"/>
        </w:numPr>
        <w:tabs>
          <w:tab w:val="left" w:pos="1887"/>
          <w:tab w:val="left" w:pos="1888"/>
        </w:tabs>
        <w:spacing w:before="182" w:after="0" w:line="240" w:lineRule="auto"/>
        <w:ind w:left="1888" w:right="0" w:hanging="1020"/>
        <w:jc w:val="left"/>
        <w:rPr>
          <w:sz w:val="24"/>
        </w:rPr>
      </w:pPr>
      <w:r>
        <w:rPr>
          <w:spacing w:val="-1"/>
          <w:sz w:val="24"/>
        </w:rPr>
        <w:t>评标委员会成员名单；</w:t>
      </w:r>
    </w:p>
    <w:p>
      <w:pPr>
        <w:pStyle w:val="ListParagraph"/>
        <w:numPr>
          <w:ilvl w:val="0"/>
          <w:numId w:val="12"/>
        </w:numPr>
        <w:tabs>
          <w:tab w:val="left" w:pos="1887"/>
          <w:tab w:val="left" w:pos="1888"/>
        </w:tabs>
        <w:spacing w:before="181" w:after="0" w:line="240" w:lineRule="auto"/>
        <w:ind w:left="1888" w:right="0" w:hanging="1020"/>
        <w:jc w:val="left"/>
        <w:rPr>
          <w:sz w:val="24"/>
        </w:rPr>
      </w:pPr>
      <w:r>
        <w:rPr>
          <w:spacing w:val="-1"/>
          <w:sz w:val="24"/>
        </w:rPr>
        <w:t>符合要求的投标一览表；</w:t>
      </w:r>
    </w:p>
    <w:p>
      <w:pPr>
        <w:pStyle w:val="ListParagraph"/>
        <w:numPr>
          <w:ilvl w:val="0"/>
          <w:numId w:val="12"/>
        </w:numPr>
        <w:tabs>
          <w:tab w:val="left" w:pos="1887"/>
          <w:tab w:val="left" w:pos="1888"/>
        </w:tabs>
        <w:spacing w:before="182" w:after="0" w:line="240" w:lineRule="auto"/>
        <w:ind w:left="1888" w:right="0" w:hanging="1020"/>
        <w:jc w:val="left"/>
        <w:rPr>
          <w:sz w:val="24"/>
        </w:rPr>
      </w:pPr>
      <w:r>
        <w:rPr>
          <w:spacing w:val="-2"/>
          <w:sz w:val="24"/>
        </w:rPr>
        <w:t>废标情况说明；</w:t>
      </w:r>
    </w:p>
    <w:p>
      <w:pPr>
        <w:pStyle w:val="ListParagraph"/>
        <w:numPr>
          <w:ilvl w:val="0"/>
          <w:numId w:val="12"/>
        </w:numPr>
        <w:tabs>
          <w:tab w:val="left" w:pos="1887"/>
          <w:tab w:val="left" w:pos="1888"/>
        </w:tabs>
        <w:spacing w:before="181" w:after="0" w:line="240" w:lineRule="auto"/>
        <w:ind w:left="1888" w:right="0" w:hanging="1020"/>
        <w:jc w:val="left"/>
        <w:rPr>
          <w:sz w:val="24"/>
        </w:rPr>
      </w:pPr>
      <w:r>
        <w:rPr>
          <w:spacing w:val="-1"/>
          <w:sz w:val="24"/>
        </w:rPr>
        <w:t>评标标准、方法或者评标因素一览表；</w:t>
      </w:r>
    </w:p>
    <w:p>
      <w:pPr>
        <w:pStyle w:val="ListParagraph"/>
        <w:numPr>
          <w:ilvl w:val="0"/>
          <w:numId w:val="12"/>
        </w:numPr>
        <w:tabs>
          <w:tab w:val="left" w:pos="1887"/>
          <w:tab w:val="left" w:pos="1888"/>
        </w:tabs>
        <w:spacing w:before="182" w:after="0" w:line="240" w:lineRule="auto"/>
        <w:ind w:left="1888" w:right="0" w:hanging="1020"/>
        <w:jc w:val="left"/>
        <w:rPr>
          <w:sz w:val="24"/>
        </w:rPr>
      </w:pPr>
      <w:r>
        <w:rPr>
          <w:spacing w:val="-1"/>
          <w:sz w:val="24"/>
        </w:rPr>
        <w:t>经评审的价格或者评分比较一览表；</w:t>
      </w:r>
    </w:p>
    <w:p>
      <w:pPr>
        <w:pStyle w:val="ListParagraph"/>
        <w:numPr>
          <w:ilvl w:val="0"/>
          <w:numId w:val="12"/>
        </w:numPr>
        <w:tabs>
          <w:tab w:val="left" w:pos="1887"/>
          <w:tab w:val="left" w:pos="1888"/>
        </w:tabs>
        <w:spacing w:before="181" w:after="0" w:line="240" w:lineRule="auto"/>
        <w:ind w:left="1888" w:right="0" w:hanging="1020"/>
        <w:jc w:val="left"/>
        <w:rPr>
          <w:sz w:val="24"/>
        </w:rPr>
      </w:pPr>
      <w:r>
        <w:rPr>
          <w:spacing w:val="-1"/>
          <w:sz w:val="24"/>
        </w:rPr>
        <w:t>经评审的投标人排序；</w:t>
      </w:r>
    </w:p>
    <w:p>
      <w:pPr>
        <w:pStyle w:val="ListParagraph"/>
        <w:numPr>
          <w:ilvl w:val="0"/>
          <w:numId w:val="12"/>
        </w:numPr>
        <w:tabs>
          <w:tab w:val="left" w:pos="1887"/>
          <w:tab w:val="left" w:pos="1888"/>
        </w:tabs>
        <w:spacing w:before="182" w:after="0" w:line="240" w:lineRule="auto"/>
        <w:ind w:left="1888" w:right="0" w:hanging="1020"/>
        <w:jc w:val="left"/>
        <w:rPr>
          <w:sz w:val="24"/>
        </w:rPr>
      </w:pPr>
      <w:r>
        <w:rPr>
          <w:spacing w:val="-1"/>
          <w:sz w:val="24"/>
        </w:rPr>
        <w:t>推荐的中标候选人名单、排序以及签订合同前要处理的事宜；</w:t>
      </w:r>
    </w:p>
    <w:p>
      <w:pPr>
        <w:pStyle w:val="ListParagraph"/>
        <w:numPr>
          <w:ilvl w:val="0"/>
          <w:numId w:val="12"/>
        </w:numPr>
        <w:tabs>
          <w:tab w:val="left" w:pos="1887"/>
          <w:tab w:val="left" w:pos="1888"/>
        </w:tabs>
        <w:spacing w:before="181" w:after="0" w:line="240" w:lineRule="auto"/>
        <w:ind w:left="1888" w:right="0" w:hanging="1020"/>
        <w:jc w:val="left"/>
        <w:rPr>
          <w:sz w:val="24"/>
        </w:rPr>
      </w:pPr>
      <w:r>
        <w:rPr>
          <w:spacing w:val="-1"/>
          <w:sz w:val="24"/>
        </w:rPr>
        <w:t>澄清、说明、补正事项的纪要。</w:t>
      </w:r>
    </w:p>
    <w:p>
      <w:pPr>
        <w:pStyle w:val="ListParagraph"/>
        <w:numPr>
          <w:ilvl w:val="1"/>
          <w:numId w:val="13"/>
        </w:numPr>
        <w:tabs>
          <w:tab w:val="left" w:pos="1888"/>
        </w:tabs>
        <w:spacing w:before="182" w:after="0" w:line="240" w:lineRule="auto"/>
        <w:ind w:left="1888" w:right="0" w:hanging="1020"/>
        <w:jc w:val="both"/>
        <w:rPr>
          <w:sz w:val="24"/>
        </w:rPr>
      </w:pPr>
      <w:r>
        <w:rPr>
          <w:spacing w:val="-1"/>
          <w:sz w:val="24"/>
        </w:rPr>
        <w:t>评标委员会决定否决所有投标的，应当在评标报告中说明具体理由。</w:t>
      </w:r>
    </w:p>
    <w:p>
      <w:pPr>
        <w:pStyle w:val="ListParagraph"/>
        <w:numPr>
          <w:ilvl w:val="1"/>
          <w:numId w:val="13"/>
        </w:numPr>
        <w:tabs>
          <w:tab w:val="left" w:pos="1888"/>
        </w:tabs>
        <w:spacing w:before="181" w:after="0" w:line="381" w:lineRule="auto"/>
        <w:ind w:left="868" w:right="616" w:firstLine="0"/>
        <w:jc w:val="both"/>
        <w:rPr>
          <w:sz w:val="24"/>
        </w:rPr>
      </w:pPr>
      <w:r>
        <w:rPr>
          <w:spacing w:val="-2"/>
          <w:sz w:val="24"/>
        </w:rPr>
        <w:t>评标报告由评标委员会全体成员签字。对评标结论持有异议的，评标委员</w:t>
      </w:r>
      <w:r>
        <w:rPr>
          <w:spacing w:val="-2"/>
          <w:sz w:val="24"/>
        </w:rPr>
        <w:t>会成员可以书面方式阐述其不同意见和理由。评标委员会成员拒绝在评标报告上签</w:t>
      </w:r>
      <w:r>
        <w:rPr>
          <w:spacing w:val="-1"/>
          <w:sz w:val="24"/>
        </w:rPr>
        <w:t>字且不陈述其不同意见和理由的，视为同意评标结论，并由评标委员会作出书面说</w:t>
      </w:r>
    </w:p>
    <w:p>
      <w:pPr>
        <w:spacing w:after="0" w:line="381" w:lineRule="auto"/>
        <w:jc w:val="both"/>
        <w:rPr>
          <w:sz w:val="24"/>
        </w:rPr>
        <w:sectPr>
          <w:headerReference w:type="even" r:id="rId90"/>
          <w:headerReference w:type="default" r:id="rId91"/>
          <w:footerReference w:type="even" r:id="rId92"/>
          <w:footerReference w:type="default" r:id="rId93"/>
          <w:pgSz w:w="11910" w:h="16840"/>
          <w:pgMar w:top="1380" w:right="800" w:bottom="1200" w:left="960" w:header="971" w:footer="1002"/>
          <w:pgNumType w:start="15"/>
          <w:cols w:space="708"/>
        </w:sectPr>
      </w:pPr>
    </w:p>
    <w:p>
      <w:pPr>
        <w:pStyle w:val="BodyText"/>
        <w:spacing w:before="123"/>
        <w:ind w:left="868"/>
      </w:pPr>
      <w:r>
        <w:rPr>
          <w:spacing w:val="-2"/>
        </w:rPr>
        <w:t>明并存档。</w:t>
      </w:r>
    </w:p>
    <w:p>
      <w:pPr>
        <w:pStyle w:val="BodyText"/>
      </w:pPr>
    </w:p>
    <w:p>
      <w:pPr>
        <w:pStyle w:val="Heading5"/>
        <w:numPr>
          <w:ilvl w:val="0"/>
          <w:numId w:val="33"/>
        </w:numPr>
        <w:tabs>
          <w:tab w:val="left" w:pos="1562"/>
        </w:tabs>
        <w:spacing w:before="166" w:after="0" w:line="240" w:lineRule="auto"/>
        <w:ind w:left="1561" w:right="0" w:hanging="424"/>
        <w:jc w:val="left"/>
        <w:rPr>
          <w:rFonts w:ascii="微软雅黑" w:eastAsia="微软雅黑"/>
          <w:sz w:val="26"/>
        </w:rPr>
      </w:pPr>
      <w:r>
        <w:rPr>
          <w:rFonts w:ascii="微软雅黑" w:eastAsia="微软雅黑"/>
          <w:spacing w:val="-5"/>
        </w:rPr>
        <w:t>附则</w:t>
      </w:r>
    </w:p>
    <w:p>
      <w:pPr>
        <w:pStyle w:val="ListParagraph"/>
        <w:numPr>
          <w:ilvl w:val="1"/>
          <w:numId w:val="33"/>
        </w:numPr>
        <w:tabs>
          <w:tab w:val="left" w:pos="1648"/>
        </w:tabs>
        <w:spacing w:before="170" w:after="0" w:line="381" w:lineRule="auto"/>
        <w:ind w:left="628" w:right="577" w:firstLine="480"/>
        <w:jc w:val="both"/>
        <w:rPr>
          <w:sz w:val="24"/>
        </w:rPr>
      </w:pPr>
      <w:r>
        <w:rPr>
          <w:spacing w:val="-2"/>
          <w:sz w:val="24"/>
        </w:rPr>
        <w:t>在评标定标过程中，投标人须准备好与投标有关的证明资料原件随时备查，</w:t>
      </w:r>
      <w:r>
        <w:rPr>
          <w:spacing w:val="-16"/>
          <w:sz w:val="24"/>
        </w:rPr>
        <w:t>如有必要，招标人将要求投标人在规定的合理时间内提交原件验证，在规定时间内</w:t>
      </w:r>
      <w:r>
        <w:rPr>
          <w:spacing w:val="-2"/>
          <w:sz w:val="24"/>
        </w:rPr>
        <w:t>（一</w:t>
      </w:r>
      <w:r>
        <w:rPr>
          <w:spacing w:val="-2"/>
          <w:sz w:val="24"/>
        </w:rPr>
        <w:t>般在半个小时内须到达评标地点）不能提交原件的，评标委员会可以对有疑意的有关</w:t>
      </w:r>
      <w:r>
        <w:rPr>
          <w:spacing w:val="-2"/>
          <w:sz w:val="24"/>
        </w:rPr>
        <w:t>证明资料复印件作出不利于投标人的认定。</w:t>
      </w:r>
    </w:p>
    <w:p>
      <w:pPr>
        <w:pStyle w:val="ListParagraph"/>
        <w:numPr>
          <w:ilvl w:val="1"/>
          <w:numId w:val="33"/>
        </w:numPr>
        <w:tabs>
          <w:tab w:val="left" w:pos="1648"/>
        </w:tabs>
        <w:spacing w:before="0" w:after="0" w:line="381" w:lineRule="auto"/>
        <w:ind w:left="628" w:right="496" w:firstLine="480"/>
        <w:jc w:val="left"/>
        <w:rPr>
          <w:sz w:val="24"/>
        </w:rPr>
      </w:pPr>
      <w:r>
        <w:rPr>
          <w:spacing w:val="-2"/>
          <w:sz w:val="24"/>
        </w:rPr>
        <w:t>在评标过程中，有关评委会要求投标人作出澄清的，须由投标人的法定代表</w:t>
      </w:r>
      <w:r>
        <w:rPr>
          <w:spacing w:val="-2"/>
          <w:sz w:val="24"/>
        </w:rPr>
        <w:t>人或其委托代理人或拟担任的设计项目负责人按规定时间（一般在半个小时内须到达</w:t>
      </w:r>
      <w:r>
        <w:rPr>
          <w:spacing w:val="-2"/>
          <w:sz w:val="24"/>
        </w:rPr>
        <w:t>评标地点</w:t>
      </w:r>
      <w:r>
        <w:rPr>
          <w:spacing w:val="-120"/>
          <w:sz w:val="24"/>
        </w:rPr>
        <w:t>）</w:t>
      </w:r>
      <w:r>
        <w:rPr>
          <w:spacing w:val="-19"/>
          <w:sz w:val="24"/>
        </w:rPr>
        <w:t>、地点向评标委员会作出书面澄清。投标人未能按上述规定作出书面澄清的，</w:t>
      </w:r>
      <w:r>
        <w:rPr>
          <w:spacing w:val="-2"/>
          <w:sz w:val="24"/>
        </w:rPr>
        <w:t>则评标委员会可以按不利于投标人的情形认定。</w:t>
      </w:r>
    </w:p>
    <w:p>
      <w:pPr>
        <w:pStyle w:val="BodyText"/>
        <w:spacing w:line="381" w:lineRule="auto"/>
        <w:ind w:left="628" w:right="616" w:firstLine="240"/>
      </w:pPr>
      <w:r>
        <w:rPr>
          <w:spacing w:val="-2"/>
        </w:rPr>
        <w:t>投标人应对所递交的投标文件以及与投标有关的证明资料的真实性负责，若以弄虚</w:t>
      </w:r>
      <w:r>
        <w:rPr>
          <w:spacing w:val="-2"/>
        </w:rPr>
        <w:t>作假骗取中标的，中标无效，给招标人造成损失的依法承担赔偿责任。</w:t>
      </w:r>
    </w:p>
    <w:p>
      <w:pPr>
        <w:spacing w:after="0" w:line="381"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94" w:history="1">
        <w:r>
          <w:rPr>
            <w:rFonts w:ascii="SimSun" w:eastAsia="SimSun" w:hAnsi="SimSun" w:cs="SimSun"/>
            <w:b/>
            <w:bCs/>
            <w:color w:val="0000EE"/>
            <w:sz w:val="30"/>
            <w:szCs w:val="30"/>
            <w:u w:val="single" w:color="0000EE"/>
          </w:rPr>
          <w:t>https://d.book118.com/086042241040010055</w:t>
        </w:r>
      </w:hyperlink>
    </w:p>
    <w:p>
      <w:pPr>
        <w:spacing w:after="0" w:line="381" w:lineRule="auto"/>
      </w:pPr>
    </w:p>
    <w:sectPr>
      <w:headerReference w:type="even" r:id="rId95"/>
      <w:headerReference w:type="default" r:id="rId96"/>
      <w:footerReference w:type="even" r:id="rId97"/>
      <w:footerReference w:type="default" r:id="rId98"/>
      <w:pgSz w:w="11910" w:h="16840"/>
      <w:pgMar w:top="1380" w:right="800" w:bottom="1200" w:left="960" w:header="971" w:footer="1002"/>
      <w:pgNumType w:start="16"/>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等线">
    <w:altName w:val="等线"/>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33.5pt;height:12pt;margin-top:780.8pt;margin-left:287.4pt;mso-position-horizontal-relative:page;mso-position-vertical-relative:page;position:absolute;z-index:-251657216"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t>2</w:t>
                </w:r>
                <w:r>
                  <w:rPr>
                    <w:rFonts w:ascii="Times New Roman" w:eastAsia="Times New Roman"/>
                    <w:spacing w:val="45"/>
                    <w:sz w:val="18"/>
                  </w:rPr>
                  <w:t xml:space="preserve"> </w:t>
                </w:r>
                <w:r>
                  <w:rPr>
                    <w:spacing w:val="-10"/>
                    <w:sz w:val="18"/>
                  </w:rPr>
                  <w:t>页</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33.5pt;height:12pt;margin-top:780.8pt;margin-left:287.4pt;mso-position-horizontal-relative:page;mso-position-vertical-relative:page;position:absolute;z-index:-251658240"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t>1</w:t>
                </w:r>
                <w:r>
                  <w:rPr>
                    <w:rFonts w:ascii="Times New Roman" w:eastAsia="Times New Roman"/>
                    <w:spacing w:val="45"/>
                    <w:sz w:val="18"/>
                  </w:rPr>
                  <w:t xml:space="preserve"> </w:t>
                </w:r>
                <w:r>
                  <w:rPr>
                    <w:spacing w:val="-10"/>
                    <w:sz w:val="18"/>
                  </w:rPr>
                  <w:t>页</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33.5pt;height:12pt;margin-top:780.8pt;margin-left:287.4pt;mso-position-horizontal-relative:page;mso-position-vertical-relative:page;position:absolute;z-index:-251655168"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t>2</w:t>
                </w:r>
                <w:r>
                  <w:rPr>
                    <w:rFonts w:ascii="Times New Roman" w:eastAsia="Times New Roman"/>
                    <w:spacing w:val="45"/>
                    <w:sz w:val="18"/>
                  </w:rPr>
                  <w:t xml:space="preserve"> </w:t>
                </w:r>
                <w:r>
                  <w:rPr>
                    <w:spacing w:val="-10"/>
                    <w:sz w:val="18"/>
                  </w:rPr>
                  <w:t>页</w:t>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33.5pt;height:12pt;margin-top:780.8pt;margin-left:287.4pt;mso-position-horizontal-relative:page;mso-position-vertical-relative:page;position:absolute;z-index:-251656192"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t>1</w:t>
                </w:r>
                <w:r>
                  <w:rPr>
                    <w:rFonts w:ascii="Times New Roman" w:eastAsia="Times New Roman"/>
                    <w:spacing w:val="45"/>
                    <w:sz w:val="18"/>
                  </w:rPr>
                  <w:t xml:space="preserve"> </w:t>
                </w:r>
                <w:r>
                  <w:rPr>
                    <w:spacing w:val="-10"/>
                    <w:sz w:val="18"/>
                  </w:rPr>
                  <w:t>页</w:t>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33.5pt;height:12pt;margin-top:780.8pt;margin-left:287.4pt;mso-position-horizontal-relative:page;mso-position-vertical-relative:page;position:absolute;z-index:-251653120"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t>2</w:t>
                </w:r>
                <w:r>
                  <w:rPr>
                    <w:rFonts w:ascii="Times New Roman" w:eastAsia="Times New Roman"/>
                    <w:spacing w:val="45"/>
                    <w:sz w:val="18"/>
                  </w:rPr>
                  <w:t xml:space="preserve"> </w:t>
                </w:r>
                <w:r>
                  <w:rPr>
                    <w:spacing w:val="-10"/>
                    <w:sz w:val="18"/>
                  </w:rPr>
                  <w:t>页</w:t>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33.5pt;height:12pt;margin-top:780.8pt;margin-left:287.4pt;mso-position-horizontal-relative:page;mso-position-vertical-relative:page;position:absolute;z-index:-251654144"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t>1</w:t>
                </w:r>
                <w:r>
                  <w:rPr>
                    <w:rFonts w:ascii="Times New Roman" w:eastAsia="Times New Roman"/>
                    <w:spacing w:val="45"/>
                    <w:sz w:val="18"/>
                  </w:rPr>
                  <w:t xml:space="preserve"> </w:t>
                </w:r>
                <w:r>
                  <w:rPr>
                    <w:spacing w:val="-10"/>
                    <w:sz w:val="18"/>
                  </w:rPr>
                  <w:t>页</w:t>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33.5pt;height:12pt;margin-top:780.8pt;margin-left:287.4pt;mso-position-horizontal-relative:page;mso-position-vertical-relative:page;position:absolute;z-index:-251651072"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t>2</w:t>
                </w:r>
                <w:r>
                  <w:rPr>
                    <w:rFonts w:ascii="Times New Roman" w:eastAsia="Times New Roman"/>
                    <w:spacing w:val="45"/>
                    <w:sz w:val="18"/>
                  </w:rPr>
                  <w:t xml:space="preserve"> </w:t>
                </w:r>
                <w:r>
                  <w:rPr>
                    <w:spacing w:val="-10"/>
                    <w:sz w:val="18"/>
                  </w:rPr>
                  <w:t>页</w:t>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9" type="#_x0000_t202" style="width:33.5pt;height:12pt;margin-top:780.8pt;margin-left:287.4pt;mso-position-horizontal-relative:page;mso-position-vertical-relative:page;position:absolute;z-index:-251652096"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t>1</w:t>
                </w:r>
                <w:r>
                  <w:rPr>
                    <w:rFonts w:ascii="Times New Roman" w:eastAsia="Times New Roman"/>
                    <w:spacing w:val="45"/>
                    <w:sz w:val="18"/>
                  </w:rPr>
                  <w:t xml:space="preserve"> </w:t>
                </w:r>
                <w:r>
                  <w:rPr>
                    <w:spacing w:val="-10"/>
                    <w:sz w:val="18"/>
                  </w:rPr>
                  <w:t>页</w:t>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33.5pt;height:12pt;margin-top:780.8pt;margin-left:287.4pt;mso-position-horizontal-relative:page;mso-position-vertical-relative:page;position:absolute;z-index:-251649024"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t>4</w:t>
                </w:r>
                <w:r>
                  <w:rPr>
                    <w:rFonts w:ascii="Times New Roman" w:eastAsia="Times New Roman"/>
                    <w:spacing w:val="45"/>
                    <w:sz w:val="18"/>
                  </w:rPr>
                  <w:t xml:space="preserve"> </w:t>
                </w:r>
                <w:r>
                  <w:rPr>
                    <w:spacing w:val="-10"/>
                    <w:sz w:val="18"/>
                  </w:rPr>
                  <w:t>页</w:t>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7" type="#_x0000_t202" style="width:33.5pt;height:12pt;margin-top:780.8pt;margin-left:287.4pt;mso-position-horizontal-relative:page;mso-position-vertical-relative:page;position:absolute;z-index:-251650048"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t>3</w:t>
                </w:r>
                <w:r>
                  <w:rPr>
                    <w:rFonts w:ascii="Times New Roman" w:eastAsia="Times New Roman"/>
                    <w:spacing w:val="45"/>
                    <w:sz w:val="18"/>
                  </w:rPr>
                  <w:t xml:space="preserve"> </w:t>
                </w:r>
                <w:r>
                  <w:rPr>
                    <w:spacing w:val="-10"/>
                    <w:sz w:val="18"/>
                  </w:rPr>
                  <w:t>页</w:t>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96" type="#_x0000_t202" style="width:33.5pt;height:12pt;margin-top:780.8pt;margin-left:287.4pt;mso-position-horizontal-relative:page;mso-position-vertical-relative:page;position:absolute;z-index:-251646976"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t>4</w:t>
                </w:r>
                <w:r>
                  <w:rPr>
                    <w:rFonts w:ascii="Times New Roman" w:eastAsia="Times New Roman"/>
                    <w:spacing w:val="45"/>
                    <w:sz w:val="18"/>
                  </w:rPr>
                  <w:t xml:space="preserve"> </w:t>
                </w:r>
                <w:r>
                  <w:rPr>
                    <w:spacing w:val="-10"/>
                    <w:sz w:val="18"/>
                  </w:rPr>
                  <w:t>页</w:t>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95" type="#_x0000_t202" style="width:33.5pt;height:12pt;margin-top:780.8pt;margin-left:287.4pt;mso-position-horizontal-relative:page;mso-position-vertical-relative:page;position:absolute;z-index:-251648000"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t>3</w:t>
                </w:r>
                <w:r>
                  <w:rPr>
                    <w:rFonts w:ascii="Times New Roman" w:eastAsia="Times New Roman"/>
                    <w:spacing w:val="45"/>
                    <w:sz w:val="18"/>
                  </w:rPr>
                  <w:t xml:space="preserve"> </w:t>
                </w:r>
                <w:r>
                  <w:rPr>
                    <w:spacing w:val="-10"/>
                    <w:sz w:val="18"/>
                  </w:rPr>
                  <w:t>页</w:t>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04" type="#_x0000_t202" style="width:38pt;height:12pt;margin-top:780.8pt;margin-left:285.15pt;mso-position-horizontal-relative:page;mso-position-vertical-relative:page;position:absolute;z-index:-251644928"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42</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03" type="#_x0000_t202" style="width:38pt;height:12pt;margin-top:780.8pt;margin-left:285.15pt;mso-position-horizontal-relative:page;mso-position-vertical-relative:page;position:absolute;z-index:-251645952"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12" type="#_x0000_t202" style="width:38pt;height:12pt;margin-top:780.8pt;margin-left:285.15pt;mso-position-horizontal-relative:page;mso-position-vertical-relative:page;position:absolute;z-index:-251642880"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11" type="#_x0000_t202" style="width:38pt;height:12pt;margin-top:780.8pt;margin-left:285.15pt;mso-position-horizontal-relative:page;mso-position-vertical-relative:page;position:absolute;z-index:-251643904"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20" type="#_x0000_t202" style="width:38pt;height:12pt;margin-top:780.8pt;margin-left:285.15pt;mso-position-horizontal-relative:page;mso-position-vertical-relative:page;position:absolute;z-index:-251640832"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42</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19" type="#_x0000_t202" style="width:38pt;height:12pt;margin-top:780.8pt;margin-left:285.15pt;mso-position-horizontal-relative:page;mso-position-vertical-relative:page;position:absolute;z-index:-251641856"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3</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28" type="#_x0000_t202" style="width:38pt;height:12pt;margin-top:780.8pt;margin-left:285.15pt;mso-position-horizontal-relative:page;mso-position-vertical-relative:page;position:absolute;z-index:-251638784"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27" type="#_x0000_t202" style="width:38pt;height:12pt;margin-top:780.8pt;margin-left:285.15pt;mso-position-horizontal-relative:page;mso-position-vertical-relative:page;position:absolute;z-index:-251639808"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36" type="#_x0000_t202" style="width:38pt;height:12pt;margin-top:780.8pt;margin-left:285.15pt;mso-position-horizontal-relative:page;mso-position-vertical-relative:page;position:absolute;z-index:-251636736"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42</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35" type="#_x0000_t202" style="width:38pt;height:12pt;margin-top:780.8pt;margin-left:285.15pt;mso-position-horizontal-relative:page;mso-position-vertical-relative:page;position:absolute;z-index:-251637760"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5</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44" type="#_x0000_t202" style="width:38pt;height:12pt;margin-top:780.8pt;margin-left:285.15pt;mso-position-horizontal-relative:page;mso-position-vertical-relative:page;position:absolute;z-index:-251634688"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6</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43" type="#_x0000_t202" style="width:38pt;height:12pt;margin-top:780.8pt;margin-left:285.15pt;mso-position-horizontal-relative:page;mso-position-vertical-relative:page;position:absolute;z-index:-251635712"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52" type="#_x0000_t202" style="width:38pt;height:12pt;margin-top:780.8pt;margin-left:285.15pt;mso-position-horizontal-relative:page;mso-position-vertical-relative:page;position:absolute;z-index:-251632640"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42</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51" type="#_x0000_t202" style="width:38pt;height:12pt;margin-top:780.8pt;margin-left:285.15pt;mso-position-horizontal-relative:page;mso-position-vertical-relative:page;position:absolute;z-index:-251633664"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7</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60" type="#_x0000_t202" style="width:38pt;height:12pt;margin-top:780.8pt;margin-left:285.15pt;mso-position-horizontal-relative:page;mso-position-vertical-relative:page;position:absolute;z-index:-251630592"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8</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59" type="#_x0000_t202" style="width:38pt;height:12pt;margin-top:780.8pt;margin-left:285.15pt;mso-position-horizontal-relative:page;mso-position-vertical-relative:page;position:absolute;z-index:-251631616"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68" type="#_x0000_t202" style="width:38pt;height:12pt;margin-top:780.8pt;margin-left:285.15pt;mso-position-horizontal-relative:page;mso-position-vertical-relative:page;position:absolute;z-index:-251628544"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42</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67" type="#_x0000_t202" style="width:38pt;height:12pt;margin-top:780.8pt;margin-left:285.15pt;mso-position-horizontal-relative:page;mso-position-vertical-relative:page;position:absolute;z-index:-251629568"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9</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76" type="#_x0000_t202" style="width:38pt;height:12pt;margin-top:780.8pt;margin-left:285.15pt;mso-position-horizontal-relative:page;mso-position-vertical-relative:page;position:absolute;z-index:-251626496"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10</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75" type="#_x0000_t202" style="width:38pt;height:12pt;margin-top:780.8pt;margin-left:285.15pt;mso-position-horizontal-relative:page;mso-position-vertical-relative:page;position:absolute;z-index:-251627520"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84" type="#_x0000_t202" style="width:38pt;height:12pt;margin-top:780.8pt;margin-left:285.15pt;mso-position-horizontal-relative:page;mso-position-vertical-relative:page;position:absolute;z-index:-251624448"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42</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83" type="#_x0000_t202" style="width:38pt;height:12pt;margin-top:780.8pt;margin-left:285.15pt;mso-position-horizontal-relative:page;mso-position-vertical-relative:page;position:absolute;z-index:-251625472"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92" type="#_x0000_t202" style="width:38pt;height:12pt;margin-top:780.8pt;margin-left:285.15pt;mso-position-horizontal-relative:page;mso-position-vertical-relative:page;position:absolute;z-index:-251622400"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12</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91" type="#_x0000_t202" style="width:38pt;height:12pt;margin-top:780.8pt;margin-left:285.15pt;mso-position-horizontal-relative:page;mso-position-vertical-relative:page;position:absolute;z-index:-251623424"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200" type="#_x0000_t202" style="width:38pt;height:12pt;margin-top:780.8pt;margin-left:285.15pt;mso-position-horizontal-relative:page;mso-position-vertical-relative:page;position:absolute;z-index:-251620352"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42</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99" type="#_x0000_t202" style="width:38pt;height:12pt;margin-top:780.8pt;margin-left:285.15pt;mso-position-horizontal-relative:page;mso-position-vertical-relative:page;position:absolute;z-index:-251621376"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13</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208" type="#_x0000_t202" style="width:38pt;height:12pt;margin-top:780.8pt;margin-left:285.15pt;mso-position-horizontal-relative:page;mso-position-vertical-relative:page;position:absolute;z-index:-251618304"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14</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207" type="#_x0000_t202" style="width:38pt;height:12pt;margin-top:780.8pt;margin-left:285.15pt;mso-position-horizontal-relative:page;mso-position-vertical-relative:page;position:absolute;z-index:-251619328"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216" type="#_x0000_t202" style="width:38pt;height:12pt;margin-top:780.8pt;margin-left:285.15pt;mso-position-horizontal-relative:page;mso-position-vertical-relative:page;position:absolute;z-index:-251616256"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42</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215" type="#_x0000_t202" style="width:38pt;height:12pt;margin-top:780.8pt;margin-left:285.15pt;mso-position-horizontal-relative:page;mso-position-vertical-relative:page;position:absolute;z-index:-251617280"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15</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224" type="#_x0000_t202" style="width:38pt;height:12pt;margin-top:780.8pt;margin-left:285.15pt;mso-position-horizontal-relative:page;mso-position-vertical-relative:page;position:absolute;z-index:-251614208"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16</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223" type="#_x0000_t202" style="width:38pt;height:12pt;margin-top:780.8pt;margin-left:285.15pt;mso-position-horizontal-relative:page;mso-position-vertical-relative:page;position:absolute;z-index:-251615232"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2" style="mso-position-horizontal-relative:page;mso-position-vertical-relative:page;position:absolute;z-index:-251655168"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053" type="#_x0000_t202" style="width:233pt;height:12.5pt;margin-top:47.57pt;margin-left:83.65pt;mso-position-horizontal-relative:page;mso-position-vertical-relative:page;position:absolute;z-index:-251654144"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054" type="#_x0000_t202" style="width:33.5pt;height:12.5pt;margin-top:47.57pt;margin-left:461.65pt;mso-position-horizontal-relative:page;mso-position-vertical-relative:page;position:absolute;z-index:-251653120"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49" style="mso-position-horizontal-relative:page;mso-position-vertical-relative:page;position:absolute;z-index:-251658240"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050" type="#_x0000_t202" style="width:233pt;height:12.5pt;margin-top:47.57pt;margin-left:83.65pt;mso-position-horizontal-relative:page;mso-position-vertical-relative:page;position:absolute;z-index:-251657216"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051" type="#_x0000_t202" style="width:33.5pt;height:12.5pt;margin-top:47.57pt;margin-left:461.65pt;mso-position-horizontal-relative:page;mso-position-vertical-relative:page;position:absolute;z-index:-251656192"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0" style="mso-position-horizontal-relative:page;mso-position-vertical-relative:page;position:absolute;z-index:-251649024"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061" type="#_x0000_t202" style="width:233pt;height:12.5pt;margin-top:47.57pt;margin-left:83.65pt;mso-position-horizontal-relative:page;mso-position-vertical-relative:page;position:absolute;z-index:-251648000"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062" type="#_x0000_t202" style="width:33.5pt;height:12.5pt;margin-top:47.57pt;margin-left:461.65pt;mso-position-horizontal-relative:page;mso-position-vertical-relative:page;position:absolute;z-index:-251646976"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7" style="mso-position-horizontal-relative:page;mso-position-vertical-relative:page;position:absolute;z-index:-251652096"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058" type="#_x0000_t202" style="width:233pt;height:12.5pt;margin-top:47.57pt;margin-left:83.65pt;mso-position-horizontal-relative:page;mso-position-vertical-relative:page;position:absolute;z-index:-251651072"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059" type="#_x0000_t202" style="width:33.5pt;height:12.5pt;margin-top:47.57pt;margin-left:461.65pt;mso-position-horizontal-relative:page;mso-position-vertical-relative:page;position:absolute;z-index:-251650048"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8" style="mso-position-horizontal-relative:page;mso-position-vertical-relative:page;position:absolute;z-index:-251642880"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069" type="#_x0000_t202" style="width:233pt;height:12.5pt;margin-top:47.57pt;margin-left:83.65pt;mso-position-horizontal-relative:page;mso-position-vertical-relative:page;position:absolute;z-index:-251641856"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070" type="#_x0000_t202" style="width:33.5pt;height:12.5pt;margin-top:47.57pt;margin-left:461.65pt;mso-position-horizontal-relative:page;mso-position-vertical-relative:page;position:absolute;z-index:-251640832"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5" style="mso-position-horizontal-relative:page;mso-position-vertical-relative:page;position:absolute;z-index:-251645952"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066" type="#_x0000_t202" style="width:233pt;height:12.5pt;margin-top:47.57pt;margin-left:83.65pt;mso-position-horizontal-relative:page;mso-position-vertical-relative:page;position:absolute;z-index:-251644928"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067" type="#_x0000_t202" style="width:33.5pt;height:12.5pt;margin-top:47.57pt;margin-left:461.65pt;mso-position-horizontal-relative:page;mso-position-vertical-relative:page;position:absolute;z-index:-251643904"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6" style="mso-position-horizontal-relative:page;mso-position-vertical-relative:page;position:absolute;z-index:-251636736"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077" type="#_x0000_t202" style="width:233pt;height:12.5pt;margin-top:47.57pt;margin-left:83.65pt;mso-position-horizontal-relative:page;mso-position-vertical-relative:page;position:absolute;z-index:-251635712"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078" type="#_x0000_t202" style="width:33.5pt;height:12.5pt;margin-top:47.57pt;margin-left:461.65pt;mso-position-horizontal-relative:page;mso-position-vertical-relative:page;position:absolute;z-index:-251634688"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3" style="mso-position-horizontal-relative:page;mso-position-vertical-relative:page;position:absolute;z-index:-251639808"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074" type="#_x0000_t202" style="width:233pt;height:12.5pt;margin-top:47.57pt;margin-left:83.65pt;mso-position-horizontal-relative:page;mso-position-vertical-relative:page;position:absolute;z-index:-251638784"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075" type="#_x0000_t202" style="width:33.5pt;height:12.5pt;margin-top:47.57pt;margin-left:461.65pt;mso-position-horizontal-relative:page;mso-position-vertical-relative:page;position:absolute;z-index:-251637760"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4" style="mso-position-horizontal-relative:page;mso-position-vertical-relative:page;position:absolute;z-index:-251630592"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085" type="#_x0000_t202" style="width:233pt;height:12.5pt;margin-top:47.57pt;margin-left:83.65pt;mso-position-horizontal-relative:page;mso-position-vertical-relative:page;position:absolute;z-index:-251629568"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086" type="#_x0000_t202" style="width:33.5pt;height:12.5pt;margin-top:47.57pt;margin-left:461.65pt;mso-position-horizontal-relative:page;mso-position-vertical-relative:page;position:absolute;z-index:-251628544"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1" style="mso-position-horizontal-relative:page;mso-position-vertical-relative:page;position:absolute;z-index:-251633664"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082" type="#_x0000_t202" style="width:233pt;height:12.5pt;margin-top:47.57pt;margin-left:83.65pt;mso-position-horizontal-relative:page;mso-position-vertical-relative:page;position:absolute;z-index:-251632640"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083" type="#_x0000_t202" style="width:33.5pt;height:12.5pt;margin-top:47.57pt;margin-left:461.65pt;mso-position-horizontal-relative:page;mso-position-vertical-relative:page;position:absolute;z-index:-251631616"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2" style="mso-position-horizontal-relative:page;mso-position-vertical-relative:page;position:absolute;z-index:-251624448"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093" type="#_x0000_t202" style="width:233pt;height:12.5pt;margin-top:47.57pt;margin-left:83.65pt;mso-position-horizontal-relative:page;mso-position-vertical-relative:page;position:absolute;z-index:-251623424"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094" type="#_x0000_t202" style="width:33.5pt;height:12.5pt;margin-top:47.57pt;margin-left:461.65pt;mso-position-horizontal-relative:page;mso-position-vertical-relative:page;position:absolute;z-index:-251622400"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9" style="mso-position-horizontal-relative:page;mso-position-vertical-relative:page;position:absolute;z-index:-251627520"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090" type="#_x0000_t202" style="width:233pt;height:12.5pt;margin-top:47.57pt;margin-left:83.65pt;mso-position-horizontal-relative:page;mso-position-vertical-relative:page;position:absolute;z-index:-251626496"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091" type="#_x0000_t202" style="width:33.5pt;height:12.5pt;margin-top:47.57pt;margin-left:461.65pt;mso-position-horizontal-relative:page;mso-position-vertical-relative:page;position:absolute;z-index:-251625472"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0" style="mso-position-horizontal-relative:page;mso-position-vertical-relative:page;position:absolute;z-index:-251618304"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01" type="#_x0000_t202" style="width:233pt;height:12.5pt;margin-top:47.57pt;margin-left:83.65pt;mso-position-horizontal-relative:page;mso-position-vertical-relative:page;position:absolute;z-index:-251617280"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02" type="#_x0000_t202" style="width:33.5pt;height:12.5pt;margin-top:47.57pt;margin-left:461.65pt;mso-position-horizontal-relative:page;mso-position-vertical-relative:page;position:absolute;z-index:-251616256"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7" style="mso-position-horizontal-relative:page;mso-position-vertical-relative:page;position:absolute;z-index:-251621376"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098" type="#_x0000_t202" style="width:233pt;height:12.5pt;margin-top:47.57pt;margin-left:83.65pt;mso-position-horizontal-relative:page;mso-position-vertical-relative:page;position:absolute;z-index:-251620352"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099" type="#_x0000_t202" style="width:33.5pt;height:12.5pt;margin-top:47.57pt;margin-left:461.65pt;mso-position-horizontal-relative:page;mso-position-vertical-relative:page;position:absolute;z-index:-251619328"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8" style="mso-position-horizontal-relative:page;mso-position-vertical-relative:page;position:absolute;z-index:-251612160"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09" type="#_x0000_t202" style="width:233pt;height:12.5pt;margin-top:47.57pt;margin-left:83.65pt;mso-position-horizontal-relative:page;mso-position-vertical-relative:page;position:absolute;z-index:-251611136"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10" type="#_x0000_t202" style="width:33.5pt;height:12.5pt;margin-top:47.57pt;margin-left:461.65pt;mso-position-horizontal-relative:page;mso-position-vertical-relative:page;position:absolute;z-index:-251610112"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5" style="mso-position-horizontal-relative:page;mso-position-vertical-relative:page;position:absolute;z-index:-251615232"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06" type="#_x0000_t202" style="width:233pt;height:12.5pt;margin-top:47.57pt;margin-left:83.65pt;mso-position-horizontal-relative:page;mso-position-vertical-relative:page;position:absolute;z-index:-251614208"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07" type="#_x0000_t202" style="width:33.5pt;height:12.5pt;margin-top:47.57pt;margin-left:461.65pt;mso-position-horizontal-relative:page;mso-position-vertical-relative:page;position:absolute;z-index:-251613184"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16" style="mso-position-horizontal-relative:page;mso-position-vertical-relative:page;position:absolute;z-index:-251606016"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17" type="#_x0000_t202" style="width:233pt;height:12.5pt;margin-top:47.57pt;margin-left:83.65pt;mso-position-horizontal-relative:page;mso-position-vertical-relative:page;position:absolute;z-index:-251604992"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18" type="#_x0000_t202" style="width:33.5pt;height:12.5pt;margin-top:47.57pt;margin-left:461.65pt;mso-position-horizontal-relative:page;mso-position-vertical-relative:page;position:absolute;z-index:-251603968"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13" style="mso-position-horizontal-relative:page;mso-position-vertical-relative:page;position:absolute;z-index:-251609088"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14" type="#_x0000_t202" style="width:233pt;height:12.5pt;margin-top:47.57pt;margin-left:83.65pt;mso-position-horizontal-relative:page;mso-position-vertical-relative:page;position:absolute;z-index:-251608064"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15" type="#_x0000_t202" style="width:33.5pt;height:12.5pt;margin-top:47.57pt;margin-left:461.65pt;mso-position-horizontal-relative:page;mso-position-vertical-relative:page;position:absolute;z-index:-251607040"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24" style="mso-position-horizontal-relative:page;mso-position-vertical-relative:page;position:absolute;z-index:-251599872"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25" type="#_x0000_t202" style="width:233pt;height:12.5pt;margin-top:47.57pt;margin-left:83.65pt;mso-position-horizontal-relative:page;mso-position-vertical-relative:page;position:absolute;z-index:-251598848"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26" type="#_x0000_t202" style="width:33.5pt;height:12.5pt;margin-top:47.57pt;margin-left:461.65pt;mso-position-horizontal-relative:page;mso-position-vertical-relative:page;position:absolute;z-index:-251597824"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21" style="mso-position-horizontal-relative:page;mso-position-vertical-relative:page;position:absolute;z-index:-251602944"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22" type="#_x0000_t202" style="width:233pt;height:12.5pt;margin-top:47.57pt;margin-left:83.65pt;mso-position-horizontal-relative:page;mso-position-vertical-relative:page;position:absolute;z-index:-251601920"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23" type="#_x0000_t202" style="width:33.5pt;height:12.5pt;margin-top:47.57pt;margin-left:461.65pt;mso-position-horizontal-relative:page;mso-position-vertical-relative:page;position:absolute;z-index:-251600896"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32" style="mso-position-horizontal-relative:page;mso-position-vertical-relative:page;position:absolute;z-index:-251593728"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33" type="#_x0000_t202" style="width:233pt;height:12.5pt;margin-top:47.57pt;margin-left:83.65pt;mso-position-horizontal-relative:page;mso-position-vertical-relative:page;position:absolute;z-index:-251592704"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34" type="#_x0000_t202" style="width:33.5pt;height:12.5pt;margin-top:47.57pt;margin-left:461.65pt;mso-position-horizontal-relative:page;mso-position-vertical-relative:page;position:absolute;z-index:-251591680"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29" style="mso-position-horizontal-relative:page;mso-position-vertical-relative:page;position:absolute;z-index:-251596800"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30" type="#_x0000_t202" style="width:233pt;height:12.5pt;margin-top:47.57pt;margin-left:83.65pt;mso-position-horizontal-relative:page;mso-position-vertical-relative:page;position:absolute;z-index:-251595776"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31" type="#_x0000_t202" style="width:33.5pt;height:12.5pt;margin-top:47.57pt;margin-left:461.65pt;mso-position-horizontal-relative:page;mso-position-vertical-relative:page;position:absolute;z-index:-251594752"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40" style="mso-position-horizontal-relative:page;mso-position-vertical-relative:page;position:absolute;z-index:-251587584"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41" type="#_x0000_t202" style="width:233pt;height:12.5pt;margin-top:47.57pt;margin-left:83.65pt;mso-position-horizontal-relative:page;mso-position-vertical-relative:page;position:absolute;z-index:-251586560"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42" type="#_x0000_t202" style="width:33.5pt;height:12.5pt;margin-top:47.57pt;margin-left:461.65pt;mso-position-horizontal-relative:page;mso-position-vertical-relative:page;position:absolute;z-index:-251585536"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37" style="mso-position-horizontal-relative:page;mso-position-vertical-relative:page;position:absolute;z-index:-251590656"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38" type="#_x0000_t202" style="width:233pt;height:12.5pt;margin-top:47.57pt;margin-left:83.65pt;mso-position-horizontal-relative:page;mso-position-vertical-relative:page;position:absolute;z-index:-251589632"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39" type="#_x0000_t202" style="width:33.5pt;height:12.5pt;margin-top:47.57pt;margin-left:461.65pt;mso-position-horizontal-relative:page;mso-position-vertical-relative:page;position:absolute;z-index:-251588608"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48" style="mso-position-horizontal-relative:page;mso-position-vertical-relative:page;position:absolute;z-index:-251581440"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49" type="#_x0000_t202" style="width:233pt;height:12.5pt;margin-top:47.57pt;margin-left:83.65pt;mso-position-horizontal-relative:page;mso-position-vertical-relative:page;position:absolute;z-index:-251580416"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50" type="#_x0000_t202" style="width:33.5pt;height:12.5pt;margin-top:47.57pt;margin-left:461.65pt;mso-position-horizontal-relative:page;mso-position-vertical-relative:page;position:absolute;z-index:-251579392"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45" style="mso-position-horizontal-relative:page;mso-position-vertical-relative:page;position:absolute;z-index:-251584512"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46" type="#_x0000_t202" style="width:233pt;height:12.5pt;margin-top:47.57pt;margin-left:83.65pt;mso-position-horizontal-relative:page;mso-position-vertical-relative:page;position:absolute;z-index:-251583488"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47" type="#_x0000_t202" style="width:33.5pt;height:12.5pt;margin-top:47.57pt;margin-left:461.65pt;mso-position-horizontal-relative:page;mso-position-vertical-relative:page;position:absolute;z-index:-251582464"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56" style="mso-position-horizontal-relative:page;mso-position-vertical-relative:page;position:absolute;z-index:-251575296"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57" type="#_x0000_t202" style="width:233pt;height:12.5pt;margin-top:47.57pt;margin-left:83.65pt;mso-position-horizontal-relative:page;mso-position-vertical-relative:page;position:absolute;z-index:-251574272"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58" type="#_x0000_t202" style="width:33.5pt;height:12.5pt;margin-top:47.57pt;margin-left:461.65pt;mso-position-horizontal-relative:page;mso-position-vertical-relative:page;position:absolute;z-index:-251573248"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53" style="mso-position-horizontal-relative:page;mso-position-vertical-relative:page;position:absolute;z-index:-251578368"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54" type="#_x0000_t202" style="width:233pt;height:12.5pt;margin-top:47.57pt;margin-left:83.65pt;mso-position-horizontal-relative:page;mso-position-vertical-relative:page;position:absolute;z-index:-251577344"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55" type="#_x0000_t202" style="width:33.5pt;height:12.5pt;margin-top:47.57pt;margin-left:461.65pt;mso-position-horizontal-relative:page;mso-position-vertical-relative:page;position:absolute;z-index:-251576320"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64" style="mso-position-horizontal-relative:page;mso-position-vertical-relative:page;position:absolute;z-index:-251569152"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65" type="#_x0000_t202" style="width:233pt;height:12.5pt;margin-top:47.57pt;margin-left:83.65pt;mso-position-horizontal-relative:page;mso-position-vertical-relative:page;position:absolute;z-index:-251568128"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66" type="#_x0000_t202" style="width:33.5pt;height:12.5pt;margin-top:47.57pt;margin-left:461.65pt;mso-position-horizontal-relative:page;mso-position-vertical-relative:page;position:absolute;z-index:-251567104"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61" style="mso-position-horizontal-relative:page;mso-position-vertical-relative:page;position:absolute;z-index:-251572224"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62" type="#_x0000_t202" style="width:233pt;height:12.5pt;margin-top:47.57pt;margin-left:83.65pt;mso-position-horizontal-relative:page;mso-position-vertical-relative:page;position:absolute;z-index:-251571200"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63" type="#_x0000_t202" style="width:33.5pt;height:12.5pt;margin-top:47.57pt;margin-left:461.65pt;mso-position-horizontal-relative:page;mso-position-vertical-relative:page;position:absolute;z-index:-251570176"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72" style="mso-position-horizontal-relative:page;mso-position-vertical-relative:page;position:absolute;z-index:-251563008"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73" type="#_x0000_t202" style="width:233pt;height:12.5pt;margin-top:47.57pt;margin-left:83.65pt;mso-position-horizontal-relative:page;mso-position-vertical-relative:page;position:absolute;z-index:-251561984"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74" type="#_x0000_t202" style="width:33.5pt;height:12.5pt;margin-top:47.57pt;margin-left:461.65pt;mso-position-horizontal-relative:page;mso-position-vertical-relative:page;position:absolute;z-index:-251560960"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69" style="mso-position-horizontal-relative:page;mso-position-vertical-relative:page;position:absolute;z-index:-251566080"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70" type="#_x0000_t202" style="width:233pt;height:12.5pt;margin-top:47.57pt;margin-left:83.65pt;mso-position-horizontal-relative:page;mso-position-vertical-relative:page;position:absolute;z-index:-251565056"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71" type="#_x0000_t202" style="width:33.5pt;height:12.5pt;margin-top:47.57pt;margin-left:461.65pt;mso-position-horizontal-relative:page;mso-position-vertical-relative:page;position:absolute;z-index:-251564032"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80" style="mso-position-horizontal-relative:page;mso-position-vertical-relative:page;position:absolute;z-index:-251556864"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81" type="#_x0000_t202" style="width:233pt;height:12.5pt;margin-top:47.57pt;margin-left:83.65pt;mso-position-horizontal-relative:page;mso-position-vertical-relative:page;position:absolute;z-index:-251555840"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82" type="#_x0000_t202" style="width:33.5pt;height:12.5pt;margin-top:47.57pt;margin-left:461.65pt;mso-position-horizontal-relative:page;mso-position-vertical-relative:page;position:absolute;z-index:-251554816"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77" style="mso-position-horizontal-relative:page;mso-position-vertical-relative:page;position:absolute;z-index:-251559936"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78" type="#_x0000_t202" style="width:233pt;height:12.5pt;margin-top:47.57pt;margin-left:83.65pt;mso-position-horizontal-relative:page;mso-position-vertical-relative:page;position:absolute;z-index:-251558912"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79" type="#_x0000_t202" style="width:33.5pt;height:12.5pt;margin-top:47.57pt;margin-left:461.65pt;mso-position-horizontal-relative:page;mso-position-vertical-relative:page;position:absolute;z-index:-251557888"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88" style="mso-position-horizontal-relative:page;mso-position-vertical-relative:page;position:absolute;z-index:-251550720"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89" type="#_x0000_t202" style="width:233pt;height:12.5pt;margin-top:47.57pt;margin-left:83.65pt;mso-position-horizontal-relative:page;mso-position-vertical-relative:page;position:absolute;z-index:-251549696"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90" type="#_x0000_t202" style="width:33.5pt;height:12.5pt;margin-top:47.57pt;margin-left:461.65pt;mso-position-horizontal-relative:page;mso-position-vertical-relative:page;position:absolute;z-index:-251548672"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85" style="mso-position-horizontal-relative:page;mso-position-vertical-relative:page;position:absolute;z-index:-251553792"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86" type="#_x0000_t202" style="width:233pt;height:12.5pt;margin-top:47.57pt;margin-left:83.65pt;mso-position-horizontal-relative:page;mso-position-vertical-relative:page;position:absolute;z-index:-251552768"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87" type="#_x0000_t202" style="width:33.5pt;height:12.5pt;margin-top:47.57pt;margin-left:461.65pt;mso-position-horizontal-relative:page;mso-position-vertical-relative:page;position:absolute;z-index:-251551744"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96" style="mso-position-horizontal-relative:page;mso-position-vertical-relative:page;position:absolute;z-index:-251544576"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97" type="#_x0000_t202" style="width:233pt;height:12.5pt;margin-top:47.57pt;margin-left:83.65pt;mso-position-horizontal-relative:page;mso-position-vertical-relative:page;position:absolute;z-index:-251543552"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98" type="#_x0000_t202" style="width:33.5pt;height:12.5pt;margin-top:47.57pt;margin-left:461.65pt;mso-position-horizontal-relative:page;mso-position-vertical-relative:page;position:absolute;z-index:-251542528"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93" style="mso-position-horizontal-relative:page;mso-position-vertical-relative:page;position:absolute;z-index:-251547648"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194" type="#_x0000_t202" style="width:233pt;height:12.5pt;margin-top:47.57pt;margin-left:83.65pt;mso-position-horizontal-relative:page;mso-position-vertical-relative:page;position:absolute;z-index:-251546624"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195" type="#_x0000_t202" style="width:33.5pt;height:12.5pt;margin-top:47.57pt;margin-left:461.65pt;mso-position-horizontal-relative:page;mso-position-vertical-relative:page;position:absolute;z-index:-251545600"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204" style="mso-position-horizontal-relative:page;mso-position-vertical-relative:page;position:absolute;z-index:-251538432"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205" type="#_x0000_t202" style="width:233pt;height:12.5pt;margin-top:47.57pt;margin-left:83.65pt;mso-position-horizontal-relative:page;mso-position-vertical-relative:page;position:absolute;z-index:-251537408"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206" type="#_x0000_t202" style="width:33.5pt;height:12.5pt;margin-top:47.57pt;margin-left:461.65pt;mso-position-horizontal-relative:page;mso-position-vertical-relative:page;position:absolute;z-index:-251536384"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201" style="mso-position-horizontal-relative:page;mso-position-vertical-relative:page;position:absolute;z-index:-251541504"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202" type="#_x0000_t202" style="width:233pt;height:12.5pt;margin-top:47.57pt;margin-left:83.65pt;mso-position-horizontal-relative:page;mso-position-vertical-relative:page;position:absolute;z-index:-251540480"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203" type="#_x0000_t202" style="width:33.5pt;height:12.5pt;margin-top:47.57pt;margin-left:461.65pt;mso-position-horizontal-relative:page;mso-position-vertical-relative:page;position:absolute;z-index:-251539456"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212" style="mso-position-horizontal-relative:page;mso-position-vertical-relative:page;position:absolute;z-index:-251532288"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213" type="#_x0000_t202" style="width:233pt;height:12.5pt;margin-top:47.57pt;margin-left:83.65pt;mso-position-horizontal-relative:page;mso-position-vertical-relative:page;position:absolute;z-index:-251531264"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214" type="#_x0000_t202" style="width:33.5pt;height:12.5pt;margin-top:47.57pt;margin-left:461.65pt;mso-position-horizontal-relative:page;mso-position-vertical-relative:page;position:absolute;z-index:-251530240"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209" style="mso-position-horizontal-relative:page;mso-position-vertical-relative:page;position:absolute;z-index:-251535360"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210" type="#_x0000_t202" style="width:233pt;height:12.5pt;margin-top:47.57pt;margin-left:83.65pt;mso-position-horizontal-relative:page;mso-position-vertical-relative:page;position:absolute;z-index:-251534336"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211" type="#_x0000_t202" style="width:33.5pt;height:12.5pt;margin-top:47.57pt;margin-left:461.65pt;mso-position-horizontal-relative:page;mso-position-vertical-relative:page;position:absolute;z-index:-251533312"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220" style="mso-position-horizontal-relative:page;mso-position-vertical-relative:page;position:absolute;z-index:-251526144"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221" type="#_x0000_t202" style="width:233pt;height:12.5pt;margin-top:47.57pt;margin-left:83.65pt;mso-position-horizontal-relative:page;mso-position-vertical-relative:page;position:absolute;z-index:-251525120"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222" type="#_x0000_t202" style="width:33.5pt;height:12.5pt;margin-top:47.57pt;margin-left:461.65pt;mso-position-horizontal-relative:page;mso-position-vertical-relative:page;position:absolute;z-index:-251524096"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217" style="mso-position-horizontal-relative:page;mso-position-vertical-relative:page;position:absolute;z-index:-251529216" from="77.95pt,61.9pt" to="525.85pt,61.9pt" stroked="t" strokecolor="black" strokeweight="0.75pt">
          <v:stroke dashstyle="solid"/>
        </v:line>
      </w:pict>
    </w:r>
    <w:r>
      <w:pict>
        <v:shapetype id="_x0000_t202" coordsize="21600,21600" o:spt="202" path="m,l,21600r21600,l21600,xe">
          <v:stroke joinstyle="miter"/>
          <v:path gradientshapeok="t" o:connecttype="rect"/>
        </v:shapetype>
        <v:shape id="_x0000_s2218" type="#_x0000_t202" style="width:233pt;height:12.5pt;margin-top:47.57pt;margin-left:83.65pt;mso-position-horizontal-relative:page;mso-position-vertical-relative:page;position:absolute;z-index:-251528192" filled="f" stroked="f">
          <v:textbox inset="0,0,0,0">
            <w:txbxContent>
              <w:p>
                <w:pPr>
                  <w:spacing w:before="0" w:line="250" w:lineRule="exact"/>
                  <w:ind w:left="20" w:right="0" w:firstLine="0"/>
                  <w:jc w:val="left"/>
                  <w:rPr>
                    <w:sz w:val="21"/>
                  </w:rPr>
                </w:pPr>
                <w:r>
                  <w:rPr>
                    <w:spacing w:val="-1"/>
                    <w:sz w:val="21"/>
                  </w:rPr>
                  <w:t>福建省莆田市技工学校教学楼勘察、设计招标文件</w:t>
                </w:r>
              </w:p>
            </w:txbxContent>
          </v:textbox>
        </v:shape>
      </w:pict>
    </w:r>
    <w:r>
      <w:pict>
        <v:shape id="_x0000_s2219" type="#_x0000_t202" style="width:33.5pt;height:12.5pt;margin-top:47.57pt;margin-left:461.65pt;mso-position-horizontal-relative:page;mso-position-vertical-relative:page;position:absolute;z-index:-251527168" filled="f" stroked="f">
          <v:textbox inset="0,0,0,0">
            <w:txbxContent>
              <w:p>
                <w:pPr>
                  <w:spacing w:before="0" w:line="250" w:lineRule="exact"/>
                  <w:ind w:left="20" w:right="0" w:firstLine="0"/>
                  <w:jc w:val="left"/>
                  <w:rPr>
                    <w:sz w:val="21"/>
                  </w:rPr>
                </w:pPr>
                <w:r>
                  <w:rPr>
                    <w:spacing w:val="-4"/>
                    <w:sz w:val="21"/>
                  </w:rPr>
                  <w:t>专用本</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E9C74B"/>
    <w:multiLevelType w:val="hybridMultilevel"/>
    <w:tmpl w:val="00000000"/>
    <w:lvl w:ilvl="0">
      <w:start w:val="1"/>
      <w:numFmt w:val="decimal"/>
      <w:lvlText w:val="%1."/>
      <w:lvlJc w:val="left"/>
      <w:pPr>
        <w:ind w:left="1138" w:hanging="510"/>
        <w:jc w:val="left"/>
      </w:pPr>
      <w:rPr>
        <w:rFonts w:ascii="微软雅黑" w:eastAsia="微软雅黑" w:hAnsi="微软雅黑" w:cs="微软雅黑" w:hint="default"/>
        <w:b/>
        <w:bCs/>
        <w:i w:val="0"/>
        <w:iCs w:val="0"/>
        <w:w w:val="81"/>
        <w:sz w:val="24"/>
        <w:szCs w:val="24"/>
        <w:lang w:val="en-US" w:eastAsia="zh-CN" w:bidi="ar-SA"/>
      </w:rPr>
    </w:lvl>
    <w:lvl w:ilvl="1">
      <w:start w:val="1"/>
      <w:numFmt w:val="decimal"/>
      <w:lvlText w:val="%1.%2."/>
      <w:lvlJc w:val="left"/>
      <w:pPr>
        <w:ind w:left="1195" w:hanging="568"/>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194" w:hanging="568"/>
      </w:pPr>
      <w:rPr>
        <w:rFonts w:hint="default"/>
        <w:lang w:val="en-US" w:eastAsia="zh-CN" w:bidi="ar-SA"/>
      </w:rPr>
    </w:lvl>
    <w:lvl w:ilvl="3">
      <w:start w:val="0"/>
      <w:numFmt w:val="bullet"/>
      <w:lvlText w:val="•"/>
      <w:lvlJc w:val="left"/>
      <w:pPr>
        <w:ind w:left="3188" w:hanging="568"/>
      </w:pPr>
      <w:rPr>
        <w:rFonts w:hint="default"/>
        <w:lang w:val="en-US" w:eastAsia="zh-CN" w:bidi="ar-SA"/>
      </w:rPr>
    </w:lvl>
    <w:lvl w:ilvl="4">
      <w:start w:val="0"/>
      <w:numFmt w:val="bullet"/>
      <w:lvlText w:val="•"/>
      <w:lvlJc w:val="left"/>
      <w:pPr>
        <w:ind w:left="4182" w:hanging="568"/>
      </w:pPr>
      <w:rPr>
        <w:rFonts w:hint="default"/>
        <w:lang w:val="en-US" w:eastAsia="zh-CN" w:bidi="ar-SA"/>
      </w:rPr>
    </w:lvl>
    <w:lvl w:ilvl="5">
      <w:start w:val="0"/>
      <w:numFmt w:val="bullet"/>
      <w:lvlText w:val="•"/>
      <w:lvlJc w:val="left"/>
      <w:pPr>
        <w:ind w:left="5176" w:hanging="568"/>
      </w:pPr>
      <w:rPr>
        <w:rFonts w:hint="default"/>
        <w:lang w:val="en-US" w:eastAsia="zh-CN" w:bidi="ar-SA"/>
      </w:rPr>
    </w:lvl>
    <w:lvl w:ilvl="6">
      <w:start w:val="0"/>
      <w:numFmt w:val="bullet"/>
      <w:lvlText w:val="•"/>
      <w:lvlJc w:val="left"/>
      <w:pPr>
        <w:ind w:left="6170" w:hanging="568"/>
      </w:pPr>
      <w:rPr>
        <w:rFonts w:hint="default"/>
        <w:lang w:val="en-US" w:eastAsia="zh-CN" w:bidi="ar-SA"/>
      </w:rPr>
    </w:lvl>
    <w:lvl w:ilvl="7">
      <w:start w:val="0"/>
      <w:numFmt w:val="bullet"/>
      <w:lvlText w:val="•"/>
      <w:lvlJc w:val="left"/>
      <w:pPr>
        <w:ind w:left="7164" w:hanging="568"/>
      </w:pPr>
      <w:rPr>
        <w:rFonts w:hint="default"/>
        <w:lang w:val="en-US" w:eastAsia="zh-CN" w:bidi="ar-SA"/>
      </w:rPr>
    </w:lvl>
    <w:lvl w:ilvl="8">
      <w:start w:val="0"/>
      <w:numFmt w:val="bullet"/>
      <w:lvlText w:val="•"/>
      <w:lvlJc w:val="left"/>
      <w:pPr>
        <w:ind w:left="8158" w:hanging="568"/>
      </w:pPr>
      <w:rPr>
        <w:rFonts w:hint="default"/>
        <w:lang w:val="en-US" w:eastAsia="zh-CN" w:bidi="ar-SA"/>
      </w:rPr>
    </w:lvl>
  </w:abstractNum>
  <w:abstractNum w:abstractNumId="1">
    <w:nsid w:val="061B7B94"/>
    <w:multiLevelType w:val="hybridMultilevel"/>
    <w:tmpl w:val="00000000"/>
    <w:lvl w:ilvl="0">
      <w:start w:val="10"/>
      <w:numFmt w:val="decimal"/>
      <w:lvlText w:val="%1"/>
      <w:lvlJc w:val="left"/>
      <w:pPr>
        <w:ind w:left="868" w:hanging="1020"/>
        <w:jc w:val="left"/>
      </w:pPr>
      <w:rPr>
        <w:rFonts w:hint="default"/>
        <w:lang w:val="en-US" w:eastAsia="zh-CN" w:bidi="ar-SA"/>
      </w:rPr>
    </w:lvl>
    <w:lvl w:ilvl="1">
      <w:start w:val="1"/>
      <w:numFmt w:val="decimal"/>
      <w:lvlText w:val="%1.%2."/>
      <w:lvlJc w:val="left"/>
      <w:pPr>
        <w:ind w:left="868" w:hanging="102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717" w:hanging="1020"/>
      </w:pPr>
      <w:rPr>
        <w:rFonts w:hint="default"/>
        <w:lang w:val="en-US" w:eastAsia="zh-CN" w:bidi="ar-SA"/>
      </w:rPr>
    </w:lvl>
    <w:lvl w:ilvl="3">
      <w:start w:val="0"/>
      <w:numFmt w:val="bullet"/>
      <w:lvlText w:val="•"/>
      <w:lvlJc w:val="left"/>
      <w:pPr>
        <w:ind w:left="3645" w:hanging="1020"/>
      </w:pPr>
      <w:rPr>
        <w:rFonts w:hint="default"/>
        <w:lang w:val="en-US" w:eastAsia="zh-CN" w:bidi="ar-SA"/>
      </w:rPr>
    </w:lvl>
    <w:lvl w:ilvl="4">
      <w:start w:val="0"/>
      <w:numFmt w:val="bullet"/>
      <w:lvlText w:val="•"/>
      <w:lvlJc w:val="left"/>
      <w:pPr>
        <w:ind w:left="4574" w:hanging="1020"/>
      </w:pPr>
      <w:rPr>
        <w:rFonts w:hint="default"/>
        <w:lang w:val="en-US" w:eastAsia="zh-CN" w:bidi="ar-SA"/>
      </w:rPr>
    </w:lvl>
    <w:lvl w:ilvl="5">
      <w:start w:val="0"/>
      <w:numFmt w:val="bullet"/>
      <w:lvlText w:val="•"/>
      <w:lvlJc w:val="left"/>
      <w:pPr>
        <w:ind w:left="5503" w:hanging="1020"/>
      </w:pPr>
      <w:rPr>
        <w:rFonts w:hint="default"/>
        <w:lang w:val="en-US" w:eastAsia="zh-CN" w:bidi="ar-SA"/>
      </w:rPr>
    </w:lvl>
    <w:lvl w:ilvl="6">
      <w:start w:val="0"/>
      <w:numFmt w:val="bullet"/>
      <w:lvlText w:val="•"/>
      <w:lvlJc w:val="left"/>
      <w:pPr>
        <w:ind w:left="6431" w:hanging="1020"/>
      </w:pPr>
      <w:rPr>
        <w:rFonts w:hint="default"/>
        <w:lang w:val="en-US" w:eastAsia="zh-CN" w:bidi="ar-SA"/>
      </w:rPr>
    </w:lvl>
    <w:lvl w:ilvl="7">
      <w:start w:val="0"/>
      <w:numFmt w:val="bullet"/>
      <w:lvlText w:val="•"/>
      <w:lvlJc w:val="left"/>
      <w:pPr>
        <w:ind w:left="7360" w:hanging="1020"/>
      </w:pPr>
      <w:rPr>
        <w:rFonts w:hint="default"/>
        <w:lang w:val="en-US" w:eastAsia="zh-CN" w:bidi="ar-SA"/>
      </w:rPr>
    </w:lvl>
    <w:lvl w:ilvl="8">
      <w:start w:val="0"/>
      <w:numFmt w:val="bullet"/>
      <w:lvlText w:val="•"/>
      <w:lvlJc w:val="left"/>
      <w:pPr>
        <w:ind w:left="8288" w:hanging="1020"/>
      </w:pPr>
      <w:rPr>
        <w:rFonts w:hint="default"/>
        <w:lang w:val="en-US" w:eastAsia="zh-CN" w:bidi="ar-SA"/>
      </w:rPr>
    </w:lvl>
  </w:abstractNum>
  <w:abstractNum w:abstractNumId="2">
    <w:nsid w:val="0B6DCD60"/>
    <w:multiLevelType w:val="hybridMultilevel"/>
    <w:tmpl w:val="00000000"/>
    <w:lvl w:ilvl="0">
      <w:start w:val="5"/>
      <w:numFmt w:val="decimal"/>
      <w:lvlText w:val="%1."/>
      <w:lvlJc w:val="left"/>
      <w:pPr>
        <w:ind w:left="950" w:hanging="360"/>
        <w:jc w:val="left"/>
      </w:pPr>
      <w:rPr>
        <w:rFonts w:ascii="微软雅黑" w:eastAsia="微软雅黑" w:hAnsi="微软雅黑" w:cs="微软雅黑" w:hint="default"/>
        <w:b/>
        <w:bCs/>
        <w:i w:val="0"/>
        <w:iCs w:val="0"/>
        <w:w w:val="81"/>
        <w:sz w:val="24"/>
        <w:szCs w:val="24"/>
        <w:lang w:val="en-US" w:eastAsia="zh-CN" w:bidi="ar-SA"/>
      </w:rPr>
    </w:lvl>
    <w:lvl w:ilvl="1">
      <w:start w:val="1"/>
      <w:numFmt w:val="decimal"/>
      <w:lvlText w:val="%2）"/>
      <w:lvlJc w:val="left"/>
      <w:pPr>
        <w:ind w:left="628" w:hanging="306"/>
        <w:jc w:val="right"/>
      </w:pPr>
      <w:rPr>
        <w:rFonts w:hint="default"/>
        <w:w w:val="100"/>
        <w:lang w:val="en-US" w:eastAsia="zh-CN" w:bidi="ar-SA"/>
      </w:rPr>
    </w:lvl>
    <w:lvl w:ilvl="2">
      <w:start w:val="1"/>
      <w:numFmt w:val="decimal"/>
      <w:lvlText w:val="（%3）"/>
      <w:lvlJc w:val="left"/>
      <w:pPr>
        <w:ind w:left="628" w:hanging="601"/>
        <w:jc w:val="left"/>
      </w:pPr>
      <w:rPr>
        <w:rFonts w:ascii="宋体" w:eastAsia="宋体" w:hAnsi="宋体" w:cs="宋体" w:hint="default"/>
        <w:b w:val="0"/>
        <w:bCs w:val="0"/>
        <w:i w:val="0"/>
        <w:iCs w:val="0"/>
        <w:spacing w:val="-16"/>
        <w:w w:val="100"/>
        <w:sz w:val="22"/>
        <w:szCs w:val="22"/>
        <w:lang w:val="en-US" w:eastAsia="zh-CN" w:bidi="ar-SA"/>
      </w:rPr>
    </w:lvl>
    <w:lvl w:ilvl="3">
      <w:start w:val="0"/>
      <w:numFmt w:val="bullet"/>
      <w:lvlText w:val="•"/>
      <w:lvlJc w:val="left"/>
      <w:pPr>
        <w:ind w:left="3001" w:hanging="601"/>
      </w:pPr>
      <w:rPr>
        <w:rFonts w:hint="default"/>
        <w:lang w:val="en-US" w:eastAsia="zh-CN" w:bidi="ar-SA"/>
      </w:rPr>
    </w:lvl>
    <w:lvl w:ilvl="4">
      <w:start w:val="0"/>
      <w:numFmt w:val="bullet"/>
      <w:lvlText w:val="•"/>
      <w:lvlJc w:val="left"/>
      <w:pPr>
        <w:ind w:left="4022" w:hanging="601"/>
      </w:pPr>
      <w:rPr>
        <w:rFonts w:hint="default"/>
        <w:lang w:val="en-US" w:eastAsia="zh-CN" w:bidi="ar-SA"/>
      </w:rPr>
    </w:lvl>
    <w:lvl w:ilvl="5">
      <w:start w:val="0"/>
      <w:numFmt w:val="bullet"/>
      <w:lvlText w:val="•"/>
      <w:lvlJc w:val="left"/>
      <w:pPr>
        <w:ind w:left="5042" w:hanging="601"/>
      </w:pPr>
      <w:rPr>
        <w:rFonts w:hint="default"/>
        <w:lang w:val="en-US" w:eastAsia="zh-CN" w:bidi="ar-SA"/>
      </w:rPr>
    </w:lvl>
    <w:lvl w:ilvl="6">
      <w:start w:val="0"/>
      <w:numFmt w:val="bullet"/>
      <w:lvlText w:val="•"/>
      <w:lvlJc w:val="left"/>
      <w:pPr>
        <w:ind w:left="6063" w:hanging="601"/>
      </w:pPr>
      <w:rPr>
        <w:rFonts w:hint="default"/>
        <w:lang w:val="en-US" w:eastAsia="zh-CN" w:bidi="ar-SA"/>
      </w:rPr>
    </w:lvl>
    <w:lvl w:ilvl="7">
      <w:start w:val="0"/>
      <w:numFmt w:val="bullet"/>
      <w:lvlText w:val="•"/>
      <w:lvlJc w:val="left"/>
      <w:pPr>
        <w:ind w:left="7084" w:hanging="601"/>
      </w:pPr>
      <w:rPr>
        <w:rFonts w:hint="default"/>
        <w:lang w:val="en-US" w:eastAsia="zh-CN" w:bidi="ar-SA"/>
      </w:rPr>
    </w:lvl>
    <w:lvl w:ilvl="8">
      <w:start w:val="0"/>
      <w:numFmt w:val="bullet"/>
      <w:lvlText w:val="•"/>
      <w:lvlJc w:val="left"/>
      <w:pPr>
        <w:ind w:left="8104" w:hanging="601"/>
      </w:pPr>
      <w:rPr>
        <w:rFonts w:hint="default"/>
        <w:lang w:val="en-US" w:eastAsia="zh-CN" w:bidi="ar-SA"/>
      </w:rPr>
    </w:lvl>
  </w:abstractNum>
  <w:abstractNum w:abstractNumId="3">
    <w:nsid w:val="0B6FFA82"/>
    <w:multiLevelType w:val="hybridMultilevel"/>
    <w:tmpl w:val="00000000"/>
    <w:lvl w:ilvl="0">
      <w:start w:val="1"/>
      <w:numFmt w:val="decimal"/>
      <w:lvlText w:val="（%1）"/>
      <w:lvlJc w:val="left"/>
      <w:pPr>
        <w:ind w:left="108" w:hanging="573"/>
        <w:jc w:val="left"/>
      </w:pPr>
      <w:rPr>
        <w:rFonts w:ascii="宋体" w:eastAsia="宋体" w:hAnsi="宋体" w:cs="宋体" w:hint="default"/>
        <w:b w:val="0"/>
        <w:bCs w:val="0"/>
        <w:i w:val="0"/>
        <w:iCs w:val="0"/>
        <w:spacing w:val="0"/>
        <w:w w:val="100"/>
        <w:sz w:val="21"/>
        <w:szCs w:val="21"/>
        <w:lang w:val="en-US" w:eastAsia="zh-CN" w:bidi="ar-SA"/>
      </w:rPr>
    </w:lvl>
    <w:lvl w:ilvl="1">
      <w:start w:val="0"/>
      <w:numFmt w:val="bullet"/>
      <w:lvlText w:val="•"/>
      <w:lvlJc w:val="left"/>
      <w:pPr>
        <w:ind w:left="467" w:hanging="573"/>
      </w:pPr>
      <w:rPr>
        <w:rFonts w:hint="default"/>
        <w:lang w:val="en-US" w:eastAsia="zh-CN" w:bidi="ar-SA"/>
      </w:rPr>
    </w:lvl>
    <w:lvl w:ilvl="2">
      <w:start w:val="0"/>
      <w:numFmt w:val="bullet"/>
      <w:lvlText w:val="•"/>
      <w:lvlJc w:val="left"/>
      <w:pPr>
        <w:ind w:left="834" w:hanging="573"/>
      </w:pPr>
      <w:rPr>
        <w:rFonts w:hint="default"/>
        <w:lang w:val="en-US" w:eastAsia="zh-CN" w:bidi="ar-SA"/>
      </w:rPr>
    </w:lvl>
    <w:lvl w:ilvl="3">
      <w:start w:val="0"/>
      <w:numFmt w:val="bullet"/>
      <w:lvlText w:val="•"/>
      <w:lvlJc w:val="left"/>
      <w:pPr>
        <w:ind w:left="1201" w:hanging="573"/>
      </w:pPr>
      <w:rPr>
        <w:rFonts w:hint="default"/>
        <w:lang w:val="en-US" w:eastAsia="zh-CN" w:bidi="ar-SA"/>
      </w:rPr>
    </w:lvl>
    <w:lvl w:ilvl="4">
      <w:start w:val="0"/>
      <w:numFmt w:val="bullet"/>
      <w:lvlText w:val="•"/>
      <w:lvlJc w:val="left"/>
      <w:pPr>
        <w:ind w:left="1568" w:hanging="573"/>
      </w:pPr>
      <w:rPr>
        <w:rFonts w:hint="default"/>
        <w:lang w:val="en-US" w:eastAsia="zh-CN" w:bidi="ar-SA"/>
      </w:rPr>
    </w:lvl>
    <w:lvl w:ilvl="5">
      <w:start w:val="0"/>
      <w:numFmt w:val="bullet"/>
      <w:lvlText w:val="•"/>
      <w:lvlJc w:val="left"/>
      <w:pPr>
        <w:ind w:left="1935" w:hanging="573"/>
      </w:pPr>
      <w:rPr>
        <w:rFonts w:hint="default"/>
        <w:lang w:val="en-US" w:eastAsia="zh-CN" w:bidi="ar-SA"/>
      </w:rPr>
    </w:lvl>
    <w:lvl w:ilvl="6">
      <w:start w:val="0"/>
      <w:numFmt w:val="bullet"/>
      <w:lvlText w:val="•"/>
      <w:lvlJc w:val="left"/>
      <w:pPr>
        <w:ind w:left="2302" w:hanging="573"/>
      </w:pPr>
      <w:rPr>
        <w:rFonts w:hint="default"/>
        <w:lang w:val="en-US" w:eastAsia="zh-CN" w:bidi="ar-SA"/>
      </w:rPr>
    </w:lvl>
    <w:lvl w:ilvl="7">
      <w:start w:val="0"/>
      <w:numFmt w:val="bullet"/>
      <w:lvlText w:val="•"/>
      <w:lvlJc w:val="left"/>
      <w:pPr>
        <w:ind w:left="2669" w:hanging="573"/>
      </w:pPr>
      <w:rPr>
        <w:rFonts w:hint="default"/>
        <w:lang w:val="en-US" w:eastAsia="zh-CN" w:bidi="ar-SA"/>
      </w:rPr>
    </w:lvl>
    <w:lvl w:ilvl="8">
      <w:start w:val="0"/>
      <w:numFmt w:val="bullet"/>
      <w:lvlText w:val="•"/>
      <w:lvlJc w:val="left"/>
      <w:pPr>
        <w:ind w:left="3036" w:hanging="573"/>
      </w:pPr>
      <w:rPr>
        <w:rFonts w:hint="default"/>
        <w:lang w:val="en-US" w:eastAsia="zh-CN" w:bidi="ar-SA"/>
      </w:rPr>
    </w:lvl>
  </w:abstractNum>
  <w:abstractNum w:abstractNumId="4">
    <w:nsid w:val="0C3848C2"/>
    <w:multiLevelType w:val="hybridMultilevel"/>
    <w:tmpl w:val="00000000"/>
    <w:lvl w:ilvl="0">
      <w:start w:val="1"/>
      <w:numFmt w:val="decimal"/>
      <w:lvlText w:val="（%1）"/>
      <w:lvlJc w:val="left"/>
      <w:pPr>
        <w:ind w:left="108" w:hanging="555"/>
        <w:jc w:val="left"/>
      </w:pPr>
      <w:rPr>
        <w:rFonts w:ascii="宋体" w:eastAsia="宋体" w:hAnsi="宋体" w:cs="宋体" w:hint="default"/>
        <w:b w:val="0"/>
        <w:bCs w:val="0"/>
        <w:i w:val="0"/>
        <w:iCs w:val="0"/>
        <w:color w:val="FF0000"/>
        <w:spacing w:val="0"/>
        <w:w w:val="100"/>
        <w:sz w:val="20"/>
        <w:szCs w:val="20"/>
        <w:lang w:val="en-US" w:eastAsia="zh-CN" w:bidi="ar-SA"/>
      </w:rPr>
    </w:lvl>
    <w:lvl w:ilvl="1">
      <w:start w:val="0"/>
      <w:numFmt w:val="bullet"/>
      <w:lvlText w:val="•"/>
      <w:lvlJc w:val="left"/>
      <w:pPr>
        <w:ind w:left="748" w:hanging="555"/>
      </w:pPr>
      <w:rPr>
        <w:rFonts w:hint="default"/>
        <w:lang w:val="en-US" w:eastAsia="zh-CN" w:bidi="ar-SA"/>
      </w:rPr>
    </w:lvl>
    <w:lvl w:ilvl="2">
      <w:start w:val="0"/>
      <w:numFmt w:val="bullet"/>
      <w:lvlText w:val="•"/>
      <w:lvlJc w:val="left"/>
      <w:pPr>
        <w:ind w:left="1396" w:hanging="555"/>
      </w:pPr>
      <w:rPr>
        <w:rFonts w:hint="default"/>
        <w:lang w:val="en-US" w:eastAsia="zh-CN" w:bidi="ar-SA"/>
      </w:rPr>
    </w:lvl>
    <w:lvl w:ilvl="3">
      <w:start w:val="0"/>
      <w:numFmt w:val="bullet"/>
      <w:lvlText w:val="•"/>
      <w:lvlJc w:val="left"/>
      <w:pPr>
        <w:ind w:left="2045" w:hanging="555"/>
      </w:pPr>
      <w:rPr>
        <w:rFonts w:hint="default"/>
        <w:lang w:val="en-US" w:eastAsia="zh-CN" w:bidi="ar-SA"/>
      </w:rPr>
    </w:lvl>
    <w:lvl w:ilvl="4">
      <w:start w:val="0"/>
      <w:numFmt w:val="bullet"/>
      <w:lvlText w:val="•"/>
      <w:lvlJc w:val="left"/>
      <w:pPr>
        <w:ind w:left="2693" w:hanging="555"/>
      </w:pPr>
      <w:rPr>
        <w:rFonts w:hint="default"/>
        <w:lang w:val="en-US" w:eastAsia="zh-CN" w:bidi="ar-SA"/>
      </w:rPr>
    </w:lvl>
    <w:lvl w:ilvl="5">
      <w:start w:val="0"/>
      <w:numFmt w:val="bullet"/>
      <w:lvlText w:val="•"/>
      <w:lvlJc w:val="left"/>
      <w:pPr>
        <w:ind w:left="3342" w:hanging="555"/>
      </w:pPr>
      <w:rPr>
        <w:rFonts w:hint="default"/>
        <w:lang w:val="en-US" w:eastAsia="zh-CN" w:bidi="ar-SA"/>
      </w:rPr>
    </w:lvl>
    <w:lvl w:ilvl="6">
      <w:start w:val="0"/>
      <w:numFmt w:val="bullet"/>
      <w:lvlText w:val="•"/>
      <w:lvlJc w:val="left"/>
      <w:pPr>
        <w:ind w:left="3990" w:hanging="555"/>
      </w:pPr>
      <w:rPr>
        <w:rFonts w:hint="default"/>
        <w:lang w:val="en-US" w:eastAsia="zh-CN" w:bidi="ar-SA"/>
      </w:rPr>
    </w:lvl>
    <w:lvl w:ilvl="7">
      <w:start w:val="0"/>
      <w:numFmt w:val="bullet"/>
      <w:lvlText w:val="•"/>
      <w:lvlJc w:val="left"/>
      <w:pPr>
        <w:ind w:left="4638" w:hanging="555"/>
      </w:pPr>
      <w:rPr>
        <w:rFonts w:hint="default"/>
        <w:lang w:val="en-US" w:eastAsia="zh-CN" w:bidi="ar-SA"/>
      </w:rPr>
    </w:lvl>
    <w:lvl w:ilvl="8">
      <w:start w:val="0"/>
      <w:numFmt w:val="bullet"/>
      <w:lvlText w:val="•"/>
      <w:lvlJc w:val="left"/>
      <w:pPr>
        <w:ind w:left="5287" w:hanging="555"/>
      </w:pPr>
      <w:rPr>
        <w:rFonts w:hint="default"/>
        <w:lang w:val="en-US" w:eastAsia="zh-CN" w:bidi="ar-SA"/>
      </w:rPr>
    </w:lvl>
  </w:abstractNum>
  <w:abstractNum w:abstractNumId="5">
    <w:nsid w:val="173D34B6"/>
    <w:multiLevelType w:val="hybridMultilevel"/>
    <w:tmpl w:val="00000000"/>
    <w:lvl w:ilvl="0">
      <w:start w:val="2"/>
      <w:numFmt w:val="decimal"/>
      <w:lvlText w:val="%1"/>
      <w:lvlJc w:val="left"/>
      <w:pPr>
        <w:ind w:left="808" w:hanging="181"/>
        <w:jc w:val="left"/>
      </w:pPr>
      <w:rPr>
        <w:rFonts w:ascii="Microsoft JhengHei" w:eastAsia="Microsoft JhengHei" w:hAnsi="Microsoft JhengHei" w:cs="Microsoft JhengHei" w:hint="default"/>
        <w:b/>
        <w:bCs/>
        <w:i w:val="0"/>
        <w:iCs w:val="0"/>
        <w:w w:val="83"/>
        <w:sz w:val="24"/>
        <w:szCs w:val="24"/>
        <w:lang w:val="en-US" w:eastAsia="zh-CN" w:bidi="ar-SA"/>
      </w:rPr>
    </w:lvl>
    <w:lvl w:ilvl="1">
      <w:start w:val="1"/>
      <w:numFmt w:val="decimal"/>
      <w:lvlText w:val="%1.%2"/>
      <w:lvlJc w:val="left"/>
      <w:pPr>
        <w:ind w:left="1232" w:hanging="605"/>
        <w:jc w:val="left"/>
      </w:pPr>
      <w:rPr>
        <w:rFonts w:ascii="Arial" w:eastAsia="Arial" w:hAnsi="Arial" w:cs="Arial" w:hint="default"/>
        <w:b/>
        <w:bCs/>
        <w:i w:val="0"/>
        <w:iCs w:val="0"/>
        <w:color w:val="FF0000"/>
        <w:spacing w:val="-1"/>
        <w:w w:val="100"/>
        <w:sz w:val="32"/>
        <w:szCs w:val="32"/>
        <w:lang w:val="en-US" w:eastAsia="zh-CN" w:bidi="ar-SA"/>
      </w:rPr>
    </w:lvl>
    <w:lvl w:ilvl="2">
      <w:start w:val="1"/>
      <w:numFmt w:val="decimal"/>
      <w:lvlText w:val="(%3)"/>
      <w:lvlJc w:val="left"/>
      <w:pPr>
        <w:ind w:left="628" w:hanging="361"/>
        <w:jc w:val="left"/>
      </w:pPr>
      <w:rPr>
        <w:rFonts w:ascii="宋体" w:eastAsia="宋体" w:hAnsi="宋体" w:cs="宋体" w:hint="default"/>
        <w:b w:val="0"/>
        <w:bCs w:val="0"/>
        <w:i w:val="0"/>
        <w:iCs w:val="0"/>
        <w:color w:val="FF0000"/>
        <w:w w:val="100"/>
        <w:sz w:val="22"/>
        <w:szCs w:val="22"/>
        <w:lang w:val="en-US" w:eastAsia="zh-CN" w:bidi="ar-SA"/>
      </w:rPr>
    </w:lvl>
    <w:lvl w:ilvl="3">
      <w:start w:val="0"/>
      <w:numFmt w:val="bullet"/>
      <w:lvlText w:val="•"/>
      <w:lvlJc w:val="left"/>
      <w:pPr>
        <w:ind w:left="2353" w:hanging="361"/>
      </w:pPr>
      <w:rPr>
        <w:rFonts w:hint="default"/>
        <w:lang w:val="en-US" w:eastAsia="zh-CN" w:bidi="ar-SA"/>
      </w:rPr>
    </w:lvl>
    <w:lvl w:ilvl="4">
      <w:start w:val="0"/>
      <w:numFmt w:val="bullet"/>
      <w:lvlText w:val="•"/>
      <w:lvlJc w:val="left"/>
      <w:pPr>
        <w:ind w:left="3466" w:hanging="361"/>
      </w:pPr>
      <w:rPr>
        <w:rFonts w:hint="default"/>
        <w:lang w:val="en-US" w:eastAsia="zh-CN" w:bidi="ar-SA"/>
      </w:rPr>
    </w:lvl>
    <w:lvl w:ilvl="5">
      <w:start w:val="0"/>
      <w:numFmt w:val="bullet"/>
      <w:lvlText w:val="•"/>
      <w:lvlJc w:val="left"/>
      <w:pPr>
        <w:ind w:left="4579" w:hanging="361"/>
      </w:pPr>
      <w:rPr>
        <w:rFonts w:hint="default"/>
        <w:lang w:val="en-US" w:eastAsia="zh-CN" w:bidi="ar-SA"/>
      </w:rPr>
    </w:lvl>
    <w:lvl w:ilvl="6">
      <w:start w:val="0"/>
      <w:numFmt w:val="bullet"/>
      <w:lvlText w:val="•"/>
      <w:lvlJc w:val="left"/>
      <w:pPr>
        <w:ind w:left="5693" w:hanging="361"/>
      </w:pPr>
      <w:rPr>
        <w:rFonts w:hint="default"/>
        <w:lang w:val="en-US" w:eastAsia="zh-CN" w:bidi="ar-SA"/>
      </w:rPr>
    </w:lvl>
    <w:lvl w:ilvl="7">
      <w:start w:val="0"/>
      <w:numFmt w:val="bullet"/>
      <w:lvlText w:val="•"/>
      <w:lvlJc w:val="left"/>
      <w:pPr>
        <w:ind w:left="6806" w:hanging="361"/>
      </w:pPr>
      <w:rPr>
        <w:rFonts w:hint="default"/>
        <w:lang w:val="en-US" w:eastAsia="zh-CN" w:bidi="ar-SA"/>
      </w:rPr>
    </w:lvl>
    <w:lvl w:ilvl="8">
      <w:start w:val="0"/>
      <w:numFmt w:val="bullet"/>
      <w:lvlText w:val="•"/>
      <w:lvlJc w:val="left"/>
      <w:pPr>
        <w:ind w:left="7919" w:hanging="361"/>
      </w:pPr>
      <w:rPr>
        <w:rFonts w:hint="default"/>
        <w:lang w:val="en-US" w:eastAsia="zh-CN" w:bidi="ar-SA"/>
      </w:rPr>
    </w:lvl>
  </w:abstractNum>
  <w:abstractNum w:abstractNumId="6">
    <w:nsid w:val="1FA82ED1"/>
    <w:multiLevelType w:val="hybridMultilevel"/>
    <w:tmpl w:val="00000000"/>
    <w:lvl w:ilvl="0">
      <w:start w:val="1"/>
      <w:numFmt w:val="decimal"/>
      <w:lvlText w:val="（%1）"/>
      <w:lvlJc w:val="left"/>
      <w:pPr>
        <w:ind w:left="628" w:hanging="601"/>
        <w:jc w:val="left"/>
      </w:pPr>
      <w:rPr>
        <w:rFonts w:ascii="宋体" w:eastAsia="宋体" w:hAnsi="宋体" w:cs="宋体" w:hint="default"/>
        <w:b w:val="0"/>
        <w:bCs w:val="0"/>
        <w:i w:val="0"/>
        <w:iCs w:val="0"/>
        <w:color w:val="FF0000"/>
        <w:spacing w:val="-45"/>
        <w:w w:val="100"/>
        <w:sz w:val="22"/>
        <w:szCs w:val="22"/>
        <w:lang w:val="en-US" w:eastAsia="zh-CN" w:bidi="ar-SA"/>
      </w:rPr>
    </w:lvl>
    <w:lvl w:ilvl="1">
      <w:start w:val="0"/>
      <w:numFmt w:val="bullet"/>
      <w:lvlText w:val="•"/>
      <w:lvlJc w:val="left"/>
      <w:pPr>
        <w:ind w:left="1572" w:hanging="601"/>
      </w:pPr>
      <w:rPr>
        <w:rFonts w:hint="default"/>
        <w:lang w:val="en-US" w:eastAsia="zh-CN" w:bidi="ar-SA"/>
      </w:rPr>
    </w:lvl>
    <w:lvl w:ilvl="2">
      <w:start w:val="0"/>
      <w:numFmt w:val="bullet"/>
      <w:lvlText w:val="•"/>
      <w:lvlJc w:val="left"/>
      <w:pPr>
        <w:ind w:left="2525" w:hanging="601"/>
      </w:pPr>
      <w:rPr>
        <w:rFonts w:hint="default"/>
        <w:lang w:val="en-US" w:eastAsia="zh-CN" w:bidi="ar-SA"/>
      </w:rPr>
    </w:lvl>
    <w:lvl w:ilvl="3">
      <w:start w:val="0"/>
      <w:numFmt w:val="bullet"/>
      <w:lvlText w:val="•"/>
      <w:lvlJc w:val="left"/>
      <w:pPr>
        <w:ind w:left="3477" w:hanging="601"/>
      </w:pPr>
      <w:rPr>
        <w:rFonts w:hint="default"/>
        <w:lang w:val="en-US" w:eastAsia="zh-CN" w:bidi="ar-SA"/>
      </w:rPr>
    </w:lvl>
    <w:lvl w:ilvl="4">
      <w:start w:val="0"/>
      <w:numFmt w:val="bullet"/>
      <w:lvlText w:val="•"/>
      <w:lvlJc w:val="left"/>
      <w:pPr>
        <w:ind w:left="4430" w:hanging="601"/>
      </w:pPr>
      <w:rPr>
        <w:rFonts w:hint="default"/>
        <w:lang w:val="en-US" w:eastAsia="zh-CN" w:bidi="ar-SA"/>
      </w:rPr>
    </w:lvl>
    <w:lvl w:ilvl="5">
      <w:start w:val="0"/>
      <w:numFmt w:val="bullet"/>
      <w:lvlText w:val="•"/>
      <w:lvlJc w:val="left"/>
      <w:pPr>
        <w:ind w:left="5383" w:hanging="601"/>
      </w:pPr>
      <w:rPr>
        <w:rFonts w:hint="default"/>
        <w:lang w:val="en-US" w:eastAsia="zh-CN" w:bidi="ar-SA"/>
      </w:rPr>
    </w:lvl>
    <w:lvl w:ilvl="6">
      <w:start w:val="0"/>
      <w:numFmt w:val="bullet"/>
      <w:lvlText w:val="•"/>
      <w:lvlJc w:val="left"/>
      <w:pPr>
        <w:ind w:left="6335" w:hanging="601"/>
      </w:pPr>
      <w:rPr>
        <w:rFonts w:hint="default"/>
        <w:lang w:val="en-US" w:eastAsia="zh-CN" w:bidi="ar-SA"/>
      </w:rPr>
    </w:lvl>
    <w:lvl w:ilvl="7">
      <w:start w:val="0"/>
      <w:numFmt w:val="bullet"/>
      <w:lvlText w:val="•"/>
      <w:lvlJc w:val="left"/>
      <w:pPr>
        <w:ind w:left="7288" w:hanging="601"/>
      </w:pPr>
      <w:rPr>
        <w:rFonts w:hint="default"/>
        <w:lang w:val="en-US" w:eastAsia="zh-CN" w:bidi="ar-SA"/>
      </w:rPr>
    </w:lvl>
    <w:lvl w:ilvl="8">
      <w:start w:val="0"/>
      <w:numFmt w:val="bullet"/>
      <w:lvlText w:val="•"/>
      <w:lvlJc w:val="left"/>
      <w:pPr>
        <w:ind w:left="8240" w:hanging="601"/>
      </w:pPr>
      <w:rPr>
        <w:rFonts w:hint="default"/>
        <w:lang w:val="en-US" w:eastAsia="zh-CN" w:bidi="ar-SA"/>
      </w:rPr>
    </w:lvl>
  </w:abstractNum>
  <w:abstractNum w:abstractNumId="7">
    <w:nsid w:val="2575BBF3"/>
    <w:multiLevelType w:val="hybridMultilevel"/>
    <w:tmpl w:val="00000000"/>
    <w:lvl w:ilvl="0">
      <w:start w:val="9"/>
      <w:numFmt w:val="decimal"/>
      <w:lvlText w:val="（%1）"/>
      <w:lvlJc w:val="left"/>
      <w:pPr>
        <w:ind w:left="108" w:hanging="760"/>
        <w:jc w:val="left"/>
      </w:pPr>
      <w:rPr>
        <w:rFonts w:ascii="宋体" w:eastAsia="宋体" w:hAnsi="宋体" w:cs="宋体" w:hint="default"/>
        <w:b w:val="0"/>
        <w:bCs w:val="0"/>
        <w:i w:val="0"/>
        <w:iCs w:val="0"/>
        <w:spacing w:val="0"/>
        <w:w w:val="100"/>
        <w:sz w:val="24"/>
        <w:szCs w:val="24"/>
        <w:lang w:val="en-US" w:eastAsia="zh-CN" w:bidi="ar-SA"/>
      </w:rPr>
    </w:lvl>
    <w:lvl w:ilvl="1">
      <w:start w:val="0"/>
      <w:numFmt w:val="bullet"/>
      <w:lvlText w:val="•"/>
      <w:lvlJc w:val="left"/>
      <w:pPr>
        <w:ind w:left="431" w:hanging="760"/>
      </w:pPr>
      <w:rPr>
        <w:rFonts w:hint="default"/>
        <w:lang w:val="en-US" w:eastAsia="zh-CN" w:bidi="ar-SA"/>
      </w:rPr>
    </w:lvl>
    <w:lvl w:ilvl="2">
      <w:start w:val="0"/>
      <w:numFmt w:val="bullet"/>
      <w:lvlText w:val="•"/>
      <w:lvlJc w:val="left"/>
      <w:pPr>
        <w:ind w:left="762" w:hanging="760"/>
      </w:pPr>
      <w:rPr>
        <w:rFonts w:hint="default"/>
        <w:lang w:val="en-US" w:eastAsia="zh-CN" w:bidi="ar-SA"/>
      </w:rPr>
    </w:lvl>
    <w:lvl w:ilvl="3">
      <w:start w:val="0"/>
      <w:numFmt w:val="bullet"/>
      <w:lvlText w:val="•"/>
      <w:lvlJc w:val="left"/>
      <w:pPr>
        <w:ind w:left="1093" w:hanging="760"/>
      </w:pPr>
      <w:rPr>
        <w:rFonts w:hint="default"/>
        <w:lang w:val="en-US" w:eastAsia="zh-CN" w:bidi="ar-SA"/>
      </w:rPr>
    </w:lvl>
    <w:lvl w:ilvl="4">
      <w:start w:val="0"/>
      <w:numFmt w:val="bullet"/>
      <w:lvlText w:val="•"/>
      <w:lvlJc w:val="left"/>
      <w:pPr>
        <w:ind w:left="1424" w:hanging="760"/>
      </w:pPr>
      <w:rPr>
        <w:rFonts w:hint="default"/>
        <w:lang w:val="en-US" w:eastAsia="zh-CN" w:bidi="ar-SA"/>
      </w:rPr>
    </w:lvl>
    <w:lvl w:ilvl="5">
      <w:start w:val="0"/>
      <w:numFmt w:val="bullet"/>
      <w:lvlText w:val="•"/>
      <w:lvlJc w:val="left"/>
      <w:pPr>
        <w:ind w:left="1755" w:hanging="760"/>
      </w:pPr>
      <w:rPr>
        <w:rFonts w:hint="default"/>
        <w:lang w:val="en-US" w:eastAsia="zh-CN" w:bidi="ar-SA"/>
      </w:rPr>
    </w:lvl>
    <w:lvl w:ilvl="6">
      <w:start w:val="0"/>
      <w:numFmt w:val="bullet"/>
      <w:lvlText w:val="•"/>
      <w:lvlJc w:val="left"/>
      <w:pPr>
        <w:ind w:left="2086" w:hanging="760"/>
      </w:pPr>
      <w:rPr>
        <w:rFonts w:hint="default"/>
        <w:lang w:val="en-US" w:eastAsia="zh-CN" w:bidi="ar-SA"/>
      </w:rPr>
    </w:lvl>
    <w:lvl w:ilvl="7">
      <w:start w:val="0"/>
      <w:numFmt w:val="bullet"/>
      <w:lvlText w:val="•"/>
      <w:lvlJc w:val="left"/>
      <w:pPr>
        <w:ind w:left="2417" w:hanging="760"/>
      </w:pPr>
      <w:rPr>
        <w:rFonts w:hint="default"/>
        <w:lang w:val="en-US" w:eastAsia="zh-CN" w:bidi="ar-SA"/>
      </w:rPr>
    </w:lvl>
    <w:lvl w:ilvl="8">
      <w:start w:val="0"/>
      <w:numFmt w:val="bullet"/>
      <w:lvlText w:val="•"/>
      <w:lvlJc w:val="left"/>
      <w:pPr>
        <w:ind w:left="2748" w:hanging="760"/>
      </w:pPr>
      <w:rPr>
        <w:rFonts w:hint="default"/>
        <w:lang w:val="en-US" w:eastAsia="zh-CN" w:bidi="ar-SA"/>
      </w:rPr>
    </w:lvl>
  </w:abstractNum>
  <w:abstractNum w:abstractNumId="8">
    <w:nsid w:val="2784197B"/>
    <w:multiLevelType w:val="hybridMultilevel"/>
    <w:tmpl w:val="00000000"/>
    <w:lvl w:ilvl="0">
      <w:start w:val="1"/>
      <w:numFmt w:val="decimal"/>
      <w:lvlText w:val="（%1）"/>
      <w:lvlJc w:val="left"/>
      <w:pPr>
        <w:ind w:left="628" w:hanging="527"/>
        <w:jc w:val="left"/>
      </w:pPr>
      <w:rPr>
        <w:rFonts w:ascii="Microsoft JhengHei" w:eastAsia="Microsoft JhengHei" w:hAnsi="Microsoft JhengHei" w:cs="Microsoft JhengHei" w:hint="default"/>
        <w:b/>
        <w:bCs/>
        <w:i w:val="0"/>
        <w:iCs w:val="0"/>
        <w:spacing w:val="-19"/>
        <w:w w:val="100"/>
        <w:sz w:val="19"/>
        <w:szCs w:val="19"/>
        <w:lang w:val="en-US" w:eastAsia="zh-CN" w:bidi="ar-SA"/>
      </w:rPr>
    </w:lvl>
    <w:lvl w:ilvl="1">
      <w:start w:val="0"/>
      <w:numFmt w:val="bullet"/>
      <w:lvlText w:val="•"/>
      <w:lvlJc w:val="left"/>
      <w:pPr>
        <w:ind w:left="1572" w:hanging="527"/>
      </w:pPr>
      <w:rPr>
        <w:rFonts w:hint="default"/>
        <w:lang w:val="en-US" w:eastAsia="zh-CN" w:bidi="ar-SA"/>
      </w:rPr>
    </w:lvl>
    <w:lvl w:ilvl="2">
      <w:start w:val="0"/>
      <w:numFmt w:val="bullet"/>
      <w:lvlText w:val="•"/>
      <w:lvlJc w:val="left"/>
      <w:pPr>
        <w:ind w:left="2525" w:hanging="527"/>
      </w:pPr>
      <w:rPr>
        <w:rFonts w:hint="default"/>
        <w:lang w:val="en-US" w:eastAsia="zh-CN" w:bidi="ar-SA"/>
      </w:rPr>
    </w:lvl>
    <w:lvl w:ilvl="3">
      <w:start w:val="0"/>
      <w:numFmt w:val="bullet"/>
      <w:lvlText w:val="•"/>
      <w:lvlJc w:val="left"/>
      <w:pPr>
        <w:ind w:left="3477" w:hanging="527"/>
      </w:pPr>
      <w:rPr>
        <w:rFonts w:hint="default"/>
        <w:lang w:val="en-US" w:eastAsia="zh-CN" w:bidi="ar-SA"/>
      </w:rPr>
    </w:lvl>
    <w:lvl w:ilvl="4">
      <w:start w:val="0"/>
      <w:numFmt w:val="bullet"/>
      <w:lvlText w:val="•"/>
      <w:lvlJc w:val="left"/>
      <w:pPr>
        <w:ind w:left="4430" w:hanging="527"/>
      </w:pPr>
      <w:rPr>
        <w:rFonts w:hint="default"/>
        <w:lang w:val="en-US" w:eastAsia="zh-CN" w:bidi="ar-SA"/>
      </w:rPr>
    </w:lvl>
    <w:lvl w:ilvl="5">
      <w:start w:val="0"/>
      <w:numFmt w:val="bullet"/>
      <w:lvlText w:val="•"/>
      <w:lvlJc w:val="left"/>
      <w:pPr>
        <w:ind w:left="5383" w:hanging="527"/>
      </w:pPr>
      <w:rPr>
        <w:rFonts w:hint="default"/>
        <w:lang w:val="en-US" w:eastAsia="zh-CN" w:bidi="ar-SA"/>
      </w:rPr>
    </w:lvl>
    <w:lvl w:ilvl="6">
      <w:start w:val="0"/>
      <w:numFmt w:val="bullet"/>
      <w:lvlText w:val="•"/>
      <w:lvlJc w:val="left"/>
      <w:pPr>
        <w:ind w:left="6335" w:hanging="527"/>
      </w:pPr>
      <w:rPr>
        <w:rFonts w:hint="default"/>
        <w:lang w:val="en-US" w:eastAsia="zh-CN" w:bidi="ar-SA"/>
      </w:rPr>
    </w:lvl>
    <w:lvl w:ilvl="7">
      <w:start w:val="0"/>
      <w:numFmt w:val="bullet"/>
      <w:lvlText w:val="•"/>
      <w:lvlJc w:val="left"/>
      <w:pPr>
        <w:ind w:left="7288" w:hanging="527"/>
      </w:pPr>
      <w:rPr>
        <w:rFonts w:hint="default"/>
        <w:lang w:val="en-US" w:eastAsia="zh-CN" w:bidi="ar-SA"/>
      </w:rPr>
    </w:lvl>
    <w:lvl w:ilvl="8">
      <w:start w:val="0"/>
      <w:numFmt w:val="bullet"/>
      <w:lvlText w:val="•"/>
      <w:lvlJc w:val="left"/>
      <w:pPr>
        <w:ind w:left="8240" w:hanging="527"/>
      </w:pPr>
      <w:rPr>
        <w:rFonts w:hint="default"/>
        <w:lang w:val="en-US" w:eastAsia="zh-CN" w:bidi="ar-SA"/>
      </w:rPr>
    </w:lvl>
  </w:abstractNum>
  <w:abstractNum w:abstractNumId="9">
    <w:nsid w:val="2BFFD21A"/>
    <w:multiLevelType w:val="hybridMultilevel"/>
    <w:tmpl w:val="00000000"/>
    <w:lvl w:ilvl="0">
      <w:start w:val="1"/>
      <w:numFmt w:val="decimal"/>
      <w:lvlText w:val="（%1）"/>
      <w:lvlJc w:val="left"/>
      <w:pPr>
        <w:ind w:left="628" w:hanging="603"/>
        <w:jc w:val="left"/>
      </w:pPr>
      <w:rPr>
        <w:rFonts w:ascii="微软雅黑" w:eastAsia="微软雅黑" w:hAnsi="微软雅黑" w:cs="微软雅黑" w:hint="default"/>
        <w:b/>
        <w:bCs/>
        <w:i w:val="0"/>
        <w:iCs w:val="0"/>
        <w:spacing w:val="-7"/>
        <w:w w:val="81"/>
        <w:sz w:val="22"/>
        <w:szCs w:val="22"/>
        <w:u w:val="thick" w:color="000000"/>
        <w:lang w:val="en-US" w:eastAsia="zh-CN" w:bidi="ar-SA"/>
      </w:rPr>
    </w:lvl>
    <w:lvl w:ilvl="1">
      <w:start w:val="0"/>
      <w:numFmt w:val="bullet"/>
      <w:lvlText w:val="•"/>
      <w:lvlJc w:val="left"/>
      <w:pPr>
        <w:ind w:left="1572" w:hanging="603"/>
      </w:pPr>
      <w:rPr>
        <w:rFonts w:hint="default"/>
        <w:lang w:val="en-US" w:eastAsia="zh-CN" w:bidi="ar-SA"/>
      </w:rPr>
    </w:lvl>
    <w:lvl w:ilvl="2">
      <w:start w:val="0"/>
      <w:numFmt w:val="bullet"/>
      <w:lvlText w:val="•"/>
      <w:lvlJc w:val="left"/>
      <w:pPr>
        <w:ind w:left="2525" w:hanging="603"/>
      </w:pPr>
      <w:rPr>
        <w:rFonts w:hint="default"/>
        <w:lang w:val="en-US" w:eastAsia="zh-CN" w:bidi="ar-SA"/>
      </w:rPr>
    </w:lvl>
    <w:lvl w:ilvl="3">
      <w:start w:val="0"/>
      <w:numFmt w:val="bullet"/>
      <w:lvlText w:val="•"/>
      <w:lvlJc w:val="left"/>
      <w:pPr>
        <w:ind w:left="3477" w:hanging="603"/>
      </w:pPr>
      <w:rPr>
        <w:rFonts w:hint="default"/>
        <w:lang w:val="en-US" w:eastAsia="zh-CN" w:bidi="ar-SA"/>
      </w:rPr>
    </w:lvl>
    <w:lvl w:ilvl="4">
      <w:start w:val="0"/>
      <w:numFmt w:val="bullet"/>
      <w:lvlText w:val="•"/>
      <w:lvlJc w:val="left"/>
      <w:pPr>
        <w:ind w:left="4430" w:hanging="603"/>
      </w:pPr>
      <w:rPr>
        <w:rFonts w:hint="default"/>
        <w:lang w:val="en-US" w:eastAsia="zh-CN" w:bidi="ar-SA"/>
      </w:rPr>
    </w:lvl>
    <w:lvl w:ilvl="5">
      <w:start w:val="0"/>
      <w:numFmt w:val="bullet"/>
      <w:lvlText w:val="•"/>
      <w:lvlJc w:val="left"/>
      <w:pPr>
        <w:ind w:left="5383" w:hanging="603"/>
      </w:pPr>
      <w:rPr>
        <w:rFonts w:hint="default"/>
        <w:lang w:val="en-US" w:eastAsia="zh-CN" w:bidi="ar-SA"/>
      </w:rPr>
    </w:lvl>
    <w:lvl w:ilvl="6">
      <w:start w:val="0"/>
      <w:numFmt w:val="bullet"/>
      <w:lvlText w:val="•"/>
      <w:lvlJc w:val="left"/>
      <w:pPr>
        <w:ind w:left="6335" w:hanging="603"/>
      </w:pPr>
      <w:rPr>
        <w:rFonts w:hint="default"/>
        <w:lang w:val="en-US" w:eastAsia="zh-CN" w:bidi="ar-SA"/>
      </w:rPr>
    </w:lvl>
    <w:lvl w:ilvl="7">
      <w:start w:val="0"/>
      <w:numFmt w:val="bullet"/>
      <w:lvlText w:val="•"/>
      <w:lvlJc w:val="left"/>
      <w:pPr>
        <w:ind w:left="7288" w:hanging="603"/>
      </w:pPr>
      <w:rPr>
        <w:rFonts w:hint="default"/>
        <w:lang w:val="en-US" w:eastAsia="zh-CN" w:bidi="ar-SA"/>
      </w:rPr>
    </w:lvl>
    <w:lvl w:ilvl="8">
      <w:start w:val="0"/>
      <w:numFmt w:val="bullet"/>
      <w:lvlText w:val="•"/>
      <w:lvlJc w:val="left"/>
      <w:pPr>
        <w:ind w:left="8240" w:hanging="603"/>
      </w:pPr>
      <w:rPr>
        <w:rFonts w:hint="default"/>
        <w:lang w:val="en-US" w:eastAsia="zh-CN" w:bidi="ar-SA"/>
      </w:rPr>
    </w:lvl>
  </w:abstractNum>
  <w:abstractNum w:abstractNumId="10">
    <w:nsid w:val="2D310658"/>
    <w:multiLevelType w:val="hybridMultilevel"/>
    <w:tmpl w:val="00000000"/>
    <w:lvl w:ilvl="0">
      <w:start w:val="1"/>
      <w:numFmt w:val="decimal"/>
      <w:lvlText w:val="（%1）"/>
      <w:lvlJc w:val="left"/>
      <w:pPr>
        <w:ind w:left="1470" w:hanging="603"/>
        <w:jc w:val="right"/>
      </w:pPr>
      <w:rPr>
        <w:rFonts w:ascii="微软雅黑" w:eastAsia="微软雅黑" w:hAnsi="微软雅黑" w:cs="微软雅黑" w:hint="default"/>
        <w:b/>
        <w:bCs/>
        <w:i w:val="0"/>
        <w:iCs w:val="0"/>
        <w:w w:val="81"/>
        <w:sz w:val="22"/>
        <w:szCs w:val="22"/>
        <w:u w:val="thick" w:color="000000"/>
        <w:lang w:val="en-US" w:eastAsia="zh-CN" w:bidi="ar-SA"/>
      </w:rPr>
    </w:lvl>
    <w:lvl w:ilvl="1">
      <w:start w:val="8"/>
      <w:numFmt w:val="decimal"/>
      <w:lvlText w:val="(%2)"/>
      <w:lvlJc w:val="left"/>
      <w:pPr>
        <w:ind w:left="1230" w:hanging="363"/>
        <w:jc w:val="right"/>
      </w:pPr>
      <w:rPr>
        <w:rFonts w:ascii="微软雅黑" w:eastAsia="微软雅黑" w:hAnsi="微软雅黑" w:cs="微软雅黑" w:hint="default"/>
        <w:b/>
        <w:bCs/>
        <w:i w:val="0"/>
        <w:iCs w:val="0"/>
        <w:w w:val="81"/>
        <w:sz w:val="22"/>
        <w:szCs w:val="22"/>
        <w:u w:val="thick" w:color="000000"/>
        <w:lang w:val="en-US" w:eastAsia="zh-CN" w:bidi="ar-SA"/>
      </w:rPr>
    </w:lvl>
    <w:lvl w:ilvl="2">
      <w:start w:val="0"/>
      <w:numFmt w:val="bullet"/>
      <w:lvlText w:val="•"/>
      <w:lvlJc w:val="left"/>
      <w:pPr>
        <w:ind w:left="2442" w:hanging="363"/>
      </w:pPr>
      <w:rPr>
        <w:rFonts w:hint="default"/>
        <w:lang w:val="en-US" w:eastAsia="zh-CN" w:bidi="ar-SA"/>
      </w:rPr>
    </w:lvl>
    <w:lvl w:ilvl="3">
      <w:start w:val="0"/>
      <w:numFmt w:val="bullet"/>
      <w:lvlText w:val="•"/>
      <w:lvlJc w:val="left"/>
      <w:pPr>
        <w:ind w:left="3405" w:hanging="363"/>
      </w:pPr>
      <w:rPr>
        <w:rFonts w:hint="default"/>
        <w:lang w:val="en-US" w:eastAsia="zh-CN" w:bidi="ar-SA"/>
      </w:rPr>
    </w:lvl>
    <w:lvl w:ilvl="4">
      <w:start w:val="0"/>
      <w:numFmt w:val="bullet"/>
      <w:lvlText w:val="•"/>
      <w:lvlJc w:val="left"/>
      <w:pPr>
        <w:ind w:left="4368" w:hanging="363"/>
      </w:pPr>
      <w:rPr>
        <w:rFonts w:hint="default"/>
        <w:lang w:val="en-US" w:eastAsia="zh-CN" w:bidi="ar-SA"/>
      </w:rPr>
    </w:lvl>
    <w:lvl w:ilvl="5">
      <w:start w:val="0"/>
      <w:numFmt w:val="bullet"/>
      <w:lvlText w:val="•"/>
      <w:lvlJc w:val="left"/>
      <w:pPr>
        <w:ind w:left="5331" w:hanging="363"/>
      </w:pPr>
      <w:rPr>
        <w:rFonts w:hint="default"/>
        <w:lang w:val="en-US" w:eastAsia="zh-CN" w:bidi="ar-SA"/>
      </w:rPr>
    </w:lvl>
    <w:lvl w:ilvl="6">
      <w:start w:val="0"/>
      <w:numFmt w:val="bullet"/>
      <w:lvlText w:val="•"/>
      <w:lvlJc w:val="left"/>
      <w:pPr>
        <w:ind w:left="6294" w:hanging="363"/>
      </w:pPr>
      <w:rPr>
        <w:rFonts w:hint="default"/>
        <w:lang w:val="en-US" w:eastAsia="zh-CN" w:bidi="ar-SA"/>
      </w:rPr>
    </w:lvl>
    <w:lvl w:ilvl="7">
      <w:start w:val="0"/>
      <w:numFmt w:val="bullet"/>
      <w:lvlText w:val="•"/>
      <w:lvlJc w:val="left"/>
      <w:pPr>
        <w:ind w:left="7257" w:hanging="363"/>
      </w:pPr>
      <w:rPr>
        <w:rFonts w:hint="default"/>
        <w:lang w:val="en-US" w:eastAsia="zh-CN" w:bidi="ar-SA"/>
      </w:rPr>
    </w:lvl>
    <w:lvl w:ilvl="8">
      <w:start w:val="0"/>
      <w:numFmt w:val="bullet"/>
      <w:lvlText w:val="•"/>
      <w:lvlJc w:val="left"/>
      <w:pPr>
        <w:ind w:left="8220" w:hanging="363"/>
      </w:pPr>
      <w:rPr>
        <w:rFonts w:hint="default"/>
        <w:lang w:val="en-US" w:eastAsia="zh-CN" w:bidi="ar-SA"/>
      </w:rPr>
    </w:lvl>
  </w:abstractNum>
  <w:abstractNum w:abstractNumId="11">
    <w:nsid w:val="322BFF6C"/>
    <w:multiLevelType w:val="hybridMultilevel"/>
    <w:tmpl w:val="00000000"/>
    <w:lvl w:ilvl="0">
      <w:start w:val="1"/>
      <w:numFmt w:val="decimal"/>
      <w:lvlText w:val="(%1)"/>
      <w:lvlJc w:val="left"/>
      <w:pPr>
        <w:ind w:left="628"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572" w:hanging="361"/>
      </w:pPr>
      <w:rPr>
        <w:rFonts w:hint="default"/>
        <w:lang w:val="en-US" w:eastAsia="zh-CN" w:bidi="ar-SA"/>
      </w:rPr>
    </w:lvl>
    <w:lvl w:ilvl="2">
      <w:start w:val="0"/>
      <w:numFmt w:val="bullet"/>
      <w:lvlText w:val="•"/>
      <w:lvlJc w:val="left"/>
      <w:pPr>
        <w:ind w:left="2525" w:hanging="361"/>
      </w:pPr>
      <w:rPr>
        <w:rFonts w:hint="default"/>
        <w:lang w:val="en-US" w:eastAsia="zh-CN" w:bidi="ar-SA"/>
      </w:rPr>
    </w:lvl>
    <w:lvl w:ilvl="3">
      <w:start w:val="0"/>
      <w:numFmt w:val="bullet"/>
      <w:lvlText w:val="•"/>
      <w:lvlJc w:val="left"/>
      <w:pPr>
        <w:ind w:left="3477" w:hanging="361"/>
      </w:pPr>
      <w:rPr>
        <w:rFonts w:hint="default"/>
        <w:lang w:val="en-US" w:eastAsia="zh-CN" w:bidi="ar-SA"/>
      </w:rPr>
    </w:lvl>
    <w:lvl w:ilvl="4">
      <w:start w:val="0"/>
      <w:numFmt w:val="bullet"/>
      <w:lvlText w:val="•"/>
      <w:lvlJc w:val="left"/>
      <w:pPr>
        <w:ind w:left="4430" w:hanging="361"/>
      </w:pPr>
      <w:rPr>
        <w:rFonts w:hint="default"/>
        <w:lang w:val="en-US" w:eastAsia="zh-CN" w:bidi="ar-SA"/>
      </w:rPr>
    </w:lvl>
    <w:lvl w:ilvl="5">
      <w:start w:val="0"/>
      <w:numFmt w:val="bullet"/>
      <w:lvlText w:val="•"/>
      <w:lvlJc w:val="left"/>
      <w:pPr>
        <w:ind w:left="5383" w:hanging="361"/>
      </w:pPr>
      <w:rPr>
        <w:rFonts w:hint="default"/>
        <w:lang w:val="en-US" w:eastAsia="zh-CN" w:bidi="ar-SA"/>
      </w:rPr>
    </w:lvl>
    <w:lvl w:ilvl="6">
      <w:start w:val="0"/>
      <w:numFmt w:val="bullet"/>
      <w:lvlText w:val="•"/>
      <w:lvlJc w:val="left"/>
      <w:pPr>
        <w:ind w:left="6335" w:hanging="361"/>
      </w:pPr>
      <w:rPr>
        <w:rFonts w:hint="default"/>
        <w:lang w:val="en-US" w:eastAsia="zh-CN" w:bidi="ar-SA"/>
      </w:rPr>
    </w:lvl>
    <w:lvl w:ilvl="7">
      <w:start w:val="0"/>
      <w:numFmt w:val="bullet"/>
      <w:lvlText w:val="•"/>
      <w:lvlJc w:val="left"/>
      <w:pPr>
        <w:ind w:left="7288" w:hanging="361"/>
      </w:pPr>
      <w:rPr>
        <w:rFonts w:hint="default"/>
        <w:lang w:val="en-US" w:eastAsia="zh-CN" w:bidi="ar-SA"/>
      </w:rPr>
    </w:lvl>
    <w:lvl w:ilvl="8">
      <w:start w:val="0"/>
      <w:numFmt w:val="bullet"/>
      <w:lvlText w:val="•"/>
      <w:lvlJc w:val="left"/>
      <w:pPr>
        <w:ind w:left="8240" w:hanging="361"/>
      </w:pPr>
      <w:rPr>
        <w:rFonts w:hint="default"/>
        <w:lang w:val="en-US" w:eastAsia="zh-CN" w:bidi="ar-SA"/>
      </w:rPr>
    </w:lvl>
  </w:abstractNum>
  <w:abstractNum w:abstractNumId="12">
    <w:nsid w:val="3703AD5D"/>
    <w:multiLevelType w:val="hybridMultilevel"/>
    <w:tmpl w:val="00000000"/>
    <w:lvl w:ilvl="0">
      <w:start w:val="1"/>
      <w:numFmt w:val="decimal"/>
      <w:lvlText w:val="%1."/>
      <w:lvlJc w:val="left"/>
      <w:pPr>
        <w:ind w:left="1349" w:hanging="242"/>
        <w:jc w:val="right"/>
      </w:pPr>
      <w:rPr>
        <w:rFonts w:hint="default"/>
        <w:w w:val="81"/>
        <w:lang w:val="en-US" w:eastAsia="zh-CN" w:bidi="ar-SA"/>
      </w:rPr>
    </w:lvl>
    <w:lvl w:ilvl="1">
      <w:start w:val="1"/>
      <w:numFmt w:val="decimal"/>
      <w:lvlText w:val="%1.%2"/>
      <w:lvlJc w:val="left"/>
      <w:pPr>
        <w:ind w:left="628" w:hanging="480"/>
        <w:jc w:val="left"/>
      </w:pPr>
      <w:rPr>
        <w:rFonts w:ascii="宋体" w:eastAsia="宋体" w:hAnsi="宋体" w:cs="宋体" w:hint="default"/>
        <w:b w:val="0"/>
        <w:bCs w:val="0"/>
        <w:i w:val="0"/>
        <w:iCs w:val="0"/>
        <w:w w:val="100"/>
        <w:sz w:val="24"/>
        <w:szCs w:val="24"/>
        <w:lang w:val="en-US" w:eastAsia="zh-CN" w:bidi="ar-SA"/>
      </w:rPr>
    </w:lvl>
    <w:lvl w:ilvl="2">
      <w:start w:val="1"/>
      <w:numFmt w:val="decimal"/>
      <w:lvlText w:val="%1.%2.%3"/>
      <w:lvlJc w:val="left"/>
      <w:pPr>
        <w:ind w:left="628" w:hanging="660"/>
        <w:jc w:val="left"/>
      </w:pPr>
      <w:rPr>
        <w:rFonts w:ascii="宋体" w:eastAsia="宋体" w:hAnsi="宋体" w:cs="宋体" w:hint="default"/>
        <w:b w:val="0"/>
        <w:bCs w:val="0"/>
        <w:i w:val="0"/>
        <w:iCs w:val="0"/>
        <w:w w:val="100"/>
        <w:sz w:val="24"/>
        <w:szCs w:val="24"/>
        <w:lang w:val="en-US" w:eastAsia="zh-CN" w:bidi="ar-SA"/>
      </w:rPr>
    </w:lvl>
    <w:lvl w:ilvl="3">
      <w:start w:val="0"/>
      <w:numFmt w:val="bullet"/>
      <w:lvlText w:val="•"/>
      <w:lvlJc w:val="left"/>
      <w:pPr>
        <w:ind w:left="1400" w:hanging="660"/>
      </w:pPr>
      <w:rPr>
        <w:rFonts w:hint="default"/>
        <w:lang w:val="en-US" w:eastAsia="zh-CN" w:bidi="ar-SA"/>
      </w:rPr>
    </w:lvl>
    <w:lvl w:ilvl="4">
      <w:start w:val="0"/>
      <w:numFmt w:val="bullet"/>
      <w:lvlText w:val="•"/>
      <w:lvlJc w:val="left"/>
      <w:pPr>
        <w:ind w:left="1460" w:hanging="660"/>
      </w:pPr>
      <w:rPr>
        <w:rFonts w:hint="default"/>
        <w:lang w:val="en-US" w:eastAsia="zh-CN" w:bidi="ar-SA"/>
      </w:rPr>
    </w:lvl>
    <w:lvl w:ilvl="5">
      <w:start w:val="0"/>
      <w:numFmt w:val="bullet"/>
      <w:lvlText w:val="•"/>
      <w:lvlJc w:val="left"/>
      <w:pPr>
        <w:ind w:left="1528" w:hanging="660"/>
      </w:pPr>
      <w:rPr>
        <w:rFonts w:hint="default"/>
        <w:lang w:val="en-US" w:eastAsia="zh-CN" w:bidi="ar-SA"/>
      </w:rPr>
    </w:lvl>
    <w:lvl w:ilvl="6">
      <w:start w:val="0"/>
      <w:numFmt w:val="bullet"/>
      <w:lvlText w:val="•"/>
      <w:lvlJc w:val="left"/>
      <w:pPr>
        <w:ind w:left="1596" w:hanging="660"/>
      </w:pPr>
      <w:rPr>
        <w:rFonts w:hint="default"/>
        <w:lang w:val="en-US" w:eastAsia="zh-CN" w:bidi="ar-SA"/>
      </w:rPr>
    </w:lvl>
    <w:lvl w:ilvl="7">
      <w:start w:val="0"/>
      <w:numFmt w:val="bullet"/>
      <w:lvlText w:val="•"/>
      <w:lvlJc w:val="left"/>
      <w:pPr>
        <w:ind w:left="1665" w:hanging="660"/>
      </w:pPr>
      <w:rPr>
        <w:rFonts w:hint="default"/>
        <w:lang w:val="en-US" w:eastAsia="zh-CN" w:bidi="ar-SA"/>
      </w:rPr>
    </w:lvl>
    <w:lvl w:ilvl="8">
      <w:start w:val="0"/>
      <w:numFmt w:val="bullet"/>
      <w:lvlText w:val="•"/>
      <w:lvlJc w:val="left"/>
      <w:pPr>
        <w:ind w:left="1733" w:hanging="660"/>
      </w:pPr>
      <w:rPr>
        <w:rFonts w:hint="default"/>
        <w:lang w:val="en-US" w:eastAsia="zh-CN" w:bidi="ar-SA"/>
      </w:rPr>
    </w:lvl>
  </w:abstractNum>
  <w:abstractNum w:abstractNumId="13">
    <w:nsid w:val="38A647CB"/>
    <w:multiLevelType w:val="hybridMultilevel"/>
    <w:tmpl w:val="00000000"/>
    <w:lvl w:ilvl="0">
      <w:start w:val="1"/>
      <w:numFmt w:val="decimal"/>
      <w:lvlText w:val="%1."/>
      <w:lvlJc w:val="left"/>
      <w:pPr>
        <w:ind w:left="628" w:hanging="420"/>
        <w:jc w:val="left"/>
      </w:pPr>
      <w:rPr>
        <w:rFonts w:hint="default"/>
        <w:w w:val="100"/>
        <w:lang w:val="en-US" w:eastAsia="zh-CN" w:bidi="ar-SA"/>
      </w:rPr>
    </w:lvl>
    <w:lvl w:ilvl="1">
      <w:start w:val="0"/>
      <w:numFmt w:val="bullet"/>
      <w:lvlText w:val="•"/>
      <w:lvlJc w:val="left"/>
      <w:pPr>
        <w:ind w:left="1572" w:hanging="420"/>
      </w:pPr>
      <w:rPr>
        <w:rFonts w:hint="default"/>
        <w:lang w:val="en-US" w:eastAsia="zh-CN" w:bidi="ar-SA"/>
      </w:rPr>
    </w:lvl>
    <w:lvl w:ilvl="2">
      <w:start w:val="0"/>
      <w:numFmt w:val="bullet"/>
      <w:lvlText w:val="•"/>
      <w:lvlJc w:val="left"/>
      <w:pPr>
        <w:ind w:left="2525" w:hanging="420"/>
      </w:pPr>
      <w:rPr>
        <w:rFonts w:hint="default"/>
        <w:lang w:val="en-US" w:eastAsia="zh-CN" w:bidi="ar-SA"/>
      </w:rPr>
    </w:lvl>
    <w:lvl w:ilvl="3">
      <w:start w:val="0"/>
      <w:numFmt w:val="bullet"/>
      <w:lvlText w:val="•"/>
      <w:lvlJc w:val="left"/>
      <w:pPr>
        <w:ind w:left="3477" w:hanging="420"/>
      </w:pPr>
      <w:rPr>
        <w:rFonts w:hint="default"/>
        <w:lang w:val="en-US" w:eastAsia="zh-CN" w:bidi="ar-SA"/>
      </w:rPr>
    </w:lvl>
    <w:lvl w:ilvl="4">
      <w:start w:val="0"/>
      <w:numFmt w:val="bullet"/>
      <w:lvlText w:val="•"/>
      <w:lvlJc w:val="left"/>
      <w:pPr>
        <w:ind w:left="4430" w:hanging="420"/>
      </w:pPr>
      <w:rPr>
        <w:rFonts w:hint="default"/>
        <w:lang w:val="en-US" w:eastAsia="zh-CN" w:bidi="ar-SA"/>
      </w:rPr>
    </w:lvl>
    <w:lvl w:ilvl="5">
      <w:start w:val="0"/>
      <w:numFmt w:val="bullet"/>
      <w:lvlText w:val="•"/>
      <w:lvlJc w:val="left"/>
      <w:pPr>
        <w:ind w:left="5383" w:hanging="420"/>
      </w:pPr>
      <w:rPr>
        <w:rFonts w:hint="default"/>
        <w:lang w:val="en-US" w:eastAsia="zh-CN" w:bidi="ar-SA"/>
      </w:rPr>
    </w:lvl>
    <w:lvl w:ilvl="6">
      <w:start w:val="0"/>
      <w:numFmt w:val="bullet"/>
      <w:lvlText w:val="•"/>
      <w:lvlJc w:val="left"/>
      <w:pPr>
        <w:ind w:left="6335" w:hanging="420"/>
      </w:pPr>
      <w:rPr>
        <w:rFonts w:hint="default"/>
        <w:lang w:val="en-US" w:eastAsia="zh-CN" w:bidi="ar-SA"/>
      </w:rPr>
    </w:lvl>
    <w:lvl w:ilvl="7">
      <w:start w:val="0"/>
      <w:numFmt w:val="bullet"/>
      <w:lvlText w:val="•"/>
      <w:lvlJc w:val="left"/>
      <w:pPr>
        <w:ind w:left="7288" w:hanging="420"/>
      </w:pPr>
      <w:rPr>
        <w:rFonts w:hint="default"/>
        <w:lang w:val="en-US" w:eastAsia="zh-CN" w:bidi="ar-SA"/>
      </w:rPr>
    </w:lvl>
    <w:lvl w:ilvl="8">
      <w:start w:val="0"/>
      <w:numFmt w:val="bullet"/>
      <w:lvlText w:val="•"/>
      <w:lvlJc w:val="left"/>
      <w:pPr>
        <w:ind w:left="8240" w:hanging="420"/>
      </w:pPr>
      <w:rPr>
        <w:rFonts w:hint="default"/>
        <w:lang w:val="en-US" w:eastAsia="zh-CN" w:bidi="ar-SA"/>
      </w:rPr>
    </w:lvl>
  </w:abstractNum>
  <w:abstractNum w:abstractNumId="14">
    <w:nsid w:val="45F7BC87"/>
    <w:multiLevelType w:val="hybridMultilevel"/>
    <w:tmpl w:val="00000000"/>
    <w:lvl w:ilvl="0">
      <w:start w:val="1"/>
      <w:numFmt w:val="decimal"/>
      <w:lvlText w:val="（%1）"/>
      <w:lvlJc w:val="left"/>
      <w:pPr>
        <w:ind w:left="108" w:hanging="760"/>
        <w:jc w:val="left"/>
      </w:pPr>
      <w:rPr>
        <w:rFonts w:ascii="宋体" w:eastAsia="宋体" w:hAnsi="宋体" w:cs="宋体" w:hint="default"/>
        <w:b w:val="0"/>
        <w:bCs w:val="0"/>
        <w:i w:val="0"/>
        <w:iCs w:val="0"/>
        <w:spacing w:val="0"/>
        <w:w w:val="100"/>
        <w:sz w:val="24"/>
        <w:szCs w:val="24"/>
        <w:lang w:val="en-US" w:eastAsia="zh-CN" w:bidi="ar-SA"/>
      </w:rPr>
    </w:lvl>
    <w:lvl w:ilvl="1">
      <w:start w:val="0"/>
      <w:numFmt w:val="bullet"/>
      <w:lvlText w:val="•"/>
      <w:lvlJc w:val="left"/>
      <w:pPr>
        <w:ind w:left="431" w:hanging="760"/>
      </w:pPr>
      <w:rPr>
        <w:rFonts w:hint="default"/>
        <w:lang w:val="en-US" w:eastAsia="zh-CN" w:bidi="ar-SA"/>
      </w:rPr>
    </w:lvl>
    <w:lvl w:ilvl="2">
      <w:start w:val="0"/>
      <w:numFmt w:val="bullet"/>
      <w:lvlText w:val="•"/>
      <w:lvlJc w:val="left"/>
      <w:pPr>
        <w:ind w:left="762" w:hanging="760"/>
      </w:pPr>
      <w:rPr>
        <w:rFonts w:hint="default"/>
        <w:lang w:val="en-US" w:eastAsia="zh-CN" w:bidi="ar-SA"/>
      </w:rPr>
    </w:lvl>
    <w:lvl w:ilvl="3">
      <w:start w:val="0"/>
      <w:numFmt w:val="bullet"/>
      <w:lvlText w:val="•"/>
      <w:lvlJc w:val="left"/>
      <w:pPr>
        <w:ind w:left="1093" w:hanging="760"/>
      </w:pPr>
      <w:rPr>
        <w:rFonts w:hint="default"/>
        <w:lang w:val="en-US" w:eastAsia="zh-CN" w:bidi="ar-SA"/>
      </w:rPr>
    </w:lvl>
    <w:lvl w:ilvl="4">
      <w:start w:val="0"/>
      <w:numFmt w:val="bullet"/>
      <w:lvlText w:val="•"/>
      <w:lvlJc w:val="left"/>
      <w:pPr>
        <w:ind w:left="1424" w:hanging="760"/>
      </w:pPr>
      <w:rPr>
        <w:rFonts w:hint="default"/>
        <w:lang w:val="en-US" w:eastAsia="zh-CN" w:bidi="ar-SA"/>
      </w:rPr>
    </w:lvl>
    <w:lvl w:ilvl="5">
      <w:start w:val="0"/>
      <w:numFmt w:val="bullet"/>
      <w:lvlText w:val="•"/>
      <w:lvlJc w:val="left"/>
      <w:pPr>
        <w:ind w:left="1755" w:hanging="760"/>
      </w:pPr>
      <w:rPr>
        <w:rFonts w:hint="default"/>
        <w:lang w:val="en-US" w:eastAsia="zh-CN" w:bidi="ar-SA"/>
      </w:rPr>
    </w:lvl>
    <w:lvl w:ilvl="6">
      <w:start w:val="0"/>
      <w:numFmt w:val="bullet"/>
      <w:lvlText w:val="•"/>
      <w:lvlJc w:val="left"/>
      <w:pPr>
        <w:ind w:left="2086" w:hanging="760"/>
      </w:pPr>
      <w:rPr>
        <w:rFonts w:hint="default"/>
        <w:lang w:val="en-US" w:eastAsia="zh-CN" w:bidi="ar-SA"/>
      </w:rPr>
    </w:lvl>
    <w:lvl w:ilvl="7">
      <w:start w:val="0"/>
      <w:numFmt w:val="bullet"/>
      <w:lvlText w:val="•"/>
      <w:lvlJc w:val="left"/>
      <w:pPr>
        <w:ind w:left="2417" w:hanging="760"/>
      </w:pPr>
      <w:rPr>
        <w:rFonts w:hint="default"/>
        <w:lang w:val="en-US" w:eastAsia="zh-CN" w:bidi="ar-SA"/>
      </w:rPr>
    </w:lvl>
    <w:lvl w:ilvl="8">
      <w:start w:val="0"/>
      <w:numFmt w:val="bullet"/>
      <w:lvlText w:val="•"/>
      <w:lvlJc w:val="left"/>
      <w:pPr>
        <w:ind w:left="2748" w:hanging="760"/>
      </w:pPr>
      <w:rPr>
        <w:rFonts w:hint="default"/>
        <w:lang w:val="en-US" w:eastAsia="zh-CN" w:bidi="ar-SA"/>
      </w:rPr>
    </w:lvl>
  </w:abstractNum>
  <w:abstractNum w:abstractNumId="15">
    <w:nsid w:val="465E1EF3"/>
    <w:multiLevelType w:val="hybridMultilevel"/>
    <w:tmpl w:val="00000000"/>
    <w:lvl w:ilvl="0">
      <w:start w:val="9"/>
      <w:numFmt w:val="decimal"/>
      <w:lvlText w:val="（%1）"/>
      <w:lvlJc w:val="left"/>
      <w:pPr>
        <w:ind w:left="108" w:hanging="573"/>
        <w:jc w:val="left"/>
      </w:pPr>
      <w:rPr>
        <w:rFonts w:ascii="宋体" w:eastAsia="宋体" w:hAnsi="宋体" w:cs="宋体" w:hint="default"/>
        <w:b w:val="0"/>
        <w:bCs w:val="0"/>
        <w:i w:val="0"/>
        <w:iCs w:val="0"/>
        <w:spacing w:val="0"/>
        <w:w w:val="100"/>
        <w:sz w:val="21"/>
        <w:szCs w:val="21"/>
        <w:lang w:val="en-US" w:eastAsia="zh-CN" w:bidi="ar-SA"/>
      </w:rPr>
    </w:lvl>
    <w:lvl w:ilvl="1">
      <w:start w:val="0"/>
      <w:numFmt w:val="bullet"/>
      <w:lvlText w:val="•"/>
      <w:lvlJc w:val="left"/>
      <w:pPr>
        <w:ind w:left="467" w:hanging="573"/>
      </w:pPr>
      <w:rPr>
        <w:rFonts w:hint="default"/>
        <w:lang w:val="en-US" w:eastAsia="zh-CN" w:bidi="ar-SA"/>
      </w:rPr>
    </w:lvl>
    <w:lvl w:ilvl="2">
      <w:start w:val="0"/>
      <w:numFmt w:val="bullet"/>
      <w:lvlText w:val="•"/>
      <w:lvlJc w:val="left"/>
      <w:pPr>
        <w:ind w:left="834" w:hanging="573"/>
      </w:pPr>
      <w:rPr>
        <w:rFonts w:hint="default"/>
        <w:lang w:val="en-US" w:eastAsia="zh-CN" w:bidi="ar-SA"/>
      </w:rPr>
    </w:lvl>
    <w:lvl w:ilvl="3">
      <w:start w:val="0"/>
      <w:numFmt w:val="bullet"/>
      <w:lvlText w:val="•"/>
      <w:lvlJc w:val="left"/>
      <w:pPr>
        <w:ind w:left="1201" w:hanging="573"/>
      </w:pPr>
      <w:rPr>
        <w:rFonts w:hint="default"/>
        <w:lang w:val="en-US" w:eastAsia="zh-CN" w:bidi="ar-SA"/>
      </w:rPr>
    </w:lvl>
    <w:lvl w:ilvl="4">
      <w:start w:val="0"/>
      <w:numFmt w:val="bullet"/>
      <w:lvlText w:val="•"/>
      <w:lvlJc w:val="left"/>
      <w:pPr>
        <w:ind w:left="1568" w:hanging="573"/>
      </w:pPr>
      <w:rPr>
        <w:rFonts w:hint="default"/>
        <w:lang w:val="en-US" w:eastAsia="zh-CN" w:bidi="ar-SA"/>
      </w:rPr>
    </w:lvl>
    <w:lvl w:ilvl="5">
      <w:start w:val="0"/>
      <w:numFmt w:val="bullet"/>
      <w:lvlText w:val="•"/>
      <w:lvlJc w:val="left"/>
      <w:pPr>
        <w:ind w:left="1935" w:hanging="573"/>
      </w:pPr>
      <w:rPr>
        <w:rFonts w:hint="default"/>
        <w:lang w:val="en-US" w:eastAsia="zh-CN" w:bidi="ar-SA"/>
      </w:rPr>
    </w:lvl>
    <w:lvl w:ilvl="6">
      <w:start w:val="0"/>
      <w:numFmt w:val="bullet"/>
      <w:lvlText w:val="•"/>
      <w:lvlJc w:val="left"/>
      <w:pPr>
        <w:ind w:left="2302" w:hanging="573"/>
      </w:pPr>
      <w:rPr>
        <w:rFonts w:hint="default"/>
        <w:lang w:val="en-US" w:eastAsia="zh-CN" w:bidi="ar-SA"/>
      </w:rPr>
    </w:lvl>
    <w:lvl w:ilvl="7">
      <w:start w:val="0"/>
      <w:numFmt w:val="bullet"/>
      <w:lvlText w:val="•"/>
      <w:lvlJc w:val="left"/>
      <w:pPr>
        <w:ind w:left="2669" w:hanging="573"/>
      </w:pPr>
      <w:rPr>
        <w:rFonts w:hint="default"/>
        <w:lang w:val="en-US" w:eastAsia="zh-CN" w:bidi="ar-SA"/>
      </w:rPr>
    </w:lvl>
    <w:lvl w:ilvl="8">
      <w:start w:val="0"/>
      <w:numFmt w:val="bullet"/>
      <w:lvlText w:val="•"/>
      <w:lvlJc w:val="left"/>
      <w:pPr>
        <w:ind w:left="3036" w:hanging="573"/>
      </w:pPr>
      <w:rPr>
        <w:rFonts w:hint="default"/>
        <w:lang w:val="en-US" w:eastAsia="zh-CN" w:bidi="ar-SA"/>
      </w:rPr>
    </w:lvl>
  </w:abstractNum>
  <w:abstractNum w:abstractNumId="16">
    <w:nsid w:val="4BF66201"/>
    <w:multiLevelType w:val="hybridMultilevel"/>
    <w:tmpl w:val="00000000"/>
    <w:lvl w:ilvl="0">
      <w:start w:val="2"/>
      <w:numFmt w:val="decimal"/>
      <w:lvlText w:val="%1"/>
      <w:lvlJc w:val="left"/>
      <w:pPr>
        <w:ind w:left="628" w:hanging="420"/>
        <w:jc w:val="left"/>
      </w:pPr>
      <w:rPr>
        <w:rFonts w:hint="default"/>
        <w:lang w:val="en-US" w:eastAsia="zh-CN" w:bidi="ar-SA"/>
      </w:rPr>
    </w:lvl>
    <w:lvl w:ilvl="1">
      <w:start w:val="3"/>
      <w:numFmt w:val="decimal"/>
      <w:lvlText w:val="%1.%2"/>
      <w:lvlJc w:val="left"/>
      <w:pPr>
        <w:ind w:left="628" w:hanging="420"/>
        <w:jc w:val="left"/>
      </w:pPr>
      <w:rPr>
        <w:rFonts w:hint="default"/>
        <w:w w:val="100"/>
        <w:lang w:val="en-US" w:eastAsia="zh-CN" w:bidi="ar-SA"/>
      </w:rPr>
    </w:lvl>
    <w:lvl w:ilvl="2">
      <w:start w:val="0"/>
      <w:numFmt w:val="bullet"/>
      <w:lvlText w:val="•"/>
      <w:lvlJc w:val="left"/>
      <w:pPr>
        <w:ind w:left="2525" w:hanging="420"/>
      </w:pPr>
      <w:rPr>
        <w:rFonts w:hint="default"/>
        <w:lang w:val="en-US" w:eastAsia="zh-CN" w:bidi="ar-SA"/>
      </w:rPr>
    </w:lvl>
    <w:lvl w:ilvl="3">
      <w:start w:val="0"/>
      <w:numFmt w:val="bullet"/>
      <w:lvlText w:val="•"/>
      <w:lvlJc w:val="left"/>
      <w:pPr>
        <w:ind w:left="3477" w:hanging="420"/>
      </w:pPr>
      <w:rPr>
        <w:rFonts w:hint="default"/>
        <w:lang w:val="en-US" w:eastAsia="zh-CN" w:bidi="ar-SA"/>
      </w:rPr>
    </w:lvl>
    <w:lvl w:ilvl="4">
      <w:start w:val="0"/>
      <w:numFmt w:val="bullet"/>
      <w:lvlText w:val="•"/>
      <w:lvlJc w:val="left"/>
      <w:pPr>
        <w:ind w:left="4430" w:hanging="420"/>
      </w:pPr>
      <w:rPr>
        <w:rFonts w:hint="default"/>
        <w:lang w:val="en-US" w:eastAsia="zh-CN" w:bidi="ar-SA"/>
      </w:rPr>
    </w:lvl>
    <w:lvl w:ilvl="5">
      <w:start w:val="0"/>
      <w:numFmt w:val="bullet"/>
      <w:lvlText w:val="•"/>
      <w:lvlJc w:val="left"/>
      <w:pPr>
        <w:ind w:left="5383" w:hanging="420"/>
      </w:pPr>
      <w:rPr>
        <w:rFonts w:hint="default"/>
        <w:lang w:val="en-US" w:eastAsia="zh-CN" w:bidi="ar-SA"/>
      </w:rPr>
    </w:lvl>
    <w:lvl w:ilvl="6">
      <w:start w:val="0"/>
      <w:numFmt w:val="bullet"/>
      <w:lvlText w:val="•"/>
      <w:lvlJc w:val="left"/>
      <w:pPr>
        <w:ind w:left="6335" w:hanging="420"/>
      </w:pPr>
      <w:rPr>
        <w:rFonts w:hint="default"/>
        <w:lang w:val="en-US" w:eastAsia="zh-CN" w:bidi="ar-SA"/>
      </w:rPr>
    </w:lvl>
    <w:lvl w:ilvl="7">
      <w:start w:val="0"/>
      <w:numFmt w:val="bullet"/>
      <w:lvlText w:val="•"/>
      <w:lvlJc w:val="left"/>
      <w:pPr>
        <w:ind w:left="7288" w:hanging="420"/>
      </w:pPr>
      <w:rPr>
        <w:rFonts w:hint="default"/>
        <w:lang w:val="en-US" w:eastAsia="zh-CN" w:bidi="ar-SA"/>
      </w:rPr>
    </w:lvl>
    <w:lvl w:ilvl="8">
      <w:start w:val="0"/>
      <w:numFmt w:val="bullet"/>
      <w:lvlText w:val="•"/>
      <w:lvlJc w:val="left"/>
      <w:pPr>
        <w:ind w:left="8240" w:hanging="420"/>
      </w:pPr>
      <w:rPr>
        <w:rFonts w:hint="default"/>
        <w:lang w:val="en-US" w:eastAsia="zh-CN" w:bidi="ar-SA"/>
      </w:rPr>
    </w:lvl>
  </w:abstractNum>
  <w:abstractNum w:abstractNumId="17">
    <w:nsid w:val="534FF7F4"/>
    <w:multiLevelType w:val="hybridMultilevel"/>
    <w:tmpl w:val="00000000"/>
    <w:lvl w:ilvl="0">
      <w:start w:val="2"/>
      <w:numFmt w:val="decimal"/>
      <w:lvlText w:val="（%1）"/>
      <w:lvlJc w:val="left"/>
      <w:pPr>
        <w:ind w:left="108" w:hanging="760"/>
        <w:jc w:val="left"/>
      </w:pPr>
      <w:rPr>
        <w:rFonts w:ascii="宋体" w:eastAsia="宋体" w:hAnsi="宋体" w:cs="宋体" w:hint="default"/>
        <w:b w:val="0"/>
        <w:bCs w:val="0"/>
        <w:i w:val="0"/>
        <w:iCs w:val="0"/>
        <w:spacing w:val="0"/>
        <w:w w:val="100"/>
        <w:sz w:val="24"/>
        <w:szCs w:val="24"/>
        <w:lang w:val="en-US" w:eastAsia="zh-CN" w:bidi="ar-SA"/>
      </w:rPr>
    </w:lvl>
    <w:lvl w:ilvl="1">
      <w:start w:val="0"/>
      <w:numFmt w:val="bullet"/>
      <w:lvlText w:val="•"/>
      <w:lvlJc w:val="left"/>
      <w:pPr>
        <w:ind w:left="431" w:hanging="760"/>
      </w:pPr>
      <w:rPr>
        <w:rFonts w:hint="default"/>
        <w:lang w:val="en-US" w:eastAsia="zh-CN" w:bidi="ar-SA"/>
      </w:rPr>
    </w:lvl>
    <w:lvl w:ilvl="2">
      <w:start w:val="0"/>
      <w:numFmt w:val="bullet"/>
      <w:lvlText w:val="•"/>
      <w:lvlJc w:val="left"/>
      <w:pPr>
        <w:ind w:left="762" w:hanging="760"/>
      </w:pPr>
      <w:rPr>
        <w:rFonts w:hint="default"/>
        <w:lang w:val="en-US" w:eastAsia="zh-CN" w:bidi="ar-SA"/>
      </w:rPr>
    </w:lvl>
    <w:lvl w:ilvl="3">
      <w:start w:val="0"/>
      <w:numFmt w:val="bullet"/>
      <w:lvlText w:val="•"/>
      <w:lvlJc w:val="left"/>
      <w:pPr>
        <w:ind w:left="1093" w:hanging="760"/>
      </w:pPr>
      <w:rPr>
        <w:rFonts w:hint="default"/>
        <w:lang w:val="en-US" w:eastAsia="zh-CN" w:bidi="ar-SA"/>
      </w:rPr>
    </w:lvl>
    <w:lvl w:ilvl="4">
      <w:start w:val="0"/>
      <w:numFmt w:val="bullet"/>
      <w:lvlText w:val="•"/>
      <w:lvlJc w:val="left"/>
      <w:pPr>
        <w:ind w:left="1424" w:hanging="760"/>
      </w:pPr>
      <w:rPr>
        <w:rFonts w:hint="default"/>
        <w:lang w:val="en-US" w:eastAsia="zh-CN" w:bidi="ar-SA"/>
      </w:rPr>
    </w:lvl>
    <w:lvl w:ilvl="5">
      <w:start w:val="0"/>
      <w:numFmt w:val="bullet"/>
      <w:lvlText w:val="•"/>
      <w:lvlJc w:val="left"/>
      <w:pPr>
        <w:ind w:left="1755" w:hanging="760"/>
      </w:pPr>
      <w:rPr>
        <w:rFonts w:hint="default"/>
        <w:lang w:val="en-US" w:eastAsia="zh-CN" w:bidi="ar-SA"/>
      </w:rPr>
    </w:lvl>
    <w:lvl w:ilvl="6">
      <w:start w:val="0"/>
      <w:numFmt w:val="bullet"/>
      <w:lvlText w:val="•"/>
      <w:lvlJc w:val="left"/>
      <w:pPr>
        <w:ind w:left="2086" w:hanging="760"/>
      </w:pPr>
      <w:rPr>
        <w:rFonts w:hint="default"/>
        <w:lang w:val="en-US" w:eastAsia="zh-CN" w:bidi="ar-SA"/>
      </w:rPr>
    </w:lvl>
    <w:lvl w:ilvl="7">
      <w:start w:val="0"/>
      <w:numFmt w:val="bullet"/>
      <w:lvlText w:val="•"/>
      <w:lvlJc w:val="left"/>
      <w:pPr>
        <w:ind w:left="2417" w:hanging="760"/>
      </w:pPr>
      <w:rPr>
        <w:rFonts w:hint="default"/>
        <w:lang w:val="en-US" w:eastAsia="zh-CN" w:bidi="ar-SA"/>
      </w:rPr>
    </w:lvl>
    <w:lvl w:ilvl="8">
      <w:start w:val="0"/>
      <w:numFmt w:val="bullet"/>
      <w:lvlText w:val="•"/>
      <w:lvlJc w:val="left"/>
      <w:pPr>
        <w:ind w:left="2748" w:hanging="760"/>
      </w:pPr>
      <w:rPr>
        <w:rFonts w:hint="default"/>
        <w:lang w:val="en-US" w:eastAsia="zh-CN" w:bidi="ar-SA"/>
      </w:rPr>
    </w:lvl>
  </w:abstractNum>
  <w:abstractNum w:abstractNumId="18">
    <w:nsid w:val="54AE4D5E"/>
    <w:multiLevelType w:val="hybridMultilevel"/>
    <w:tmpl w:val="00000000"/>
    <w:lvl w:ilvl="0">
      <w:start w:val="1"/>
      <w:numFmt w:val="decimal"/>
      <w:lvlText w:val="%1）"/>
      <w:lvlJc w:val="left"/>
      <w:pPr>
        <w:ind w:left="1349" w:hanging="361"/>
        <w:jc w:val="left"/>
      </w:pPr>
      <w:rPr>
        <w:rFonts w:ascii="宋体" w:eastAsia="宋体" w:hAnsi="宋体" w:cs="宋体" w:hint="default"/>
        <w:b w:val="0"/>
        <w:bCs w:val="0"/>
        <w:i w:val="0"/>
        <w:iCs w:val="0"/>
        <w:color w:val="FF0000"/>
        <w:w w:val="100"/>
        <w:sz w:val="22"/>
        <w:szCs w:val="22"/>
        <w:lang w:val="en-US" w:eastAsia="zh-CN" w:bidi="ar-SA"/>
      </w:rPr>
    </w:lvl>
    <w:lvl w:ilvl="1">
      <w:start w:val="0"/>
      <w:numFmt w:val="bullet"/>
      <w:lvlText w:val="•"/>
      <w:lvlJc w:val="left"/>
      <w:pPr>
        <w:ind w:left="2220" w:hanging="361"/>
      </w:pPr>
      <w:rPr>
        <w:rFonts w:hint="default"/>
        <w:lang w:val="en-US" w:eastAsia="zh-CN" w:bidi="ar-SA"/>
      </w:rPr>
    </w:lvl>
    <w:lvl w:ilvl="2">
      <w:start w:val="0"/>
      <w:numFmt w:val="bullet"/>
      <w:lvlText w:val="•"/>
      <w:lvlJc w:val="left"/>
      <w:pPr>
        <w:ind w:left="3101" w:hanging="361"/>
      </w:pPr>
      <w:rPr>
        <w:rFonts w:hint="default"/>
        <w:lang w:val="en-US" w:eastAsia="zh-CN" w:bidi="ar-SA"/>
      </w:rPr>
    </w:lvl>
    <w:lvl w:ilvl="3">
      <w:start w:val="0"/>
      <w:numFmt w:val="bullet"/>
      <w:lvlText w:val="•"/>
      <w:lvlJc w:val="left"/>
      <w:pPr>
        <w:ind w:left="3981" w:hanging="361"/>
      </w:pPr>
      <w:rPr>
        <w:rFonts w:hint="default"/>
        <w:lang w:val="en-US" w:eastAsia="zh-CN" w:bidi="ar-SA"/>
      </w:rPr>
    </w:lvl>
    <w:lvl w:ilvl="4">
      <w:start w:val="0"/>
      <w:numFmt w:val="bullet"/>
      <w:lvlText w:val="•"/>
      <w:lvlJc w:val="left"/>
      <w:pPr>
        <w:ind w:left="4862" w:hanging="361"/>
      </w:pPr>
      <w:rPr>
        <w:rFonts w:hint="default"/>
        <w:lang w:val="en-US" w:eastAsia="zh-CN" w:bidi="ar-SA"/>
      </w:rPr>
    </w:lvl>
    <w:lvl w:ilvl="5">
      <w:start w:val="0"/>
      <w:numFmt w:val="bullet"/>
      <w:lvlText w:val="•"/>
      <w:lvlJc w:val="left"/>
      <w:pPr>
        <w:ind w:left="5743" w:hanging="361"/>
      </w:pPr>
      <w:rPr>
        <w:rFonts w:hint="default"/>
        <w:lang w:val="en-US" w:eastAsia="zh-CN" w:bidi="ar-SA"/>
      </w:rPr>
    </w:lvl>
    <w:lvl w:ilvl="6">
      <w:start w:val="0"/>
      <w:numFmt w:val="bullet"/>
      <w:lvlText w:val="•"/>
      <w:lvlJc w:val="left"/>
      <w:pPr>
        <w:ind w:left="6623" w:hanging="361"/>
      </w:pPr>
      <w:rPr>
        <w:rFonts w:hint="default"/>
        <w:lang w:val="en-US" w:eastAsia="zh-CN" w:bidi="ar-SA"/>
      </w:rPr>
    </w:lvl>
    <w:lvl w:ilvl="7">
      <w:start w:val="0"/>
      <w:numFmt w:val="bullet"/>
      <w:lvlText w:val="•"/>
      <w:lvlJc w:val="left"/>
      <w:pPr>
        <w:ind w:left="7504" w:hanging="361"/>
      </w:pPr>
      <w:rPr>
        <w:rFonts w:hint="default"/>
        <w:lang w:val="en-US" w:eastAsia="zh-CN" w:bidi="ar-SA"/>
      </w:rPr>
    </w:lvl>
    <w:lvl w:ilvl="8">
      <w:start w:val="0"/>
      <w:numFmt w:val="bullet"/>
      <w:lvlText w:val="•"/>
      <w:lvlJc w:val="left"/>
      <w:pPr>
        <w:ind w:left="8384" w:hanging="361"/>
      </w:pPr>
      <w:rPr>
        <w:rFonts w:hint="default"/>
        <w:lang w:val="en-US" w:eastAsia="zh-CN" w:bidi="ar-SA"/>
      </w:rPr>
    </w:lvl>
  </w:abstractNum>
  <w:abstractNum w:abstractNumId="19">
    <w:nsid w:val="56F5667E"/>
    <w:multiLevelType w:val="hybridMultilevel"/>
    <w:tmpl w:val="00000000"/>
    <w:lvl w:ilvl="0">
      <w:start w:val="1"/>
      <w:numFmt w:val="decimal"/>
      <w:lvlText w:val="（%1）"/>
      <w:lvlJc w:val="left"/>
      <w:pPr>
        <w:ind w:left="1888" w:hanging="1020"/>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2706" w:hanging="1020"/>
      </w:pPr>
      <w:rPr>
        <w:rFonts w:hint="default"/>
        <w:lang w:val="en-US" w:eastAsia="zh-CN" w:bidi="ar-SA"/>
      </w:rPr>
    </w:lvl>
    <w:lvl w:ilvl="2">
      <w:start w:val="0"/>
      <w:numFmt w:val="bullet"/>
      <w:lvlText w:val="•"/>
      <w:lvlJc w:val="left"/>
      <w:pPr>
        <w:ind w:left="3533" w:hanging="1020"/>
      </w:pPr>
      <w:rPr>
        <w:rFonts w:hint="default"/>
        <w:lang w:val="en-US" w:eastAsia="zh-CN" w:bidi="ar-SA"/>
      </w:rPr>
    </w:lvl>
    <w:lvl w:ilvl="3">
      <w:start w:val="0"/>
      <w:numFmt w:val="bullet"/>
      <w:lvlText w:val="•"/>
      <w:lvlJc w:val="left"/>
      <w:pPr>
        <w:ind w:left="4359" w:hanging="1020"/>
      </w:pPr>
      <w:rPr>
        <w:rFonts w:hint="default"/>
        <w:lang w:val="en-US" w:eastAsia="zh-CN" w:bidi="ar-SA"/>
      </w:rPr>
    </w:lvl>
    <w:lvl w:ilvl="4">
      <w:start w:val="0"/>
      <w:numFmt w:val="bullet"/>
      <w:lvlText w:val="•"/>
      <w:lvlJc w:val="left"/>
      <w:pPr>
        <w:ind w:left="5186" w:hanging="1020"/>
      </w:pPr>
      <w:rPr>
        <w:rFonts w:hint="default"/>
        <w:lang w:val="en-US" w:eastAsia="zh-CN" w:bidi="ar-SA"/>
      </w:rPr>
    </w:lvl>
    <w:lvl w:ilvl="5">
      <w:start w:val="0"/>
      <w:numFmt w:val="bullet"/>
      <w:lvlText w:val="•"/>
      <w:lvlJc w:val="left"/>
      <w:pPr>
        <w:ind w:left="6013" w:hanging="1020"/>
      </w:pPr>
      <w:rPr>
        <w:rFonts w:hint="default"/>
        <w:lang w:val="en-US" w:eastAsia="zh-CN" w:bidi="ar-SA"/>
      </w:rPr>
    </w:lvl>
    <w:lvl w:ilvl="6">
      <w:start w:val="0"/>
      <w:numFmt w:val="bullet"/>
      <w:lvlText w:val="•"/>
      <w:lvlJc w:val="left"/>
      <w:pPr>
        <w:ind w:left="6839" w:hanging="1020"/>
      </w:pPr>
      <w:rPr>
        <w:rFonts w:hint="default"/>
        <w:lang w:val="en-US" w:eastAsia="zh-CN" w:bidi="ar-SA"/>
      </w:rPr>
    </w:lvl>
    <w:lvl w:ilvl="7">
      <w:start w:val="0"/>
      <w:numFmt w:val="bullet"/>
      <w:lvlText w:val="•"/>
      <w:lvlJc w:val="left"/>
      <w:pPr>
        <w:ind w:left="7666" w:hanging="1020"/>
      </w:pPr>
      <w:rPr>
        <w:rFonts w:hint="default"/>
        <w:lang w:val="en-US" w:eastAsia="zh-CN" w:bidi="ar-SA"/>
      </w:rPr>
    </w:lvl>
    <w:lvl w:ilvl="8">
      <w:start w:val="0"/>
      <w:numFmt w:val="bullet"/>
      <w:lvlText w:val="•"/>
      <w:lvlJc w:val="left"/>
      <w:pPr>
        <w:ind w:left="8492" w:hanging="1020"/>
      </w:pPr>
      <w:rPr>
        <w:rFonts w:hint="default"/>
        <w:lang w:val="en-US" w:eastAsia="zh-CN" w:bidi="ar-SA"/>
      </w:rPr>
    </w:lvl>
  </w:abstractNum>
  <w:abstractNum w:abstractNumId="20">
    <w:nsid w:val="5B557C79"/>
    <w:multiLevelType w:val="hybridMultilevel"/>
    <w:tmpl w:val="00000000"/>
    <w:lvl w:ilvl="0">
      <w:start w:val="1"/>
      <w:numFmt w:val="decimal"/>
      <w:lvlText w:val="（%1）"/>
      <w:lvlJc w:val="left"/>
      <w:pPr>
        <w:ind w:left="108" w:hanging="527"/>
        <w:jc w:val="left"/>
      </w:pPr>
      <w:rPr>
        <w:rFonts w:ascii="Microsoft JhengHei" w:eastAsia="Microsoft JhengHei" w:hAnsi="Microsoft JhengHei" w:cs="Microsoft JhengHei" w:hint="default"/>
        <w:b/>
        <w:bCs/>
        <w:i w:val="0"/>
        <w:iCs w:val="0"/>
        <w:spacing w:val="-105"/>
        <w:w w:val="100"/>
        <w:sz w:val="19"/>
        <w:szCs w:val="19"/>
        <w:lang w:val="en-US" w:eastAsia="zh-CN" w:bidi="ar-SA"/>
      </w:rPr>
    </w:lvl>
    <w:lvl w:ilvl="1">
      <w:start w:val="0"/>
      <w:numFmt w:val="bullet"/>
      <w:lvlText w:val="•"/>
      <w:lvlJc w:val="left"/>
      <w:pPr>
        <w:ind w:left="748" w:hanging="527"/>
      </w:pPr>
      <w:rPr>
        <w:rFonts w:hint="default"/>
        <w:lang w:val="en-US" w:eastAsia="zh-CN" w:bidi="ar-SA"/>
      </w:rPr>
    </w:lvl>
    <w:lvl w:ilvl="2">
      <w:start w:val="0"/>
      <w:numFmt w:val="bullet"/>
      <w:lvlText w:val="•"/>
      <w:lvlJc w:val="left"/>
      <w:pPr>
        <w:ind w:left="1396" w:hanging="527"/>
      </w:pPr>
      <w:rPr>
        <w:rFonts w:hint="default"/>
        <w:lang w:val="en-US" w:eastAsia="zh-CN" w:bidi="ar-SA"/>
      </w:rPr>
    </w:lvl>
    <w:lvl w:ilvl="3">
      <w:start w:val="0"/>
      <w:numFmt w:val="bullet"/>
      <w:lvlText w:val="•"/>
      <w:lvlJc w:val="left"/>
      <w:pPr>
        <w:ind w:left="2045" w:hanging="527"/>
      </w:pPr>
      <w:rPr>
        <w:rFonts w:hint="default"/>
        <w:lang w:val="en-US" w:eastAsia="zh-CN" w:bidi="ar-SA"/>
      </w:rPr>
    </w:lvl>
    <w:lvl w:ilvl="4">
      <w:start w:val="0"/>
      <w:numFmt w:val="bullet"/>
      <w:lvlText w:val="•"/>
      <w:lvlJc w:val="left"/>
      <w:pPr>
        <w:ind w:left="2693" w:hanging="527"/>
      </w:pPr>
      <w:rPr>
        <w:rFonts w:hint="default"/>
        <w:lang w:val="en-US" w:eastAsia="zh-CN" w:bidi="ar-SA"/>
      </w:rPr>
    </w:lvl>
    <w:lvl w:ilvl="5">
      <w:start w:val="0"/>
      <w:numFmt w:val="bullet"/>
      <w:lvlText w:val="•"/>
      <w:lvlJc w:val="left"/>
      <w:pPr>
        <w:ind w:left="3342" w:hanging="527"/>
      </w:pPr>
      <w:rPr>
        <w:rFonts w:hint="default"/>
        <w:lang w:val="en-US" w:eastAsia="zh-CN" w:bidi="ar-SA"/>
      </w:rPr>
    </w:lvl>
    <w:lvl w:ilvl="6">
      <w:start w:val="0"/>
      <w:numFmt w:val="bullet"/>
      <w:lvlText w:val="•"/>
      <w:lvlJc w:val="left"/>
      <w:pPr>
        <w:ind w:left="3990" w:hanging="527"/>
      </w:pPr>
      <w:rPr>
        <w:rFonts w:hint="default"/>
        <w:lang w:val="en-US" w:eastAsia="zh-CN" w:bidi="ar-SA"/>
      </w:rPr>
    </w:lvl>
    <w:lvl w:ilvl="7">
      <w:start w:val="0"/>
      <w:numFmt w:val="bullet"/>
      <w:lvlText w:val="•"/>
      <w:lvlJc w:val="left"/>
      <w:pPr>
        <w:ind w:left="4638" w:hanging="527"/>
      </w:pPr>
      <w:rPr>
        <w:rFonts w:hint="default"/>
        <w:lang w:val="en-US" w:eastAsia="zh-CN" w:bidi="ar-SA"/>
      </w:rPr>
    </w:lvl>
    <w:lvl w:ilvl="8">
      <w:start w:val="0"/>
      <w:numFmt w:val="bullet"/>
      <w:lvlText w:val="•"/>
      <w:lvlJc w:val="left"/>
      <w:pPr>
        <w:ind w:left="5287" w:hanging="527"/>
      </w:pPr>
      <w:rPr>
        <w:rFonts w:hint="default"/>
        <w:lang w:val="en-US" w:eastAsia="zh-CN" w:bidi="ar-SA"/>
      </w:rPr>
    </w:lvl>
  </w:abstractNum>
  <w:abstractNum w:abstractNumId="21">
    <w:nsid w:val="5B695F33"/>
    <w:multiLevelType w:val="hybridMultilevel"/>
    <w:tmpl w:val="00000000"/>
    <w:lvl w:ilvl="0">
      <w:start w:val="1"/>
      <w:numFmt w:val="decimal"/>
      <w:lvlText w:val="（%1）"/>
      <w:lvlJc w:val="left"/>
      <w:pPr>
        <w:ind w:left="628" w:hanging="551"/>
        <w:jc w:val="left"/>
      </w:pPr>
      <w:rPr>
        <w:rFonts w:ascii="宋体" w:eastAsia="宋体" w:hAnsi="宋体" w:cs="宋体" w:hint="default"/>
        <w:b w:val="0"/>
        <w:bCs w:val="0"/>
        <w:i w:val="0"/>
        <w:iCs w:val="0"/>
        <w:w w:val="100"/>
        <w:sz w:val="20"/>
        <w:szCs w:val="20"/>
        <w:u w:val="single" w:color="000000"/>
        <w:lang w:val="en-US" w:eastAsia="zh-CN" w:bidi="ar-SA"/>
      </w:rPr>
    </w:lvl>
    <w:lvl w:ilvl="1">
      <w:start w:val="0"/>
      <w:numFmt w:val="bullet"/>
      <w:lvlText w:val="•"/>
      <w:lvlJc w:val="left"/>
      <w:pPr>
        <w:ind w:left="1572" w:hanging="551"/>
      </w:pPr>
      <w:rPr>
        <w:rFonts w:hint="default"/>
        <w:lang w:val="en-US" w:eastAsia="zh-CN" w:bidi="ar-SA"/>
      </w:rPr>
    </w:lvl>
    <w:lvl w:ilvl="2">
      <w:start w:val="0"/>
      <w:numFmt w:val="bullet"/>
      <w:lvlText w:val="•"/>
      <w:lvlJc w:val="left"/>
      <w:pPr>
        <w:ind w:left="2525" w:hanging="551"/>
      </w:pPr>
      <w:rPr>
        <w:rFonts w:hint="default"/>
        <w:lang w:val="en-US" w:eastAsia="zh-CN" w:bidi="ar-SA"/>
      </w:rPr>
    </w:lvl>
    <w:lvl w:ilvl="3">
      <w:start w:val="0"/>
      <w:numFmt w:val="bullet"/>
      <w:lvlText w:val="•"/>
      <w:lvlJc w:val="left"/>
      <w:pPr>
        <w:ind w:left="3477" w:hanging="551"/>
      </w:pPr>
      <w:rPr>
        <w:rFonts w:hint="default"/>
        <w:lang w:val="en-US" w:eastAsia="zh-CN" w:bidi="ar-SA"/>
      </w:rPr>
    </w:lvl>
    <w:lvl w:ilvl="4">
      <w:start w:val="0"/>
      <w:numFmt w:val="bullet"/>
      <w:lvlText w:val="•"/>
      <w:lvlJc w:val="left"/>
      <w:pPr>
        <w:ind w:left="4430" w:hanging="551"/>
      </w:pPr>
      <w:rPr>
        <w:rFonts w:hint="default"/>
        <w:lang w:val="en-US" w:eastAsia="zh-CN" w:bidi="ar-SA"/>
      </w:rPr>
    </w:lvl>
    <w:lvl w:ilvl="5">
      <w:start w:val="0"/>
      <w:numFmt w:val="bullet"/>
      <w:lvlText w:val="•"/>
      <w:lvlJc w:val="left"/>
      <w:pPr>
        <w:ind w:left="5383" w:hanging="551"/>
      </w:pPr>
      <w:rPr>
        <w:rFonts w:hint="default"/>
        <w:lang w:val="en-US" w:eastAsia="zh-CN" w:bidi="ar-SA"/>
      </w:rPr>
    </w:lvl>
    <w:lvl w:ilvl="6">
      <w:start w:val="0"/>
      <w:numFmt w:val="bullet"/>
      <w:lvlText w:val="•"/>
      <w:lvlJc w:val="left"/>
      <w:pPr>
        <w:ind w:left="6335" w:hanging="551"/>
      </w:pPr>
      <w:rPr>
        <w:rFonts w:hint="default"/>
        <w:lang w:val="en-US" w:eastAsia="zh-CN" w:bidi="ar-SA"/>
      </w:rPr>
    </w:lvl>
    <w:lvl w:ilvl="7">
      <w:start w:val="0"/>
      <w:numFmt w:val="bullet"/>
      <w:lvlText w:val="•"/>
      <w:lvlJc w:val="left"/>
      <w:pPr>
        <w:ind w:left="7288" w:hanging="551"/>
      </w:pPr>
      <w:rPr>
        <w:rFonts w:hint="default"/>
        <w:lang w:val="en-US" w:eastAsia="zh-CN" w:bidi="ar-SA"/>
      </w:rPr>
    </w:lvl>
    <w:lvl w:ilvl="8">
      <w:start w:val="0"/>
      <w:numFmt w:val="bullet"/>
      <w:lvlText w:val="•"/>
      <w:lvlJc w:val="left"/>
      <w:pPr>
        <w:ind w:left="8240" w:hanging="551"/>
      </w:pPr>
      <w:rPr>
        <w:rFonts w:hint="default"/>
        <w:lang w:val="en-US" w:eastAsia="zh-CN" w:bidi="ar-SA"/>
      </w:rPr>
    </w:lvl>
  </w:abstractNum>
  <w:abstractNum w:abstractNumId="22">
    <w:nsid w:val="634CC179"/>
    <w:multiLevelType w:val="hybridMultilevel"/>
    <w:tmpl w:val="00000000"/>
    <w:lvl w:ilvl="0">
      <w:start w:val="1"/>
      <w:numFmt w:val="decimal"/>
      <w:lvlText w:val="（%1）"/>
      <w:lvlJc w:val="left"/>
      <w:pPr>
        <w:ind w:left="628" w:hanging="603"/>
        <w:jc w:val="left"/>
      </w:pPr>
      <w:rPr>
        <w:rFonts w:ascii="微软雅黑" w:eastAsia="微软雅黑" w:hAnsi="微软雅黑" w:cs="微软雅黑" w:hint="default"/>
        <w:b/>
        <w:bCs/>
        <w:i w:val="0"/>
        <w:iCs w:val="0"/>
        <w:spacing w:val="-7"/>
        <w:w w:val="81"/>
        <w:sz w:val="22"/>
        <w:szCs w:val="22"/>
        <w:u w:val="thick" w:color="000000"/>
        <w:lang w:val="en-US" w:eastAsia="zh-CN" w:bidi="ar-SA"/>
      </w:rPr>
    </w:lvl>
    <w:lvl w:ilvl="1">
      <w:start w:val="0"/>
      <w:numFmt w:val="bullet"/>
      <w:lvlText w:val="•"/>
      <w:lvlJc w:val="left"/>
      <w:pPr>
        <w:ind w:left="1572" w:hanging="603"/>
      </w:pPr>
      <w:rPr>
        <w:rFonts w:hint="default"/>
        <w:lang w:val="en-US" w:eastAsia="zh-CN" w:bidi="ar-SA"/>
      </w:rPr>
    </w:lvl>
    <w:lvl w:ilvl="2">
      <w:start w:val="0"/>
      <w:numFmt w:val="bullet"/>
      <w:lvlText w:val="•"/>
      <w:lvlJc w:val="left"/>
      <w:pPr>
        <w:ind w:left="2525" w:hanging="603"/>
      </w:pPr>
      <w:rPr>
        <w:rFonts w:hint="default"/>
        <w:lang w:val="en-US" w:eastAsia="zh-CN" w:bidi="ar-SA"/>
      </w:rPr>
    </w:lvl>
    <w:lvl w:ilvl="3">
      <w:start w:val="0"/>
      <w:numFmt w:val="bullet"/>
      <w:lvlText w:val="•"/>
      <w:lvlJc w:val="left"/>
      <w:pPr>
        <w:ind w:left="3477" w:hanging="603"/>
      </w:pPr>
      <w:rPr>
        <w:rFonts w:hint="default"/>
        <w:lang w:val="en-US" w:eastAsia="zh-CN" w:bidi="ar-SA"/>
      </w:rPr>
    </w:lvl>
    <w:lvl w:ilvl="4">
      <w:start w:val="0"/>
      <w:numFmt w:val="bullet"/>
      <w:lvlText w:val="•"/>
      <w:lvlJc w:val="left"/>
      <w:pPr>
        <w:ind w:left="4430" w:hanging="603"/>
      </w:pPr>
      <w:rPr>
        <w:rFonts w:hint="default"/>
        <w:lang w:val="en-US" w:eastAsia="zh-CN" w:bidi="ar-SA"/>
      </w:rPr>
    </w:lvl>
    <w:lvl w:ilvl="5">
      <w:start w:val="0"/>
      <w:numFmt w:val="bullet"/>
      <w:lvlText w:val="•"/>
      <w:lvlJc w:val="left"/>
      <w:pPr>
        <w:ind w:left="5383" w:hanging="603"/>
      </w:pPr>
      <w:rPr>
        <w:rFonts w:hint="default"/>
        <w:lang w:val="en-US" w:eastAsia="zh-CN" w:bidi="ar-SA"/>
      </w:rPr>
    </w:lvl>
    <w:lvl w:ilvl="6">
      <w:start w:val="0"/>
      <w:numFmt w:val="bullet"/>
      <w:lvlText w:val="•"/>
      <w:lvlJc w:val="left"/>
      <w:pPr>
        <w:ind w:left="6335" w:hanging="603"/>
      </w:pPr>
      <w:rPr>
        <w:rFonts w:hint="default"/>
        <w:lang w:val="en-US" w:eastAsia="zh-CN" w:bidi="ar-SA"/>
      </w:rPr>
    </w:lvl>
    <w:lvl w:ilvl="7">
      <w:start w:val="0"/>
      <w:numFmt w:val="bullet"/>
      <w:lvlText w:val="•"/>
      <w:lvlJc w:val="left"/>
      <w:pPr>
        <w:ind w:left="7288" w:hanging="603"/>
      </w:pPr>
      <w:rPr>
        <w:rFonts w:hint="default"/>
        <w:lang w:val="en-US" w:eastAsia="zh-CN" w:bidi="ar-SA"/>
      </w:rPr>
    </w:lvl>
    <w:lvl w:ilvl="8">
      <w:start w:val="0"/>
      <w:numFmt w:val="bullet"/>
      <w:lvlText w:val="•"/>
      <w:lvlJc w:val="left"/>
      <w:pPr>
        <w:ind w:left="8240" w:hanging="603"/>
      </w:pPr>
      <w:rPr>
        <w:rFonts w:hint="default"/>
        <w:lang w:val="en-US" w:eastAsia="zh-CN" w:bidi="ar-SA"/>
      </w:rPr>
    </w:lvl>
  </w:abstractNum>
  <w:abstractNum w:abstractNumId="23">
    <w:nsid w:val="6A5A8684"/>
    <w:multiLevelType w:val="hybridMultilevel"/>
    <w:tmpl w:val="00000000"/>
    <w:lvl w:ilvl="0">
      <w:start w:val="5"/>
      <w:numFmt w:val="decimal"/>
      <w:lvlText w:val="%1."/>
      <w:lvlJc w:val="left"/>
      <w:pPr>
        <w:ind w:left="950" w:hanging="360"/>
        <w:jc w:val="left"/>
      </w:pPr>
      <w:rPr>
        <w:rFonts w:ascii="微软雅黑" w:eastAsia="微软雅黑" w:hAnsi="微软雅黑" w:cs="微软雅黑" w:hint="default"/>
        <w:b/>
        <w:bCs/>
        <w:i w:val="0"/>
        <w:iCs w:val="0"/>
        <w:w w:val="81"/>
        <w:sz w:val="24"/>
        <w:szCs w:val="24"/>
        <w:lang w:val="en-US" w:eastAsia="zh-CN" w:bidi="ar-SA"/>
      </w:rPr>
    </w:lvl>
    <w:lvl w:ilvl="1">
      <w:start w:val="1"/>
      <w:numFmt w:val="decimal"/>
      <w:lvlText w:val="%2）"/>
      <w:lvlJc w:val="left"/>
      <w:pPr>
        <w:ind w:left="628" w:hanging="306"/>
        <w:jc w:val="right"/>
      </w:pPr>
      <w:rPr>
        <w:rFonts w:hint="default"/>
        <w:w w:val="100"/>
        <w:lang w:val="en-US" w:eastAsia="zh-CN" w:bidi="ar-SA"/>
      </w:rPr>
    </w:lvl>
    <w:lvl w:ilvl="2">
      <w:start w:val="1"/>
      <w:numFmt w:val="decimal"/>
      <w:lvlText w:val="（%3）"/>
      <w:lvlJc w:val="left"/>
      <w:pPr>
        <w:ind w:left="628" w:hanging="601"/>
        <w:jc w:val="left"/>
      </w:pPr>
      <w:rPr>
        <w:rFonts w:ascii="宋体" w:eastAsia="宋体" w:hAnsi="宋体" w:cs="宋体" w:hint="default"/>
        <w:b w:val="0"/>
        <w:bCs w:val="0"/>
        <w:i w:val="0"/>
        <w:iCs w:val="0"/>
        <w:spacing w:val="-16"/>
        <w:w w:val="100"/>
        <w:sz w:val="22"/>
        <w:szCs w:val="22"/>
        <w:lang w:val="en-US" w:eastAsia="zh-CN" w:bidi="ar-SA"/>
      </w:rPr>
    </w:lvl>
    <w:lvl w:ilvl="3">
      <w:start w:val="0"/>
      <w:numFmt w:val="bullet"/>
      <w:lvlText w:val="•"/>
      <w:lvlJc w:val="left"/>
      <w:pPr>
        <w:ind w:left="3001" w:hanging="601"/>
      </w:pPr>
      <w:rPr>
        <w:rFonts w:hint="default"/>
        <w:lang w:val="en-US" w:eastAsia="zh-CN" w:bidi="ar-SA"/>
      </w:rPr>
    </w:lvl>
    <w:lvl w:ilvl="4">
      <w:start w:val="0"/>
      <w:numFmt w:val="bullet"/>
      <w:lvlText w:val="•"/>
      <w:lvlJc w:val="left"/>
      <w:pPr>
        <w:ind w:left="4022" w:hanging="601"/>
      </w:pPr>
      <w:rPr>
        <w:rFonts w:hint="default"/>
        <w:lang w:val="en-US" w:eastAsia="zh-CN" w:bidi="ar-SA"/>
      </w:rPr>
    </w:lvl>
    <w:lvl w:ilvl="5">
      <w:start w:val="0"/>
      <w:numFmt w:val="bullet"/>
      <w:lvlText w:val="•"/>
      <w:lvlJc w:val="left"/>
      <w:pPr>
        <w:ind w:left="5042" w:hanging="601"/>
      </w:pPr>
      <w:rPr>
        <w:rFonts w:hint="default"/>
        <w:lang w:val="en-US" w:eastAsia="zh-CN" w:bidi="ar-SA"/>
      </w:rPr>
    </w:lvl>
    <w:lvl w:ilvl="6">
      <w:start w:val="0"/>
      <w:numFmt w:val="bullet"/>
      <w:lvlText w:val="•"/>
      <w:lvlJc w:val="left"/>
      <w:pPr>
        <w:ind w:left="6063" w:hanging="601"/>
      </w:pPr>
      <w:rPr>
        <w:rFonts w:hint="default"/>
        <w:lang w:val="en-US" w:eastAsia="zh-CN" w:bidi="ar-SA"/>
      </w:rPr>
    </w:lvl>
    <w:lvl w:ilvl="7">
      <w:start w:val="0"/>
      <w:numFmt w:val="bullet"/>
      <w:lvlText w:val="•"/>
      <w:lvlJc w:val="left"/>
      <w:pPr>
        <w:ind w:left="7084" w:hanging="601"/>
      </w:pPr>
      <w:rPr>
        <w:rFonts w:hint="default"/>
        <w:lang w:val="en-US" w:eastAsia="zh-CN" w:bidi="ar-SA"/>
      </w:rPr>
    </w:lvl>
    <w:lvl w:ilvl="8">
      <w:start w:val="0"/>
      <w:numFmt w:val="bullet"/>
      <w:lvlText w:val="•"/>
      <w:lvlJc w:val="left"/>
      <w:pPr>
        <w:ind w:left="8104" w:hanging="601"/>
      </w:pPr>
      <w:rPr>
        <w:rFonts w:hint="default"/>
        <w:lang w:val="en-US" w:eastAsia="zh-CN" w:bidi="ar-SA"/>
      </w:rPr>
    </w:lvl>
  </w:abstractNum>
  <w:abstractNum w:abstractNumId="24">
    <w:nsid w:val="6ABBFA99"/>
    <w:multiLevelType w:val="hybridMultilevel"/>
    <w:tmpl w:val="00000000"/>
    <w:lvl w:ilvl="0">
      <w:start w:val="18"/>
      <w:numFmt w:val="decimal"/>
      <w:lvlText w:val="%1"/>
      <w:lvlJc w:val="left"/>
      <w:pPr>
        <w:ind w:left="108" w:hanging="650"/>
        <w:jc w:val="left"/>
      </w:pPr>
      <w:rPr>
        <w:rFonts w:hint="default"/>
        <w:lang w:val="en-US" w:eastAsia="zh-CN" w:bidi="ar-SA"/>
      </w:rPr>
    </w:lvl>
    <w:lvl w:ilvl="1">
      <w:start w:val="2"/>
      <w:numFmt w:val="decimal"/>
      <w:lvlText w:val="%1.%2"/>
      <w:lvlJc w:val="left"/>
      <w:pPr>
        <w:ind w:left="108" w:hanging="650"/>
        <w:jc w:val="left"/>
      </w:pPr>
      <w:rPr>
        <w:rFonts w:hint="default"/>
        <w:lang w:val="en-US" w:eastAsia="zh-CN" w:bidi="ar-SA"/>
      </w:rPr>
    </w:lvl>
    <w:lvl w:ilvl="2">
      <w:start w:val="1"/>
      <w:numFmt w:val="decimal"/>
      <w:lvlText w:val="%1.%2.%3"/>
      <w:lvlJc w:val="left"/>
      <w:pPr>
        <w:ind w:left="108" w:hanging="650"/>
        <w:jc w:val="left"/>
      </w:pPr>
      <w:rPr>
        <w:rFonts w:ascii="宋体" w:eastAsia="宋体" w:hAnsi="宋体" w:cs="宋体" w:hint="default"/>
        <w:b w:val="0"/>
        <w:bCs w:val="0"/>
        <w:i w:val="0"/>
        <w:iCs w:val="0"/>
        <w:w w:val="100"/>
        <w:sz w:val="20"/>
        <w:szCs w:val="20"/>
        <w:lang w:val="en-US" w:eastAsia="zh-CN" w:bidi="ar-SA"/>
      </w:rPr>
    </w:lvl>
    <w:lvl w:ilvl="3">
      <w:start w:val="0"/>
      <w:numFmt w:val="bullet"/>
      <w:lvlText w:val="•"/>
      <w:lvlJc w:val="left"/>
      <w:pPr>
        <w:ind w:left="1093" w:hanging="650"/>
      </w:pPr>
      <w:rPr>
        <w:rFonts w:hint="default"/>
        <w:lang w:val="en-US" w:eastAsia="zh-CN" w:bidi="ar-SA"/>
      </w:rPr>
    </w:lvl>
    <w:lvl w:ilvl="4">
      <w:start w:val="0"/>
      <w:numFmt w:val="bullet"/>
      <w:lvlText w:val="•"/>
      <w:lvlJc w:val="left"/>
      <w:pPr>
        <w:ind w:left="1424" w:hanging="650"/>
      </w:pPr>
      <w:rPr>
        <w:rFonts w:hint="default"/>
        <w:lang w:val="en-US" w:eastAsia="zh-CN" w:bidi="ar-SA"/>
      </w:rPr>
    </w:lvl>
    <w:lvl w:ilvl="5">
      <w:start w:val="0"/>
      <w:numFmt w:val="bullet"/>
      <w:lvlText w:val="•"/>
      <w:lvlJc w:val="left"/>
      <w:pPr>
        <w:ind w:left="1755" w:hanging="650"/>
      </w:pPr>
      <w:rPr>
        <w:rFonts w:hint="default"/>
        <w:lang w:val="en-US" w:eastAsia="zh-CN" w:bidi="ar-SA"/>
      </w:rPr>
    </w:lvl>
    <w:lvl w:ilvl="6">
      <w:start w:val="0"/>
      <w:numFmt w:val="bullet"/>
      <w:lvlText w:val="•"/>
      <w:lvlJc w:val="left"/>
      <w:pPr>
        <w:ind w:left="2086" w:hanging="650"/>
      </w:pPr>
      <w:rPr>
        <w:rFonts w:hint="default"/>
        <w:lang w:val="en-US" w:eastAsia="zh-CN" w:bidi="ar-SA"/>
      </w:rPr>
    </w:lvl>
    <w:lvl w:ilvl="7">
      <w:start w:val="0"/>
      <w:numFmt w:val="bullet"/>
      <w:lvlText w:val="•"/>
      <w:lvlJc w:val="left"/>
      <w:pPr>
        <w:ind w:left="2417" w:hanging="650"/>
      </w:pPr>
      <w:rPr>
        <w:rFonts w:hint="default"/>
        <w:lang w:val="en-US" w:eastAsia="zh-CN" w:bidi="ar-SA"/>
      </w:rPr>
    </w:lvl>
    <w:lvl w:ilvl="8">
      <w:start w:val="0"/>
      <w:numFmt w:val="bullet"/>
      <w:lvlText w:val="•"/>
      <w:lvlJc w:val="left"/>
      <w:pPr>
        <w:ind w:left="2748" w:hanging="650"/>
      </w:pPr>
      <w:rPr>
        <w:rFonts w:hint="default"/>
        <w:lang w:val="en-US" w:eastAsia="zh-CN" w:bidi="ar-SA"/>
      </w:rPr>
    </w:lvl>
  </w:abstractNum>
  <w:abstractNum w:abstractNumId="25">
    <w:nsid w:val="6CE36F78"/>
    <w:multiLevelType w:val="hybridMultilevel"/>
    <w:tmpl w:val="00000000"/>
    <w:lvl w:ilvl="0">
      <w:start w:val="1"/>
      <w:numFmt w:val="decimal"/>
      <w:lvlText w:val="（%1）"/>
      <w:lvlJc w:val="left"/>
      <w:pPr>
        <w:ind w:left="1469"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328" w:hanging="601"/>
      </w:pPr>
      <w:rPr>
        <w:rFonts w:hint="default"/>
        <w:lang w:val="en-US" w:eastAsia="zh-CN" w:bidi="ar-SA"/>
      </w:rPr>
    </w:lvl>
    <w:lvl w:ilvl="2">
      <w:start w:val="0"/>
      <w:numFmt w:val="bullet"/>
      <w:lvlText w:val="•"/>
      <w:lvlJc w:val="left"/>
      <w:pPr>
        <w:ind w:left="3197" w:hanging="601"/>
      </w:pPr>
      <w:rPr>
        <w:rFonts w:hint="default"/>
        <w:lang w:val="en-US" w:eastAsia="zh-CN" w:bidi="ar-SA"/>
      </w:rPr>
    </w:lvl>
    <w:lvl w:ilvl="3">
      <w:start w:val="0"/>
      <w:numFmt w:val="bullet"/>
      <w:lvlText w:val="•"/>
      <w:lvlJc w:val="left"/>
      <w:pPr>
        <w:ind w:left="4065" w:hanging="601"/>
      </w:pPr>
      <w:rPr>
        <w:rFonts w:hint="default"/>
        <w:lang w:val="en-US" w:eastAsia="zh-CN" w:bidi="ar-SA"/>
      </w:rPr>
    </w:lvl>
    <w:lvl w:ilvl="4">
      <w:start w:val="0"/>
      <w:numFmt w:val="bullet"/>
      <w:lvlText w:val="•"/>
      <w:lvlJc w:val="left"/>
      <w:pPr>
        <w:ind w:left="4934" w:hanging="601"/>
      </w:pPr>
      <w:rPr>
        <w:rFonts w:hint="default"/>
        <w:lang w:val="en-US" w:eastAsia="zh-CN" w:bidi="ar-SA"/>
      </w:rPr>
    </w:lvl>
    <w:lvl w:ilvl="5">
      <w:start w:val="0"/>
      <w:numFmt w:val="bullet"/>
      <w:lvlText w:val="•"/>
      <w:lvlJc w:val="left"/>
      <w:pPr>
        <w:ind w:left="5803" w:hanging="601"/>
      </w:pPr>
      <w:rPr>
        <w:rFonts w:hint="default"/>
        <w:lang w:val="en-US" w:eastAsia="zh-CN" w:bidi="ar-SA"/>
      </w:rPr>
    </w:lvl>
    <w:lvl w:ilvl="6">
      <w:start w:val="0"/>
      <w:numFmt w:val="bullet"/>
      <w:lvlText w:val="•"/>
      <w:lvlJc w:val="left"/>
      <w:pPr>
        <w:ind w:left="6671" w:hanging="601"/>
      </w:pPr>
      <w:rPr>
        <w:rFonts w:hint="default"/>
        <w:lang w:val="en-US" w:eastAsia="zh-CN" w:bidi="ar-SA"/>
      </w:rPr>
    </w:lvl>
    <w:lvl w:ilvl="7">
      <w:start w:val="0"/>
      <w:numFmt w:val="bullet"/>
      <w:lvlText w:val="•"/>
      <w:lvlJc w:val="left"/>
      <w:pPr>
        <w:ind w:left="7540" w:hanging="601"/>
      </w:pPr>
      <w:rPr>
        <w:rFonts w:hint="default"/>
        <w:lang w:val="en-US" w:eastAsia="zh-CN" w:bidi="ar-SA"/>
      </w:rPr>
    </w:lvl>
    <w:lvl w:ilvl="8">
      <w:start w:val="0"/>
      <w:numFmt w:val="bullet"/>
      <w:lvlText w:val="•"/>
      <w:lvlJc w:val="left"/>
      <w:pPr>
        <w:ind w:left="8408" w:hanging="601"/>
      </w:pPr>
      <w:rPr>
        <w:rFonts w:hint="default"/>
        <w:lang w:val="en-US" w:eastAsia="zh-CN" w:bidi="ar-SA"/>
      </w:rPr>
    </w:lvl>
  </w:abstractNum>
  <w:abstractNum w:abstractNumId="26">
    <w:nsid w:val="6DB04266"/>
    <w:multiLevelType w:val="hybridMultilevel"/>
    <w:tmpl w:val="00000000"/>
    <w:lvl w:ilvl="0">
      <w:start w:val="1"/>
      <w:numFmt w:val="decimal"/>
      <w:lvlText w:val="%1."/>
      <w:lvlJc w:val="left"/>
      <w:pPr>
        <w:ind w:left="1138" w:hanging="510"/>
        <w:jc w:val="left"/>
      </w:pPr>
      <w:rPr>
        <w:rFonts w:ascii="微软雅黑" w:eastAsia="微软雅黑" w:hAnsi="微软雅黑" w:cs="微软雅黑" w:hint="default"/>
        <w:b/>
        <w:bCs/>
        <w:i w:val="0"/>
        <w:iCs w:val="0"/>
        <w:w w:val="81"/>
        <w:sz w:val="24"/>
        <w:szCs w:val="24"/>
        <w:lang w:val="en-US" w:eastAsia="zh-CN" w:bidi="ar-SA"/>
      </w:rPr>
    </w:lvl>
    <w:lvl w:ilvl="1">
      <w:start w:val="1"/>
      <w:numFmt w:val="decimal"/>
      <w:lvlText w:val="%1.%2."/>
      <w:lvlJc w:val="left"/>
      <w:pPr>
        <w:ind w:left="1195" w:hanging="568"/>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194" w:hanging="568"/>
      </w:pPr>
      <w:rPr>
        <w:rFonts w:hint="default"/>
        <w:lang w:val="en-US" w:eastAsia="zh-CN" w:bidi="ar-SA"/>
      </w:rPr>
    </w:lvl>
    <w:lvl w:ilvl="3">
      <w:start w:val="0"/>
      <w:numFmt w:val="bullet"/>
      <w:lvlText w:val="•"/>
      <w:lvlJc w:val="left"/>
      <w:pPr>
        <w:ind w:left="3188" w:hanging="568"/>
      </w:pPr>
      <w:rPr>
        <w:rFonts w:hint="default"/>
        <w:lang w:val="en-US" w:eastAsia="zh-CN" w:bidi="ar-SA"/>
      </w:rPr>
    </w:lvl>
    <w:lvl w:ilvl="4">
      <w:start w:val="0"/>
      <w:numFmt w:val="bullet"/>
      <w:lvlText w:val="•"/>
      <w:lvlJc w:val="left"/>
      <w:pPr>
        <w:ind w:left="4182" w:hanging="568"/>
      </w:pPr>
      <w:rPr>
        <w:rFonts w:hint="default"/>
        <w:lang w:val="en-US" w:eastAsia="zh-CN" w:bidi="ar-SA"/>
      </w:rPr>
    </w:lvl>
    <w:lvl w:ilvl="5">
      <w:start w:val="0"/>
      <w:numFmt w:val="bullet"/>
      <w:lvlText w:val="•"/>
      <w:lvlJc w:val="left"/>
      <w:pPr>
        <w:ind w:left="5176" w:hanging="568"/>
      </w:pPr>
      <w:rPr>
        <w:rFonts w:hint="default"/>
        <w:lang w:val="en-US" w:eastAsia="zh-CN" w:bidi="ar-SA"/>
      </w:rPr>
    </w:lvl>
    <w:lvl w:ilvl="6">
      <w:start w:val="0"/>
      <w:numFmt w:val="bullet"/>
      <w:lvlText w:val="•"/>
      <w:lvlJc w:val="left"/>
      <w:pPr>
        <w:ind w:left="6170" w:hanging="568"/>
      </w:pPr>
      <w:rPr>
        <w:rFonts w:hint="default"/>
        <w:lang w:val="en-US" w:eastAsia="zh-CN" w:bidi="ar-SA"/>
      </w:rPr>
    </w:lvl>
    <w:lvl w:ilvl="7">
      <w:start w:val="0"/>
      <w:numFmt w:val="bullet"/>
      <w:lvlText w:val="•"/>
      <w:lvlJc w:val="left"/>
      <w:pPr>
        <w:ind w:left="7164" w:hanging="568"/>
      </w:pPr>
      <w:rPr>
        <w:rFonts w:hint="default"/>
        <w:lang w:val="en-US" w:eastAsia="zh-CN" w:bidi="ar-SA"/>
      </w:rPr>
    </w:lvl>
    <w:lvl w:ilvl="8">
      <w:start w:val="0"/>
      <w:numFmt w:val="bullet"/>
      <w:lvlText w:val="•"/>
      <w:lvlJc w:val="left"/>
      <w:pPr>
        <w:ind w:left="8158" w:hanging="568"/>
      </w:pPr>
      <w:rPr>
        <w:rFonts w:hint="default"/>
        <w:lang w:val="en-US" w:eastAsia="zh-CN" w:bidi="ar-SA"/>
      </w:rPr>
    </w:lvl>
  </w:abstractNum>
  <w:abstractNum w:abstractNumId="27">
    <w:nsid w:val="6F8D8562"/>
    <w:multiLevelType w:val="hybridMultilevel"/>
    <w:tmpl w:val="00000000"/>
    <w:lvl w:ilvl="0">
      <w:start w:val="1"/>
      <w:numFmt w:val="decimal"/>
      <w:lvlText w:val="%1."/>
      <w:lvlJc w:val="left"/>
      <w:pPr>
        <w:ind w:left="1349" w:hanging="242"/>
        <w:jc w:val="right"/>
      </w:pPr>
      <w:rPr>
        <w:rFonts w:hint="default"/>
        <w:w w:val="81"/>
        <w:lang w:val="en-US" w:eastAsia="zh-CN" w:bidi="ar-SA"/>
      </w:rPr>
    </w:lvl>
    <w:lvl w:ilvl="1">
      <w:start w:val="1"/>
      <w:numFmt w:val="decimal"/>
      <w:lvlText w:val="%1.%2"/>
      <w:lvlJc w:val="left"/>
      <w:pPr>
        <w:ind w:left="628" w:hanging="480"/>
        <w:jc w:val="left"/>
      </w:pPr>
      <w:rPr>
        <w:rFonts w:ascii="宋体" w:eastAsia="宋体" w:hAnsi="宋体" w:cs="宋体" w:hint="default"/>
        <w:b w:val="0"/>
        <w:bCs w:val="0"/>
        <w:i w:val="0"/>
        <w:iCs w:val="0"/>
        <w:w w:val="100"/>
        <w:sz w:val="24"/>
        <w:szCs w:val="24"/>
        <w:lang w:val="en-US" w:eastAsia="zh-CN" w:bidi="ar-SA"/>
      </w:rPr>
    </w:lvl>
    <w:lvl w:ilvl="2">
      <w:start w:val="1"/>
      <w:numFmt w:val="decimal"/>
      <w:lvlText w:val="%1.%2.%3"/>
      <w:lvlJc w:val="left"/>
      <w:pPr>
        <w:ind w:left="628" w:hanging="660"/>
        <w:jc w:val="left"/>
      </w:pPr>
      <w:rPr>
        <w:rFonts w:ascii="宋体" w:eastAsia="宋体" w:hAnsi="宋体" w:cs="宋体" w:hint="default"/>
        <w:b w:val="0"/>
        <w:bCs w:val="0"/>
        <w:i w:val="0"/>
        <w:iCs w:val="0"/>
        <w:w w:val="100"/>
        <w:sz w:val="24"/>
        <w:szCs w:val="24"/>
        <w:lang w:val="en-US" w:eastAsia="zh-CN" w:bidi="ar-SA"/>
      </w:rPr>
    </w:lvl>
    <w:lvl w:ilvl="3">
      <w:start w:val="0"/>
      <w:numFmt w:val="bullet"/>
      <w:lvlText w:val="•"/>
      <w:lvlJc w:val="left"/>
      <w:pPr>
        <w:ind w:left="1400" w:hanging="660"/>
      </w:pPr>
      <w:rPr>
        <w:rFonts w:hint="default"/>
        <w:lang w:val="en-US" w:eastAsia="zh-CN" w:bidi="ar-SA"/>
      </w:rPr>
    </w:lvl>
    <w:lvl w:ilvl="4">
      <w:start w:val="0"/>
      <w:numFmt w:val="bullet"/>
      <w:lvlText w:val="•"/>
      <w:lvlJc w:val="left"/>
      <w:pPr>
        <w:ind w:left="1460" w:hanging="660"/>
      </w:pPr>
      <w:rPr>
        <w:rFonts w:hint="default"/>
        <w:lang w:val="en-US" w:eastAsia="zh-CN" w:bidi="ar-SA"/>
      </w:rPr>
    </w:lvl>
    <w:lvl w:ilvl="5">
      <w:start w:val="0"/>
      <w:numFmt w:val="bullet"/>
      <w:lvlText w:val="•"/>
      <w:lvlJc w:val="left"/>
      <w:pPr>
        <w:ind w:left="1528" w:hanging="660"/>
      </w:pPr>
      <w:rPr>
        <w:rFonts w:hint="default"/>
        <w:lang w:val="en-US" w:eastAsia="zh-CN" w:bidi="ar-SA"/>
      </w:rPr>
    </w:lvl>
    <w:lvl w:ilvl="6">
      <w:start w:val="0"/>
      <w:numFmt w:val="bullet"/>
      <w:lvlText w:val="•"/>
      <w:lvlJc w:val="left"/>
      <w:pPr>
        <w:ind w:left="1596" w:hanging="660"/>
      </w:pPr>
      <w:rPr>
        <w:rFonts w:hint="default"/>
        <w:lang w:val="en-US" w:eastAsia="zh-CN" w:bidi="ar-SA"/>
      </w:rPr>
    </w:lvl>
    <w:lvl w:ilvl="7">
      <w:start w:val="0"/>
      <w:numFmt w:val="bullet"/>
      <w:lvlText w:val="•"/>
      <w:lvlJc w:val="left"/>
      <w:pPr>
        <w:ind w:left="1665" w:hanging="660"/>
      </w:pPr>
      <w:rPr>
        <w:rFonts w:hint="default"/>
        <w:lang w:val="en-US" w:eastAsia="zh-CN" w:bidi="ar-SA"/>
      </w:rPr>
    </w:lvl>
    <w:lvl w:ilvl="8">
      <w:start w:val="0"/>
      <w:numFmt w:val="bullet"/>
      <w:lvlText w:val="•"/>
      <w:lvlJc w:val="left"/>
      <w:pPr>
        <w:ind w:left="1733" w:hanging="660"/>
      </w:pPr>
      <w:rPr>
        <w:rFonts w:hint="default"/>
        <w:lang w:val="en-US" w:eastAsia="zh-CN" w:bidi="ar-SA"/>
      </w:rPr>
    </w:lvl>
  </w:abstractNum>
  <w:abstractNum w:abstractNumId="28">
    <w:nsid w:val="72064FCE"/>
    <w:multiLevelType w:val="hybridMultilevel"/>
    <w:tmpl w:val="00000000"/>
    <w:lvl w:ilvl="0">
      <w:start w:val="3"/>
      <w:numFmt w:val="decimal"/>
      <w:lvlText w:val="%1"/>
      <w:lvlJc w:val="left"/>
      <w:pPr>
        <w:ind w:left="628" w:hanging="385"/>
        <w:jc w:val="left"/>
      </w:pPr>
      <w:rPr>
        <w:rFonts w:hint="default"/>
        <w:lang w:val="en-US" w:eastAsia="zh-CN" w:bidi="ar-SA"/>
      </w:rPr>
    </w:lvl>
    <w:lvl w:ilvl="1">
      <w:start w:val="1"/>
      <w:numFmt w:val="decimal"/>
      <w:lvlText w:val="%1.%2"/>
      <w:lvlJc w:val="left"/>
      <w:pPr>
        <w:ind w:left="628" w:hanging="385"/>
        <w:jc w:val="left"/>
      </w:pPr>
      <w:rPr>
        <w:rFonts w:hint="default"/>
        <w:w w:val="100"/>
        <w:lang w:val="en-US" w:eastAsia="zh-CN" w:bidi="ar-SA"/>
      </w:rPr>
    </w:lvl>
    <w:lvl w:ilvl="2">
      <w:start w:val="1"/>
      <w:numFmt w:val="decimal"/>
      <w:lvlText w:val="%3）"/>
      <w:lvlJc w:val="left"/>
      <w:pPr>
        <w:ind w:left="628" w:hanging="435"/>
        <w:jc w:val="right"/>
      </w:pPr>
      <w:rPr>
        <w:rFonts w:ascii="宋体" w:eastAsia="宋体" w:hAnsi="宋体" w:cs="宋体" w:hint="default"/>
        <w:b w:val="0"/>
        <w:bCs w:val="0"/>
        <w:i w:val="0"/>
        <w:iCs w:val="0"/>
        <w:w w:val="100"/>
        <w:sz w:val="22"/>
        <w:szCs w:val="22"/>
        <w:lang w:val="en-US" w:eastAsia="zh-CN" w:bidi="ar-SA"/>
      </w:rPr>
    </w:lvl>
    <w:lvl w:ilvl="3">
      <w:start w:val="0"/>
      <w:numFmt w:val="bullet"/>
      <w:lvlText w:val="•"/>
      <w:lvlJc w:val="left"/>
      <w:pPr>
        <w:ind w:left="3477" w:hanging="435"/>
      </w:pPr>
      <w:rPr>
        <w:rFonts w:hint="default"/>
        <w:lang w:val="en-US" w:eastAsia="zh-CN" w:bidi="ar-SA"/>
      </w:rPr>
    </w:lvl>
    <w:lvl w:ilvl="4">
      <w:start w:val="0"/>
      <w:numFmt w:val="bullet"/>
      <w:lvlText w:val="•"/>
      <w:lvlJc w:val="left"/>
      <w:pPr>
        <w:ind w:left="4430" w:hanging="435"/>
      </w:pPr>
      <w:rPr>
        <w:rFonts w:hint="default"/>
        <w:lang w:val="en-US" w:eastAsia="zh-CN" w:bidi="ar-SA"/>
      </w:rPr>
    </w:lvl>
    <w:lvl w:ilvl="5">
      <w:start w:val="0"/>
      <w:numFmt w:val="bullet"/>
      <w:lvlText w:val="•"/>
      <w:lvlJc w:val="left"/>
      <w:pPr>
        <w:ind w:left="5383" w:hanging="435"/>
      </w:pPr>
      <w:rPr>
        <w:rFonts w:hint="default"/>
        <w:lang w:val="en-US" w:eastAsia="zh-CN" w:bidi="ar-SA"/>
      </w:rPr>
    </w:lvl>
    <w:lvl w:ilvl="6">
      <w:start w:val="0"/>
      <w:numFmt w:val="bullet"/>
      <w:lvlText w:val="•"/>
      <w:lvlJc w:val="left"/>
      <w:pPr>
        <w:ind w:left="6335" w:hanging="435"/>
      </w:pPr>
      <w:rPr>
        <w:rFonts w:hint="default"/>
        <w:lang w:val="en-US" w:eastAsia="zh-CN" w:bidi="ar-SA"/>
      </w:rPr>
    </w:lvl>
    <w:lvl w:ilvl="7">
      <w:start w:val="0"/>
      <w:numFmt w:val="bullet"/>
      <w:lvlText w:val="•"/>
      <w:lvlJc w:val="left"/>
      <w:pPr>
        <w:ind w:left="7288" w:hanging="435"/>
      </w:pPr>
      <w:rPr>
        <w:rFonts w:hint="default"/>
        <w:lang w:val="en-US" w:eastAsia="zh-CN" w:bidi="ar-SA"/>
      </w:rPr>
    </w:lvl>
    <w:lvl w:ilvl="8">
      <w:start w:val="0"/>
      <w:numFmt w:val="bullet"/>
      <w:lvlText w:val="•"/>
      <w:lvlJc w:val="left"/>
      <w:pPr>
        <w:ind w:left="8240" w:hanging="435"/>
      </w:pPr>
      <w:rPr>
        <w:rFonts w:hint="default"/>
        <w:lang w:val="en-US" w:eastAsia="zh-CN" w:bidi="ar-SA"/>
      </w:rPr>
    </w:lvl>
  </w:abstractNum>
  <w:abstractNum w:abstractNumId="29">
    <w:nsid w:val="76AD3AF2"/>
    <w:multiLevelType w:val="hybridMultilevel"/>
    <w:tmpl w:val="00000000"/>
    <w:lvl w:ilvl="0">
      <w:start w:val="1"/>
      <w:numFmt w:val="decimal"/>
      <w:lvlText w:val="（%1）"/>
      <w:lvlJc w:val="left"/>
      <w:pPr>
        <w:ind w:left="108" w:hanging="750"/>
        <w:jc w:val="left"/>
      </w:pPr>
      <w:rPr>
        <w:rFonts w:ascii="Microsoft JhengHei" w:eastAsia="Microsoft JhengHei" w:hAnsi="Microsoft JhengHei" w:cs="Microsoft JhengHei" w:hint="default"/>
        <w:b/>
        <w:bCs/>
        <w:i w:val="0"/>
        <w:iCs w:val="0"/>
        <w:w w:val="83"/>
        <w:sz w:val="21"/>
        <w:szCs w:val="21"/>
        <w:lang w:val="en-US" w:eastAsia="zh-CN" w:bidi="ar-SA"/>
      </w:rPr>
    </w:lvl>
    <w:lvl w:ilvl="1">
      <w:start w:val="0"/>
      <w:numFmt w:val="bullet"/>
      <w:lvlText w:val="•"/>
      <w:lvlJc w:val="left"/>
      <w:pPr>
        <w:ind w:left="748" w:hanging="750"/>
      </w:pPr>
      <w:rPr>
        <w:rFonts w:hint="default"/>
        <w:lang w:val="en-US" w:eastAsia="zh-CN" w:bidi="ar-SA"/>
      </w:rPr>
    </w:lvl>
    <w:lvl w:ilvl="2">
      <w:start w:val="0"/>
      <w:numFmt w:val="bullet"/>
      <w:lvlText w:val="•"/>
      <w:lvlJc w:val="left"/>
      <w:pPr>
        <w:ind w:left="1396" w:hanging="750"/>
      </w:pPr>
      <w:rPr>
        <w:rFonts w:hint="default"/>
        <w:lang w:val="en-US" w:eastAsia="zh-CN" w:bidi="ar-SA"/>
      </w:rPr>
    </w:lvl>
    <w:lvl w:ilvl="3">
      <w:start w:val="0"/>
      <w:numFmt w:val="bullet"/>
      <w:lvlText w:val="•"/>
      <w:lvlJc w:val="left"/>
      <w:pPr>
        <w:ind w:left="2045" w:hanging="750"/>
      </w:pPr>
      <w:rPr>
        <w:rFonts w:hint="default"/>
        <w:lang w:val="en-US" w:eastAsia="zh-CN" w:bidi="ar-SA"/>
      </w:rPr>
    </w:lvl>
    <w:lvl w:ilvl="4">
      <w:start w:val="0"/>
      <w:numFmt w:val="bullet"/>
      <w:lvlText w:val="•"/>
      <w:lvlJc w:val="left"/>
      <w:pPr>
        <w:ind w:left="2693" w:hanging="750"/>
      </w:pPr>
      <w:rPr>
        <w:rFonts w:hint="default"/>
        <w:lang w:val="en-US" w:eastAsia="zh-CN" w:bidi="ar-SA"/>
      </w:rPr>
    </w:lvl>
    <w:lvl w:ilvl="5">
      <w:start w:val="0"/>
      <w:numFmt w:val="bullet"/>
      <w:lvlText w:val="•"/>
      <w:lvlJc w:val="left"/>
      <w:pPr>
        <w:ind w:left="3342" w:hanging="750"/>
      </w:pPr>
      <w:rPr>
        <w:rFonts w:hint="default"/>
        <w:lang w:val="en-US" w:eastAsia="zh-CN" w:bidi="ar-SA"/>
      </w:rPr>
    </w:lvl>
    <w:lvl w:ilvl="6">
      <w:start w:val="0"/>
      <w:numFmt w:val="bullet"/>
      <w:lvlText w:val="•"/>
      <w:lvlJc w:val="left"/>
      <w:pPr>
        <w:ind w:left="3990" w:hanging="750"/>
      </w:pPr>
      <w:rPr>
        <w:rFonts w:hint="default"/>
        <w:lang w:val="en-US" w:eastAsia="zh-CN" w:bidi="ar-SA"/>
      </w:rPr>
    </w:lvl>
    <w:lvl w:ilvl="7">
      <w:start w:val="0"/>
      <w:numFmt w:val="bullet"/>
      <w:lvlText w:val="•"/>
      <w:lvlJc w:val="left"/>
      <w:pPr>
        <w:ind w:left="4638" w:hanging="750"/>
      </w:pPr>
      <w:rPr>
        <w:rFonts w:hint="default"/>
        <w:lang w:val="en-US" w:eastAsia="zh-CN" w:bidi="ar-SA"/>
      </w:rPr>
    </w:lvl>
    <w:lvl w:ilvl="8">
      <w:start w:val="0"/>
      <w:numFmt w:val="bullet"/>
      <w:lvlText w:val="•"/>
      <w:lvlJc w:val="left"/>
      <w:pPr>
        <w:ind w:left="5287" w:hanging="750"/>
      </w:pPr>
      <w:rPr>
        <w:rFonts w:hint="default"/>
        <w:lang w:val="en-US" w:eastAsia="zh-CN" w:bidi="ar-SA"/>
      </w:rPr>
    </w:lvl>
  </w:abstractNum>
  <w:abstractNum w:abstractNumId="30">
    <w:nsid w:val="7712AF90"/>
    <w:multiLevelType w:val="hybridMultilevel"/>
    <w:tmpl w:val="00000000"/>
    <w:lvl w:ilvl="0">
      <w:start w:val="2"/>
      <w:numFmt w:val="decimal"/>
      <w:lvlText w:val="（%1）"/>
      <w:lvlJc w:val="left"/>
      <w:pPr>
        <w:ind w:left="108" w:hanging="786"/>
        <w:jc w:val="right"/>
      </w:pPr>
      <w:rPr>
        <w:rFonts w:hint="default"/>
        <w:spacing w:val="0"/>
        <w:w w:val="98"/>
        <w:lang w:val="en-US" w:eastAsia="zh-CN" w:bidi="ar-SA"/>
      </w:rPr>
    </w:lvl>
    <w:lvl w:ilvl="1">
      <w:start w:val="0"/>
      <w:numFmt w:val="bullet"/>
      <w:lvlText w:val="•"/>
      <w:lvlJc w:val="left"/>
      <w:pPr>
        <w:ind w:left="467" w:hanging="786"/>
      </w:pPr>
      <w:rPr>
        <w:rFonts w:hint="default"/>
        <w:lang w:val="en-US" w:eastAsia="zh-CN" w:bidi="ar-SA"/>
      </w:rPr>
    </w:lvl>
    <w:lvl w:ilvl="2">
      <w:start w:val="0"/>
      <w:numFmt w:val="bullet"/>
      <w:lvlText w:val="•"/>
      <w:lvlJc w:val="left"/>
      <w:pPr>
        <w:ind w:left="834" w:hanging="786"/>
      </w:pPr>
      <w:rPr>
        <w:rFonts w:hint="default"/>
        <w:lang w:val="en-US" w:eastAsia="zh-CN" w:bidi="ar-SA"/>
      </w:rPr>
    </w:lvl>
    <w:lvl w:ilvl="3">
      <w:start w:val="0"/>
      <w:numFmt w:val="bullet"/>
      <w:lvlText w:val="•"/>
      <w:lvlJc w:val="left"/>
      <w:pPr>
        <w:ind w:left="1201" w:hanging="786"/>
      </w:pPr>
      <w:rPr>
        <w:rFonts w:hint="default"/>
        <w:lang w:val="en-US" w:eastAsia="zh-CN" w:bidi="ar-SA"/>
      </w:rPr>
    </w:lvl>
    <w:lvl w:ilvl="4">
      <w:start w:val="0"/>
      <w:numFmt w:val="bullet"/>
      <w:lvlText w:val="•"/>
      <w:lvlJc w:val="left"/>
      <w:pPr>
        <w:ind w:left="1568" w:hanging="786"/>
      </w:pPr>
      <w:rPr>
        <w:rFonts w:hint="default"/>
        <w:lang w:val="en-US" w:eastAsia="zh-CN" w:bidi="ar-SA"/>
      </w:rPr>
    </w:lvl>
    <w:lvl w:ilvl="5">
      <w:start w:val="0"/>
      <w:numFmt w:val="bullet"/>
      <w:lvlText w:val="•"/>
      <w:lvlJc w:val="left"/>
      <w:pPr>
        <w:ind w:left="1935" w:hanging="786"/>
      </w:pPr>
      <w:rPr>
        <w:rFonts w:hint="default"/>
        <w:lang w:val="en-US" w:eastAsia="zh-CN" w:bidi="ar-SA"/>
      </w:rPr>
    </w:lvl>
    <w:lvl w:ilvl="6">
      <w:start w:val="0"/>
      <w:numFmt w:val="bullet"/>
      <w:lvlText w:val="•"/>
      <w:lvlJc w:val="left"/>
      <w:pPr>
        <w:ind w:left="2302" w:hanging="786"/>
      </w:pPr>
      <w:rPr>
        <w:rFonts w:hint="default"/>
        <w:lang w:val="en-US" w:eastAsia="zh-CN" w:bidi="ar-SA"/>
      </w:rPr>
    </w:lvl>
    <w:lvl w:ilvl="7">
      <w:start w:val="0"/>
      <w:numFmt w:val="bullet"/>
      <w:lvlText w:val="•"/>
      <w:lvlJc w:val="left"/>
      <w:pPr>
        <w:ind w:left="2669" w:hanging="786"/>
      </w:pPr>
      <w:rPr>
        <w:rFonts w:hint="default"/>
        <w:lang w:val="en-US" w:eastAsia="zh-CN" w:bidi="ar-SA"/>
      </w:rPr>
    </w:lvl>
    <w:lvl w:ilvl="8">
      <w:start w:val="0"/>
      <w:numFmt w:val="bullet"/>
      <w:lvlText w:val="•"/>
      <w:lvlJc w:val="left"/>
      <w:pPr>
        <w:ind w:left="3036" w:hanging="786"/>
      </w:pPr>
      <w:rPr>
        <w:rFonts w:hint="default"/>
        <w:lang w:val="en-US" w:eastAsia="zh-CN" w:bidi="ar-SA"/>
      </w:rPr>
    </w:lvl>
  </w:abstractNum>
  <w:abstractNum w:abstractNumId="31">
    <w:nsid w:val="77B3DA69"/>
    <w:multiLevelType w:val="hybridMultilevel"/>
    <w:tmpl w:val="00000000"/>
    <w:lvl w:ilvl="0">
      <w:start w:val="1"/>
      <w:numFmt w:val="decimal"/>
      <w:lvlText w:val="%1."/>
      <w:lvlJc w:val="left"/>
      <w:pPr>
        <w:ind w:left="628" w:hanging="420"/>
        <w:jc w:val="left"/>
      </w:pPr>
      <w:rPr>
        <w:rFonts w:hint="default"/>
        <w:w w:val="100"/>
        <w:lang w:val="en-US" w:eastAsia="zh-CN" w:bidi="ar-SA"/>
      </w:rPr>
    </w:lvl>
    <w:lvl w:ilvl="1">
      <w:start w:val="0"/>
      <w:numFmt w:val="bullet"/>
      <w:lvlText w:val="•"/>
      <w:lvlJc w:val="left"/>
      <w:pPr>
        <w:ind w:left="1572" w:hanging="420"/>
      </w:pPr>
      <w:rPr>
        <w:rFonts w:hint="default"/>
        <w:lang w:val="en-US" w:eastAsia="zh-CN" w:bidi="ar-SA"/>
      </w:rPr>
    </w:lvl>
    <w:lvl w:ilvl="2">
      <w:start w:val="0"/>
      <w:numFmt w:val="bullet"/>
      <w:lvlText w:val="•"/>
      <w:lvlJc w:val="left"/>
      <w:pPr>
        <w:ind w:left="2525" w:hanging="420"/>
      </w:pPr>
      <w:rPr>
        <w:rFonts w:hint="default"/>
        <w:lang w:val="en-US" w:eastAsia="zh-CN" w:bidi="ar-SA"/>
      </w:rPr>
    </w:lvl>
    <w:lvl w:ilvl="3">
      <w:start w:val="0"/>
      <w:numFmt w:val="bullet"/>
      <w:lvlText w:val="•"/>
      <w:lvlJc w:val="left"/>
      <w:pPr>
        <w:ind w:left="3477" w:hanging="420"/>
      </w:pPr>
      <w:rPr>
        <w:rFonts w:hint="default"/>
        <w:lang w:val="en-US" w:eastAsia="zh-CN" w:bidi="ar-SA"/>
      </w:rPr>
    </w:lvl>
    <w:lvl w:ilvl="4">
      <w:start w:val="0"/>
      <w:numFmt w:val="bullet"/>
      <w:lvlText w:val="•"/>
      <w:lvlJc w:val="left"/>
      <w:pPr>
        <w:ind w:left="4430" w:hanging="420"/>
      </w:pPr>
      <w:rPr>
        <w:rFonts w:hint="default"/>
        <w:lang w:val="en-US" w:eastAsia="zh-CN" w:bidi="ar-SA"/>
      </w:rPr>
    </w:lvl>
    <w:lvl w:ilvl="5">
      <w:start w:val="0"/>
      <w:numFmt w:val="bullet"/>
      <w:lvlText w:val="•"/>
      <w:lvlJc w:val="left"/>
      <w:pPr>
        <w:ind w:left="5383" w:hanging="420"/>
      </w:pPr>
      <w:rPr>
        <w:rFonts w:hint="default"/>
        <w:lang w:val="en-US" w:eastAsia="zh-CN" w:bidi="ar-SA"/>
      </w:rPr>
    </w:lvl>
    <w:lvl w:ilvl="6">
      <w:start w:val="0"/>
      <w:numFmt w:val="bullet"/>
      <w:lvlText w:val="•"/>
      <w:lvlJc w:val="left"/>
      <w:pPr>
        <w:ind w:left="6335" w:hanging="420"/>
      </w:pPr>
      <w:rPr>
        <w:rFonts w:hint="default"/>
        <w:lang w:val="en-US" w:eastAsia="zh-CN" w:bidi="ar-SA"/>
      </w:rPr>
    </w:lvl>
    <w:lvl w:ilvl="7">
      <w:start w:val="0"/>
      <w:numFmt w:val="bullet"/>
      <w:lvlText w:val="•"/>
      <w:lvlJc w:val="left"/>
      <w:pPr>
        <w:ind w:left="7288" w:hanging="420"/>
      </w:pPr>
      <w:rPr>
        <w:rFonts w:hint="default"/>
        <w:lang w:val="en-US" w:eastAsia="zh-CN" w:bidi="ar-SA"/>
      </w:rPr>
    </w:lvl>
    <w:lvl w:ilvl="8">
      <w:start w:val="0"/>
      <w:numFmt w:val="bullet"/>
      <w:lvlText w:val="•"/>
      <w:lvlJc w:val="left"/>
      <w:pPr>
        <w:ind w:left="8240" w:hanging="420"/>
      </w:pPr>
      <w:rPr>
        <w:rFonts w:hint="default"/>
        <w:lang w:val="en-US" w:eastAsia="zh-CN" w:bidi="ar-SA"/>
      </w:rPr>
    </w:lvl>
  </w:abstractNum>
  <w:abstractNum w:abstractNumId="32">
    <w:nsid w:val="7E1DEC66"/>
    <w:multiLevelType w:val="hybridMultilevel"/>
    <w:tmpl w:val="00000000"/>
    <w:lvl w:ilvl="0">
      <w:start w:val="11"/>
      <w:numFmt w:val="decimal"/>
      <w:lvlText w:val="%1"/>
      <w:lvlJc w:val="left"/>
      <w:pPr>
        <w:ind w:left="1888" w:hanging="1020"/>
        <w:jc w:val="left"/>
      </w:pPr>
      <w:rPr>
        <w:rFonts w:hint="default"/>
        <w:lang w:val="en-US" w:eastAsia="zh-CN" w:bidi="ar-SA"/>
      </w:rPr>
    </w:lvl>
    <w:lvl w:ilvl="1">
      <w:start w:val="1"/>
      <w:numFmt w:val="decimal"/>
      <w:lvlText w:val="%1.%2."/>
      <w:lvlJc w:val="left"/>
      <w:pPr>
        <w:ind w:left="1888" w:hanging="102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3533" w:hanging="1020"/>
      </w:pPr>
      <w:rPr>
        <w:rFonts w:hint="default"/>
        <w:lang w:val="en-US" w:eastAsia="zh-CN" w:bidi="ar-SA"/>
      </w:rPr>
    </w:lvl>
    <w:lvl w:ilvl="3">
      <w:start w:val="0"/>
      <w:numFmt w:val="bullet"/>
      <w:lvlText w:val="•"/>
      <w:lvlJc w:val="left"/>
      <w:pPr>
        <w:ind w:left="4359" w:hanging="1020"/>
      </w:pPr>
      <w:rPr>
        <w:rFonts w:hint="default"/>
        <w:lang w:val="en-US" w:eastAsia="zh-CN" w:bidi="ar-SA"/>
      </w:rPr>
    </w:lvl>
    <w:lvl w:ilvl="4">
      <w:start w:val="0"/>
      <w:numFmt w:val="bullet"/>
      <w:lvlText w:val="•"/>
      <w:lvlJc w:val="left"/>
      <w:pPr>
        <w:ind w:left="5186" w:hanging="1020"/>
      </w:pPr>
      <w:rPr>
        <w:rFonts w:hint="default"/>
        <w:lang w:val="en-US" w:eastAsia="zh-CN" w:bidi="ar-SA"/>
      </w:rPr>
    </w:lvl>
    <w:lvl w:ilvl="5">
      <w:start w:val="0"/>
      <w:numFmt w:val="bullet"/>
      <w:lvlText w:val="•"/>
      <w:lvlJc w:val="left"/>
      <w:pPr>
        <w:ind w:left="6013" w:hanging="1020"/>
      </w:pPr>
      <w:rPr>
        <w:rFonts w:hint="default"/>
        <w:lang w:val="en-US" w:eastAsia="zh-CN" w:bidi="ar-SA"/>
      </w:rPr>
    </w:lvl>
    <w:lvl w:ilvl="6">
      <w:start w:val="0"/>
      <w:numFmt w:val="bullet"/>
      <w:lvlText w:val="•"/>
      <w:lvlJc w:val="left"/>
      <w:pPr>
        <w:ind w:left="6839" w:hanging="1020"/>
      </w:pPr>
      <w:rPr>
        <w:rFonts w:hint="default"/>
        <w:lang w:val="en-US" w:eastAsia="zh-CN" w:bidi="ar-SA"/>
      </w:rPr>
    </w:lvl>
    <w:lvl w:ilvl="7">
      <w:start w:val="0"/>
      <w:numFmt w:val="bullet"/>
      <w:lvlText w:val="•"/>
      <w:lvlJc w:val="left"/>
      <w:pPr>
        <w:ind w:left="7666" w:hanging="1020"/>
      </w:pPr>
      <w:rPr>
        <w:rFonts w:hint="default"/>
        <w:lang w:val="en-US" w:eastAsia="zh-CN" w:bidi="ar-SA"/>
      </w:rPr>
    </w:lvl>
    <w:lvl w:ilvl="8">
      <w:start w:val="0"/>
      <w:numFmt w:val="bullet"/>
      <w:lvlText w:val="•"/>
      <w:lvlJc w:val="left"/>
      <w:pPr>
        <w:ind w:left="8492" w:hanging="1020"/>
      </w:pPr>
      <w:rPr>
        <w:rFonts w:hint="default"/>
        <w:lang w:val="en-US" w:eastAsia="zh-CN" w:bidi="ar-SA"/>
      </w:rPr>
    </w:lvl>
  </w:abstractNum>
  <w:num w:numId="1">
    <w:abstractNumId w:val="15"/>
  </w:num>
  <w:num w:numId="2">
    <w:abstractNumId w:val="7"/>
  </w:num>
  <w:num w:numId="3">
    <w:abstractNumId w:val="3"/>
  </w:num>
  <w:num w:numId="4">
    <w:abstractNumId w:val="14"/>
  </w:num>
  <w:num w:numId="5">
    <w:abstractNumId w:val="30"/>
  </w:num>
  <w:num w:numId="6">
    <w:abstractNumId w:val="17"/>
  </w:num>
  <w:num w:numId="7">
    <w:abstractNumId w:val="24"/>
  </w:num>
  <w:num w:numId="8">
    <w:abstractNumId w:val="18"/>
  </w:num>
  <w:num w:numId="9">
    <w:abstractNumId w:val="6"/>
  </w:num>
  <w:num w:numId="10">
    <w:abstractNumId w:val="5"/>
  </w:num>
  <w:num w:numId="11">
    <w:abstractNumId w:val="8"/>
  </w:num>
  <w:num w:numId="12">
    <w:abstractNumId w:val="19"/>
  </w:num>
  <w:num w:numId="13">
    <w:abstractNumId w:val="32"/>
  </w:num>
  <w:num w:numId="14">
    <w:abstractNumId w:val="1"/>
  </w:num>
  <w:num w:numId="15">
    <w:abstractNumId w:val="11"/>
  </w:num>
  <w:num w:numId="16">
    <w:abstractNumId w:val="10"/>
  </w:num>
  <w:num w:numId="17">
    <w:abstractNumId w:val="9"/>
  </w:num>
  <w:num w:numId="18">
    <w:abstractNumId w:val="25"/>
  </w:num>
  <w:num w:numId="19">
    <w:abstractNumId w:val="27"/>
  </w:num>
  <w:num w:numId="20">
    <w:abstractNumId w:val="20"/>
  </w:num>
  <w:num w:numId="21">
    <w:abstractNumId w:val="29"/>
  </w:num>
  <w:num w:numId="22">
    <w:abstractNumId w:val="4"/>
  </w:num>
  <w:num w:numId="23">
    <w:abstractNumId w:val="23"/>
  </w:num>
  <w:num w:numId="24">
    <w:abstractNumId w:val="28"/>
  </w:num>
  <w:num w:numId="25">
    <w:abstractNumId w:val="21"/>
  </w:num>
  <w:num w:numId="26">
    <w:abstractNumId w:val="16"/>
  </w:num>
  <w:num w:numId="27">
    <w:abstractNumId w:val="26"/>
  </w:num>
  <w:num w:numId="28">
    <w:abstractNumId w:val="13"/>
  </w:num>
  <w:num w:numId="29">
    <w:abstractNumId w:val="31"/>
  </w:num>
  <w:num w:numId="30">
    <w:abstractNumId w:val="0"/>
  </w:num>
  <w:num w:numId="31">
    <w:abstractNumId w:val="2"/>
  </w:num>
  <w:num w:numId="32">
    <w:abstractNumId w:val="22"/>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evenAndOddHeaders/>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line="785" w:lineRule="exact"/>
      <w:ind w:left="8"/>
      <w:jc w:val="center"/>
      <w:outlineLvl w:val="0"/>
    </w:pPr>
    <w:rPr>
      <w:rFonts w:ascii="Microsoft JhengHei" w:eastAsia="Microsoft JhengHei" w:hAnsi="Microsoft JhengHei" w:cs="Microsoft JhengHei"/>
      <w:b/>
      <w:bCs/>
      <w:sz w:val="48"/>
      <w:szCs w:val="48"/>
      <w:lang w:val="en-US" w:eastAsia="zh-CN" w:bidi="ar-SA"/>
    </w:rPr>
  </w:style>
  <w:style w:type="paragraph" w:styleId="Heading2">
    <w:name w:val="heading 2"/>
    <w:basedOn w:val="Normal"/>
    <w:uiPriority w:val="1"/>
    <w:qFormat/>
    <w:pPr>
      <w:spacing w:line="717" w:lineRule="exact"/>
      <w:ind w:left="428"/>
      <w:jc w:val="center"/>
      <w:outlineLvl w:val="1"/>
    </w:pPr>
    <w:rPr>
      <w:rFonts w:ascii="Microsoft JhengHei" w:eastAsia="Microsoft JhengHei" w:hAnsi="Microsoft JhengHei" w:cs="Microsoft JhengHei"/>
      <w:b/>
      <w:bCs/>
      <w:sz w:val="44"/>
      <w:szCs w:val="44"/>
      <w:lang w:val="en-US" w:eastAsia="zh-CN" w:bidi="ar-SA"/>
    </w:rPr>
  </w:style>
  <w:style w:type="paragraph" w:styleId="Heading3">
    <w:name w:val="heading 3"/>
    <w:basedOn w:val="Normal"/>
    <w:uiPriority w:val="1"/>
    <w:qFormat/>
    <w:pPr>
      <w:ind w:left="8"/>
      <w:jc w:val="center"/>
      <w:outlineLvl w:val="2"/>
    </w:pPr>
    <w:rPr>
      <w:rFonts w:ascii="Microsoft JhengHei" w:eastAsia="Microsoft JhengHei" w:hAnsi="Microsoft JhengHei" w:cs="Microsoft JhengHei"/>
      <w:b/>
      <w:bCs/>
      <w:sz w:val="32"/>
      <w:szCs w:val="32"/>
      <w:lang w:val="en-US" w:eastAsia="zh-CN" w:bidi="ar-SA"/>
    </w:rPr>
  </w:style>
  <w:style w:type="paragraph" w:styleId="Heading4">
    <w:name w:val="heading 4"/>
    <w:basedOn w:val="Normal"/>
    <w:uiPriority w:val="1"/>
    <w:qFormat/>
    <w:pPr>
      <w:spacing w:before="36"/>
      <w:ind w:left="628"/>
      <w:outlineLvl w:val="3"/>
    </w:pPr>
    <w:rPr>
      <w:rFonts w:ascii="宋体" w:eastAsia="宋体" w:hAnsi="宋体" w:cs="宋体"/>
      <w:sz w:val="32"/>
      <w:szCs w:val="32"/>
      <w:lang w:val="en-US" w:eastAsia="zh-CN" w:bidi="ar-SA"/>
    </w:rPr>
  </w:style>
  <w:style w:type="paragraph" w:styleId="Heading5">
    <w:name w:val="heading 5"/>
    <w:basedOn w:val="Normal"/>
    <w:uiPriority w:val="1"/>
    <w:qFormat/>
    <w:pPr>
      <w:ind w:left="8"/>
      <w:jc w:val="center"/>
      <w:outlineLvl w:val="4"/>
    </w:pPr>
    <w:rPr>
      <w:rFonts w:ascii="Microsoft JhengHei" w:eastAsia="Microsoft JhengHei" w:hAnsi="Microsoft JhengHei" w:cs="Microsoft JhengHei"/>
      <w:b/>
      <w:bCs/>
      <w:sz w:val="28"/>
      <w:szCs w:val="28"/>
      <w:lang w:val="en-US" w:eastAsia="zh-CN" w:bidi="ar-SA"/>
    </w:rPr>
  </w:style>
  <w:style w:type="paragraph" w:styleId="Heading6">
    <w:name w:val="heading 6"/>
    <w:basedOn w:val="Normal"/>
    <w:uiPriority w:val="1"/>
    <w:qFormat/>
    <w:pPr>
      <w:spacing w:before="26"/>
      <w:ind w:left="10"/>
      <w:jc w:val="center"/>
      <w:outlineLvl w:val="5"/>
    </w:pPr>
    <w:rPr>
      <w:rFonts w:ascii="宋体" w:eastAsia="宋体" w:hAnsi="宋体" w:cs="宋体"/>
      <w:sz w:val="28"/>
      <w:szCs w:val="28"/>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ind w:left="628"/>
    </w:pPr>
    <w:rPr>
      <w:rFonts w:ascii="Microsoft JhengHei" w:eastAsia="Microsoft JhengHei" w:hAnsi="Microsoft JhengHei" w:cs="Microsoft JhengHei"/>
      <w:b/>
      <w:bCs/>
      <w:sz w:val="24"/>
      <w:szCs w:val="24"/>
      <w:lang w:val="en-US" w:eastAsia="zh-CN" w:bidi="ar-SA"/>
    </w:rPr>
  </w:style>
  <w:style w:type="paragraph" w:styleId="TOC2">
    <w:name w:val="toc 2"/>
    <w:basedOn w:val="Normal"/>
    <w:uiPriority w:val="1"/>
    <w:qFormat/>
    <w:pPr>
      <w:spacing w:line="312" w:lineRule="exact"/>
      <w:ind w:left="1028"/>
    </w:pPr>
    <w:rPr>
      <w:rFonts w:ascii="Microsoft JhengHei" w:eastAsia="Microsoft JhengHei" w:hAnsi="Microsoft JhengHei" w:cs="Microsoft JhengHei"/>
      <w:b/>
      <w:bCs/>
      <w:sz w:val="21"/>
      <w:szCs w:val="21"/>
      <w:lang w:val="en-US" w:eastAsia="zh-CN" w:bidi="ar-SA"/>
    </w:rPr>
  </w:style>
  <w:style w:type="paragraph" w:styleId="TOC3">
    <w:name w:val="toc 3"/>
    <w:basedOn w:val="Normal"/>
    <w:uiPriority w:val="1"/>
    <w:qFormat/>
    <w:pPr>
      <w:spacing w:before="82"/>
      <w:ind w:left="1039"/>
    </w:pPr>
    <w:rPr>
      <w:rFonts w:ascii="Microsoft JhengHei" w:eastAsia="Microsoft JhengHei" w:hAnsi="Microsoft JhengHei" w:cs="Microsoft JhengHei"/>
      <w:b/>
      <w:bCs/>
      <w:i/>
      <w:iCs/>
      <w:lang w:val="en-US" w:eastAsia="zh-CN" w:bidi="ar-SA"/>
    </w:rPr>
  </w:style>
  <w:style w:type="paragraph" w:styleId="TOC4">
    <w:name w:val="toc 4"/>
    <w:basedOn w:val="Normal"/>
    <w:uiPriority w:val="1"/>
    <w:qFormat/>
    <w:pPr>
      <w:spacing w:before="63"/>
      <w:ind w:left="1428"/>
    </w:pPr>
    <w:rPr>
      <w:rFonts w:ascii="宋体" w:eastAsia="宋体" w:hAnsi="宋体" w:cs="宋体"/>
      <w:sz w:val="21"/>
      <w:szCs w:val="21"/>
      <w:lang w:val="en-US" w:eastAsia="zh-CN" w:bidi="ar-SA"/>
    </w:rPr>
  </w:style>
  <w:style w:type="paragraph" w:styleId="BodyText">
    <w:name w:val="Body Text"/>
    <w:basedOn w:val="Normal"/>
    <w:uiPriority w:val="1"/>
    <w:qFormat/>
    <w:rPr>
      <w:rFonts w:ascii="宋体" w:eastAsia="宋体" w:hAnsi="宋体" w:cs="宋体"/>
      <w:sz w:val="24"/>
      <w:szCs w:val="24"/>
      <w:lang w:val="en-US" w:eastAsia="zh-CN" w:bidi="ar-SA"/>
    </w:rPr>
  </w:style>
  <w:style w:type="paragraph" w:styleId="Title">
    <w:name w:val="Title"/>
    <w:basedOn w:val="Normal"/>
    <w:uiPriority w:val="1"/>
    <w:qFormat/>
    <w:pPr>
      <w:ind w:left="10"/>
      <w:jc w:val="center"/>
    </w:pPr>
    <w:rPr>
      <w:rFonts w:ascii="等线" w:eastAsia="等线" w:hAnsi="等线" w:cs="等线"/>
      <w:sz w:val="120"/>
      <w:szCs w:val="120"/>
      <w:lang w:val="en-US" w:eastAsia="zh-CN" w:bidi="ar-SA"/>
    </w:rPr>
  </w:style>
  <w:style w:type="paragraph" w:styleId="ListParagraph">
    <w:name w:val="List Paragraph"/>
    <w:basedOn w:val="Normal"/>
    <w:uiPriority w:val="1"/>
    <w:qFormat/>
    <w:pPr>
      <w:ind w:left="628" w:firstLine="240"/>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numbering" Target="numbering.xml" /><Relationship Id="rId101" Type="http://schemas.openxmlformats.org/officeDocument/2006/relationships/styles" Target="styles.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yperlink" Target="http://www.ptfwzx.gov.cn/" TargetMode="External" /><Relationship Id="rId21" Type="http://schemas.openxmlformats.org/officeDocument/2006/relationships/hyperlink" Target="http://www.ptfwzx.gov.cn/pthy" TargetMode="External" /><Relationship Id="rId22" Type="http://schemas.openxmlformats.org/officeDocument/2006/relationships/header" Target="header9.xml" /><Relationship Id="rId23" Type="http://schemas.openxmlformats.org/officeDocument/2006/relationships/header" Target="header10.xml" /><Relationship Id="rId24" Type="http://schemas.openxmlformats.org/officeDocument/2006/relationships/footer" Target="footer9.xml" /><Relationship Id="rId25" Type="http://schemas.openxmlformats.org/officeDocument/2006/relationships/footer" Target="footer10.xml" /><Relationship Id="rId26" Type="http://schemas.openxmlformats.org/officeDocument/2006/relationships/hyperlink" Target="http://www.ptfwzx.gov.cn/ywsys/UploadFile/admin/%E7%BD%91%E4%B8%8A%E6%8A%95%E6%A0%87%E6%93%8D%E4%BD%9C%E6%89%8B%E5%86%8C.rar" TargetMode="External" /><Relationship Id="rId27" Type="http://schemas.openxmlformats.org/officeDocument/2006/relationships/hyperlink" Target="http://www.ptfwzx.gov.cn/ptsztb/" TargetMode="External" /><Relationship Id="rId28" Type="http://schemas.openxmlformats.org/officeDocument/2006/relationships/hyperlink" Target="http://www.ptfwzx.gov.cn/pthy/" TargetMode="External" /><Relationship Id="rId29" Type="http://schemas.openxmlformats.org/officeDocument/2006/relationships/hyperlink" Target="http://www.ptfwzx.gov.cn/ywsys/" TargetMode="External" /><Relationship Id="rId3" Type="http://schemas.openxmlformats.org/officeDocument/2006/relationships/fontTable" Target="fontTable.xml" /><Relationship Id="rId30" Type="http://schemas.openxmlformats.org/officeDocument/2006/relationships/header" Target="header11.xml" /><Relationship Id="rId31" Type="http://schemas.openxmlformats.org/officeDocument/2006/relationships/header" Target="header12.xml" /><Relationship Id="rId32" Type="http://schemas.openxmlformats.org/officeDocument/2006/relationships/footer" Target="footer11.xml" /><Relationship Id="rId33" Type="http://schemas.openxmlformats.org/officeDocument/2006/relationships/footer" Target="footer12.xml" /><Relationship Id="rId34" Type="http://schemas.openxmlformats.org/officeDocument/2006/relationships/header" Target="header13.xml" /><Relationship Id="rId35" Type="http://schemas.openxmlformats.org/officeDocument/2006/relationships/header" Target="header14.xml" /><Relationship Id="rId36" Type="http://schemas.openxmlformats.org/officeDocument/2006/relationships/footer" Target="footer13.xml" /><Relationship Id="rId37" Type="http://schemas.openxmlformats.org/officeDocument/2006/relationships/footer" Target="footer14.xml" /><Relationship Id="rId38" Type="http://schemas.openxmlformats.org/officeDocument/2006/relationships/header" Target="header15.xml" /><Relationship Id="rId39" Type="http://schemas.openxmlformats.org/officeDocument/2006/relationships/header" Target="header16.xml" /><Relationship Id="rId4" Type="http://schemas.openxmlformats.org/officeDocument/2006/relationships/header" Target="header1.xml" /><Relationship Id="rId40" Type="http://schemas.openxmlformats.org/officeDocument/2006/relationships/footer" Target="footer15.xml" /><Relationship Id="rId41" Type="http://schemas.openxmlformats.org/officeDocument/2006/relationships/footer" Target="footer16.xml" /><Relationship Id="rId42" Type="http://schemas.openxmlformats.org/officeDocument/2006/relationships/header" Target="header17.xml" /><Relationship Id="rId43" Type="http://schemas.openxmlformats.org/officeDocument/2006/relationships/header" Target="header18.xml" /><Relationship Id="rId44" Type="http://schemas.openxmlformats.org/officeDocument/2006/relationships/footer" Target="footer17.xml" /><Relationship Id="rId45" Type="http://schemas.openxmlformats.org/officeDocument/2006/relationships/footer" Target="footer18.xml" /><Relationship Id="rId46" Type="http://schemas.openxmlformats.org/officeDocument/2006/relationships/header" Target="header19.xml" /><Relationship Id="rId47" Type="http://schemas.openxmlformats.org/officeDocument/2006/relationships/header" Target="header20.xml" /><Relationship Id="rId48" Type="http://schemas.openxmlformats.org/officeDocument/2006/relationships/footer" Target="footer19.xml" /><Relationship Id="rId49" Type="http://schemas.openxmlformats.org/officeDocument/2006/relationships/footer" Target="footer20.xml" /><Relationship Id="rId5" Type="http://schemas.openxmlformats.org/officeDocument/2006/relationships/header" Target="header2.xml" /><Relationship Id="rId50" Type="http://schemas.openxmlformats.org/officeDocument/2006/relationships/header" Target="header21.xml" /><Relationship Id="rId51" Type="http://schemas.openxmlformats.org/officeDocument/2006/relationships/header" Target="header22.xml" /><Relationship Id="rId52" Type="http://schemas.openxmlformats.org/officeDocument/2006/relationships/footer" Target="footer21.xml" /><Relationship Id="rId53" Type="http://schemas.openxmlformats.org/officeDocument/2006/relationships/footer" Target="footer22.xml" /><Relationship Id="rId54" Type="http://schemas.openxmlformats.org/officeDocument/2006/relationships/header" Target="header23.xml" /><Relationship Id="rId55" Type="http://schemas.openxmlformats.org/officeDocument/2006/relationships/header" Target="header24.xml" /><Relationship Id="rId56" Type="http://schemas.openxmlformats.org/officeDocument/2006/relationships/footer" Target="footer23.xml" /><Relationship Id="rId57" Type="http://schemas.openxmlformats.org/officeDocument/2006/relationships/footer" Target="footer24.xml" /><Relationship Id="rId58" Type="http://schemas.openxmlformats.org/officeDocument/2006/relationships/header" Target="header25.xml" /><Relationship Id="rId59" Type="http://schemas.openxmlformats.org/officeDocument/2006/relationships/header" Target="header26.xml" /><Relationship Id="rId6" Type="http://schemas.openxmlformats.org/officeDocument/2006/relationships/footer" Target="footer1.xml" /><Relationship Id="rId60" Type="http://schemas.openxmlformats.org/officeDocument/2006/relationships/footer" Target="footer25.xml" /><Relationship Id="rId61" Type="http://schemas.openxmlformats.org/officeDocument/2006/relationships/footer" Target="footer26.xml" /><Relationship Id="rId62" Type="http://schemas.openxmlformats.org/officeDocument/2006/relationships/header" Target="header27.xml" /><Relationship Id="rId63" Type="http://schemas.openxmlformats.org/officeDocument/2006/relationships/header" Target="header28.xml" /><Relationship Id="rId64" Type="http://schemas.openxmlformats.org/officeDocument/2006/relationships/footer" Target="footer27.xml" /><Relationship Id="rId65" Type="http://schemas.openxmlformats.org/officeDocument/2006/relationships/footer" Target="footer28.xml" /><Relationship Id="rId66" Type="http://schemas.openxmlformats.org/officeDocument/2006/relationships/header" Target="header29.xml" /><Relationship Id="rId67" Type="http://schemas.openxmlformats.org/officeDocument/2006/relationships/header" Target="header30.xml" /><Relationship Id="rId68" Type="http://schemas.openxmlformats.org/officeDocument/2006/relationships/footer" Target="footer29.xml" /><Relationship Id="rId69" Type="http://schemas.openxmlformats.org/officeDocument/2006/relationships/footer" Target="footer30.xml" /><Relationship Id="rId7" Type="http://schemas.openxmlformats.org/officeDocument/2006/relationships/footer" Target="footer2.xml" /><Relationship Id="rId70" Type="http://schemas.openxmlformats.org/officeDocument/2006/relationships/header" Target="header31.xml" /><Relationship Id="rId71" Type="http://schemas.openxmlformats.org/officeDocument/2006/relationships/header" Target="header32.xml" /><Relationship Id="rId72" Type="http://schemas.openxmlformats.org/officeDocument/2006/relationships/footer" Target="footer31.xml" /><Relationship Id="rId73" Type="http://schemas.openxmlformats.org/officeDocument/2006/relationships/footer" Target="footer32.xml" /><Relationship Id="rId74" Type="http://schemas.openxmlformats.org/officeDocument/2006/relationships/header" Target="header33.xml" /><Relationship Id="rId75" Type="http://schemas.openxmlformats.org/officeDocument/2006/relationships/header" Target="header34.xml" /><Relationship Id="rId76" Type="http://schemas.openxmlformats.org/officeDocument/2006/relationships/footer" Target="footer33.xml" /><Relationship Id="rId77" Type="http://schemas.openxmlformats.org/officeDocument/2006/relationships/footer" Target="footer34.xml" /><Relationship Id="rId78" Type="http://schemas.openxmlformats.org/officeDocument/2006/relationships/header" Target="header35.xml" /><Relationship Id="rId79" Type="http://schemas.openxmlformats.org/officeDocument/2006/relationships/header" Target="header36.xml" /><Relationship Id="rId8" Type="http://schemas.openxmlformats.org/officeDocument/2006/relationships/header" Target="header3.xml" /><Relationship Id="rId80" Type="http://schemas.openxmlformats.org/officeDocument/2006/relationships/footer" Target="footer35.xml" /><Relationship Id="rId81" Type="http://schemas.openxmlformats.org/officeDocument/2006/relationships/footer" Target="footer36.xml" /><Relationship Id="rId82" Type="http://schemas.openxmlformats.org/officeDocument/2006/relationships/header" Target="header37.xml" /><Relationship Id="rId83" Type="http://schemas.openxmlformats.org/officeDocument/2006/relationships/header" Target="header38.xml" /><Relationship Id="rId84" Type="http://schemas.openxmlformats.org/officeDocument/2006/relationships/footer" Target="footer37.xml" /><Relationship Id="rId85" Type="http://schemas.openxmlformats.org/officeDocument/2006/relationships/footer" Target="footer38.xml" /><Relationship Id="rId86" Type="http://schemas.openxmlformats.org/officeDocument/2006/relationships/header" Target="header39.xml" /><Relationship Id="rId87" Type="http://schemas.openxmlformats.org/officeDocument/2006/relationships/header" Target="header40.xml" /><Relationship Id="rId88" Type="http://schemas.openxmlformats.org/officeDocument/2006/relationships/footer" Target="footer39.xml" /><Relationship Id="rId89" Type="http://schemas.openxmlformats.org/officeDocument/2006/relationships/footer" Target="footer40.xml" /><Relationship Id="rId9" Type="http://schemas.openxmlformats.org/officeDocument/2006/relationships/header" Target="header4.xml" /><Relationship Id="rId90" Type="http://schemas.openxmlformats.org/officeDocument/2006/relationships/header" Target="header41.xml" /><Relationship Id="rId91" Type="http://schemas.openxmlformats.org/officeDocument/2006/relationships/header" Target="header42.xml" /><Relationship Id="rId92" Type="http://schemas.openxmlformats.org/officeDocument/2006/relationships/footer" Target="footer41.xml" /><Relationship Id="rId93" Type="http://schemas.openxmlformats.org/officeDocument/2006/relationships/footer" Target="footer42.xml" /><Relationship Id="rId94" Type="http://schemas.openxmlformats.org/officeDocument/2006/relationships/hyperlink" Target="https://d.book118.com/086042241040010055" TargetMode="External" /><Relationship Id="rId95" Type="http://schemas.openxmlformats.org/officeDocument/2006/relationships/header" Target="header43.xml" /><Relationship Id="rId96" Type="http://schemas.openxmlformats.org/officeDocument/2006/relationships/header" Target="header44.xml" /><Relationship Id="rId97" Type="http://schemas.openxmlformats.org/officeDocument/2006/relationships/footer" Target="footer43.xml" /><Relationship Id="rId98" Type="http://schemas.openxmlformats.org/officeDocument/2006/relationships/footer" Target="footer44.xml" /><Relationship Id="rId9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2024-03-05T06:30:31Z</dcterms:created>
  <dcterms:modified xsi:type="dcterms:W3CDTF">2024-03-05T06:30:31Z</dcterms:modified>
</cp:coreProperties>
</file>