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6"/>
        <w:ind w:left="0"/>
        <w:rPr>
          <w:rFonts w:ascii="Times New Roman"/>
          <w:sz w:val="29"/>
        </w:rPr>
      </w:pPr>
    </w:p>
    <w:p>
      <w:pPr>
        <w:pStyle w:val="Title"/>
      </w:pPr>
      <w:r>
        <w:rPr>
          <w:spacing w:val="-3"/>
          <w:w w:val="75"/>
        </w:rPr>
        <w:t>全国监理工程师执业资格考试</w:t>
      </w:r>
    </w:p>
    <w:p>
      <w:pPr>
        <w:pStyle w:val="BodyText"/>
        <w:ind w:left="0"/>
        <w:rPr>
          <w:b/>
          <w:sz w:val="20"/>
        </w:rPr>
      </w:pPr>
    </w:p>
    <w:p>
      <w:pPr>
        <w:spacing w:before="197" w:line="417" w:lineRule="auto"/>
        <w:ind w:left="3383" w:right="3528" w:firstLine="0"/>
        <w:jc w:val="center"/>
        <w:rPr>
          <w:rFonts w:ascii="楷体" w:eastAsia="楷体" w:hint="eastAsia"/>
          <w:b/>
          <w:sz w:val="56"/>
        </w:rPr>
      </w:pPr>
      <w:r>
        <w:rPr>
          <w:rFonts w:ascii="楷体" w:eastAsia="楷体" w:hint="eastAsia"/>
          <w:b/>
          <w:w w:val="95"/>
          <w:sz w:val="56"/>
        </w:rPr>
        <w:t>《理论与法规》50</w:t>
      </w:r>
      <w:r>
        <w:rPr>
          <w:rFonts w:ascii="楷体" w:eastAsia="楷体" w:hint="eastAsia"/>
          <w:b/>
          <w:spacing w:val="-16"/>
          <w:w w:val="95"/>
          <w:sz w:val="56"/>
        </w:rPr>
        <w:t xml:space="preserve"> 天夯基训练</w:t>
      </w:r>
    </w:p>
    <w:p>
      <w:pPr>
        <w:spacing w:before="0" w:line="409" w:lineRule="exact"/>
        <w:ind w:left="1940" w:right="2082" w:firstLine="0"/>
        <w:jc w:val="center"/>
        <w:rPr>
          <w:b/>
          <w:sz w:val="32"/>
        </w:rPr>
      </w:pPr>
      <w:r>
        <w:rPr>
          <w:b/>
          <w:sz w:val="32"/>
        </w:rPr>
        <w:t>（</w:t>
      </w:r>
      <w:r>
        <w:rPr>
          <w:b/>
          <w:spacing w:val="16"/>
          <w:sz w:val="32"/>
        </w:rPr>
        <w:t>内部资料 严禁复制</w:t>
      </w:r>
      <w:r>
        <w:rPr>
          <w:b/>
          <w:sz w:val="32"/>
        </w:rPr>
        <w:t>）</w:t>
      </w:r>
    </w:p>
    <w:p>
      <w:pPr>
        <w:spacing w:after="0" w:line="409" w:lineRule="exact"/>
        <w:jc w:val="center"/>
        <w:rPr>
          <w:rFonts w:hint="eastAsia"/>
          <w:sz w:val="32"/>
        </w:rPr>
        <w:sectPr>
          <w:type w:val="continuous"/>
          <w:pgSz w:w="11910" w:h="16840"/>
          <w:pgMar w:top="1180" w:right="540" w:bottom="280" w:left="680" w:header="993" w:footer="0" w:gutter="0"/>
          <w:pgNumType w:start="1"/>
          <w:cols w:space="708"/>
        </w:sectPr>
      </w:pPr>
      <w:bookmarkStart w:id="0" w:name="_GoBack"/>
      <w:bookmarkEnd w:id="0"/>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9"/>
        <w:ind w:left="0"/>
        <w:rPr>
          <w:b/>
          <w:sz w:val="13"/>
        </w:rPr>
      </w:pPr>
    </w:p>
    <w:p>
      <w:pPr>
        <w:pStyle w:val="BodyText"/>
        <w:ind w:left="242"/>
        <w:rPr>
          <w:sz w:val="20"/>
        </w:rPr>
      </w:pPr>
      <w:r>
        <w:rPr>
          <w:sz w:val="20"/>
        </w:rPr>
        <w:pict>
          <v:shapetype id="_x0000_t202" coordsize="21600,21600" o:spt="202" path="m,l,21600r21600,l21600,xe">
            <v:stroke joinstyle="miter"/>
            <v:path gradientshapeok="t" o:connecttype="rect"/>
          </v:shapetype>
          <v:shape id="docshape2" o:spid="_x0000_i1025" type="#_x0000_t202" style="width:82.8pt;height:19.95pt" coordsize="21600,21600" filled="f" stroked="t" strokecolor="black">
            <v:textbox inset="0,0,0,0">
              <w:txbxContent>
                <w:p>
                  <w:pPr>
                    <w:spacing w:before="1"/>
                    <w:ind w:left="1" w:right="0" w:firstLine="0"/>
                    <w:jc w:val="left"/>
                    <w:rPr>
                      <w:b/>
                      <w:sz w:val="24"/>
                    </w:rPr>
                  </w:pPr>
                  <w:r>
                    <w:rPr>
                      <w:b/>
                      <w:sz w:val="24"/>
                    </w:rPr>
                    <w:t>重要考点·01</w:t>
                  </w:r>
                </w:p>
              </w:txbxContent>
            </v:textbox>
            <w10:anchorlock/>
          </v:shape>
        </w:pict>
      </w:r>
    </w:p>
    <w:p>
      <w:pPr>
        <w:pStyle w:val="BodyText"/>
        <w:spacing w:before="98" w:line="333" w:lineRule="auto"/>
        <w:ind w:right="8147"/>
      </w:pPr>
      <w:r>
        <w:rPr>
          <w:spacing w:val="-1"/>
        </w:rPr>
        <w:t>（一</w:t>
      </w:r>
      <w:r>
        <w:t>）建设工程监理性质1.服务性</w:t>
      </w:r>
    </w:p>
    <w:p>
      <w:pPr>
        <w:pStyle w:val="BodyText"/>
        <w:spacing w:before="1" w:line="333" w:lineRule="auto"/>
        <w:ind w:right="367"/>
      </w:pPr>
      <w:r>
        <w:rPr>
          <w:w w:val="95"/>
        </w:rPr>
        <w:t>在工程建设中，工程监理人员利用自己的知识、技能和经验以及必要的试验、检测手段，为建设单位提供管理</w:t>
      </w:r>
      <w:r>
        <w:rPr>
          <w:spacing w:val="206"/>
        </w:rPr>
        <w:t xml:space="preserve"> </w:t>
      </w:r>
      <w:r>
        <w:t>和技术服务。</w:t>
      </w:r>
    </w:p>
    <w:p>
      <w:pPr>
        <w:pStyle w:val="BodyText"/>
        <w:spacing w:line="333" w:lineRule="auto"/>
        <w:ind w:right="261"/>
      </w:pPr>
      <w:r>
        <w:t>工程监理单位既不直接进行工程设计，也不直接进行工程施工；既不向建设单位承包工程造价，也不参与施工单位的利润分成。工程监理单位的服务对象是建设单位，但不能完全取代建设单位的管理活动。工程监理单位不具有工程建设重大问题的决策权，只能在建设单位授权范围内采用规划、控制、协调等方法，控制建设工程</w:t>
      </w:r>
      <w:r>
        <w:rPr>
          <w:w w:val="95"/>
        </w:rPr>
        <w:t>质量、造价和进度，并履行建设工程安全生产管理的监理职责，协助建设单位在计划目标内完成工程建设任务。</w:t>
      </w:r>
      <w:r>
        <w:rPr>
          <w:spacing w:val="112"/>
        </w:rPr>
        <w:t xml:space="preserve"> </w:t>
      </w:r>
      <w:r>
        <w:t>2.科学性</w:t>
      </w:r>
    </w:p>
    <w:p>
      <w:pPr>
        <w:pStyle w:val="BodyText"/>
        <w:spacing w:before="3" w:line="333" w:lineRule="auto"/>
        <w:ind w:right="367"/>
      </w:pPr>
      <w:r>
        <w:rPr>
          <w:w w:val="95"/>
        </w:rPr>
        <w:t>科学性是由建设工程监理的基本任务决定的。工程监理单位以协助建设单位实现其投资目的为己任。力求在计</w:t>
      </w:r>
      <w:r>
        <w:rPr>
          <w:spacing w:val="206"/>
        </w:rPr>
        <w:t xml:space="preserve"> </w:t>
      </w:r>
      <w:r>
        <w:t>划目标内完成工程建设任务。工程监理单位只有采用科学的思想、理论、方法和手段，才能驾驭工程建设。</w:t>
      </w:r>
    </w:p>
    <w:p>
      <w:pPr>
        <w:pStyle w:val="BodyText"/>
        <w:spacing w:line="333" w:lineRule="auto"/>
        <w:ind w:right="261"/>
      </w:pPr>
      <w:r>
        <w:rPr>
          <w:w w:val="95"/>
        </w:rPr>
        <w:t>为了满足建设工程监理实际工作需求，工程监理单位应由组织管理能力强、工程建设经验丰富的人员担任领导；</w:t>
      </w:r>
      <w:r>
        <w:rPr>
          <w:spacing w:val="112"/>
        </w:rPr>
        <w:t xml:space="preserve"> </w:t>
      </w:r>
      <w:r>
        <w:t>应有足够数量的、有丰富管理经验和较强应变能力的注册监理工程师组成的骨干队伍；应有健全的管理制度、科学的管理方法和手段；应积累丰富的技术、经济资料和数据；应有科学的工作态度和严谨的工作作风，能够创造性地开展工作。</w:t>
      </w:r>
    </w:p>
    <w:p>
      <w:pPr>
        <w:pStyle w:val="ListParagraph"/>
        <w:numPr>
          <w:ilvl w:val="0"/>
          <w:numId w:val="1"/>
        </w:numPr>
        <w:tabs>
          <w:tab w:val="left" w:pos="439"/>
        </w:tabs>
        <w:spacing w:before="2" w:after="0" w:line="240" w:lineRule="auto"/>
        <w:ind w:left="438" w:right="0" w:hanging="212"/>
        <w:jc w:val="left"/>
        <w:rPr>
          <w:sz w:val="21"/>
        </w:rPr>
      </w:pPr>
      <w:r>
        <w:rPr>
          <w:sz w:val="21"/>
        </w:rPr>
        <w:t>独立性</w:t>
      </w:r>
    </w:p>
    <w:p>
      <w:pPr>
        <w:pStyle w:val="BodyText"/>
        <w:spacing w:before="105" w:line="333" w:lineRule="auto"/>
        <w:ind w:right="367"/>
      </w:pPr>
      <w:r>
        <w:rPr>
          <w:w w:val="95"/>
        </w:rPr>
        <w:t>工程监理单位应公平、独立、诚信、科学地开展建设工程监理与相关服务活动。独立是工程监理单位公平地实</w:t>
      </w:r>
      <w:r>
        <w:rPr>
          <w:spacing w:val="206"/>
        </w:rPr>
        <w:t xml:space="preserve"> </w:t>
      </w:r>
      <w:r>
        <w:t>施监理的基本前提。</w:t>
      </w:r>
    </w:p>
    <w:p>
      <w:pPr>
        <w:pStyle w:val="BodyText"/>
        <w:spacing w:before="1" w:line="333" w:lineRule="auto"/>
        <w:ind w:right="367"/>
      </w:pPr>
      <w:r>
        <w:rPr>
          <w:w w:val="95"/>
        </w:rPr>
        <w:t>工程监理单位与被监理工程的承包单位以及建筑材料、建筑构配件和设备供应单位不得有隶属关系或者其他利</w:t>
      </w:r>
      <w:r>
        <w:rPr>
          <w:spacing w:val="206"/>
        </w:rPr>
        <w:t xml:space="preserve"> </w:t>
      </w:r>
      <w:r>
        <w:t>害关系。</w:t>
      </w:r>
    </w:p>
    <w:p>
      <w:pPr>
        <w:pStyle w:val="BodyText"/>
        <w:spacing w:before="1" w:line="333" w:lineRule="auto"/>
        <w:ind w:right="367"/>
      </w:pPr>
      <w:r>
        <w:rPr>
          <w:w w:val="95"/>
        </w:rPr>
        <w:t>工程监理单位应严格按照法律法规、工程建设标准、勘察设计文件、建设工程监理合同及有关建设工程合同等</w:t>
      </w:r>
      <w:r>
        <w:rPr>
          <w:spacing w:val="206"/>
        </w:rPr>
        <w:t xml:space="preserve"> </w:t>
      </w:r>
      <w:r>
        <w:t>实施监理。</w:t>
      </w:r>
    </w:p>
    <w:p>
      <w:pPr>
        <w:pStyle w:val="BodyText"/>
        <w:spacing w:before="1" w:line="333" w:lineRule="auto"/>
        <w:ind w:right="367"/>
      </w:pPr>
      <w:r>
        <w:rPr>
          <w:w w:val="95"/>
        </w:rPr>
        <w:t>在建设工程监理工作过程中，必须建立项目监理机构，按照自己的工作计划和程序，根据自己的判断，采用科</w:t>
      </w:r>
      <w:r>
        <w:rPr>
          <w:spacing w:val="206"/>
        </w:rPr>
        <w:t xml:space="preserve"> </w:t>
      </w:r>
      <w:r>
        <w:t>学的方法和手段，独立地开展工作。</w:t>
      </w:r>
    </w:p>
    <w:p>
      <w:pPr>
        <w:pStyle w:val="ListParagraph"/>
        <w:numPr>
          <w:ilvl w:val="0"/>
          <w:numId w:val="1"/>
        </w:numPr>
        <w:tabs>
          <w:tab w:val="left" w:pos="439"/>
        </w:tabs>
        <w:spacing w:before="0" w:after="0" w:line="240" w:lineRule="auto"/>
        <w:ind w:left="438" w:right="0" w:hanging="212"/>
        <w:jc w:val="left"/>
        <w:rPr>
          <w:sz w:val="21"/>
        </w:rPr>
      </w:pPr>
      <w:r>
        <w:rPr>
          <w:sz w:val="21"/>
        </w:rPr>
        <w:t>公平性</w:t>
      </w:r>
    </w:p>
    <w:p>
      <w:pPr>
        <w:pStyle w:val="BodyText"/>
        <w:spacing w:before="106"/>
      </w:pPr>
      <w:r>
        <w:t>公平性是建设工程监理行业能够长期生存和发展的基本职业道德准则。</w:t>
      </w:r>
    </w:p>
    <w:p>
      <w:pPr>
        <w:pStyle w:val="BodyText"/>
        <w:spacing w:before="105" w:line="333" w:lineRule="auto"/>
        <w:ind w:right="367"/>
      </w:pPr>
      <w:r>
        <w:rPr>
          <w:w w:val="95"/>
        </w:rPr>
        <w:t>特别是当建设单位与施工单位发生利益冲突或者矛盾时，工程监理单位应以事实为依据，以法律法规和有关合</w:t>
      </w:r>
      <w:r>
        <w:rPr>
          <w:spacing w:val="206"/>
        </w:rPr>
        <w:t xml:space="preserve"> </w:t>
      </w:r>
      <w:r>
        <w:t>同为准绳，在维护建设单位合法权益的同时，不能损害施工单位的合法权益。</w:t>
      </w:r>
    </w:p>
    <w:p>
      <w:pPr>
        <w:spacing w:after="0" w:line="333" w:lineRule="auto"/>
        <w:sectPr>
          <w:pgSz w:w="11910" w:h="16840"/>
          <w:pgMar w:top="1180" w:right="540" w:bottom="280" w:left="680" w:header="993" w:footer="0" w:gutter="0"/>
          <w:pgNumType w:start="2"/>
          <w:cols w:space="708"/>
        </w:sectPr>
      </w:pPr>
    </w:p>
    <w:p>
      <w:pPr>
        <w:pStyle w:val="BodyText"/>
        <w:spacing w:before="54"/>
      </w:pPr>
      <w:r>
        <w:rPr>
          <w:spacing w:val="1"/>
          <w:w w:val="95"/>
        </w:rPr>
        <w:t xml:space="preserve">【分值】考试形式为选择题，分值为 </w:t>
      </w:r>
      <w:r>
        <w:rPr>
          <w:w w:val="95"/>
        </w:rPr>
        <w:t>1-2</w:t>
      </w:r>
      <w:r>
        <w:rPr>
          <w:spacing w:val="3"/>
          <w:w w:val="95"/>
        </w:rPr>
        <w:t xml:space="preserve"> 分。</w:t>
      </w:r>
    </w:p>
    <w:p>
      <w:pPr>
        <w:pStyle w:val="BodyText"/>
        <w:spacing w:before="103"/>
      </w:pPr>
      <w:r>
        <w:t>【记忆方法】根据特点结合关键词进行掌握</w:t>
      </w:r>
    </w:p>
    <w:p>
      <w:pPr>
        <w:pStyle w:val="BodyText"/>
        <w:spacing w:before="8"/>
        <w:ind w:left="0"/>
        <w:rPr>
          <w:sz w:val="7"/>
        </w:rPr>
      </w:pPr>
      <w:r>
        <w:pict>
          <v:shape id="docshape3" o:spid="_x0000_s1026" type="#_x0000_t202" style="width:82.8pt;height:19.9pt;margin-top:8.3pt;margin-left:48.3pt;mso-height-relative:page;mso-position-horizontal-relative:page;mso-width-relative:page;mso-wrap-distance-bottom:0;mso-wrap-distance-top:0;position:absolute;z-index:-251658240" coordsize="21600,21600" filled="f" stroked="t" strokecolor="black">
            <v:textbox inset="0,0,0,0">
              <w:txbxContent>
                <w:p>
                  <w:pPr>
                    <w:spacing w:before="1"/>
                    <w:ind w:left="1" w:right="0" w:firstLine="0"/>
                    <w:jc w:val="left"/>
                    <w:rPr>
                      <w:b/>
                      <w:sz w:val="24"/>
                    </w:rPr>
                  </w:pPr>
                  <w:r>
                    <w:rPr>
                      <w:b/>
                      <w:sz w:val="24"/>
                    </w:rPr>
                    <w:t>精选习题·01</w:t>
                  </w:r>
                </w:p>
              </w:txbxContent>
            </v:textbox>
            <w10:wrap type="topAndBottom"/>
          </v:shape>
        </w:pict>
      </w:r>
    </w:p>
    <w:p>
      <w:pPr>
        <w:pStyle w:val="BodyText"/>
        <w:spacing w:before="5"/>
        <w:ind w:left="0"/>
        <w:rPr>
          <w:sz w:val="7"/>
        </w:rPr>
      </w:pPr>
    </w:p>
    <w:p>
      <w:pPr>
        <w:pStyle w:val="BodyText"/>
        <w:tabs>
          <w:tab w:val="left" w:pos="5687"/>
        </w:tabs>
        <w:spacing w:before="70" w:line="336" w:lineRule="auto"/>
        <w:ind w:left="647" w:right="4682" w:hanging="420"/>
      </w:pPr>
      <w:r>
        <w:t>【2022】下列情形中，体现建设工程监理独立性的有（</w:t>
      </w:r>
      <w:r>
        <w:tab/>
      </w:r>
      <w:r>
        <w:rPr>
          <w:spacing w:val="-104"/>
        </w:rPr>
        <w:t>）</w:t>
      </w:r>
      <w:r>
        <w:rPr>
          <w:spacing w:val="-3"/>
        </w:rPr>
        <w:t>。</w:t>
      </w:r>
      <w:r>
        <w:t>A.有健全的管理制度、科学的管理方法和手段</w:t>
      </w:r>
    </w:p>
    <w:p>
      <w:pPr>
        <w:pStyle w:val="ListParagraph"/>
        <w:numPr>
          <w:ilvl w:val="1"/>
          <w:numId w:val="156"/>
        </w:numPr>
        <w:tabs>
          <w:tab w:val="left" w:pos="859"/>
        </w:tabs>
        <w:spacing w:before="0" w:after="0" w:line="265" w:lineRule="exact"/>
        <w:ind w:left="858" w:right="0" w:hanging="212"/>
        <w:jc w:val="left"/>
        <w:rPr>
          <w:sz w:val="21"/>
        </w:rPr>
      </w:pPr>
      <w:r>
        <w:rPr>
          <w:w w:val="95"/>
          <w:sz w:val="21"/>
        </w:rPr>
        <w:t>积累丰富的技术、经济资料和数据</w:t>
      </w:r>
    </w:p>
    <w:p>
      <w:pPr>
        <w:pStyle w:val="ListParagraph"/>
        <w:numPr>
          <w:ilvl w:val="1"/>
          <w:numId w:val="156"/>
        </w:numPr>
        <w:tabs>
          <w:tab w:val="left" w:pos="859"/>
        </w:tabs>
        <w:spacing w:before="108" w:after="0" w:line="240" w:lineRule="auto"/>
        <w:ind w:left="858" w:right="0" w:hanging="212"/>
        <w:jc w:val="left"/>
        <w:rPr>
          <w:sz w:val="21"/>
        </w:rPr>
      </w:pPr>
      <w:r>
        <w:rPr>
          <w:sz w:val="21"/>
        </w:rPr>
        <w:t>严格按照法律法规、工程建设标准实施监理</w:t>
      </w:r>
    </w:p>
    <w:p>
      <w:pPr>
        <w:pStyle w:val="ListParagraph"/>
        <w:numPr>
          <w:ilvl w:val="1"/>
          <w:numId w:val="156"/>
        </w:numPr>
        <w:tabs>
          <w:tab w:val="left" w:pos="859"/>
        </w:tabs>
        <w:spacing w:before="102" w:after="0" w:line="333" w:lineRule="auto"/>
        <w:ind w:left="647" w:right="4790" w:firstLine="0"/>
        <w:jc w:val="left"/>
        <w:rPr>
          <w:sz w:val="21"/>
        </w:rPr>
      </w:pPr>
      <w:r>
        <w:rPr>
          <w:w w:val="95"/>
          <w:sz w:val="21"/>
        </w:rPr>
        <w:t>按照自己的工作计划和程序，根据自己的判断开展工作</w:t>
      </w:r>
      <w:r>
        <w:rPr>
          <w:spacing w:val="1"/>
          <w:w w:val="95"/>
          <w:sz w:val="21"/>
        </w:rPr>
        <w:t xml:space="preserve"> </w:t>
      </w:r>
      <w:r>
        <w:rPr>
          <w:sz w:val="21"/>
        </w:rPr>
        <w:t>E.调解建设单位与施工单位之间争议</w:t>
      </w:r>
    </w:p>
    <w:p>
      <w:pPr>
        <w:pStyle w:val="BodyText"/>
        <w:spacing w:before="4"/>
      </w:pPr>
      <w:r>
        <w:t>【答案】CD</w:t>
      </w:r>
    </w:p>
    <w:p>
      <w:pPr>
        <w:pStyle w:val="BodyText"/>
        <w:spacing w:before="103" w:line="333" w:lineRule="auto"/>
        <w:ind w:right="367"/>
        <w:jc w:val="both"/>
      </w:pPr>
      <w:r>
        <w:pict>
          <v:shape id="docshape4" o:spid="_x0000_s1027" type="#_x0000_t202" style="width:82.8pt;height:19.9pt;margin-top:83.1pt;margin-left:48.3pt;mso-height-relative:page;mso-position-horizontal-relative:page;mso-width-relative:page;mso-wrap-distance-bottom:0;mso-wrap-distance-top:0;position:absolute;z-index:-251657216" coordsize="21600,21600" filled="f" stroked="t" strokecolor="black">
            <v:textbox inset="0,0,0,0">
              <w:txbxContent>
                <w:p>
                  <w:pPr>
                    <w:spacing w:before="3" w:line="306" w:lineRule="exact"/>
                    <w:ind w:left="1" w:right="0" w:firstLine="0"/>
                    <w:jc w:val="left"/>
                    <w:rPr>
                      <w:b/>
                      <w:sz w:val="24"/>
                    </w:rPr>
                  </w:pPr>
                  <w:r>
                    <w:rPr>
                      <w:b/>
                      <w:sz w:val="24"/>
                    </w:rPr>
                    <w:t>重要考点·02</w:t>
                  </w:r>
                </w:p>
              </w:txbxContent>
            </v:textbox>
            <w10:wrap type="topAndBottom"/>
          </v:shape>
        </w:pict>
      </w:r>
      <w:r>
        <w:rPr>
          <w:w w:val="95"/>
        </w:rPr>
        <w:t>【解析】按照独立性要求，工程监理单位应严格按照法律法规、工程建设标准、勘察设计文，件、建设工程监</w:t>
      </w:r>
      <w:r>
        <w:rPr>
          <w:spacing w:val="216"/>
        </w:rPr>
        <w:t xml:space="preserve"> </w:t>
      </w:r>
      <w:r>
        <w:rPr>
          <w:w w:val="95"/>
        </w:rPr>
        <w:t>理合同及有关建设工程合同等实施监理。在建设工程监理工作过程中，必须建立项目监理机构，按照自己的工</w:t>
      </w:r>
      <w:r>
        <w:rPr>
          <w:spacing w:val="216"/>
        </w:rPr>
        <w:t xml:space="preserve"> </w:t>
      </w:r>
      <w:r>
        <w:rPr>
          <w:spacing w:val="1"/>
          <w:w w:val="95"/>
        </w:rPr>
        <w:t xml:space="preserve">作计划和程序，根据自己的判断，采用科学的方法和手段，独立地开展工作。选项 </w:t>
      </w:r>
      <w:r>
        <w:rPr>
          <w:w w:val="95"/>
        </w:rPr>
        <w:t>AB</w:t>
      </w:r>
      <w:r>
        <w:rPr>
          <w:spacing w:val="5"/>
          <w:w w:val="95"/>
        </w:rPr>
        <w:t xml:space="preserve"> 属于科学性，选项 </w:t>
      </w:r>
      <w:r>
        <w:rPr>
          <w:w w:val="95"/>
        </w:rPr>
        <w:t>E</w:t>
      </w:r>
      <w:r>
        <w:rPr>
          <w:spacing w:val="11"/>
          <w:w w:val="95"/>
        </w:rPr>
        <w:t xml:space="preserve"> 属于</w:t>
      </w:r>
      <w:r>
        <w:t>公平性。</w:t>
      </w:r>
    </w:p>
    <w:p>
      <w:pPr>
        <w:pStyle w:val="BodyText"/>
        <w:spacing w:before="7"/>
        <w:ind w:left="0"/>
        <w:rPr>
          <w:sz w:val="7"/>
        </w:rPr>
      </w:pPr>
    </w:p>
    <w:p>
      <w:pPr>
        <w:pStyle w:val="BodyText"/>
        <w:spacing w:before="70"/>
      </w:pPr>
      <w:r>
        <w:t>1.强制实施监理的工程范围</w:t>
      </w:r>
    </w:p>
    <w:p>
      <w:pPr>
        <w:pStyle w:val="BodyText"/>
        <w:spacing w:before="103"/>
      </w:pPr>
      <w:r>
        <w:rPr>
          <w:spacing w:val="-9"/>
          <w:w w:val="99"/>
        </w:rPr>
        <w:t>《建筑法》第三十条规定：“国家推行建筑工程监理制度。国务院可以规定实行强制监理的建筑工程的范围。”</w:t>
      </w:r>
    </w:p>
    <w:p>
      <w:pPr>
        <w:pStyle w:val="BodyText"/>
        <w:spacing w:before="105" w:line="333" w:lineRule="auto"/>
        <w:ind w:right="364"/>
        <w:jc w:val="both"/>
      </w:pPr>
      <w:r>
        <w:rPr>
          <w:w w:val="95"/>
        </w:rPr>
        <w:t>《建设工程质量管理条例》第十二条规定，五类工程必须实行监理：①国家重点建设工程；②大中型公用事业</w:t>
      </w:r>
      <w:r>
        <w:rPr>
          <w:spacing w:val="219"/>
        </w:rPr>
        <w:t xml:space="preserve"> </w:t>
      </w:r>
      <w:r>
        <w:rPr>
          <w:w w:val="95"/>
        </w:rPr>
        <w:t>工程；③成片开发建设的住宅小区工程；④利用外国政府或者国际组织贷款、援助资金的工程；⑤国家规定必</w:t>
      </w:r>
      <w:r>
        <w:rPr>
          <w:spacing w:val="209"/>
        </w:rPr>
        <w:t xml:space="preserve"> </w:t>
      </w:r>
      <w:r>
        <w:t>须实行监理的其他工程。</w:t>
      </w:r>
    </w:p>
    <w:p>
      <w:pPr>
        <w:pStyle w:val="BodyText"/>
        <w:spacing w:before="3" w:line="331" w:lineRule="auto"/>
        <w:ind w:right="367"/>
        <w:jc w:val="both"/>
      </w:pPr>
      <w:r>
        <w:rPr>
          <w:spacing w:val="-7"/>
          <w:w w:val="95"/>
        </w:rPr>
        <w:t>《建设工程监理范围和规模标准规定》</w:t>
      </w:r>
      <w:r>
        <w:rPr>
          <w:w w:val="95"/>
        </w:rPr>
        <w:t>（建设部令第</w:t>
      </w:r>
      <w:r>
        <w:rPr>
          <w:spacing w:val="155"/>
        </w:rPr>
        <w:t xml:space="preserve"> </w:t>
      </w:r>
      <w:r>
        <w:rPr>
          <w:w w:val="95"/>
        </w:rPr>
        <w:t>86</w:t>
      </w:r>
      <w:r>
        <w:rPr>
          <w:spacing w:val="137"/>
        </w:rPr>
        <w:t xml:space="preserve"> </w:t>
      </w:r>
      <w:r>
        <w:rPr>
          <w:w w:val="95"/>
        </w:rPr>
        <w:t>号）又进一步细化了必须实行监理的工程范围和规模标</w:t>
      </w:r>
      <w:r>
        <w:t>准：</w:t>
      </w:r>
    </w:p>
    <w:p>
      <w:pPr>
        <w:pStyle w:val="ListParagraph"/>
        <w:numPr>
          <w:ilvl w:val="0"/>
          <w:numId w:val="2"/>
        </w:numPr>
        <w:tabs>
          <w:tab w:val="left" w:pos="752"/>
        </w:tabs>
        <w:spacing w:before="4" w:after="0" w:line="333" w:lineRule="auto"/>
        <w:ind w:left="227" w:right="2584" w:firstLine="0"/>
        <w:jc w:val="left"/>
        <w:rPr>
          <w:sz w:val="21"/>
        </w:rPr>
      </w:pPr>
      <w:r>
        <w:rPr>
          <w:w w:val="95"/>
          <w:sz w:val="21"/>
        </w:rPr>
        <w:t>国家重点建设工程。是指对国民经济和社会发展有重大影响的骨干项目，包括：</w:t>
      </w:r>
      <w:r>
        <w:rPr>
          <w:spacing w:val="1"/>
          <w:w w:val="95"/>
          <w:sz w:val="21"/>
        </w:rPr>
        <w:t xml:space="preserve"> </w:t>
      </w:r>
      <w:r>
        <w:rPr>
          <w:sz w:val="21"/>
        </w:rPr>
        <w:t>1）基础设施、基础产业和支柱产业中的大型项目；</w:t>
      </w:r>
    </w:p>
    <w:p>
      <w:pPr>
        <w:pStyle w:val="ListParagraph"/>
        <w:numPr>
          <w:ilvl w:val="0"/>
          <w:numId w:val="3"/>
        </w:numPr>
        <w:tabs>
          <w:tab w:val="left" w:pos="543"/>
        </w:tabs>
        <w:spacing w:before="1" w:after="0" w:line="240" w:lineRule="auto"/>
        <w:ind w:left="542" w:right="0" w:hanging="316"/>
        <w:jc w:val="left"/>
        <w:rPr>
          <w:sz w:val="21"/>
        </w:rPr>
      </w:pPr>
      <w:r>
        <w:rPr>
          <w:sz w:val="21"/>
        </w:rPr>
        <w:t>高科技并能带动行业技术进步的项目；</w:t>
      </w:r>
    </w:p>
    <w:p>
      <w:pPr>
        <w:pStyle w:val="ListParagraph"/>
        <w:numPr>
          <w:ilvl w:val="0"/>
          <w:numId w:val="3"/>
        </w:numPr>
        <w:tabs>
          <w:tab w:val="left" w:pos="543"/>
        </w:tabs>
        <w:spacing w:before="108" w:after="0" w:line="240" w:lineRule="auto"/>
        <w:ind w:left="542" w:right="0" w:hanging="316"/>
        <w:jc w:val="left"/>
        <w:rPr>
          <w:sz w:val="21"/>
        </w:rPr>
      </w:pPr>
      <w:r>
        <w:rPr>
          <w:sz w:val="21"/>
        </w:rPr>
        <w:t>跨地区并对全国经济发展或者区域经济发展有重大影响的项目；</w:t>
      </w:r>
    </w:p>
    <w:p>
      <w:pPr>
        <w:pStyle w:val="ListParagraph"/>
        <w:numPr>
          <w:ilvl w:val="0"/>
          <w:numId w:val="3"/>
        </w:numPr>
        <w:tabs>
          <w:tab w:val="left" w:pos="543"/>
        </w:tabs>
        <w:spacing w:before="103" w:after="0" w:line="240" w:lineRule="auto"/>
        <w:ind w:left="542" w:right="0" w:hanging="316"/>
        <w:jc w:val="left"/>
        <w:rPr>
          <w:sz w:val="21"/>
        </w:rPr>
      </w:pPr>
      <w:r>
        <w:rPr>
          <w:sz w:val="21"/>
        </w:rPr>
        <w:t>对社会发展有重大影响的项目；</w:t>
      </w:r>
    </w:p>
    <w:p>
      <w:pPr>
        <w:pStyle w:val="ListParagraph"/>
        <w:numPr>
          <w:ilvl w:val="0"/>
          <w:numId w:val="3"/>
        </w:numPr>
        <w:tabs>
          <w:tab w:val="left" w:pos="543"/>
        </w:tabs>
        <w:spacing w:before="108" w:after="0" w:line="240" w:lineRule="auto"/>
        <w:ind w:left="542" w:right="0" w:hanging="316"/>
        <w:jc w:val="left"/>
        <w:rPr>
          <w:sz w:val="21"/>
        </w:rPr>
      </w:pPr>
      <w:r>
        <w:rPr>
          <w:sz w:val="21"/>
        </w:rPr>
        <w:t>其他骨干项目。</w:t>
      </w:r>
    </w:p>
    <w:p>
      <w:pPr>
        <w:pStyle w:val="ListParagraph"/>
        <w:numPr>
          <w:ilvl w:val="0"/>
          <w:numId w:val="2"/>
        </w:numPr>
        <w:tabs>
          <w:tab w:val="left" w:pos="752"/>
        </w:tabs>
        <w:spacing w:before="102" w:after="0" w:line="240" w:lineRule="auto"/>
        <w:ind w:left="751" w:right="0" w:hanging="525"/>
        <w:jc w:val="left"/>
        <w:rPr>
          <w:sz w:val="21"/>
        </w:rPr>
      </w:pPr>
      <w:r>
        <w:rPr>
          <w:spacing w:val="4"/>
          <w:w w:val="95"/>
          <w:sz w:val="21"/>
        </w:rPr>
        <w:t xml:space="preserve">大中型公用事业工程。是指项目总投资额在 </w:t>
      </w:r>
      <w:r>
        <w:rPr>
          <w:w w:val="95"/>
          <w:sz w:val="21"/>
        </w:rPr>
        <w:t>3000</w:t>
      </w:r>
      <w:r>
        <w:rPr>
          <w:spacing w:val="3"/>
          <w:w w:val="95"/>
          <w:sz w:val="21"/>
        </w:rPr>
        <w:t xml:space="preserve"> 万元以上的下列工程项目：</w:t>
      </w:r>
    </w:p>
    <w:p>
      <w:pPr>
        <w:pStyle w:val="BodyText"/>
        <w:spacing w:before="106"/>
      </w:pPr>
      <w:r>
        <w:t>①供水、供电、供气、供热等市政工程项目；</w:t>
      </w:r>
    </w:p>
    <w:p>
      <w:pPr>
        <w:pStyle w:val="BodyText"/>
        <w:spacing w:before="108"/>
      </w:pPr>
      <w:r>
        <w:rPr>
          <w:w w:val="95"/>
        </w:rPr>
        <w:t>②科技、教育、文化等项目；</w:t>
      </w:r>
    </w:p>
    <w:p>
      <w:pPr>
        <w:pStyle w:val="BodyText"/>
        <w:spacing w:before="102"/>
      </w:pPr>
      <w:r>
        <w:rPr>
          <w:w w:val="95"/>
        </w:rPr>
        <w:t>③体育、旅游、商业等项目；</w:t>
      </w:r>
    </w:p>
    <w:p>
      <w:pPr>
        <w:pStyle w:val="BodyText"/>
        <w:spacing w:before="108"/>
      </w:pPr>
      <w:r>
        <w:t>④卫生、社会福利等项目；</w:t>
      </w:r>
    </w:p>
    <w:p>
      <w:pPr>
        <w:pStyle w:val="BodyText"/>
        <w:spacing w:before="103"/>
      </w:pPr>
      <w:r>
        <w:t>⑤其他公用事业项目。</w:t>
      </w:r>
    </w:p>
    <w:p>
      <w:pPr>
        <w:pStyle w:val="ListParagraph"/>
        <w:numPr>
          <w:ilvl w:val="0"/>
          <w:numId w:val="2"/>
        </w:numPr>
        <w:tabs>
          <w:tab w:val="left" w:pos="752"/>
        </w:tabs>
        <w:spacing w:before="105" w:after="0" w:line="336" w:lineRule="auto"/>
        <w:ind w:left="227" w:right="367" w:firstLine="0"/>
        <w:jc w:val="left"/>
        <w:rPr>
          <w:sz w:val="21"/>
        </w:rPr>
      </w:pPr>
      <w:r>
        <w:rPr>
          <w:spacing w:val="-3"/>
          <w:w w:val="99"/>
          <w:sz w:val="21"/>
        </w:rPr>
        <w:t>成片开发建设的住宅小区工程。建筑面积在</w:t>
      </w:r>
      <w:r>
        <w:rPr>
          <w:spacing w:val="-53"/>
          <w:sz w:val="21"/>
        </w:rPr>
        <w:t xml:space="preserve"> </w:t>
      </w:r>
      <w:r>
        <w:rPr>
          <w:w w:val="99"/>
          <w:sz w:val="21"/>
        </w:rPr>
        <w:t>5</w:t>
      </w:r>
      <w:r>
        <w:rPr>
          <w:spacing w:val="-52"/>
          <w:sz w:val="21"/>
        </w:rPr>
        <w:t xml:space="preserve"> </w:t>
      </w:r>
      <w:r>
        <w:rPr>
          <w:w w:val="99"/>
          <w:sz w:val="21"/>
        </w:rPr>
        <w:t>万</w:t>
      </w:r>
      <w:r>
        <w:rPr>
          <w:spacing w:val="-53"/>
          <w:sz w:val="21"/>
        </w:rPr>
        <w:t xml:space="preserve"> </w:t>
      </w:r>
      <w:r>
        <w:rPr>
          <w:spacing w:val="1"/>
          <w:w w:val="99"/>
          <w:sz w:val="21"/>
        </w:rPr>
        <w:t>m</w:t>
      </w:r>
      <w:r>
        <w:rPr>
          <w:w w:val="106"/>
          <w:position w:val="10"/>
          <w:sz w:val="10"/>
        </w:rPr>
        <w:t>2</w:t>
      </w:r>
      <w:r>
        <w:rPr>
          <w:spacing w:val="-24"/>
          <w:position w:val="10"/>
          <w:sz w:val="10"/>
        </w:rPr>
        <w:t xml:space="preserve"> </w:t>
      </w:r>
      <w:r>
        <w:rPr>
          <w:spacing w:val="-3"/>
          <w:w w:val="99"/>
          <w:sz w:val="21"/>
        </w:rPr>
        <w:t>以上的住宅建设工程必须实行监理；</w:t>
      </w:r>
      <w:r>
        <w:rPr>
          <w:w w:val="99"/>
          <w:sz w:val="21"/>
        </w:rPr>
        <w:t>5</w:t>
      </w:r>
      <w:r>
        <w:rPr>
          <w:spacing w:val="-54"/>
          <w:sz w:val="21"/>
        </w:rPr>
        <w:t xml:space="preserve"> </w:t>
      </w:r>
      <w:r>
        <w:rPr>
          <w:w w:val="99"/>
          <w:sz w:val="21"/>
        </w:rPr>
        <w:t>万</w:t>
      </w:r>
      <w:r>
        <w:rPr>
          <w:spacing w:val="-50"/>
          <w:sz w:val="21"/>
        </w:rPr>
        <w:t xml:space="preserve"> </w:t>
      </w:r>
      <w:r>
        <w:rPr>
          <w:spacing w:val="-2"/>
          <w:w w:val="99"/>
          <w:sz w:val="21"/>
        </w:rPr>
        <w:t>m</w:t>
      </w:r>
      <w:r>
        <w:rPr>
          <w:w w:val="106"/>
          <w:position w:val="10"/>
          <w:sz w:val="10"/>
        </w:rPr>
        <w:t>2</w:t>
      </w:r>
      <w:r>
        <w:rPr>
          <w:spacing w:val="-24"/>
          <w:position w:val="10"/>
          <w:sz w:val="10"/>
        </w:rPr>
        <w:t xml:space="preserve"> </w:t>
      </w:r>
      <w:r>
        <w:rPr>
          <w:spacing w:val="-1"/>
          <w:w w:val="99"/>
          <w:sz w:val="21"/>
        </w:rPr>
        <w:t>以下的住</w:t>
      </w:r>
      <w:r>
        <w:rPr>
          <w:sz w:val="21"/>
        </w:rPr>
        <w:t>宅建设工程，可以实行监理。</w:t>
      </w:r>
    </w:p>
    <w:p>
      <w:pPr>
        <w:pStyle w:val="BodyText"/>
        <w:spacing w:line="265" w:lineRule="exact"/>
      </w:pPr>
      <w:r>
        <w:t>为了保证住宅质量，对高层住宅及地基、结构复杂的多层住宅应当实行监理。</w:t>
      </w:r>
    </w:p>
    <w:p>
      <w:pPr>
        <w:spacing w:after="0" w:line="265" w:lineRule="exact"/>
        <w:sectPr>
          <w:pgSz w:w="11910" w:h="16840"/>
          <w:pgMar w:top="1180" w:right="540" w:bottom="280" w:left="680" w:header="993" w:footer="0" w:gutter="0"/>
          <w:pgNumType w:start="3"/>
          <w:cols w:space="708"/>
        </w:sectPr>
      </w:pPr>
    </w:p>
    <w:p>
      <w:pPr>
        <w:pStyle w:val="ListParagraph"/>
        <w:numPr>
          <w:ilvl w:val="0"/>
          <w:numId w:val="2"/>
        </w:numPr>
        <w:tabs>
          <w:tab w:val="left" w:pos="752"/>
        </w:tabs>
        <w:spacing w:before="54" w:after="0" w:line="331" w:lineRule="auto"/>
        <w:ind w:left="227" w:right="4473" w:firstLine="0"/>
        <w:jc w:val="left"/>
        <w:rPr>
          <w:sz w:val="21"/>
        </w:rPr>
      </w:pPr>
      <w:r>
        <w:rPr>
          <w:w w:val="95"/>
          <w:sz w:val="21"/>
        </w:rPr>
        <w:t>利用外国政府或者国际组织贷款、援助资金的工程。包括：</w:t>
      </w:r>
      <w:r>
        <w:rPr>
          <w:spacing w:val="1"/>
          <w:w w:val="95"/>
          <w:sz w:val="21"/>
        </w:rPr>
        <w:t xml:space="preserve"> </w:t>
      </w:r>
      <w:r>
        <w:rPr>
          <w:sz w:val="21"/>
        </w:rPr>
        <w:t>1）使用世界银行、亚洲开发银行等国际组织贷款资金的项目；</w:t>
      </w:r>
    </w:p>
    <w:p>
      <w:pPr>
        <w:pStyle w:val="ListParagraph"/>
        <w:numPr>
          <w:ilvl w:val="0"/>
          <w:numId w:val="4"/>
        </w:numPr>
        <w:tabs>
          <w:tab w:val="left" w:pos="543"/>
        </w:tabs>
        <w:spacing w:before="4" w:after="0" w:line="240" w:lineRule="auto"/>
        <w:ind w:left="542" w:right="0" w:hanging="316"/>
        <w:jc w:val="left"/>
        <w:rPr>
          <w:sz w:val="21"/>
        </w:rPr>
      </w:pPr>
      <w:r>
        <w:rPr>
          <w:sz w:val="21"/>
        </w:rPr>
        <w:t>使用国外政府及其机构贷款资金的项目；</w:t>
      </w:r>
    </w:p>
    <w:p>
      <w:pPr>
        <w:pStyle w:val="ListParagraph"/>
        <w:numPr>
          <w:ilvl w:val="0"/>
          <w:numId w:val="4"/>
        </w:numPr>
        <w:tabs>
          <w:tab w:val="left" w:pos="543"/>
        </w:tabs>
        <w:spacing w:before="108" w:after="0" w:line="240" w:lineRule="auto"/>
        <w:ind w:left="542" w:right="0" w:hanging="316"/>
        <w:jc w:val="left"/>
        <w:rPr>
          <w:sz w:val="21"/>
        </w:rPr>
      </w:pPr>
      <w:r>
        <w:rPr>
          <w:sz w:val="21"/>
        </w:rPr>
        <w:t>使用国际组织或者国外政府援助资金的项目。</w:t>
      </w:r>
    </w:p>
    <w:p>
      <w:pPr>
        <w:pStyle w:val="ListParagraph"/>
        <w:numPr>
          <w:ilvl w:val="0"/>
          <w:numId w:val="2"/>
        </w:numPr>
        <w:tabs>
          <w:tab w:val="left" w:pos="752"/>
        </w:tabs>
        <w:spacing w:before="103" w:after="0" w:line="240" w:lineRule="auto"/>
        <w:ind w:left="751" w:right="0" w:hanging="525"/>
        <w:jc w:val="left"/>
        <w:rPr>
          <w:sz w:val="21"/>
        </w:rPr>
      </w:pPr>
      <w:r>
        <w:rPr>
          <w:sz w:val="21"/>
        </w:rPr>
        <w:t>国家规定必须实行监理的其他工程。是指：</w:t>
      </w:r>
    </w:p>
    <w:p>
      <w:pPr>
        <w:pStyle w:val="ListParagraph"/>
        <w:numPr>
          <w:ilvl w:val="0"/>
          <w:numId w:val="5"/>
        </w:numPr>
        <w:tabs>
          <w:tab w:val="left" w:pos="543"/>
        </w:tabs>
        <w:spacing w:before="107" w:after="0" w:line="240" w:lineRule="auto"/>
        <w:ind w:left="542" w:right="0" w:hanging="316"/>
        <w:jc w:val="left"/>
        <w:rPr>
          <w:sz w:val="21"/>
        </w:rPr>
      </w:pPr>
      <w:r>
        <w:rPr>
          <w:spacing w:val="12"/>
          <w:w w:val="95"/>
          <w:sz w:val="21"/>
        </w:rPr>
        <w:t xml:space="preserve">项目总投资额在 </w:t>
      </w:r>
      <w:r>
        <w:rPr>
          <w:w w:val="95"/>
          <w:sz w:val="21"/>
        </w:rPr>
        <w:t>3000 万元以上关系社会公共利益、公众安全的下列基础设施项目：</w:t>
      </w:r>
    </w:p>
    <w:p>
      <w:pPr>
        <w:pStyle w:val="BodyText"/>
        <w:spacing w:before="103"/>
      </w:pPr>
      <w:r>
        <w:t>①煤炭、石油、化工、天然气、电力、新能源等项目；</w:t>
      </w:r>
    </w:p>
    <w:p>
      <w:pPr>
        <w:pStyle w:val="BodyText"/>
        <w:spacing w:before="106"/>
      </w:pPr>
      <w:r>
        <w:t>②铁路、公路、管道、水运、民航以及其他交通运输业等项目；</w:t>
      </w:r>
    </w:p>
    <w:p>
      <w:pPr>
        <w:pStyle w:val="BodyText"/>
        <w:spacing w:before="107"/>
      </w:pPr>
      <w:r>
        <w:t>③邮政、电信枢纽、通信、信息网络等项目；</w:t>
      </w:r>
    </w:p>
    <w:p>
      <w:pPr>
        <w:pStyle w:val="BodyText"/>
        <w:spacing w:before="103"/>
      </w:pPr>
      <w:r>
        <w:t>④防洪、灌溉、排涝、发电、引（供）水、滩涂治理、水资源保护、水土保持等水利建设项目；</w:t>
      </w:r>
    </w:p>
    <w:p>
      <w:pPr>
        <w:pStyle w:val="BodyText"/>
        <w:spacing w:before="106"/>
      </w:pPr>
      <w:r>
        <w:rPr>
          <w:w w:val="95"/>
        </w:rPr>
        <w:t>⑤道路、桥梁、地铁和轻轨交通、污水排放及处理、垃圾处理、地下管道、公共停车场等城市基础设施项目；</w:t>
      </w:r>
    </w:p>
    <w:p>
      <w:pPr>
        <w:pStyle w:val="BodyText"/>
        <w:spacing w:before="105"/>
      </w:pPr>
      <w:r>
        <w:rPr>
          <w:w w:val="95"/>
        </w:rPr>
        <w:t>⑥生态环境保护项目；</w:t>
      </w:r>
    </w:p>
    <w:p>
      <w:pPr>
        <w:pStyle w:val="BodyText"/>
        <w:spacing w:before="105"/>
      </w:pPr>
      <w:r>
        <w:rPr>
          <w:w w:val="95"/>
        </w:rPr>
        <w:t>⑦其他基础设施项目。</w:t>
      </w:r>
    </w:p>
    <w:p>
      <w:pPr>
        <w:pStyle w:val="ListParagraph"/>
        <w:numPr>
          <w:ilvl w:val="0"/>
          <w:numId w:val="5"/>
        </w:numPr>
        <w:tabs>
          <w:tab w:val="left" w:pos="543"/>
        </w:tabs>
        <w:spacing w:before="108" w:after="0" w:line="240" w:lineRule="auto"/>
        <w:ind w:left="542" w:right="0" w:hanging="316"/>
        <w:jc w:val="left"/>
        <w:rPr>
          <w:sz w:val="21"/>
        </w:rPr>
      </w:pPr>
      <w:r>
        <w:rPr>
          <w:sz w:val="21"/>
        </w:rPr>
        <w:t>学校、影剧院、体育场馆项目。</w:t>
      </w:r>
    </w:p>
    <w:p>
      <w:pPr>
        <w:pStyle w:val="BodyText"/>
        <w:spacing w:before="103"/>
      </w:pPr>
      <w:r>
        <w:rPr>
          <w:spacing w:val="1"/>
          <w:w w:val="95"/>
        </w:rPr>
        <w:t xml:space="preserve">【分值】考试形式为选择题，分值为 </w:t>
      </w:r>
      <w:r>
        <w:rPr>
          <w:w w:val="95"/>
        </w:rPr>
        <w:t>1-2</w:t>
      </w:r>
      <w:r>
        <w:rPr>
          <w:spacing w:val="3"/>
          <w:w w:val="95"/>
        </w:rPr>
        <w:t xml:space="preserve"> 分。</w:t>
      </w:r>
    </w:p>
    <w:p>
      <w:pPr>
        <w:pStyle w:val="BodyText"/>
        <w:spacing w:before="105"/>
      </w:pPr>
      <w:r>
        <w:rPr>
          <w:spacing w:val="-10"/>
          <w:w w:val="99"/>
        </w:rPr>
        <w:t>【记忆方法】分两个方面：“有条件+无条件”进行掌握</w:t>
      </w:r>
    </w:p>
    <w:p>
      <w:pPr>
        <w:pStyle w:val="BodyText"/>
        <w:spacing w:before="8"/>
        <w:ind w:left="0"/>
        <w:rPr>
          <w:sz w:val="7"/>
        </w:rPr>
      </w:pPr>
      <w:r>
        <w:pict>
          <v:shape id="docshape5" o:spid="_x0000_s1028" type="#_x0000_t202" style="width:82.8pt;height:19.9pt;margin-top:8.35pt;margin-left:48.3pt;mso-height-relative:page;mso-position-horizontal-relative:page;mso-width-relative:page;mso-wrap-distance-bottom:0;mso-wrap-distance-top:0;position:absolute;z-index:-251656192" coordsize="21600,21600" filled="f" stroked="t" strokecolor="black">
            <v:textbox inset="0,0,0,0">
              <w:txbxContent>
                <w:p>
                  <w:pPr>
                    <w:spacing w:before="3" w:line="306" w:lineRule="exact"/>
                    <w:ind w:left="1" w:right="0" w:firstLine="0"/>
                    <w:jc w:val="left"/>
                    <w:rPr>
                      <w:b/>
                      <w:sz w:val="24"/>
                    </w:rPr>
                  </w:pPr>
                  <w:r>
                    <w:rPr>
                      <w:b/>
                      <w:sz w:val="24"/>
                    </w:rPr>
                    <w:t>精选习题·02</w:t>
                  </w:r>
                </w:p>
              </w:txbxContent>
            </v:textbox>
            <w10:wrap type="topAndBottom"/>
          </v:shape>
        </w:pict>
      </w:r>
    </w:p>
    <w:p>
      <w:pPr>
        <w:pStyle w:val="BodyText"/>
        <w:spacing w:before="5"/>
        <w:ind w:left="0"/>
        <w:rPr>
          <w:sz w:val="7"/>
        </w:rPr>
      </w:pPr>
    </w:p>
    <w:p>
      <w:pPr>
        <w:pStyle w:val="BodyText"/>
        <w:tabs>
          <w:tab w:val="left" w:pos="1695"/>
        </w:tabs>
        <w:spacing w:before="69" w:line="333" w:lineRule="auto"/>
        <w:ind w:right="367"/>
      </w:pPr>
      <w:r>
        <w:rPr>
          <w:w w:val="95"/>
        </w:rPr>
        <w:t>【2022】根据《建设工程监理范围和规模标准规定</w:t>
      </w:r>
      <w:r>
        <w:rPr>
          <w:spacing w:val="-104"/>
          <w:w w:val="95"/>
        </w:rPr>
        <w:t>》</w:t>
      </w:r>
      <w:r>
        <w:rPr>
          <w:w w:val="95"/>
        </w:rPr>
        <w:t>，总投资额均为</w:t>
      </w:r>
      <w:r>
        <w:rPr>
          <w:spacing w:val="144"/>
        </w:rPr>
        <w:t xml:space="preserve"> </w:t>
      </w:r>
      <w:r>
        <w:rPr>
          <w:w w:val="95"/>
        </w:rPr>
        <w:t>2000</w:t>
      </w:r>
      <w:r>
        <w:rPr>
          <w:spacing w:val="140"/>
        </w:rPr>
        <w:t xml:space="preserve"> </w:t>
      </w:r>
      <w:r>
        <w:rPr>
          <w:w w:val="95"/>
        </w:rPr>
        <w:t>万元的下列工程项目，属于强制实行</w:t>
      </w:r>
      <w:r>
        <w:t>监理的是（</w:t>
      </w:r>
      <w:r>
        <w:tab/>
      </w:r>
      <w:r>
        <w:rPr>
          <w:spacing w:val="-104"/>
        </w:rPr>
        <w:t>）</w:t>
      </w:r>
      <w:r>
        <w:t>。</w:t>
      </w:r>
    </w:p>
    <w:p>
      <w:pPr>
        <w:pStyle w:val="BodyText"/>
        <w:spacing w:before="4" w:line="331" w:lineRule="auto"/>
        <w:ind w:left="647" w:right="7730"/>
      </w:pPr>
      <w:r>
        <w:rPr>
          <w:spacing w:val="-1"/>
        </w:rPr>
        <w:t>A.某地铁和轻轨交通项目</w:t>
      </w:r>
      <w:r>
        <w:t>B.某垃圾处理项目</w:t>
      </w:r>
    </w:p>
    <w:p>
      <w:pPr>
        <w:pStyle w:val="BodyText"/>
        <w:spacing w:before="3" w:line="333" w:lineRule="auto"/>
        <w:ind w:left="647" w:right="8570"/>
      </w:pPr>
      <w:r>
        <w:t>C.某学校项目</w:t>
      </w:r>
      <w:r>
        <w:rPr>
          <w:spacing w:val="1"/>
        </w:rPr>
        <w:t xml:space="preserve"> </w:t>
      </w:r>
      <w:r>
        <w:rPr>
          <w:spacing w:val="-1"/>
        </w:rPr>
        <w:t>D.某体育场项目E.某新能源项目</w:t>
      </w:r>
    </w:p>
    <w:p>
      <w:pPr>
        <w:pStyle w:val="BodyText"/>
        <w:spacing w:before="4"/>
      </w:pPr>
      <w:r>
        <w:t>【答案】CD</w:t>
      </w:r>
    </w:p>
    <w:p>
      <w:pPr>
        <w:pStyle w:val="BodyText"/>
        <w:spacing w:before="103" w:line="333" w:lineRule="auto"/>
        <w:ind w:right="367"/>
        <w:jc w:val="both"/>
      </w:pPr>
      <w:r>
        <w:pict>
          <v:shape id="docshape6" o:spid="_x0000_s1029" type="#_x0000_t202" style="width:82.8pt;height:19.9pt;margin-top:83.1pt;margin-left:48.3pt;mso-height-relative:page;mso-position-horizontal-relative:page;mso-width-relative:page;mso-wrap-distance-bottom:0;mso-wrap-distance-top:0;position:absolute;z-index:-251655168" coordsize="21600,21600" filled="f" stroked="t" strokecolor="black">
            <v:textbox inset="0,0,0,0">
              <w:txbxContent>
                <w:p>
                  <w:pPr>
                    <w:spacing w:before="3" w:line="306" w:lineRule="exact"/>
                    <w:ind w:left="1" w:right="0" w:firstLine="0"/>
                    <w:jc w:val="left"/>
                    <w:rPr>
                      <w:b/>
                      <w:sz w:val="24"/>
                    </w:rPr>
                  </w:pPr>
                  <w:r>
                    <w:rPr>
                      <w:b/>
                      <w:sz w:val="24"/>
                    </w:rPr>
                    <w:t>重要考点·03</w:t>
                  </w:r>
                </w:p>
              </w:txbxContent>
            </v:textbox>
            <w10:wrap type="topAndBottom"/>
          </v:shape>
        </w:pict>
      </w:r>
      <w:r>
        <w:rPr>
          <w:w w:val="95"/>
        </w:rPr>
        <w:t>【解析】必须实行监理的工程范围有：①国家重点建设工程；②大中型公用事业工程（总投资额在</w:t>
      </w:r>
      <w:r>
        <w:rPr>
          <w:spacing w:val="99"/>
        </w:rPr>
        <w:t xml:space="preserve"> </w:t>
      </w:r>
      <w:r>
        <w:rPr>
          <w:w w:val="95"/>
        </w:rPr>
        <w:t>3000</w:t>
      </w:r>
      <w:r>
        <w:rPr>
          <w:spacing w:val="96"/>
        </w:rPr>
        <w:t xml:space="preserve"> </w:t>
      </w:r>
      <w:r>
        <w:rPr>
          <w:w w:val="95"/>
        </w:rPr>
        <w:t>万元以</w:t>
      </w:r>
      <w:r>
        <w:rPr>
          <w:spacing w:val="-1"/>
          <w:w w:val="99"/>
        </w:rPr>
        <w:t>上</w:t>
      </w:r>
      <w:r>
        <w:rPr>
          <w:spacing w:val="-104"/>
          <w:w w:val="99"/>
        </w:rPr>
        <w:t>）</w:t>
      </w:r>
      <w:r>
        <w:rPr>
          <w:spacing w:val="-1"/>
          <w:w w:val="99"/>
        </w:rPr>
        <w:t>；③成片开发建设的住宅小区工程（建筑面积在</w:t>
      </w:r>
      <w:r>
        <w:rPr>
          <w:spacing w:val="-53"/>
        </w:rPr>
        <w:t xml:space="preserve"> </w:t>
      </w:r>
      <w:r>
        <w:rPr>
          <w:w w:val="99"/>
        </w:rPr>
        <w:t>5</w:t>
      </w:r>
      <w:r>
        <w:rPr>
          <w:spacing w:val="-52"/>
        </w:rPr>
        <w:t xml:space="preserve"> </w:t>
      </w:r>
      <w:r>
        <w:rPr>
          <w:w w:val="99"/>
        </w:rPr>
        <w:t>万</w:t>
      </w:r>
      <w:r>
        <w:rPr>
          <w:spacing w:val="-53"/>
        </w:rPr>
        <w:t xml:space="preserve"> </w:t>
      </w:r>
      <w:r>
        <w:rPr>
          <w:spacing w:val="1"/>
          <w:w w:val="99"/>
        </w:rPr>
        <w:t>m</w:t>
      </w:r>
      <w:r>
        <w:rPr>
          <w:w w:val="106"/>
          <w:position w:val="11"/>
          <w:sz w:val="10"/>
        </w:rPr>
        <w:t>2</w:t>
      </w:r>
      <w:r>
        <w:rPr>
          <w:spacing w:val="-24"/>
          <w:position w:val="11"/>
          <w:sz w:val="10"/>
        </w:rPr>
        <w:t xml:space="preserve"> </w:t>
      </w:r>
      <w:r>
        <w:rPr>
          <w:w w:val="99"/>
        </w:rPr>
        <w:t>以上</w:t>
      </w:r>
      <w:r>
        <w:rPr>
          <w:spacing w:val="-104"/>
          <w:w w:val="99"/>
        </w:rPr>
        <w:t>）</w:t>
      </w:r>
      <w:r>
        <w:rPr>
          <w:spacing w:val="-2"/>
          <w:w w:val="99"/>
        </w:rPr>
        <w:t>；④利用外国政府或者国际组织贷款、援助资</w:t>
      </w:r>
      <w:r>
        <w:rPr>
          <w:spacing w:val="-1"/>
          <w:w w:val="99"/>
        </w:rPr>
        <w:t>金的工程；⑤关系社会公共利益、公共安全的基础设施项目</w:t>
      </w:r>
      <w:r>
        <w:rPr>
          <w:spacing w:val="2"/>
          <w:w w:val="99"/>
        </w:rPr>
        <w:t>（</w:t>
      </w:r>
      <w:r>
        <w:rPr>
          <w:spacing w:val="-1"/>
          <w:w w:val="99"/>
        </w:rPr>
        <w:t>总投资额在</w:t>
      </w:r>
      <w:r>
        <w:rPr>
          <w:spacing w:val="-50"/>
        </w:rPr>
        <w:t xml:space="preserve"> </w:t>
      </w:r>
      <w:r>
        <w:rPr>
          <w:spacing w:val="1"/>
          <w:w w:val="99"/>
        </w:rPr>
        <w:t>300</w:t>
      </w:r>
      <w:r>
        <w:rPr>
          <w:w w:val="99"/>
        </w:rPr>
        <w:t>0</w:t>
      </w:r>
      <w:r>
        <w:rPr>
          <w:spacing w:val="-54"/>
        </w:rPr>
        <w:t xml:space="preserve"> </w:t>
      </w:r>
      <w:r>
        <w:rPr>
          <w:spacing w:val="-1"/>
          <w:w w:val="99"/>
        </w:rPr>
        <w:t>万元以上</w:t>
      </w:r>
      <w:r>
        <w:rPr>
          <w:spacing w:val="-104"/>
          <w:w w:val="99"/>
        </w:rPr>
        <w:t>）</w:t>
      </w:r>
      <w:r>
        <w:rPr>
          <w:spacing w:val="-1"/>
          <w:w w:val="99"/>
        </w:rPr>
        <w:t>；学校、影剧院、体</w:t>
      </w:r>
      <w:r>
        <w:t>育场馆项目。</w:t>
      </w:r>
    </w:p>
    <w:p>
      <w:pPr>
        <w:pStyle w:val="BodyText"/>
        <w:spacing w:before="7"/>
        <w:ind w:left="0"/>
        <w:rPr>
          <w:sz w:val="7"/>
        </w:rPr>
      </w:pPr>
    </w:p>
    <w:p>
      <w:pPr>
        <w:pStyle w:val="BodyText"/>
        <w:spacing w:before="70"/>
      </w:pPr>
      <w:r>
        <w:t>1.工程监理单位的职责</w:t>
      </w:r>
    </w:p>
    <w:p>
      <w:pPr>
        <w:pStyle w:val="BodyText"/>
        <w:spacing w:before="103" w:line="333" w:lineRule="auto"/>
        <w:ind w:right="368"/>
        <w:jc w:val="both"/>
      </w:pPr>
      <w:r>
        <w:rPr>
          <w:w w:val="95"/>
        </w:rPr>
        <w:t>《建筑法》第三十四条规定：“工程监理单位应当在其资质等级许可的监理范围内，承担工程监理业务。”《建</w:t>
      </w:r>
      <w:r>
        <w:rPr>
          <w:spacing w:val="21"/>
          <w:w w:val="95"/>
        </w:rPr>
        <w:t xml:space="preserve"> </w:t>
      </w:r>
      <w:r>
        <w:rPr>
          <w:w w:val="95"/>
        </w:rPr>
        <w:t>设工程质量管理条例》第三十七条规定：“未经监理工程师签字，建筑材料、建筑构配件和设备不得在工程上</w:t>
      </w:r>
      <w:r>
        <w:rPr>
          <w:spacing w:val="215"/>
        </w:rPr>
        <w:t xml:space="preserve"> </w:t>
      </w:r>
      <w:r>
        <w:rPr>
          <w:w w:val="95"/>
        </w:rPr>
        <w:t>使用或者安装，施工单位不得进行下一道工序的施工。未经总监理工程师签字，建设单位不拨付工程款，不进</w:t>
      </w:r>
      <w:r>
        <w:rPr>
          <w:spacing w:val="205"/>
        </w:rPr>
        <w:t xml:space="preserve"> </w:t>
      </w:r>
      <w:r>
        <w:t>行竣工验收。”</w:t>
      </w:r>
    </w:p>
    <w:p>
      <w:pPr>
        <w:pStyle w:val="BodyText"/>
        <w:spacing w:before="4" w:line="331" w:lineRule="auto"/>
        <w:ind w:right="261"/>
      </w:pPr>
      <w:r>
        <w:t>《建设工程安全生产管理条例》第十四条规定：“工程监理单位应当审查施工组织设计中的安全技术措施或者</w:t>
      </w:r>
      <w:r>
        <w:rPr>
          <w:w w:val="95"/>
        </w:rPr>
        <w:t>专项施工方案是否符合工程建设强制性标准。”“工程监理单位在实施监理过程中，发现存在安全事故隐患的，</w:t>
      </w:r>
    </w:p>
    <w:p>
      <w:pPr>
        <w:spacing w:after="0" w:line="331" w:lineRule="auto"/>
        <w:sectPr>
          <w:pgSz w:w="11910" w:h="16840"/>
          <w:pgMar w:top="1180" w:right="540" w:bottom="280" w:left="680" w:header="993" w:footer="0" w:gutter="0"/>
          <w:pgNumType w:start="4"/>
          <w:cols w:space="708"/>
        </w:sectPr>
      </w:pPr>
    </w:p>
    <w:p>
      <w:pPr>
        <w:pStyle w:val="BodyText"/>
        <w:spacing w:before="54" w:line="331" w:lineRule="auto"/>
        <w:ind w:right="367"/>
      </w:pPr>
      <w:r>
        <w:rPr>
          <w:w w:val="95"/>
        </w:rPr>
        <w:t>应当要求施工单位整改；情况严重的，应当要求施工单位暂时停止施工，并及时报告建设单位。施工单位拒不</w:t>
      </w:r>
      <w:r>
        <w:rPr>
          <w:spacing w:val="206"/>
        </w:rPr>
        <w:t xml:space="preserve"> </w:t>
      </w:r>
      <w:r>
        <w:t>整改或者不停止施工的，工程监理单位应当及时向有关主管部门报告。”</w:t>
      </w:r>
    </w:p>
    <w:p>
      <w:pPr>
        <w:pStyle w:val="BodyText"/>
        <w:spacing w:before="4"/>
      </w:pPr>
      <w:r>
        <w:rPr>
          <w:spacing w:val="1"/>
          <w:w w:val="95"/>
        </w:rPr>
        <w:t xml:space="preserve">【分值】考试形式为选择题，分值为 </w:t>
      </w:r>
      <w:r>
        <w:rPr>
          <w:w w:val="95"/>
        </w:rPr>
        <w:t>1-2</w:t>
      </w:r>
      <w:r>
        <w:rPr>
          <w:spacing w:val="3"/>
          <w:w w:val="95"/>
        </w:rPr>
        <w:t xml:space="preserve"> 分。</w:t>
      </w:r>
    </w:p>
    <w:p>
      <w:pPr>
        <w:pStyle w:val="BodyText"/>
        <w:spacing w:before="108"/>
      </w:pPr>
      <w:r>
        <w:t>【记忆方法】理解记忆</w:t>
      </w:r>
    </w:p>
    <w:p>
      <w:pPr>
        <w:pStyle w:val="BodyText"/>
        <w:spacing w:before="5"/>
        <w:ind w:left="0"/>
        <w:rPr>
          <w:sz w:val="7"/>
        </w:rPr>
      </w:pPr>
      <w:r>
        <w:pict>
          <v:shape id="docshape7" o:spid="_x0000_s1030" type="#_x0000_t202" style="width:82.8pt;height:19.9pt;margin-top:8.2pt;margin-left:48.3pt;mso-height-relative:page;mso-position-horizontal-relative:page;mso-width-relative:page;mso-wrap-distance-bottom:0;mso-wrap-distance-top:0;position:absolute;z-index:-251654144" coordsize="21600,21600" filled="f" stroked="t" strokecolor="black">
            <v:textbox inset="0,0,0,0">
              <w:txbxContent>
                <w:p>
                  <w:pPr>
                    <w:spacing w:before="1"/>
                    <w:ind w:left="1" w:right="0" w:firstLine="0"/>
                    <w:jc w:val="left"/>
                    <w:rPr>
                      <w:b/>
                      <w:sz w:val="24"/>
                    </w:rPr>
                  </w:pPr>
                  <w:r>
                    <w:rPr>
                      <w:b/>
                      <w:sz w:val="24"/>
                    </w:rPr>
                    <w:t>精选习题·03</w:t>
                  </w:r>
                </w:p>
              </w:txbxContent>
            </v:textbox>
            <w10:wrap type="topAndBottom"/>
          </v:shape>
        </w:pict>
      </w:r>
    </w:p>
    <w:p>
      <w:pPr>
        <w:pStyle w:val="BodyText"/>
        <w:spacing w:before="5"/>
        <w:ind w:left="0"/>
        <w:rPr>
          <w:sz w:val="7"/>
        </w:rPr>
      </w:pPr>
    </w:p>
    <w:p>
      <w:pPr>
        <w:pStyle w:val="BodyText"/>
        <w:spacing w:before="70"/>
      </w:pPr>
      <w:r>
        <w:t>【2020</w:t>
      </w:r>
      <w:r>
        <w:rPr>
          <w:spacing w:val="-6"/>
        </w:rPr>
        <w:t>】根据《建设工程安全生产管理条例》，工程监理单位应当审查施工组织设计中安全技术措施是否符合</w:t>
      </w:r>
    </w:p>
    <w:p>
      <w:pPr>
        <w:tabs>
          <w:tab w:val="left" w:pos="855"/>
        </w:tabs>
        <w:spacing w:before="107"/>
        <w:ind w:left="227" w:right="0" w:firstLine="0"/>
        <w:jc w:val="left"/>
        <w:rPr>
          <w:sz w:val="21"/>
        </w:rPr>
      </w:pPr>
      <w:r>
        <w:rPr>
          <w:sz w:val="21"/>
        </w:rPr>
        <w:t>（</w:t>
      </w:r>
      <w:r>
        <w:rPr>
          <w:sz w:val="21"/>
        </w:rPr>
        <w:tab/>
      </w:r>
      <w:r>
        <w:rPr>
          <w:spacing w:val="-104"/>
          <w:sz w:val="21"/>
        </w:rPr>
        <w:t>）</w:t>
      </w:r>
      <w:r>
        <w:rPr>
          <w:sz w:val="21"/>
        </w:rPr>
        <w:t>。</w:t>
      </w:r>
    </w:p>
    <w:p>
      <w:pPr>
        <w:pStyle w:val="BodyText"/>
        <w:spacing w:before="103" w:line="336" w:lineRule="auto"/>
        <w:ind w:left="647" w:right="8570"/>
      </w:pPr>
      <w:r>
        <w:t>A.适应性要求</w:t>
      </w:r>
      <w:r>
        <w:rPr>
          <w:spacing w:val="1"/>
        </w:rPr>
        <w:t xml:space="preserve"> </w:t>
      </w:r>
      <w:r>
        <w:t>B.经济性要求</w:t>
      </w:r>
      <w:r>
        <w:rPr>
          <w:spacing w:val="1"/>
        </w:rPr>
        <w:t xml:space="preserve"> </w:t>
      </w:r>
      <w:r>
        <w:rPr>
          <w:spacing w:val="-1"/>
        </w:rPr>
        <w:t>C.施工进度要求</w:t>
      </w:r>
    </w:p>
    <w:p>
      <w:pPr>
        <w:pStyle w:val="BodyText"/>
        <w:spacing w:line="262" w:lineRule="exact"/>
        <w:ind w:left="647"/>
      </w:pPr>
      <w:r>
        <w:t>D.工程建设强制性标准</w:t>
      </w:r>
    </w:p>
    <w:p>
      <w:pPr>
        <w:pStyle w:val="BodyText"/>
        <w:spacing w:before="106"/>
      </w:pPr>
      <w:r>
        <w:t>【答案】D</w:t>
      </w:r>
    </w:p>
    <w:p>
      <w:pPr>
        <w:pStyle w:val="BodyText"/>
        <w:spacing w:before="105" w:line="333" w:lineRule="auto"/>
        <w:ind w:right="367"/>
      </w:pPr>
      <w:r>
        <w:pict>
          <v:shape id="docshape8" o:spid="_x0000_s1031" type="#_x0000_t202" style="width:82.8pt;height:19.9pt;margin-top:45.75pt;margin-left:48.3pt;mso-height-relative:page;mso-position-horizontal-relative:page;mso-width-relative:page;mso-wrap-distance-bottom:0;mso-wrap-distance-top:0;position:absolute;z-index:-251653120" coordsize="21600,21600" filled="f" stroked="t" strokecolor="black">
            <v:textbox inset="0,0,0,0">
              <w:txbxContent>
                <w:p>
                  <w:pPr>
                    <w:spacing w:before="3" w:line="306" w:lineRule="exact"/>
                    <w:ind w:left="1" w:right="0" w:firstLine="0"/>
                    <w:jc w:val="left"/>
                    <w:rPr>
                      <w:b/>
                      <w:sz w:val="24"/>
                    </w:rPr>
                  </w:pPr>
                  <w:r>
                    <w:rPr>
                      <w:b/>
                      <w:sz w:val="24"/>
                    </w:rPr>
                    <w:t>重要考点·04</w:t>
                  </w:r>
                </w:p>
              </w:txbxContent>
            </v:textbox>
            <w10:wrap type="topAndBottom"/>
          </v:shape>
        </w:pict>
      </w:r>
      <w:r>
        <w:rPr>
          <w:spacing w:val="-15"/>
          <w:w w:val="99"/>
        </w:rPr>
        <w:t>【解析】《建设工程安全生产管理条例》第十四条规定：“工程监理单位应当审查施工组织设计中的安全技术措</w:t>
      </w:r>
      <w:r>
        <w:rPr>
          <w:spacing w:val="-5"/>
        </w:rPr>
        <w:t>施或者专项施工方案是否符合工程建设强制性标准。”</w:t>
      </w:r>
    </w:p>
    <w:p>
      <w:pPr>
        <w:pStyle w:val="BodyText"/>
        <w:spacing w:before="7"/>
        <w:ind w:left="0"/>
        <w:rPr>
          <w:sz w:val="7"/>
        </w:rPr>
      </w:pPr>
    </w:p>
    <w:p>
      <w:pPr>
        <w:pStyle w:val="ListParagraph"/>
        <w:numPr>
          <w:ilvl w:val="0"/>
          <w:numId w:val="6"/>
        </w:numPr>
        <w:tabs>
          <w:tab w:val="left" w:pos="439"/>
        </w:tabs>
        <w:spacing w:before="70" w:after="0" w:line="240" w:lineRule="auto"/>
        <w:ind w:left="438" w:right="0" w:hanging="212"/>
        <w:jc w:val="left"/>
        <w:rPr>
          <w:sz w:val="21"/>
        </w:rPr>
      </w:pPr>
      <w:r>
        <w:rPr>
          <w:sz w:val="21"/>
        </w:rPr>
        <w:t>工程监理单位的法律责任</w:t>
      </w:r>
    </w:p>
    <w:p>
      <w:pPr>
        <w:pStyle w:val="ListParagraph"/>
        <w:numPr>
          <w:ilvl w:val="0"/>
          <w:numId w:val="7"/>
        </w:numPr>
        <w:tabs>
          <w:tab w:val="left" w:pos="752"/>
        </w:tabs>
        <w:spacing w:before="103" w:after="55" w:line="240" w:lineRule="auto"/>
        <w:ind w:left="751" w:right="0" w:hanging="525"/>
        <w:jc w:val="left"/>
        <w:rPr>
          <w:sz w:val="21"/>
        </w:rPr>
      </w:pPr>
      <w:r>
        <w:rPr>
          <w:sz w:val="21"/>
        </w:rPr>
        <w:t>《建设工程质量管理条例》</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689"/>
        <w:gridCol w:w="2992"/>
        <w:gridCol w:w="2841"/>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3"/>
        </w:trPr>
        <w:tc>
          <w:tcPr>
            <w:tcW w:w="2689" w:type="dxa"/>
          </w:tcPr>
          <w:p>
            <w:pPr>
              <w:pStyle w:val="TableParagraph"/>
              <w:spacing w:before="50"/>
              <w:ind w:left="166" w:right="160"/>
              <w:jc w:val="center"/>
              <w:rPr>
                <w:sz w:val="21"/>
              </w:rPr>
            </w:pPr>
            <w:r>
              <w:rPr>
                <w:sz w:val="21"/>
              </w:rPr>
              <w:t>罚款金额</w:t>
            </w:r>
          </w:p>
        </w:tc>
        <w:tc>
          <w:tcPr>
            <w:tcW w:w="2992" w:type="dxa"/>
          </w:tcPr>
          <w:p>
            <w:pPr>
              <w:pStyle w:val="TableParagraph"/>
              <w:spacing w:before="50"/>
              <w:ind w:left="550"/>
              <w:rPr>
                <w:sz w:val="21"/>
              </w:rPr>
            </w:pPr>
            <w:r>
              <w:rPr>
                <w:sz w:val="21"/>
              </w:rPr>
              <w:t>监理单位的违法行为</w:t>
            </w:r>
          </w:p>
        </w:tc>
        <w:tc>
          <w:tcPr>
            <w:tcW w:w="2841" w:type="dxa"/>
          </w:tcPr>
          <w:p>
            <w:pPr>
              <w:pStyle w:val="TableParagraph"/>
              <w:spacing w:before="50"/>
              <w:ind w:left="789"/>
              <w:rPr>
                <w:sz w:val="21"/>
              </w:rPr>
            </w:pPr>
            <w:r>
              <w:rPr>
                <w:sz w:val="21"/>
              </w:rPr>
              <w:t>资质等级影响</w:t>
            </w:r>
          </w:p>
        </w:tc>
      </w:tr>
      <w:tr>
        <w:tblPrEx>
          <w:tblW w:w="0" w:type="auto"/>
          <w:tblInd w:w="124" w:type="dxa"/>
          <w:tblLayout w:type="fixed"/>
          <w:tblCellMar>
            <w:top w:w="0" w:type="dxa"/>
            <w:left w:w="0" w:type="dxa"/>
            <w:bottom w:w="0" w:type="dxa"/>
            <w:right w:w="0" w:type="dxa"/>
          </w:tblCellMar>
        </w:tblPrEx>
        <w:trPr>
          <w:trHeight w:val="748"/>
        </w:trPr>
        <w:tc>
          <w:tcPr>
            <w:tcW w:w="2689" w:type="dxa"/>
            <w:vMerge w:val="restart"/>
          </w:tcPr>
          <w:p>
            <w:pPr>
              <w:pStyle w:val="TableParagraph"/>
              <w:rPr>
                <w:sz w:val="20"/>
              </w:rPr>
            </w:pPr>
          </w:p>
          <w:p>
            <w:pPr>
              <w:pStyle w:val="TableParagraph"/>
              <w:spacing w:before="175"/>
              <w:ind w:left="166" w:right="160"/>
              <w:jc w:val="center"/>
              <w:rPr>
                <w:sz w:val="21"/>
              </w:rPr>
            </w:pPr>
            <w:r>
              <w:rPr>
                <w:spacing w:val="-6"/>
                <w:w w:val="95"/>
                <w:sz w:val="21"/>
              </w:rPr>
              <w:t xml:space="preserve">监理酬金 </w:t>
            </w:r>
            <w:r>
              <w:rPr>
                <w:w w:val="95"/>
                <w:sz w:val="21"/>
              </w:rPr>
              <w:t>1</w:t>
            </w:r>
            <w:r>
              <w:rPr>
                <w:spacing w:val="-11"/>
                <w:w w:val="95"/>
                <w:sz w:val="21"/>
              </w:rPr>
              <w:t xml:space="preserve"> 倍—</w:t>
            </w:r>
            <w:r>
              <w:rPr>
                <w:w w:val="95"/>
                <w:sz w:val="21"/>
              </w:rPr>
              <w:t>2</w:t>
            </w:r>
            <w:r>
              <w:rPr>
                <w:spacing w:val="-15"/>
                <w:w w:val="95"/>
                <w:sz w:val="21"/>
              </w:rPr>
              <w:t xml:space="preserve"> 倍</w:t>
            </w:r>
          </w:p>
          <w:p>
            <w:pPr>
              <w:pStyle w:val="TableParagraph"/>
              <w:spacing w:before="106"/>
              <w:ind w:left="164" w:right="160"/>
              <w:jc w:val="center"/>
              <w:rPr>
                <w:sz w:val="21"/>
              </w:rPr>
            </w:pPr>
            <w:r>
              <w:rPr>
                <w:sz w:val="21"/>
              </w:rPr>
              <w:t>（违法承揽）</w:t>
            </w:r>
          </w:p>
        </w:tc>
        <w:tc>
          <w:tcPr>
            <w:tcW w:w="2992" w:type="dxa"/>
          </w:tcPr>
          <w:p>
            <w:pPr>
              <w:pStyle w:val="TableParagraph"/>
              <w:spacing w:before="52"/>
              <w:ind w:left="110" w:right="102"/>
              <w:jc w:val="center"/>
              <w:rPr>
                <w:sz w:val="21"/>
              </w:rPr>
            </w:pPr>
            <w:r>
              <w:rPr>
                <w:sz w:val="21"/>
              </w:rPr>
              <w:t>超越本单位资质等级承揽工程</w:t>
            </w:r>
          </w:p>
          <w:p>
            <w:pPr>
              <w:pStyle w:val="TableParagraph"/>
              <w:spacing w:before="106"/>
              <w:ind w:left="8"/>
              <w:jc w:val="center"/>
              <w:rPr>
                <w:sz w:val="21"/>
              </w:rPr>
            </w:pPr>
            <w:r>
              <w:rPr>
                <w:w w:val="99"/>
                <w:sz w:val="21"/>
              </w:rPr>
              <w:t>的</w:t>
            </w:r>
          </w:p>
        </w:tc>
        <w:tc>
          <w:tcPr>
            <w:tcW w:w="2841" w:type="dxa"/>
            <w:vMerge w:val="restart"/>
          </w:tcPr>
          <w:p>
            <w:pPr>
              <w:pStyle w:val="TableParagraph"/>
              <w:rPr>
                <w:sz w:val="20"/>
              </w:rPr>
            </w:pPr>
          </w:p>
          <w:p>
            <w:pPr>
              <w:pStyle w:val="TableParagraph"/>
              <w:rPr>
                <w:sz w:val="20"/>
              </w:rPr>
            </w:pPr>
          </w:p>
          <w:p>
            <w:pPr>
              <w:pStyle w:val="TableParagraph"/>
              <w:rPr>
                <w:sz w:val="20"/>
              </w:rPr>
            </w:pPr>
          </w:p>
          <w:p>
            <w:pPr>
              <w:pStyle w:val="TableParagraph"/>
              <w:spacing w:before="11"/>
              <w:rPr>
                <w:sz w:val="17"/>
              </w:rPr>
            </w:pPr>
          </w:p>
          <w:p>
            <w:pPr>
              <w:pStyle w:val="TableParagraph"/>
              <w:ind w:left="160"/>
              <w:rPr>
                <w:sz w:val="21"/>
              </w:rPr>
            </w:pPr>
            <w:r>
              <w:rPr>
                <w:sz w:val="21"/>
              </w:rPr>
              <w:t>可以停整、降低，严重吊销</w:t>
            </w:r>
          </w:p>
        </w:tc>
      </w:tr>
      <w:tr>
        <w:tblPrEx>
          <w:tblW w:w="0" w:type="auto"/>
          <w:tblInd w:w="124" w:type="dxa"/>
          <w:tblLayout w:type="fixed"/>
          <w:tblCellMar>
            <w:top w:w="0" w:type="dxa"/>
            <w:left w:w="0" w:type="dxa"/>
            <w:bottom w:w="0" w:type="dxa"/>
            <w:right w:w="0" w:type="dxa"/>
          </w:tblCellMar>
        </w:tblPrEx>
        <w:trPr>
          <w:trHeight w:val="748"/>
        </w:trPr>
        <w:tc>
          <w:tcPr>
            <w:tcW w:w="2689" w:type="dxa"/>
            <w:vMerge/>
            <w:tcBorders>
              <w:top w:val="nil"/>
            </w:tcBorders>
          </w:tcPr>
          <w:p>
            <w:pPr>
              <w:rPr>
                <w:sz w:val="2"/>
                <w:szCs w:val="2"/>
              </w:rPr>
            </w:pPr>
          </w:p>
        </w:tc>
        <w:tc>
          <w:tcPr>
            <w:tcW w:w="2992" w:type="dxa"/>
          </w:tcPr>
          <w:p>
            <w:pPr>
              <w:pStyle w:val="TableParagraph"/>
              <w:spacing w:before="52"/>
              <w:ind w:left="110" w:right="102"/>
              <w:jc w:val="center"/>
              <w:rPr>
                <w:sz w:val="21"/>
              </w:rPr>
            </w:pPr>
            <w:r>
              <w:rPr>
                <w:sz w:val="21"/>
              </w:rPr>
              <w:t>允许其他单位或者个人以本单</w:t>
            </w:r>
          </w:p>
          <w:p>
            <w:pPr>
              <w:pStyle w:val="TableParagraph"/>
              <w:spacing w:before="105"/>
              <w:ind w:left="110" w:right="102"/>
              <w:jc w:val="center"/>
              <w:rPr>
                <w:sz w:val="21"/>
              </w:rPr>
            </w:pPr>
            <w:r>
              <w:rPr>
                <w:sz w:val="21"/>
              </w:rPr>
              <w:t>位名义承揽工程的</w:t>
            </w:r>
          </w:p>
        </w:tc>
        <w:tc>
          <w:tcPr>
            <w:tcW w:w="2841" w:type="dxa"/>
            <w:vMerge/>
            <w:tcBorders>
              <w:top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748"/>
        </w:trPr>
        <w:tc>
          <w:tcPr>
            <w:tcW w:w="2689" w:type="dxa"/>
          </w:tcPr>
          <w:p>
            <w:pPr>
              <w:pStyle w:val="TableParagraph"/>
              <w:spacing w:before="51"/>
              <w:ind w:left="167" w:right="160"/>
              <w:jc w:val="center"/>
              <w:rPr>
                <w:sz w:val="21"/>
              </w:rPr>
            </w:pPr>
            <w:r>
              <w:rPr>
                <w:spacing w:val="-3"/>
                <w:w w:val="95"/>
                <w:sz w:val="21"/>
              </w:rPr>
              <w:t xml:space="preserve">监理酬金 </w:t>
            </w:r>
            <w:r>
              <w:rPr>
                <w:w w:val="95"/>
                <w:sz w:val="21"/>
              </w:rPr>
              <w:t>25%—50%</w:t>
            </w:r>
          </w:p>
          <w:p>
            <w:pPr>
              <w:pStyle w:val="TableParagraph"/>
              <w:spacing w:before="105"/>
              <w:ind w:left="164" w:right="160"/>
              <w:jc w:val="center"/>
              <w:rPr>
                <w:sz w:val="21"/>
              </w:rPr>
            </w:pPr>
            <w:r>
              <w:rPr>
                <w:sz w:val="21"/>
              </w:rPr>
              <w:t>（转让业务）</w:t>
            </w:r>
          </w:p>
        </w:tc>
        <w:tc>
          <w:tcPr>
            <w:tcW w:w="2992" w:type="dxa"/>
          </w:tcPr>
          <w:p>
            <w:pPr>
              <w:pStyle w:val="TableParagraph"/>
              <w:spacing w:before="5"/>
              <w:rPr>
                <w:sz w:val="18"/>
              </w:rPr>
            </w:pPr>
          </w:p>
          <w:p>
            <w:pPr>
              <w:pStyle w:val="TableParagraph"/>
              <w:ind w:left="550"/>
              <w:rPr>
                <w:sz w:val="21"/>
              </w:rPr>
            </w:pPr>
            <w:r>
              <w:rPr>
                <w:sz w:val="21"/>
              </w:rPr>
              <w:t>转让工程监理业务的</w:t>
            </w:r>
          </w:p>
        </w:tc>
        <w:tc>
          <w:tcPr>
            <w:tcW w:w="2841" w:type="dxa"/>
            <w:vMerge/>
            <w:tcBorders>
              <w:top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749"/>
        </w:trPr>
        <w:tc>
          <w:tcPr>
            <w:tcW w:w="2689" w:type="dxa"/>
            <w:vMerge w:val="restart"/>
          </w:tcPr>
          <w:p>
            <w:pPr>
              <w:pStyle w:val="TableParagraph"/>
              <w:rPr>
                <w:sz w:val="20"/>
              </w:rPr>
            </w:pPr>
          </w:p>
          <w:p>
            <w:pPr>
              <w:pStyle w:val="TableParagraph"/>
              <w:spacing w:before="173"/>
              <w:ind w:left="166" w:right="160"/>
              <w:jc w:val="center"/>
              <w:rPr>
                <w:sz w:val="21"/>
              </w:rPr>
            </w:pPr>
            <w:r>
              <w:rPr>
                <w:w w:val="95"/>
                <w:sz w:val="21"/>
              </w:rPr>
              <w:t>50</w:t>
            </w:r>
            <w:r>
              <w:rPr>
                <w:spacing w:val="-10"/>
                <w:w w:val="95"/>
                <w:sz w:val="21"/>
              </w:rPr>
              <w:t xml:space="preserve"> 万—</w:t>
            </w:r>
            <w:r>
              <w:rPr>
                <w:w w:val="95"/>
                <w:sz w:val="21"/>
              </w:rPr>
              <w:t>100</w:t>
            </w:r>
            <w:r>
              <w:rPr>
                <w:spacing w:val="-16"/>
                <w:w w:val="95"/>
                <w:sz w:val="21"/>
              </w:rPr>
              <w:t xml:space="preserve"> 万</w:t>
            </w:r>
          </w:p>
          <w:p>
            <w:pPr>
              <w:pStyle w:val="TableParagraph"/>
              <w:spacing w:before="106"/>
              <w:ind w:left="169" w:right="160"/>
              <w:jc w:val="center"/>
              <w:rPr>
                <w:sz w:val="21"/>
              </w:rPr>
            </w:pPr>
            <w:r>
              <w:rPr>
                <w:sz w:val="21"/>
              </w:rPr>
              <w:t>（串通行为，影响质量）</w:t>
            </w:r>
          </w:p>
        </w:tc>
        <w:tc>
          <w:tcPr>
            <w:tcW w:w="2992" w:type="dxa"/>
          </w:tcPr>
          <w:p>
            <w:pPr>
              <w:pStyle w:val="TableParagraph"/>
              <w:spacing w:before="51"/>
              <w:ind w:left="110" w:right="102"/>
              <w:jc w:val="center"/>
              <w:rPr>
                <w:sz w:val="21"/>
              </w:rPr>
            </w:pPr>
            <w:r>
              <w:rPr>
                <w:sz w:val="21"/>
              </w:rPr>
              <w:t>与建设单位或施工单位串通，</w:t>
            </w:r>
          </w:p>
          <w:p>
            <w:pPr>
              <w:pStyle w:val="TableParagraph"/>
              <w:spacing w:before="105"/>
              <w:ind w:left="108" w:right="102"/>
              <w:jc w:val="center"/>
              <w:rPr>
                <w:sz w:val="21"/>
              </w:rPr>
            </w:pPr>
            <w:r>
              <w:rPr>
                <w:sz w:val="21"/>
              </w:rPr>
              <w:t>降低工程质量</w:t>
            </w:r>
          </w:p>
        </w:tc>
        <w:tc>
          <w:tcPr>
            <w:tcW w:w="2841" w:type="dxa"/>
            <w:vMerge w:val="restart"/>
          </w:tcPr>
          <w:p>
            <w:pPr>
              <w:pStyle w:val="TableParagraph"/>
              <w:rPr>
                <w:sz w:val="20"/>
              </w:rPr>
            </w:pPr>
          </w:p>
          <w:p>
            <w:pPr>
              <w:pStyle w:val="TableParagraph"/>
              <w:rPr>
                <w:sz w:val="20"/>
              </w:rPr>
            </w:pPr>
          </w:p>
          <w:p>
            <w:pPr>
              <w:pStyle w:val="TableParagraph"/>
              <w:rPr>
                <w:sz w:val="20"/>
              </w:rPr>
            </w:pPr>
          </w:p>
          <w:p>
            <w:pPr>
              <w:pStyle w:val="TableParagraph"/>
              <w:spacing w:before="9"/>
              <w:rPr>
                <w:sz w:val="17"/>
              </w:rPr>
            </w:pPr>
          </w:p>
          <w:p>
            <w:pPr>
              <w:pStyle w:val="TableParagraph"/>
              <w:spacing w:before="1"/>
              <w:ind w:left="894"/>
              <w:rPr>
                <w:sz w:val="21"/>
              </w:rPr>
            </w:pPr>
            <w:r>
              <w:rPr>
                <w:sz w:val="21"/>
              </w:rPr>
              <w:t>降低或吊销</w:t>
            </w:r>
          </w:p>
        </w:tc>
      </w:tr>
      <w:tr>
        <w:tblPrEx>
          <w:tblW w:w="0" w:type="auto"/>
          <w:tblInd w:w="124" w:type="dxa"/>
          <w:tblLayout w:type="fixed"/>
          <w:tblCellMar>
            <w:top w:w="0" w:type="dxa"/>
            <w:left w:w="0" w:type="dxa"/>
            <w:bottom w:w="0" w:type="dxa"/>
            <w:right w:w="0" w:type="dxa"/>
          </w:tblCellMar>
        </w:tblPrEx>
        <w:trPr>
          <w:trHeight w:val="747"/>
        </w:trPr>
        <w:tc>
          <w:tcPr>
            <w:tcW w:w="2689" w:type="dxa"/>
            <w:vMerge/>
            <w:tcBorders>
              <w:top w:val="nil"/>
            </w:tcBorders>
          </w:tcPr>
          <w:p>
            <w:pPr>
              <w:rPr>
                <w:sz w:val="2"/>
                <w:szCs w:val="2"/>
              </w:rPr>
            </w:pPr>
          </w:p>
        </w:tc>
        <w:tc>
          <w:tcPr>
            <w:tcW w:w="2992" w:type="dxa"/>
          </w:tcPr>
          <w:p>
            <w:pPr>
              <w:pStyle w:val="TableParagraph"/>
              <w:spacing w:before="50"/>
              <w:ind w:left="110" w:right="102"/>
              <w:jc w:val="center"/>
              <w:rPr>
                <w:sz w:val="21"/>
              </w:rPr>
            </w:pPr>
            <w:r>
              <w:rPr>
                <w:sz w:val="21"/>
              </w:rPr>
              <w:t>将不合格的建设工程、材料、</w:t>
            </w:r>
          </w:p>
          <w:p>
            <w:pPr>
              <w:pStyle w:val="TableParagraph"/>
              <w:spacing w:before="105"/>
              <w:ind w:left="108" w:right="102"/>
              <w:jc w:val="center"/>
              <w:rPr>
                <w:sz w:val="21"/>
              </w:rPr>
            </w:pPr>
            <w:r>
              <w:rPr>
                <w:sz w:val="21"/>
              </w:rPr>
              <w:t>构配件和设备按合格签字</w:t>
            </w:r>
          </w:p>
        </w:tc>
        <w:tc>
          <w:tcPr>
            <w:tcW w:w="2841" w:type="dxa"/>
            <w:vMerge/>
            <w:tcBorders>
              <w:top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748"/>
        </w:trPr>
        <w:tc>
          <w:tcPr>
            <w:tcW w:w="2689" w:type="dxa"/>
          </w:tcPr>
          <w:p>
            <w:pPr>
              <w:pStyle w:val="TableParagraph"/>
              <w:spacing w:before="53"/>
              <w:ind w:left="166" w:right="160"/>
              <w:jc w:val="center"/>
              <w:rPr>
                <w:sz w:val="21"/>
              </w:rPr>
            </w:pPr>
            <w:r>
              <w:rPr>
                <w:w w:val="95"/>
                <w:sz w:val="21"/>
              </w:rPr>
              <w:t>5</w:t>
            </w:r>
            <w:r>
              <w:rPr>
                <w:spacing w:val="-12"/>
                <w:w w:val="95"/>
                <w:sz w:val="21"/>
              </w:rPr>
              <w:t xml:space="preserve"> 万—</w:t>
            </w:r>
            <w:r>
              <w:rPr>
                <w:w w:val="95"/>
                <w:sz w:val="21"/>
              </w:rPr>
              <w:t>10</w:t>
            </w:r>
            <w:r>
              <w:rPr>
                <w:spacing w:val="-18"/>
                <w:w w:val="95"/>
                <w:sz w:val="21"/>
              </w:rPr>
              <w:t xml:space="preserve"> 万</w:t>
            </w:r>
          </w:p>
          <w:p>
            <w:pPr>
              <w:pStyle w:val="TableParagraph"/>
              <w:spacing w:before="103"/>
              <w:ind w:left="166" w:right="160"/>
              <w:jc w:val="center"/>
              <w:rPr>
                <w:sz w:val="21"/>
              </w:rPr>
            </w:pPr>
            <w:r>
              <w:rPr>
                <w:sz w:val="21"/>
              </w:rPr>
              <w:t>（未按规定回避）</w:t>
            </w:r>
          </w:p>
        </w:tc>
        <w:tc>
          <w:tcPr>
            <w:tcW w:w="2992" w:type="dxa"/>
          </w:tcPr>
          <w:p>
            <w:pPr>
              <w:pStyle w:val="TableParagraph"/>
              <w:spacing w:before="53"/>
              <w:ind w:left="130"/>
              <w:rPr>
                <w:sz w:val="21"/>
              </w:rPr>
            </w:pPr>
            <w:r>
              <w:rPr>
                <w:w w:val="95"/>
                <w:sz w:val="21"/>
              </w:rPr>
              <w:t>与施工承包单位以及供应单位</w:t>
            </w:r>
          </w:p>
          <w:p>
            <w:pPr>
              <w:pStyle w:val="TableParagraph"/>
              <w:spacing w:before="103"/>
              <w:ind w:left="130"/>
              <w:rPr>
                <w:sz w:val="21"/>
              </w:rPr>
            </w:pPr>
            <w:r>
              <w:rPr>
                <w:w w:val="95"/>
                <w:sz w:val="21"/>
              </w:rPr>
              <w:t>有隶属关系或者其他利害关系</w:t>
            </w:r>
          </w:p>
        </w:tc>
        <w:tc>
          <w:tcPr>
            <w:tcW w:w="2841" w:type="dxa"/>
            <w:vMerge/>
            <w:tcBorders>
              <w:top w:val="nil"/>
            </w:tcBorders>
          </w:tcPr>
          <w:p>
            <w:pPr>
              <w:rPr>
                <w:sz w:val="2"/>
                <w:szCs w:val="2"/>
              </w:rPr>
            </w:pPr>
          </w:p>
        </w:tc>
      </w:tr>
    </w:tbl>
    <w:p>
      <w:pPr>
        <w:pStyle w:val="ListParagraph"/>
        <w:numPr>
          <w:ilvl w:val="0"/>
          <w:numId w:val="7"/>
        </w:numPr>
        <w:tabs>
          <w:tab w:val="left" w:pos="752"/>
        </w:tabs>
        <w:spacing w:before="58" w:after="54" w:line="240" w:lineRule="auto"/>
        <w:ind w:left="751" w:right="0" w:hanging="525"/>
        <w:jc w:val="left"/>
        <w:rPr>
          <w:sz w:val="21"/>
        </w:rPr>
      </w:pPr>
      <w:r>
        <w:rPr>
          <w:sz w:val="21"/>
        </w:rPr>
        <w:t>《建设工程安全生产管理条例》</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410"/>
        <w:gridCol w:w="3268"/>
        <w:gridCol w:w="2844"/>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4"/>
        </w:trPr>
        <w:tc>
          <w:tcPr>
            <w:tcW w:w="2410" w:type="dxa"/>
          </w:tcPr>
          <w:p>
            <w:pPr>
              <w:pStyle w:val="TableParagraph"/>
              <w:spacing w:before="51"/>
              <w:ind w:left="784"/>
              <w:rPr>
                <w:sz w:val="21"/>
              </w:rPr>
            </w:pPr>
            <w:r>
              <w:rPr>
                <w:sz w:val="21"/>
              </w:rPr>
              <w:t>罚款金额</w:t>
            </w:r>
          </w:p>
        </w:tc>
        <w:tc>
          <w:tcPr>
            <w:tcW w:w="3268" w:type="dxa"/>
          </w:tcPr>
          <w:p>
            <w:pPr>
              <w:pStyle w:val="TableParagraph"/>
              <w:spacing w:before="51"/>
              <w:ind w:left="97" w:right="90"/>
              <w:jc w:val="center"/>
              <w:rPr>
                <w:sz w:val="21"/>
              </w:rPr>
            </w:pPr>
            <w:r>
              <w:rPr>
                <w:sz w:val="21"/>
              </w:rPr>
              <w:t>监理单位的违法行为</w:t>
            </w:r>
          </w:p>
        </w:tc>
        <w:tc>
          <w:tcPr>
            <w:tcW w:w="2844" w:type="dxa"/>
          </w:tcPr>
          <w:p>
            <w:pPr>
              <w:pStyle w:val="TableParagraph"/>
              <w:spacing w:before="51"/>
              <w:ind w:left="792"/>
              <w:rPr>
                <w:sz w:val="21"/>
              </w:rPr>
            </w:pPr>
            <w:r>
              <w:rPr>
                <w:sz w:val="21"/>
              </w:rPr>
              <w:t>资质等级影响</w:t>
            </w:r>
          </w:p>
        </w:tc>
      </w:tr>
      <w:tr>
        <w:tblPrEx>
          <w:tblW w:w="0" w:type="auto"/>
          <w:tblInd w:w="124" w:type="dxa"/>
          <w:tblLayout w:type="fixed"/>
          <w:tblCellMar>
            <w:top w:w="0" w:type="dxa"/>
            <w:left w:w="0" w:type="dxa"/>
            <w:bottom w:w="0" w:type="dxa"/>
            <w:right w:w="0" w:type="dxa"/>
          </w:tblCellMar>
        </w:tblPrEx>
        <w:trPr>
          <w:trHeight w:val="749"/>
        </w:trPr>
        <w:tc>
          <w:tcPr>
            <w:tcW w:w="2410" w:type="dxa"/>
            <w:vMerge w:val="restart"/>
          </w:tcPr>
          <w:p>
            <w:pPr>
              <w:pStyle w:val="TableParagraph"/>
              <w:rPr>
                <w:sz w:val="20"/>
              </w:rPr>
            </w:pPr>
          </w:p>
          <w:p>
            <w:pPr>
              <w:pStyle w:val="TableParagraph"/>
              <w:spacing w:before="7"/>
              <w:rPr>
                <w:sz w:val="28"/>
              </w:rPr>
            </w:pPr>
          </w:p>
          <w:p>
            <w:pPr>
              <w:pStyle w:val="TableParagraph"/>
              <w:ind w:left="343" w:right="336"/>
              <w:jc w:val="center"/>
              <w:rPr>
                <w:sz w:val="21"/>
              </w:rPr>
            </w:pPr>
            <w:r>
              <w:rPr>
                <w:w w:val="95"/>
                <w:sz w:val="21"/>
              </w:rPr>
              <w:t>10</w:t>
            </w:r>
            <w:r>
              <w:rPr>
                <w:spacing w:val="-12"/>
                <w:w w:val="95"/>
                <w:sz w:val="21"/>
              </w:rPr>
              <w:t xml:space="preserve"> 万—</w:t>
            </w:r>
            <w:r>
              <w:rPr>
                <w:w w:val="95"/>
                <w:sz w:val="21"/>
              </w:rPr>
              <w:t>30</w:t>
            </w:r>
            <w:r>
              <w:rPr>
                <w:spacing w:val="-16"/>
                <w:w w:val="95"/>
                <w:sz w:val="21"/>
              </w:rPr>
              <w:t xml:space="preserve"> 万</w:t>
            </w:r>
          </w:p>
          <w:p>
            <w:pPr>
              <w:pStyle w:val="TableParagraph"/>
              <w:spacing w:before="106"/>
              <w:ind w:left="343" w:right="336"/>
              <w:jc w:val="center"/>
              <w:rPr>
                <w:sz w:val="21"/>
              </w:rPr>
            </w:pPr>
            <w:r>
              <w:rPr>
                <w:sz w:val="21"/>
              </w:rPr>
              <w:t>（违反安全生产）</w:t>
            </w:r>
          </w:p>
        </w:tc>
        <w:tc>
          <w:tcPr>
            <w:tcW w:w="3268" w:type="dxa"/>
          </w:tcPr>
          <w:p>
            <w:pPr>
              <w:pStyle w:val="TableParagraph"/>
              <w:spacing w:before="51"/>
              <w:ind w:left="95" w:right="90"/>
              <w:jc w:val="center"/>
              <w:rPr>
                <w:sz w:val="21"/>
              </w:rPr>
            </w:pPr>
            <w:r>
              <w:rPr>
                <w:sz w:val="21"/>
              </w:rPr>
              <w:t>未对安全技术措施或专项施工方</w:t>
            </w:r>
          </w:p>
          <w:p>
            <w:pPr>
              <w:pStyle w:val="TableParagraph"/>
              <w:spacing w:before="105"/>
              <w:ind w:left="95" w:right="90"/>
              <w:jc w:val="center"/>
              <w:rPr>
                <w:sz w:val="21"/>
              </w:rPr>
            </w:pPr>
            <w:r>
              <w:rPr>
                <w:sz w:val="21"/>
              </w:rPr>
              <w:t>案进行审查的</w:t>
            </w:r>
          </w:p>
        </w:tc>
        <w:tc>
          <w:tcPr>
            <w:tcW w:w="2844" w:type="dxa"/>
            <w:vMerge w:val="restart"/>
          </w:tcPr>
          <w:p>
            <w:pPr>
              <w:pStyle w:val="TableParagraph"/>
              <w:rPr>
                <w:sz w:val="20"/>
              </w:rPr>
            </w:pPr>
          </w:p>
          <w:p>
            <w:pPr>
              <w:pStyle w:val="TableParagraph"/>
              <w:rPr>
                <w:sz w:val="20"/>
              </w:rPr>
            </w:pPr>
          </w:p>
          <w:p>
            <w:pPr>
              <w:pStyle w:val="TableParagraph"/>
              <w:spacing w:before="2"/>
              <w:rPr>
                <w:sz w:val="23"/>
              </w:rPr>
            </w:pPr>
          </w:p>
          <w:p>
            <w:pPr>
              <w:pStyle w:val="TableParagraph"/>
              <w:ind w:left="372"/>
              <w:rPr>
                <w:sz w:val="21"/>
              </w:rPr>
            </w:pPr>
            <w:r>
              <w:rPr>
                <w:sz w:val="21"/>
              </w:rPr>
              <w:t>严重的降低，直至吊销</w:t>
            </w:r>
          </w:p>
        </w:tc>
      </w:tr>
      <w:tr>
        <w:tblPrEx>
          <w:tblW w:w="0" w:type="auto"/>
          <w:tblInd w:w="124" w:type="dxa"/>
          <w:tblLayout w:type="fixed"/>
          <w:tblCellMar>
            <w:top w:w="0" w:type="dxa"/>
            <w:left w:w="0" w:type="dxa"/>
            <w:bottom w:w="0" w:type="dxa"/>
            <w:right w:w="0" w:type="dxa"/>
          </w:tblCellMar>
        </w:tblPrEx>
        <w:trPr>
          <w:trHeight w:val="748"/>
        </w:trPr>
        <w:tc>
          <w:tcPr>
            <w:tcW w:w="2410" w:type="dxa"/>
            <w:vMerge/>
            <w:tcBorders>
              <w:top w:val="nil"/>
            </w:tcBorders>
          </w:tcPr>
          <w:p>
            <w:pPr>
              <w:rPr>
                <w:sz w:val="2"/>
                <w:szCs w:val="2"/>
              </w:rPr>
            </w:pPr>
          </w:p>
        </w:tc>
        <w:tc>
          <w:tcPr>
            <w:tcW w:w="3268" w:type="dxa"/>
          </w:tcPr>
          <w:p>
            <w:pPr>
              <w:pStyle w:val="TableParagraph"/>
              <w:spacing w:before="51"/>
              <w:ind w:left="95" w:right="90"/>
              <w:jc w:val="center"/>
              <w:rPr>
                <w:sz w:val="21"/>
              </w:rPr>
            </w:pPr>
            <w:r>
              <w:rPr>
                <w:sz w:val="21"/>
              </w:rPr>
              <w:t>发现安全隐患未及时要求整改或</w:t>
            </w:r>
          </w:p>
          <w:p>
            <w:pPr>
              <w:pStyle w:val="TableParagraph"/>
              <w:spacing w:before="105"/>
              <w:ind w:left="95" w:right="90"/>
              <w:jc w:val="center"/>
              <w:rPr>
                <w:sz w:val="21"/>
              </w:rPr>
            </w:pPr>
            <w:r>
              <w:rPr>
                <w:sz w:val="21"/>
              </w:rPr>
              <w:t>者暂停施工的</w:t>
            </w:r>
          </w:p>
        </w:tc>
        <w:tc>
          <w:tcPr>
            <w:tcW w:w="2844" w:type="dxa"/>
            <w:vMerge/>
            <w:tcBorders>
              <w:top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2"/>
        </w:trPr>
        <w:tc>
          <w:tcPr>
            <w:tcW w:w="2410" w:type="dxa"/>
            <w:vMerge/>
            <w:tcBorders>
              <w:top w:val="nil"/>
            </w:tcBorders>
          </w:tcPr>
          <w:p>
            <w:pPr>
              <w:rPr>
                <w:sz w:val="2"/>
                <w:szCs w:val="2"/>
              </w:rPr>
            </w:pPr>
          </w:p>
        </w:tc>
        <w:tc>
          <w:tcPr>
            <w:tcW w:w="3268" w:type="dxa"/>
          </w:tcPr>
          <w:p>
            <w:pPr>
              <w:pStyle w:val="TableParagraph"/>
              <w:spacing w:before="50"/>
              <w:ind w:left="97" w:right="90"/>
              <w:jc w:val="center"/>
              <w:rPr>
                <w:sz w:val="21"/>
              </w:rPr>
            </w:pPr>
            <w:r>
              <w:rPr>
                <w:spacing w:val="-8"/>
                <w:sz w:val="21"/>
              </w:rPr>
              <w:t>施工单位拒不整改或拒不停工，未</w:t>
            </w:r>
          </w:p>
        </w:tc>
        <w:tc>
          <w:tcPr>
            <w:tcW w:w="2844" w:type="dxa"/>
            <w:vMerge/>
            <w:tcBorders>
              <w:top w:val="nil"/>
            </w:tcBorders>
          </w:tcPr>
          <w:p>
            <w:pPr>
              <w:rPr>
                <w:sz w:val="2"/>
                <w:szCs w:val="2"/>
              </w:rPr>
            </w:pPr>
          </w:p>
        </w:tc>
      </w:tr>
    </w:tbl>
    <w:p>
      <w:pPr>
        <w:spacing w:after="0"/>
        <w:rPr>
          <w:sz w:val="2"/>
          <w:szCs w:val="2"/>
        </w:rPr>
        <w:sectPr>
          <w:pgSz w:w="11910" w:h="16840"/>
          <w:pgMar w:top="1180" w:right="540" w:bottom="280" w:left="680" w:header="993" w:footer="0" w:gutter="0"/>
          <w:pgNumType w:start="5"/>
          <w:cols w:space="708"/>
        </w:sectPr>
      </w:pPr>
    </w:p>
    <w:tbl>
      <w:tblPr>
        <w:tblStyle w:val="TableNormal"/>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2410"/>
        <w:gridCol w:w="3268"/>
        <w:gridCol w:w="2844"/>
        <w:gridCol w:w="1678"/>
      </w:tblGrid>
      <w:tr>
        <w:tblPrEx>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371"/>
        </w:trPr>
        <w:tc>
          <w:tcPr>
            <w:tcW w:w="2410"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3268" w:type="dxa"/>
            <w:tcBorders>
              <w:left w:val="single" w:sz="4" w:space="0" w:color="000000"/>
              <w:bottom w:val="single" w:sz="4" w:space="0" w:color="000000"/>
              <w:right w:val="single" w:sz="4" w:space="0" w:color="000000"/>
            </w:tcBorders>
          </w:tcPr>
          <w:p>
            <w:pPr>
              <w:pStyle w:val="TableParagraph"/>
              <w:spacing w:before="50"/>
              <w:ind w:left="688"/>
              <w:rPr>
                <w:sz w:val="21"/>
              </w:rPr>
            </w:pPr>
            <w:r>
              <w:rPr>
                <w:sz w:val="21"/>
              </w:rPr>
              <w:t>及时向主管部门报告</w:t>
            </w:r>
          </w:p>
        </w:tc>
        <w:tc>
          <w:tcPr>
            <w:tcW w:w="2844"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678" w:type="dxa"/>
            <w:vMerge w:val="restart"/>
            <w:tcBorders>
              <w:top w:val="single" w:sz="6" w:space="0" w:color="000000"/>
              <w:left w:val="single" w:sz="4" w:space="0" w:color="000000"/>
              <w:bottom w:val="nil"/>
              <w:right w:val="nil"/>
            </w:tcBorders>
          </w:tcPr>
          <w:p>
            <w:pPr>
              <w:pStyle w:val="TableParagraph"/>
              <w:rPr>
                <w:rFonts w:ascii="Times New Roman"/>
                <w:sz w:val="20"/>
              </w:rPr>
            </w:pPr>
          </w:p>
        </w:tc>
      </w:tr>
      <w:tr>
        <w:tblPrEx>
          <w:tblW w:w="0" w:type="auto"/>
          <w:tblInd w:w="124" w:type="dxa"/>
          <w:tblLayout w:type="fixed"/>
          <w:tblCellMar>
            <w:top w:w="0" w:type="dxa"/>
            <w:left w:w="0" w:type="dxa"/>
            <w:bottom w:w="0" w:type="dxa"/>
            <w:right w:w="0" w:type="dxa"/>
          </w:tblCellMar>
        </w:tblPrEx>
        <w:trPr>
          <w:trHeight w:val="749"/>
        </w:trPr>
        <w:tc>
          <w:tcPr>
            <w:tcW w:w="2410" w:type="dxa"/>
            <w:vMerge/>
            <w:tcBorders>
              <w:top w:val="nil"/>
              <w:left w:val="single" w:sz="4" w:space="0" w:color="000000"/>
              <w:bottom w:val="single" w:sz="4" w:space="0" w:color="000000"/>
              <w:right w:val="single" w:sz="4" w:space="0" w:color="000000"/>
            </w:tcBorders>
          </w:tcPr>
          <w:p>
            <w:pPr>
              <w:rPr>
                <w:sz w:val="2"/>
                <w:szCs w:val="2"/>
              </w:rPr>
            </w:pPr>
          </w:p>
        </w:tc>
        <w:tc>
          <w:tcPr>
            <w:tcW w:w="3268" w:type="dxa"/>
            <w:tcBorders>
              <w:top w:val="single" w:sz="4" w:space="0" w:color="000000"/>
              <w:left w:val="single" w:sz="4" w:space="0" w:color="000000"/>
              <w:bottom w:val="single" w:sz="4" w:space="0" w:color="000000"/>
              <w:right w:val="single" w:sz="4" w:space="0" w:color="000000"/>
            </w:tcBorders>
          </w:tcPr>
          <w:p>
            <w:pPr>
              <w:pStyle w:val="TableParagraph"/>
              <w:spacing w:before="52"/>
              <w:ind w:left="97" w:right="90"/>
              <w:jc w:val="center"/>
              <w:rPr>
                <w:sz w:val="21"/>
              </w:rPr>
            </w:pPr>
            <w:r>
              <w:rPr>
                <w:spacing w:val="-11"/>
                <w:sz w:val="21"/>
              </w:rPr>
              <w:t>未按照法律、法规和工程建设强制</w:t>
            </w:r>
          </w:p>
          <w:p>
            <w:pPr>
              <w:pStyle w:val="TableParagraph"/>
              <w:spacing w:before="106"/>
              <w:ind w:left="97" w:right="90"/>
              <w:jc w:val="center"/>
              <w:rPr>
                <w:sz w:val="21"/>
              </w:rPr>
            </w:pPr>
            <w:r>
              <w:rPr>
                <w:sz w:val="21"/>
              </w:rPr>
              <w:t>性标准实施监理的</w:t>
            </w:r>
          </w:p>
        </w:tc>
        <w:tc>
          <w:tcPr>
            <w:tcW w:w="2844" w:type="dxa"/>
            <w:vMerge/>
            <w:tcBorders>
              <w:top w:val="nil"/>
              <w:left w:val="single" w:sz="4" w:space="0" w:color="000000"/>
              <w:bottom w:val="single" w:sz="4" w:space="0" w:color="000000"/>
              <w:right w:val="single" w:sz="4" w:space="0" w:color="000000"/>
            </w:tcBorders>
          </w:tcPr>
          <w:p>
            <w:pPr>
              <w:rPr>
                <w:sz w:val="2"/>
                <w:szCs w:val="2"/>
              </w:rPr>
            </w:pPr>
          </w:p>
        </w:tc>
        <w:tc>
          <w:tcPr>
            <w:tcW w:w="1678" w:type="dxa"/>
            <w:vMerge/>
            <w:tcBorders>
              <w:top w:val="nil"/>
              <w:left w:val="single" w:sz="4" w:space="0" w:color="000000"/>
              <w:bottom w:val="nil"/>
              <w:right w:val="nil"/>
            </w:tcBorders>
          </w:tcPr>
          <w:p>
            <w:pPr>
              <w:rPr>
                <w:sz w:val="2"/>
                <w:szCs w:val="2"/>
              </w:rPr>
            </w:pPr>
          </w:p>
        </w:tc>
      </w:tr>
    </w:tbl>
    <w:p>
      <w:pPr>
        <w:pStyle w:val="BodyText"/>
        <w:spacing w:before="51"/>
      </w:pPr>
      <w:r>
        <w:rPr>
          <w:w w:val="95"/>
        </w:rPr>
        <w:t>【分值】考试形式为选择题，分值为 1-3</w:t>
      </w:r>
      <w:r>
        <w:rPr>
          <w:spacing w:val="4"/>
          <w:w w:val="95"/>
        </w:rPr>
        <w:t xml:space="preserve"> 分。</w:t>
      </w:r>
    </w:p>
    <w:p>
      <w:pPr>
        <w:pStyle w:val="BodyText"/>
        <w:spacing w:before="105"/>
      </w:pPr>
      <w:r>
        <w:t>【记忆方法】根据各自特点进行掌握</w:t>
      </w:r>
    </w:p>
    <w:p>
      <w:pPr>
        <w:pStyle w:val="BodyText"/>
        <w:spacing w:before="7"/>
        <w:ind w:left="0"/>
        <w:rPr>
          <w:sz w:val="7"/>
        </w:rPr>
      </w:pPr>
      <w:r>
        <w:pict>
          <v:shape id="docshape9" o:spid="_x0000_s1032" type="#_x0000_t202" style="width:82.8pt;height:19.95pt;margin-top:8.3pt;margin-left:48.3pt;mso-height-relative:page;mso-position-horizontal-relative:page;mso-width-relative:page;mso-wrap-distance-bottom:0;mso-wrap-distance-top:0;position:absolute;z-index:-251652096" coordsize="21600,21600" filled="f" stroked="t" strokecolor="black">
            <v:textbox inset="0,0,0,0">
              <w:txbxContent>
                <w:p>
                  <w:pPr>
                    <w:spacing w:before="1"/>
                    <w:ind w:left="1" w:right="0" w:firstLine="0"/>
                    <w:jc w:val="left"/>
                    <w:rPr>
                      <w:b/>
                      <w:sz w:val="24"/>
                    </w:rPr>
                  </w:pPr>
                  <w:r>
                    <w:rPr>
                      <w:b/>
                      <w:sz w:val="24"/>
                    </w:rPr>
                    <w:t>精选习题·04</w:t>
                  </w:r>
                </w:p>
              </w:txbxContent>
            </v:textbox>
            <w10:wrap type="topAndBottom"/>
          </v:shape>
        </w:pict>
      </w:r>
    </w:p>
    <w:p>
      <w:pPr>
        <w:pStyle w:val="BodyText"/>
        <w:spacing w:before="4"/>
        <w:ind w:left="0"/>
        <w:rPr>
          <w:sz w:val="7"/>
        </w:rPr>
      </w:pPr>
    </w:p>
    <w:p>
      <w:pPr>
        <w:pStyle w:val="BodyText"/>
        <w:tabs>
          <w:tab w:val="left" w:pos="5475"/>
        </w:tabs>
        <w:spacing w:before="70" w:line="333" w:lineRule="auto"/>
        <w:ind w:right="367"/>
      </w:pPr>
      <w:r>
        <w:rPr>
          <w:w w:val="95"/>
        </w:rPr>
        <w:t>【2022】根据《建设工程质量管理条例</w:t>
      </w:r>
      <w:r>
        <w:rPr>
          <w:spacing w:val="-106"/>
          <w:w w:val="95"/>
        </w:rPr>
        <w:t>》</w:t>
      </w:r>
      <w:r>
        <w:rPr>
          <w:w w:val="95"/>
        </w:rPr>
        <w:t>，工程监理单位与建设单位或施工单位串通，弄虚作假、降低工程质量</w:t>
      </w:r>
      <w:r>
        <w:rPr>
          <w:spacing w:val="112"/>
        </w:rPr>
        <w:t xml:space="preserve"> </w:t>
      </w:r>
      <w:r>
        <w:t>的，责令改正，降低资质等级或吊销资质证书，处（</w:t>
      </w:r>
      <w:r>
        <w:tab/>
      </w:r>
      <w:r>
        <w:t>）的罚款。</w:t>
      </w:r>
    </w:p>
    <w:p>
      <w:pPr>
        <w:pStyle w:val="BodyText"/>
        <w:spacing w:before="1"/>
        <w:ind w:left="647"/>
      </w:pPr>
      <w:r>
        <w:rPr>
          <w:w w:val="95"/>
        </w:rPr>
        <w:t>A.50</w:t>
      </w:r>
      <w:r>
        <w:rPr>
          <w:spacing w:val="-7"/>
          <w:w w:val="95"/>
        </w:rPr>
        <w:t xml:space="preserve"> 万元以上 </w:t>
      </w:r>
      <w:r>
        <w:rPr>
          <w:w w:val="95"/>
        </w:rPr>
        <w:t>100</w:t>
      </w:r>
      <w:r>
        <w:rPr>
          <w:spacing w:val="-5"/>
          <w:w w:val="95"/>
        </w:rPr>
        <w:t xml:space="preserve"> 万元以下</w:t>
      </w:r>
    </w:p>
    <w:p>
      <w:pPr>
        <w:pStyle w:val="BodyText"/>
        <w:spacing w:before="105"/>
        <w:ind w:left="647"/>
      </w:pPr>
      <w:r>
        <w:rPr>
          <w:w w:val="95"/>
        </w:rPr>
        <w:t>B.30</w:t>
      </w:r>
      <w:r>
        <w:rPr>
          <w:spacing w:val="-5"/>
          <w:w w:val="95"/>
        </w:rPr>
        <w:t xml:space="preserve"> 万元以上 </w:t>
      </w:r>
      <w:r>
        <w:rPr>
          <w:w w:val="95"/>
        </w:rPr>
        <w:t>50</w:t>
      </w:r>
      <w:r>
        <w:rPr>
          <w:spacing w:val="-4"/>
          <w:w w:val="95"/>
        </w:rPr>
        <w:t xml:space="preserve"> 万元以下</w:t>
      </w:r>
    </w:p>
    <w:p>
      <w:pPr>
        <w:pStyle w:val="BodyText"/>
        <w:spacing w:before="106"/>
        <w:ind w:left="647"/>
      </w:pPr>
      <w:r>
        <w:rPr>
          <w:w w:val="95"/>
        </w:rPr>
        <w:t>C.20</w:t>
      </w:r>
      <w:r>
        <w:rPr>
          <w:spacing w:val="-5"/>
          <w:w w:val="95"/>
        </w:rPr>
        <w:t xml:space="preserve"> 万元以上 </w:t>
      </w:r>
      <w:r>
        <w:rPr>
          <w:w w:val="95"/>
        </w:rPr>
        <w:t>50</w:t>
      </w:r>
      <w:r>
        <w:rPr>
          <w:spacing w:val="-4"/>
          <w:w w:val="95"/>
        </w:rPr>
        <w:t xml:space="preserve"> 万元以下</w:t>
      </w:r>
    </w:p>
    <w:p>
      <w:pPr>
        <w:pStyle w:val="BodyText"/>
        <w:spacing w:before="105"/>
        <w:ind w:left="647"/>
      </w:pPr>
      <w:r>
        <w:rPr>
          <w:w w:val="95"/>
        </w:rPr>
        <w:t>D.10</w:t>
      </w:r>
      <w:r>
        <w:rPr>
          <w:spacing w:val="-5"/>
          <w:w w:val="95"/>
        </w:rPr>
        <w:t xml:space="preserve"> 万元以上 </w:t>
      </w:r>
      <w:r>
        <w:rPr>
          <w:w w:val="95"/>
        </w:rPr>
        <w:t>20</w:t>
      </w:r>
      <w:r>
        <w:rPr>
          <w:spacing w:val="-4"/>
          <w:w w:val="95"/>
        </w:rPr>
        <w:t xml:space="preserve"> 万元以下</w:t>
      </w:r>
    </w:p>
    <w:p>
      <w:pPr>
        <w:pStyle w:val="BodyText"/>
        <w:spacing w:before="105"/>
      </w:pPr>
      <w:r>
        <w:t>【答案】A</w:t>
      </w:r>
    </w:p>
    <w:p>
      <w:pPr>
        <w:pStyle w:val="BodyText"/>
        <w:spacing w:before="106"/>
      </w:pPr>
      <w:r>
        <w:rPr>
          <w:spacing w:val="-12"/>
          <w:w w:val="99"/>
        </w:rPr>
        <w:t>【解析】《建设工程质量管理条例》第六十七条规定</w:t>
      </w:r>
      <w:r>
        <w:rPr>
          <w:spacing w:val="-14"/>
          <w:w w:val="99"/>
        </w:rPr>
        <w:t>：“工程监理单位有下列行为之一的，责令改正，处</w:t>
      </w:r>
      <w:r>
        <w:rPr>
          <w:spacing w:val="-53"/>
        </w:rPr>
        <w:t xml:space="preserve"> </w:t>
      </w:r>
      <w:r>
        <w:rPr>
          <w:spacing w:val="1"/>
          <w:w w:val="99"/>
        </w:rPr>
        <w:t>5</w:t>
      </w:r>
      <w:r>
        <w:rPr>
          <w:w w:val="99"/>
        </w:rPr>
        <w:t>0</w:t>
      </w:r>
      <w:r>
        <w:rPr>
          <w:spacing w:val="-52"/>
        </w:rPr>
        <w:t xml:space="preserve"> </w:t>
      </w:r>
      <w:r>
        <w:rPr>
          <w:spacing w:val="-1"/>
          <w:w w:val="99"/>
        </w:rPr>
        <w:t>万元</w:t>
      </w:r>
    </w:p>
    <w:p>
      <w:pPr>
        <w:pStyle w:val="BodyText"/>
        <w:spacing w:before="105" w:line="333" w:lineRule="auto"/>
        <w:ind w:right="364"/>
        <w:jc w:val="both"/>
      </w:pPr>
      <w:r>
        <w:pict>
          <v:shape id="docshape10" o:spid="_x0000_s1033" type="#_x0000_t202" style="width:82.8pt;height:19.95pt;margin-top:64.4pt;margin-left:48.3pt;mso-height-relative:page;mso-position-horizontal-relative:page;mso-width-relative:page;mso-wrap-distance-bottom:0;mso-wrap-distance-top:0;position:absolute;z-index:-251651072" coordsize="21600,21600" filled="f" stroked="t" strokecolor="black">
            <v:textbox inset="0,0,0,0">
              <w:txbxContent>
                <w:p>
                  <w:pPr>
                    <w:spacing w:before="2"/>
                    <w:ind w:left="1" w:right="0" w:firstLine="0"/>
                    <w:jc w:val="left"/>
                    <w:rPr>
                      <w:b/>
                      <w:sz w:val="24"/>
                    </w:rPr>
                  </w:pPr>
                  <w:r>
                    <w:rPr>
                      <w:b/>
                      <w:sz w:val="24"/>
                    </w:rPr>
                    <w:t>重要考点·05</w:t>
                  </w:r>
                </w:p>
              </w:txbxContent>
            </v:textbox>
            <w10:wrap type="topAndBottom"/>
          </v:shape>
        </w:pict>
      </w:r>
      <w:r>
        <w:rPr>
          <w:w w:val="95"/>
        </w:rPr>
        <w:t>以上</w:t>
      </w:r>
      <w:r>
        <w:rPr>
          <w:spacing w:val="139"/>
        </w:rPr>
        <w:t xml:space="preserve"> </w:t>
      </w:r>
      <w:r>
        <w:rPr>
          <w:w w:val="95"/>
        </w:rPr>
        <w:t>100</w:t>
      </w:r>
      <w:r>
        <w:rPr>
          <w:spacing w:val="135"/>
        </w:rPr>
        <w:t xml:space="preserve"> </w:t>
      </w:r>
      <w:r>
        <w:rPr>
          <w:w w:val="95"/>
        </w:rPr>
        <w:t>万元以下的罚款，降低资质等级或者吊销资质证书；有违法所得的，予以没收；造成损失的，承担连</w:t>
      </w:r>
      <w:r>
        <w:rPr>
          <w:spacing w:val="-19"/>
          <w:w w:val="99"/>
        </w:rPr>
        <w:t>带赔偿责任：</w:t>
      </w:r>
      <w:r>
        <w:rPr>
          <w:spacing w:val="-1"/>
          <w:w w:val="99"/>
        </w:rPr>
        <w:t>（</w:t>
      </w:r>
      <w:r>
        <w:rPr>
          <w:spacing w:val="1"/>
          <w:w w:val="99"/>
        </w:rPr>
        <w:t>1</w:t>
      </w:r>
      <w:r>
        <w:rPr>
          <w:spacing w:val="2"/>
          <w:w w:val="99"/>
        </w:rPr>
        <w:t>）</w:t>
      </w:r>
      <w:r>
        <w:rPr>
          <w:spacing w:val="-5"/>
          <w:w w:val="99"/>
        </w:rPr>
        <w:t>与建设单位或者施工单位串通，弄虚作假、降低工程质量的；</w:t>
      </w:r>
      <w:r>
        <w:rPr>
          <w:spacing w:val="2"/>
          <w:w w:val="99"/>
        </w:rPr>
        <w:t>（</w:t>
      </w:r>
      <w:r>
        <w:rPr>
          <w:spacing w:val="1"/>
          <w:w w:val="99"/>
        </w:rPr>
        <w:t>2</w:t>
      </w:r>
      <w:r>
        <w:rPr>
          <w:spacing w:val="2"/>
          <w:w w:val="99"/>
        </w:rPr>
        <w:t>）</w:t>
      </w:r>
      <w:r>
        <w:rPr>
          <w:spacing w:val="-1"/>
          <w:w w:val="99"/>
        </w:rPr>
        <w:t>将不合格的建设工程、建</w:t>
      </w:r>
      <w:r>
        <w:rPr>
          <w:spacing w:val="-6"/>
        </w:rPr>
        <w:t>筑材料、建筑构配件和设备按照合格签字的。”</w:t>
      </w:r>
    </w:p>
    <w:p>
      <w:pPr>
        <w:pStyle w:val="BodyText"/>
        <w:spacing w:before="5"/>
        <w:ind w:left="0"/>
        <w:rPr>
          <w:sz w:val="7"/>
        </w:rPr>
      </w:pPr>
    </w:p>
    <w:p>
      <w:pPr>
        <w:pStyle w:val="BodyText"/>
        <w:spacing w:before="70" w:line="333" w:lineRule="auto"/>
        <w:ind w:right="8359"/>
      </w:pPr>
      <w:r>
        <w:rPr>
          <w:spacing w:val="-1"/>
        </w:rPr>
        <w:t>（一）项目法人的职权</w:t>
      </w:r>
      <w:r>
        <w:t>1.项目董事会的职权</w:t>
      </w:r>
    </w:p>
    <w:p>
      <w:pPr>
        <w:pStyle w:val="BodyText"/>
        <w:spacing w:line="333" w:lineRule="auto"/>
        <w:ind w:right="364"/>
        <w:jc w:val="both"/>
      </w:pPr>
      <w:r>
        <w:rPr>
          <w:w w:val="95"/>
        </w:rPr>
        <w:t>建设项目董事会的职权有：①负责筹措建设资金；②审核、上报项目初步设计和概算文件；③审核、上报年度</w:t>
      </w:r>
      <w:r>
        <w:rPr>
          <w:spacing w:val="219"/>
        </w:rPr>
        <w:t xml:space="preserve"> </w:t>
      </w:r>
      <w:r>
        <w:rPr>
          <w:w w:val="95"/>
        </w:rPr>
        <w:t>投资计划并落实年度资金；④提出项目开工报告；⑤研究解决建设过程中出现的重大问题；⑥负责提出项目竣</w:t>
      </w:r>
      <w:r>
        <w:rPr>
          <w:spacing w:val="219"/>
        </w:rPr>
        <w:t xml:space="preserve"> </w:t>
      </w:r>
      <w:r>
        <w:rPr>
          <w:w w:val="95"/>
        </w:rPr>
        <w:t>工验收申请报告；⑦审定偿还债务计划和生产经营方针，并负责按时偿还债务；⑧聘任或解聘项目总经理，并</w:t>
      </w:r>
      <w:r>
        <w:rPr>
          <w:spacing w:val="209"/>
        </w:rPr>
        <w:t xml:space="preserve"> </w:t>
      </w:r>
      <w:r>
        <w:t>根据总经理的提名，聘任或解聘其他高级管理人员。</w:t>
      </w:r>
    </w:p>
    <w:p>
      <w:pPr>
        <w:pStyle w:val="ListParagraph"/>
        <w:numPr>
          <w:ilvl w:val="0"/>
          <w:numId w:val="6"/>
        </w:numPr>
        <w:tabs>
          <w:tab w:val="left" w:pos="439"/>
        </w:tabs>
        <w:spacing w:before="2" w:after="0" w:line="240" w:lineRule="auto"/>
        <w:ind w:left="438" w:right="0" w:hanging="212"/>
        <w:jc w:val="left"/>
        <w:rPr>
          <w:sz w:val="21"/>
        </w:rPr>
      </w:pPr>
      <w:r>
        <w:rPr>
          <w:sz w:val="21"/>
        </w:rPr>
        <w:t>项目总经理的职权</w:t>
      </w:r>
    </w:p>
    <w:p>
      <w:pPr>
        <w:pStyle w:val="BodyText"/>
        <w:spacing w:before="105" w:line="333" w:lineRule="auto"/>
        <w:ind w:right="261"/>
      </w:pPr>
      <w:r>
        <w:t>建设项目总经理的职权有：①组织编制项目初步设计文件，对项目工艺流程、设备选型、建设标准、总图布置</w:t>
      </w:r>
      <w:r>
        <w:rPr>
          <w:w w:val="95"/>
        </w:rPr>
        <w:t>提出意见，提交董事会审查；②组织设计、监理、施工队伍和设备材料采购的招标工作，编制和确定招标方案、</w:t>
      </w:r>
      <w:r>
        <w:rPr>
          <w:spacing w:val="112"/>
        </w:rPr>
        <w:t xml:space="preserve"> </w:t>
      </w:r>
      <w:r>
        <w:t>标底和评标标准，评选和确定投标、中标单位；③编制并组织实施项目年度投资计划、用款计划、建设进度计划；④编制项目财务预算、决算；⑤编制并组织实施归还贷款和其他债务计划；⑥组织工程建设实施，负责控制工程投资、工期和质量；⑦在项目建设过程中，在批准的概算范围内对单项工程的设计进行局部调整；⑧根据董事会授权处理项目实施中的重大紧急事件，并及时向董事会报告；⑨负责生产准备工作和培训有关人员；</w:t>
      </w:r>
    </w:p>
    <w:p>
      <w:pPr>
        <w:pStyle w:val="BodyText"/>
        <w:spacing w:before="3" w:line="333" w:lineRule="auto"/>
        <w:ind w:right="367"/>
        <w:jc w:val="both"/>
      </w:pPr>
      <w:r>
        <w:rPr>
          <w:w w:val="95"/>
        </w:rPr>
        <w:t>⑩负责组织项目试生产和单项工程预验收；</w:t>
      </w:r>
      <w:r>
        <w:rPr>
          <w:rFonts w:ascii="MS PGothic" w:eastAsia="MS PGothic" w:hAnsi="MS PGothic" w:hint="eastAsia"/>
          <w:w w:val="95"/>
        </w:rPr>
        <w:t>⑪</w:t>
      </w:r>
      <w:r>
        <w:rPr>
          <w:w w:val="95"/>
        </w:rPr>
        <w:t>拟订生产经营计划、企业内部机构设置、劳动定员定额方案及工</w:t>
      </w:r>
      <w:r>
        <w:rPr>
          <w:spacing w:val="216"/>
        </w:rPr>
        <w:t xml:space="preserve"> </w:t>
      </w:r>
      <w:r>
        <w:rPr>
          <w:w w:val="95"/>
        </w:rPr>
        <w:t>资福利方案；</w:t>
      </w:r>
      <w:r>
        <w:rPr>
          <w:rFonts w:ascii="MS PGothic" w:eastAsia="MS PGothic" w:hAnsi="MS PGothic" w:hint="eastAsia"/>
          <w:w w:val="95"/>
        </w:rPr>
        <w:t>⑫</w:t>
      </w:r>
      <w:r>
        <w:rPr>
          <w:w w:val="95"/>
        </w:rPr>
        <w:t>组织项目后评价，提出项目后评价报告；</w:t>
      </w:r>
      <w:r>
        <w:rPr>
          <w:rFonts w:ascii="MS PGothic" w:eastAsia="MS PGothic" w:hAnsi="MS PGothic" w:hint="eastAsia"/>
          <w:w w:val="95"/>
        </w:rPr>
        <w:t>⑬</w:t>
      </w:r>
      <w:r>
        <w:rPr>
          <w:w w:val="95"/>
        </w:rPr>
        <w:t>按时向有关部门报送项目建设、生产信息和统计资</w:t>
      </w:r>
      <w:r>
        <w:rPr>
          <w:spacing w:val="206"/>
        </w:rPr>
        <w:t xml:space="preserve"> </w:t>
      </w:r>
      <w:r>
        <w:t>料；</w:t>
      </w:r>
      <w:r>
        <w:rPr>
          <w:rFonts w:ascii="MS PGothic" w:eastAsia="MS PGothic" w:hAnsi="MS PGothic" w:hint="eastAsia"/>
        </w:rPr>
        <w:t>⑭</w:t>
      </w:r>
      <w:r>
        <w:t>提请董事会聘任或解聘项目高级管理人员。</w:t>
      </w:r>
    </w:p>
    <w:p>
      <w:pPr>
        <w:pStyle w:val="BodyText"/>
        <w:spacing w:before="1"/>
      </w:pPr>
      <w:r>
        <w:rPr>
          <w:w w:val="95"/>
        </w:rPr>
        <w:t>【分值】考试形式为选择题，分值为 1-3</w:t>
      </w:r>
      <w:r>
        <w:rPr>
          <w:spacing w:val="4"/>
          <w:w w:val="95"/>
        </w:rPr>
        <w:t xml:space="preserve"> 分。</w:t>
      </w:r>
    </w:p>
    <w:p>
      <w:pPr>
        <w:pStyle w:val="BodyText"/>
        <w:spacing w:before="105"/>
      </w:pPr>
      <w:r>
        <w:t>【记忆方法】根据各自特点结合关键词进行掌握</w:t>
      </w:r>
    </w:p>
    <w:p>
      <w:pPr>
        <w:spacing w:after="0"/>
        <w:sectPr>
          <w:headerReference w:type="default" r:id="rId5"/>
          <w:pgSz w:w="11910" w:h="16840"/>
          <w:pgMar w:top="1160" w:right="540" w:bottom="280" w:left="680" w:header="0" w:footer="0" w:gutter="0"/>
          <w:pgNumType w:start="6"/>
          <w:cols w:space="708"/>
        </w:sectPr>
      </w:pPr>
    </w:p>
    <w:p>
      <w:pPr>
        <w:pStyle w:val="BodyText"/>
        <w:spacing w:before="4"/>
        <w:ind w:left="0"/>
        <w:rPr>
          <w:sz w:val="5"/>
        </w:rPr>
      </w:pPr>
    </w:p>
    <w:p>
      <w:pPr>
        <w:pStyle w:val="BodyText"/>
        <w:ind w:left="242"/>
        <w:rPr>
          <w:sz w:val="20"/>
        </w:rPr>
      </w:pPr>
      <w:r>
        <w:rPr>
          <w:sz w:val="20"/>
        </w:rPr>
        <w:pict>
          <v:shape id="docshape12" o:spid="_x0000_i1034" type="#_x0000_t202" style="width:82.8pt;height:19.85pt" coordsize="21600,21600" filled="f" stroked="t" strokecolor="black">
            <v:textbox inset="0,0,0,0">
              <w:txbxContent>
                <w:p>
                  <w:pPr>
                    <w:spacing w:before="3" w:line="305" w:lineRule="exact"/>
                    <w:ind w:left="1" w:right="0" w:firstLine="0"/>
                    <w:jc w:val="left"/>
                    <w:rPr>
                      <w:b/>
                      <w:sz w:val="24"/>
                    </w:rPr>
                  </w:pPr>
                  <w:r>
                    <w:rPr>
                      <w:b/>
                      <w:sz w:val="24"/>
                    </w:rPr>
                    <w:t>精选习题·05</w:t>
                  </w:r>
                </w:p>
              </w:txbxContent>
            </v:textbox>
            <w10:anchorlock/>
          </v:shape>
        </w:pict>
      </w:r>
    </w:p>
    <w:p>
      <w:pPr>
        <w:pStyle w:val="BodyText"/>
        <w:tabs>
          <w:tab w:val="left" w:pos="6315"/>
        </w:tabs>
        <w:spacing w:before="100" w:line="331" w:lineRule="auto"/>
        <w:ind w:left="647" w:right="4053" w:hanging="420"/>
      </w:pPr>
      <w:r>
        <w:t>【2022】根据项目法人责任制的规定，项目董事会的职权是（</w:t>
      </w:r>
      <w:r>
        <w:tab/>
      </w:r>
      <w:r>
        <w:rPr>
          <w:spacing w:val="-104"/>
        </w:rPr>
        <w:t>）</w:t>
      </w:r>
      <w:r>
        <w:rPr>
          <w:spacing w:val="-2"/>
        </w:rPr>
        <w:t>。</w:t>
      </w:r>
      <w:r>
        <w:t>A.提出项目开工报告</w:t>
      </w:r>
    </w:p>
    <w:p>
      <w:pPr>
        <w:pStyle w:val="BodyText"/>
        <w:spacing w:before="4" w:line="333" w:lineRule="auto"/>
        <w:ind w:left="647" w:right="7310"/>
      </w:pPr>
      <w:r>
        <w:rPr>
          <w:spacing w:val="-1"/>
        </w:rPr>
        <w:t>B.组织编制项目初步设计文件</w:t>
      </w:r>
      <w:r>
        <w:t>C.对项目工艺流程提出意见</w:t>
      </w:r>
      <w:r>
        <w:rPr>
          <w:spacing w:val="1"/>
        </w:rPr>
        <w:t xml:space="preserve"> </w:t>
      </w:r>
      <w:r>
        <w:t>D.编制项目年度投资计划</w:t>
      </w:r>
    </w:p>
    <w:p>
      <w:pPr>
        <w:pStyle w:val="BodyText"/>
        <w:spacing w:before="3"/>
      </w:pPr>
      <w:r>
        <w:t>【答案】A</w:t>
      </w:r>
    </w:p>
    <w:p>
      <w:pPr>
        <w:pStyle w:val="BodyText"/>
        <w:spacing w:before="103" w:line="333" w:lineRule="auto"/>
        <w:ind w:right="261"/>
      </w:pPr>
      <w:r>
        <w:pict>
          <v:shape id="docshape13" o:spid="_x0000_s1035" type="#_x0000_t202" style="width:82.8pt;height:19.9pt;margin-top:83.05pt;margin-left:48.3pt;mso-height-relative:page;mso-position-horizontal-relative:page;mso-width-relative:page;mso-wrap-distance-bottom:0;mso-wrap-distance-top:0;position:absolute;z-index:-251649024" coordsize="21600,21600" filled="f" stroked="t" strokecolor="black">
            <v:textbox inset="0,0,0,0">
              <w:txbxContent>
                <w:p>
                  <w:pPr>
                    <w:spacing w:before="1"/>
                    <w:ind w:left="1" w:right="0" w:firstLine="0"/>
                    <w:jc w:val="left"/>
                    <w:rPr>
                      <w:b/>
                      <w:sz w:val="24"/>
                    </w:rPr>
                  </w:pPr>
                  <w:r>
                    <w:rPr>
                      <w:b/>
                      <w:sz w:val="24"/>
                    </w:rPr>
                    <w:t>重要考点·06</w:t>
                  </w:r>
                </w:p>
              </w:txbxContent>
            </v:textbox>
            <w10:wrap type="topAndBottom"/>
          </v:shape>
        </w:pict>
      </w:r>
      <w:r>
        <w:t>【解析】本题考查的是建设工程监理相关制度。建设项目董事会的职权有：负责筹措建设资金；审核、上报项目初步设计和概算文件；审核、上报年度投资计划并落实年度资金；提出项目开工报告；研究解决建设过程中</w:t>
      </w:r>
      <w:r>
        <w:rPr>
          <w:w w:val="95"/>
        </w:rPr>
        <w:t>出现的重大问题；负责提出项目竣工验收申请报告；审定偿还债务计划和生产经营方针，并负责按时偿还债务；</w:t>
      </w:r>
      <w:r>
        <w:rPr>
          <w:spacing w:val="112"/>
        </w:rPr>
        <w:t xml:space="preserve"> </w:t>
      </w:r>
      <w:r>
        <w:t>聘任或解聘项目总经理，并根据总经理的提名，聘任或解聘其他高级管理人员。</w:t>
      </w:r>
    </w:p>
    <w:p>
      <w:pPr>
        <w:pStyle w:val="BodyText"/>
        <w:spacing w:before="5"/>
        <w:ind w:left="0"/>
        <w:rPr>
          <w:sz w:val="7"/>
        </w:rPr>
      </w:pPr>
    </w:p>
    <w:p>
      <w:pPr>
        <w:pStyle w:val="BodyText"/>
        <w:spacing w:before="70"/>
      </w:pPr>
      <w:r>
        <w:t>（一）必须招标的工程项目</w:t>
      </w:r>
    </w:p>
    <w:p>
      <w:pPr>
        <w:pStyle w:val="BodyText"/>
        <w:spacing w:before="105"/>
      </w:pPr>
      <w:r>
        <w:t>国家发展改革委相关文件明确了必须招标的工程范围。</w:t>
      </w:r>
    </w:p>
    <w:p>
      <w:pPr>
        <w:pStyle w:val="ListParagraph"/>
        <w:numPr>
          <w:ilvl w:val="0"/>
          <w:numId w:val="8"/>
        </w:numPr>
        <w:tabs>
          <w:tab w:val="left" w:pos="752"/>
        </w:tabs>
        <w:spacing w:before="106" w:after="0" w:line="336" w:lineRule="auto"/>
        <w:ind w:left="227" w:right="2690" w:firstLine="0"/>
        <w:jc w:val="left"/>
        <w:rPr>
          <w:sz w:val="21"/>
        </w:rPr>
      </w:pPr>
      <w:r>
        <w:rPr>
          <w:spacing w:val="-5"/>
          <w:w w:val="95"/>
          <w:sz w:val="21"/>
        </w:rPr>
        <w:t>必须招标的工程项目。根据《必须招标的工程项目规定》，下列工程必须招标：</w:t>
      </w:r>
      <w:r>
        <w:rPr>
          <w:spacing w:val="1"/>
          <w:w w:val="95"/>
          <w:sz w:val="21"/>
        </w:rPr>
        <w:t xml:space="preserve"> </w:t>
      </w:r>
      <w:r>
        <w:rPr>
          <w:sz w:val="21"/>
        </w:rPr>
        <w:t>1）全部或者部分使用国有资金投资或者国家融资的项目。包括：</w:t>
      </w:r>
    </w:p>
    <w:p>
      <w:pPr>
        <w:pStyle w:val="BodyText"/>
        <w:spacing w:line="265" w:lineRule="exact"/>
      </w:pPr>
      <w:r>
        <w:rPr>
          <w:spacing w:val="5"/>
          <w:w w:val="95"/>
        </w:rPr>
        <w:t xml:space="preserve">①使用预算资金 </w:t>
      </w:r>
      <w:r>
        <w:rPr>
          <w:w w:val="95"/>
        </w:rPr>
        <w:t>200</w:t>
      </w:r>
      <w:r>
        <w:rPr>
          <w:spacing w:val="2"/>
          <w:w w:val="95"/>
        </w:rPr>
        <w:t xml:space="preserve"> 万元人民币以上，并且该资金占投资额 </w:t>
      </w:r>
      <w:r>
        <w:rPr>
          <w:w w:val="95"/>
        </w:rPr>
        <w:t>10%以上的项目；</w:t>
      </w:r>
    </w:p>
    <w:p>
      <w:pPr>
        <w:pStyle w:val="BodyText"/>
        <w:spacing w:before="105" w:line="333" w:lineRule="auto"/>
        <w:ind w:right="3739"/>
      </w:pPr>
      <w:r>
        <w:rPr>
          <w:w w:val="95"/>
        </w:rPr>
        <w:t>②使用国有企业事业单位资金，并且该资金占控股或者主导地位的项目。</w:t>
      </w:r>
      <w:r>
        <w:rPr>
          <w:spacing w:val="1"/>
          <w:w w:val="95"/>
        </w:rPr>
        <w:t xml:space="preserve"> </w:t>
      </w:r>
      <w:r>
        <w:t>2）使用国际组织或者外国政府贷款、援助资金的项目。包括：</w:t>
      </w:r>
    </w:p>
    <w:p>
      <w:pPr>
        <w:pStyle w:val="BodyText"/>
        <w:spacing w:before="1"/>
      </w:pPr>
      <w:r>
        <w:t>①使用世界银行、亚洲开发银行等国际组织贷款、援助资金的项目；</w:t>
      </w:r>
    </w:p>
    <w:p>
      <w:pPr>
        <w:pStyle w:val="BodyText"/>
        <w:spacing w:before="108"/>
      </w:pPr>
      <w:r>
        <w:t>②使用外国政府及其机构贷款、援助资金的项目。</w:t>
      </w:r>
    </w:p>
    <w:p>
      <w:pPr>
        <w:pStyle w:val="ListParagraph"/>
        <w:numPr>
          <w:ilvl w:val="0"/>
          <w:numId w:val="8"/>
        </w:numPr>
        <w:tabs>
          <w:tab w:val="left" w:pos="752"/>
        </w:tabs>
        <w:spacing w:before="102" w:after="0" w:line="333" w:lineRule="auto"/>
        <w:ind w:left="227" w:right="367" w:firstLine="0"/>
        <w:jc w:val="left"/>
        <w:rPr>
          <w:sz w:val="21"/>
        </w:rPr>
      </w:pPr>
      <w:r>
        <w:rPr>
          <w:w w:val="95"/>
          <w:sz w:val="21"/>
        </w:rPr>
        <w:t>必须招标的基础设施和公用事业项目。根据《必须招标的基础设施和公用事业项目范围规定》必须招标的</w:t>
      </w:r>
      <w:r>
        <w:rPr>
          <w:spacing w:val="86"/>
          <w:w w:val="95"/>
          <w:sz w:val="21"/>
        </w:rPr>
        <w:t xml:space="preserve"> </w:t>
      </w:r>
      <w:r>
        <w:rPr>
          <w:sz w:val="21"/>
        </w:rPr>
        <w:t>具体范围包括：</w:t>
      </w:r>
    </w:p>
    <w:p>
      <w:pPr>
        <w:pStyle w:val="ListParagraph"/>
        <w:numPr>
          <w:ilvl w:val="0"/>
          <w:numId w:val="9"/>
        </w:numPr>
        <w:tabs>
          <w:tab w:val="left" w:pos="543"/>
        </w:tabs>
        <w:spacing w:before="1" w:after="0" w:line="240" w:lineRule="auto"/>
        <w:ind w:left="542" w:right="0" w:hanging="316"/>
        <w:jc w:val="left"/>
        <w:rPr>
          <w:sz w:val="21"/>
        </w:rPr>
      </w:pPr>
      <w:r>
        <w:rPr>
          <w:sz w:val="21"/>
        </w:rPr>
        <w:t>煤炭、石油、天然气、电力、新能源等能源基础设施项目；</w:t>
      </w:r>
    </w:p>
    <w:p>
      <w:pPr>
        <w:pStyle w:val="ListParagraph"/>
        <w:numPr>
          <w:ilvl w:val="0"/>
          <w:numId w:val="9"/>
        </w:numPr>
        <w:tabs>
          <w:tab w:val="left" w:pos="543"/>
        </w:tabs>
        <w:spacing w:before="106" w:after="0" w:line="240" w:lineRule="auto"/>
        <w:ind w:left="542" w:right="0" w:hanging="316"/>
        <w:jc w:val="left"/>
        <w:rPr>
          <w:sz w:val="21"/>
        </w:rPr>
      </w:pPr>
      <w:r>
        <w:rPr>
          <w:spacing w:val="-1"/>
          <w:sz w:val="21"/>
        </w:rPr>
        <w:t xml:space="preserve">铁路、公路、管道、水运，以及公共航空和 </w:t>
      </w:r>
      <w:r>
        <w:rPr>
          <w:sz w:val="21"/>
        </w:rPr>
        <w:t>A1</w:t>
      </w:r>
      <w:r>
        <w:rPr>
          <w:spacing w:val="-3"/>
          <w:sz w:val="21"/>
        </w:rPr>
        <w:t xml:space="preserve"> 级通用机场等交通运输的基础设施项目；</w:t>
      </w:r>
    </w:p>
    <w:p>
      <w:pPr>
        <w:pStyle w:val="ListParagraph"/>
        <w:numPr>
          <w:ilvl w:val="0"/>
          <w:numId w:val="9"/>
        </w:numPr>
        <w:tabs>
          <w:tab w:val="left" w:pos="543"/>
        </w:tabs>
        <w:spacing w:before="107" w:after="0" w:line="240" w:lineRule="auto"/>
        <w:ind w:left="542" w:right="0" w:hanging="316"/>
        <w:jc w:val="left"/>
        <w:rPr>
          <w:sz w:val="21"/>
        </w:rPr>
      </w:pPr>
      <w:r>
        <w:rPr>
          <w:sz w:val="21"/>
        </w:rPr>
        <w:t>电信枢纽、通信信息网络等通信基础设施项目；</w:t>
      </w:r>
    </w:p>
    <w:p>
      <w:pPr>
        <w:pStyle w:val="ListParagraph"/>
        <w:numPr>
          <w:ilvl w:val="0"/>
          <w:numId w:val="9"/>
        </w:numPr>
        <w:tabs>
          <w:tab w:val="left" w:pos="543"/>
        </w:tabs>
        <w:spacing w:before="103" w:after="0" w:line="240" w:lineRule="auto"/>
        <w:ind w:left="542" w:right="0" w:hanging="316"/>
        <w:jc w:val="left"/>
        <w:rPr>
          <w:sz w:val="21"/>
        </w:rPr>
      </w:pPr>
      <w:r>
        <w:rPr>
          <w:sz w:val="21"/>
        </w:rPr>
        <w:t>防洪、灌溉、排涝、引（供）水等水利基础设施项目；</w:t>
      </w:r>
    </w:p>
    <w:p>
      <w:pPr>
        <w:pStyle w:val="ListParagraph"/>
        <w:numPr>
          <w:ilvl w:val="0"/>
          <w:numId w:val="9"/>
        </w:numPr>
        <w:tabs>
          <w:tab w:val="left" w:pos="543"/>
        </w:tabs>
        <w:spacing w:before="108" w:after="0" w:line="240" w:lineRule="auto"/>
        <w:ind w:left="542" w:right="0" w:hanging="316"/>
        <w:jc w:val="left"/>
        <w:rPr>
          <w:sz w:val="21"/>
        </w:rPr>
      </w:pPr>
      <w:r>
        <w:rPr>
          <w:sz w:val="21"/>
        </w:rPr>
        <w:t>城市轨道交通等城建项目。</w:t>
      </w:r>
    </w:p>
    <w:p>
      <w:pPr>
        <w:pStyle w:val="ListParagraph"/>
        <w:numPr>
          <w:ilvl w:val="0"/>
          <w:numId w:val="8"/>
        </w:numPr>
        <w:tabs>
          <w:tab w:val="left" w:pos="752"/>
        </w:tabs>
        <w:spacing w:before="103" w:after="0" w:line="333" w:lineRule="auto"/>
        <w:ind w:left="227" w:right="261" w:firstLine="0"/>
        <w:jc w:val="left"/>
        <w:rPr>
          <w:sz w:val="21"/>
        </w:rPr>
      </w:pPr>
      <w:r>
        <w:rPr>
          <w:spacing w:val="-2"/>
          <w:sz w:val="21"/>
        </w:rPr>
        <w:t>必须招标的单项合同估算价标准。根据《必须招标的工程项目规定》对于上述规定范围内的项目，其勘察</w:t>
      </w:r>
      <w:r>
        <w:rPr>
          <w:sz w:val="21"/>
        </w:rPr>
        <w:t>、设计、施工、监理以及与工程建设有关的重要设备、材料等的采购达到下列标准之一的，必须招标：</w:t>
      </w:r>
    </w:p>
    <w:p>
      <w:pPr>
        <w:pStyle w:val="ListParagraph"/>
        <w:numPr>
          <w:ilvl w:val="0"/>
          <w:numId w:val="10"/>
        </w:numPr>
        <w:tabs>
          <w:tab w:val="left" w:pos="543"/>
        </w:tabs>
        <w:spacing w:before="3" w:after="0" w:line="240" w:lineRule="auto"/>
        <w:ind w:left="542" w:right="0" w:hanging="316"/>
        <w:jc w:val="left"/>
        <w:rPr>
          <w:sz w:val="21"/>
        </w:rPr>
      </w:pPr>
      <w:r>
        <w:rPr>
          <w:spacing w:val="1"/>
          <w:w w:val="95"/>
          <w:sz w:val="21"/>
        </w:rPr>
        <w:t xml:space="preserve">施工单项合同估算价在 </w:t>
      </w:r>
      <w:r>
        <w:rPr>
          <w:w w:val="95"/>
          <w:sz w:val="21"/>
        </w:rPr>
        <w:t>400 万元人民币以上；</w:t>
      </w:r>
    </w:p>
    <w:p>
      <w:pPr>
        <w:pStyle w:val="ListParagraph"/>
        <w:numPr>
          <w:ilvl w:val="0"/>
          <w:numId w:val="10"/>
        </w:numPr>
        <w:tabs>
          <w:tab w:val="left" w:pos="543"/>
        </w:tabs>
        <w:spacing w:before="103" w:after="0" w:line="240" w:lineRule="auto"/>
        <w:ind w:left="542" w:right="0" w:hanging="316"/>
        <w:jc w:val="left"/>
        <w:rPr>
          <w:sz w:val="21"/>
        </w:rPr>
      </w:pPr>
      <w:r>
        <w:rPr>
          <w:spacing w:val="3"/>
          <w:w w:val="95"/>
          <w:sz w:val="21"/>
        </w:rPr>
        <w:t xml:space="preserve">重要设备、材料等货物的采购，单项合同估算价在 </w:t>
      </w:r>
      <w:r>
        <w:rPr>
          <w:w w:val="95"/>
          <w:sz w:val="21"/>
        </w:rPr>
        <w:t>200</w:t>
      </w:r>
      <w:r>
        <w:rPr>
          <w:spacing w:val="6"/>
          <w:w w:val="95"/>
          <w:sz w:val="21"/>
        </w:rPr>
        <w:t xml:space="preserve"> 万元人民币以上；</w:t>
      </w:r>
    </w:p>
    <w:p>
      <w:pPr>
        <w:pStyle w:val="ListParagraph"/>
        <w:numPr>
          <w:ilvl w:val="0"/>
          <w:numId w:val="10"/>
        </w:numPr>
        <w:tabs>
          <w:tab w:val="left" w:pos="543"/>
        </w:tabs>
        <w:spacing w:before="108" w:after="0" w:line="240" w:lineRule="auto"/>
        <w:ind w:left="542" w:right="0" w:hanging="316"/>
        <w:jc w:val="left"/>
        <w:rPr>
          <w:sz w:val="21"/>
        </w:rPr>
      </w:pPr>
      <w:r>
        <w:rPr>
          <w:spacing w:val="3"/>
          <w:w w:val="95"/>
          <w:sz w:val="21"/>
        </w:rPr>
        <w:t xml:space="preserve">勘察、设计、监理等服务的采购，单项合同估算价在 </w:t>
      </w:r>
      <w:r>
        <w:rPr>
          <w:w w:val="95"/>
          <w:sz w:val="21"/>
        </w:rPr>
        <w:t>100</w:t>
      </w:r>
      <w:r>
        <w:rPr>
          <w:spacing w:val="7"/>
          <w:w w:val="95"/>
          <w:sz w:val="21"/>
        </w:rPr>
        <w:t xml:space="preserve"> 万元人民币以上。</w:t>
      </w:r>
    </w:p>
    <w:p>
      <w:pPr>
        <w:pStyle w:val="BodyText"/>
        <w:spacing w:before="103"/>
      </w:pPr>
      <w:r>
        <w:rPr>
          <w:spacing w:val="1"/>
          <w:w w:val="95"/>
        </w:rPr>
        <w:t xml:space="preserve">【分值】考试形式为选择题，分值为 </w:t>
      </w:r>
      <w:r>
        <w:rPr>
          <w:w w:val="95"/>
        </w:rPr>
        <w:t>1-2</w:t>
      </w:r>
      <w:r>
        <w:rPr>
          <w:spacing w:val="3"/>
          <w:w w:val="95"/>
        </w:rPr>
        <w:t xml:space="preserve"> 分。</w:t>
      </w:r>
    </w:p>
    <w:p>
      <w:pPr>
        <w:pStyle w:val="BodyText"/>
        <w:spacing w:before="105"/>
      </w:pPr>
      <w:r>
        <w:drawing>
          <wp:anchor distT="0" distB="0" distL="0" distR="0" simplePos="0" relativeHeight="251666432" behindDoc="0" locked="0" layoutInCell="1" allowOverlap="1">
            <wp:simplePos x="0" y="0"/>
            <wp:positionH relativeFrom="page">
              <wp:posOffset>585470</wp:posOffset>
            </wp:positionH>
            <wp:positionV relativeFrom="paragraph">
              <wp:posOffset>314960</wp:posOffset>
            </wp:positionV>
            <wp:extent cx="55245" cy="30353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xmlns:r="http://schemas.openxmlformats.org/officeDocument/2006/relationships" r:embed="rId6" cstate="print"/>
                    <a:stretch>
                      <a:fillRect/>
                    </a:stretch>
                  </pic:blipFill>
                  <pic:spPr>
                    <a:xfrm>
                      <a:off x="0" y="0"/>
                      <a:ext cx="55339" cy="303371"/>
                    </a:xfrm>
                    <a:prstGeom prst="rect">
                      <a:avLst/>
                    </a:prstGeom>
                  </pic:spPr>
                </pic:pic>
              </a:graphicData>
            </a:graphic>
          </wp:anchor>
        </w:drawing>
      </w:r>
      <w:r>
        <w:t>【记忆方法】根据特点结合易错点进行掌握</w:t>
      </w:r>
    </w:p>
    <w:p>
      <w:pPr>
        <w:pStyle w:val="BodyText"/>
        <w:spacing w:before="8"/>
        <w:ind w:left="0"/>
        <w:rPr>
          <w:sz w:val="7"/>
        </w:rPr>
      </w:pPr>
      <w:r>
        <w:pict>
          <v:shape id="docshape14" o:spid="_x0000_s1036" type="#_x0000_t202" style="width:82.8pt;height:19.9pt;margin-top:8.3pt;margin-left:48.3pt;mso-height-relative:page;mso-position-horizontal-relative:page;mso-width-relative:page;mso-wrap-distance-bottom:0;mso-wrap-distance-top:0;position:absolute;z-index:-251648000" coordsize="21600,21600" filled="f" stroked="t" strokecolor="black">
            <v:textbox inset="0,0,0,0">
              <w:txbxContent>
                <w:p>
                  <w:pPr>
                    <w:spacing w:before="3" w:line="306" w:lineRule="exact"/>
                    <w:ind w:left="1" w:right="0" w:firstLine="0"/>
                    <w:jc w:val="left"/>
                    <w:rPr>
                      <w:b/>
                      <w:sz w:val="24"/>
                    </w:rPr>
                  </w:pPr>
                  <w:r>
                    <w:rPr>
                      <w:b/>
                      <w:sz w:val="24"/>
                    </w:rPr>
                    <w:t>精选习题·06</w:t>
                  </w:r>
                </w:p>
              </w:txbxContent>
            </v:textbox>
            <w10:wrap type="topAndBottom"/>
          </v:shape>
        </w:pict>
      </w:r>
    </w:p>
    <w:p>
      <w:pPr>
        <w:spacing w:after="0"/>
        <w:rPr>
          <w:sz w:val="7"/>
        </w:rPr>
        <w:sectPr>
          <w:headerReference w:type="default" r:id="rId7"/>
          <w:pgSz w:w="11910" w:h="16840"/>
          <w:pgMar w:top="1180" w:right="540" w:bottom="280" w:left="680" w:header="993" w:footer="0" w:gutter="0"/>
          <w:pgNumType w:start="7"/>
          <w:cols w:space="708"/>
        </w:sectPr>
      </w:pPr>
    </w:p>
    <w:p>
      <w:pPr>
        <w:pStyle w:val="BodyText"/>
        <w:tabs>
          <w:tab w:val="left" w:pos="8521"/>
        </w:tabs>
        <w:spacing w:before="54" w:line="331" w:lineRule="auto"/>
        <w:ind w:left="647" w:right="1113" w:hanging="420"/>
      </w:pPr>
      <w:r>
        <w:t>【2022】根据《必须招标的工程项目规定</w:t>
      </w:r>
      <w:r>
        <w:rPr>
          <w:spacing w:val="-104"/>
        </w:rPr>
        <w:t>》</w:t>
      </w:r>
      <w:r>
        <w:t>，国有资金投资项目，必须进行招标的是（</w:t>
      </w:r>
      <w:r>
        <w:tab/>
      </w:r>
      <w:r>
        <w:rPr>
          <w:spacing w:val="-1"/>
        </w:rPr>
        <w:t>）的</w:t>
      </w:r>
      <w:r>
        <w:t>项目。A.施工单项合同估算价为</w:t>
      </w:r>
      <w:r>
        <w:rPr>
          <w:spacing w:val="-51"/>
        </w:rPr>
        <w:t xml:space="preserve"> </w:t>
      </w:r>
      <w:r>
        <w:t>300</w:t>
      </w:r>
      <w:r>
        <w:rPr>
          <w:spacing w:val="-54"/>
        </w:rPr>
        <w:t xml:space="preserve"> </w:t>
      </w:r>
      <w:r>
        <w:t>万元</w:t>
      </w:r>
    </w:p>
    <w:p>
      <w:pPr>
        <w:pStyle w:val="ListParagraph"/>
        <w:numPr>
          <w:ilvl w:val="0"/>
          <w:numId w:val="157"/>
        </w:numPr>
        <w:tabs>
          <w:tab w:val="left" w:pos="859"/>
        </w:tabs>
        <w:spacing w:before="4" w:after="0" w:line="240" w:lineRule="auto"/>
        <w:ind w:left="858" w:right="0" w:hanging="212"/>
        <w:jc w:val="left"/>
        <w:rPr>
          <w:sz w:val="21"/>
        </w:rPr>
      </w:pPr>
      <w:r>
        <w:rPr>
          <w:spacing w:val="-1"/>
          <w:w w:val="95"/>
          <w:sz w:val="21"/>
        </w:rPr>
        <w:t xml:space="preserve">设备采购合同结算价为 </w:t>
      </w:r>
      <w:r>
        <w:rPr>
          <w:w w:val="95"/>
          <w:sz w:val="21"/>
        </w:rPr>
        <w:t>150</w:t>
      </w:r>
      <w:r>
        <w:rPr>
          <w:spacing w:val="-4"/>
          <w:w w:val="95"/>
          <w:sz w:val="21"/>
        </w:rPr>
        <w:t xml:space="preserve"> 万元</w:t>
      </w:r>
    </w:p>
    <w:p>
      <w:pPr>
        <w:pStyle w:val="ListParagraph"/>
        <w:numPr>
          <w:ilvl w:val="0"/>
          <w:numId w:val="157"/>
        </w:numPr>
        <w:tabs>
          <w:tab w:val="left" w:pos="859"/>
        </w:tabs>
        <w:spacing w:before="108" w:after="0" w:line="240" w:lineRule="auto"/>
        <w:ind w:left="858" w:right="0" w:hanging="212"/>
        <w:jc w:val="left"/>
        <w:rPr>
          <w:sz w:val="21"/>
        </w:rPr>
      </w:pPr>
      <w:r>
        <w:rPr>
          <w:spacing w:val="-2"/>
          <w:w w:val="95"/>
          <w:sz w:val="21"/>
        </w:rPr>
        <w:t xml:space="preserve">设计合同估算价为 </w:t>
      </w:r>
      <w:r>
        <w:rPr>
          <w:w w:val="95"/>
          <w:sz w:val="21"/>
        </w:rPr>
        <w:t>50</w:t>
      </w:r>
      <w:r>
        <w:rPr>
          <w:spacing w:val="-6"/>
          <w:w w:val="95"/>
          <w:sz w:val="21"/>
        </w:rPr>
        <w:t xml:space="preserve"> 万元</w:t>
      </w:r>
    </w:p>
    <w:p>
      <w:pPr>
        <w:pStyle w:val="ListParagraph"/>
        <w:numPr>
          <w:ilvl w:val="0"/>
          <w:numId w:val="157"/>
        </w:numPr>
        <w:tabs>
          <w:tab w:val="left" w:pos="859"/>
        </w:tabs>
        <w:spacing w:before="103" w:after="0" w:line="240" w:lineRule="auto"/>
        <w:ind w:left="858" w:right="0" w:hanging="212"/>
        <w:jc w:val="left"/>
        <w:rPr>
          <w:sz w:val="21"/>
        </w:rPr>
      </w:pPr>
      <w:r>
        <w:rPr>
          <w:spacing w:val="-2"/>
          <w:w w:val="95"/>
          <w:sz w:val="21"/>
        </w:rPr>
        <w:t xml:space="preserve">监理合同估算价为 </w:t>
      </w:r>
      <w:r>
        <w:rPr>
          <w:w w:val="95"/>
          <w:sz w:val="21"/>
        </w:rPr>
        <w:t>100</w:t>
      </w:r>
      <w:r>
        <w:rPr>
          <w:spacing w:val="-6"/>
          <w:w w:val="95"/>
          <w:sz w:val="21"/>
        </w:rPr>
        <w:t xml:space="preserve"> 万元</w:t>
      </w:r>
    </w:p>
    <w:p>
      <w:pPr>
        <w:pStyle w:val="BodyText"/>
        <w:spacing w:before="107"/>
      </w:pPr>
      <w:r>
        <w:t>【答案】D</w:t>
      </w:r>
    </w:p>
    <w:p>
      <w:pPr>
        <w:pStyle w:val="BodyText"/>
        <w:spacing w:before="103" w:line="333" w:lineRule="auto"/>
        <w:ind w:right="367"/>
      </w:pPr>
      <w:r>
        <w:rPr>
          <w:w w:val="95"/>
        </w:rPr>
        <w:t>【解析】对于上述规定范围内的项目，其勘察、设计、施工、监理以及与工程建设有关的重要设备、材料等的</w:t>
      </w:r>
      <w:r>
        <w:rPr>
          <w:spacing w:val="206"/>
        </w:rPr>
        <w:t xml:space="preserve"> </w:t>
      </w:r>
      <w:r>
        <w:t>采购达到下列标准之一的，必须进行招标：</w:t>
      </w:r>
    </w:p>
    <w:p>
      <w:pPr>
        <w:pStyle w:val="ListParagraph"/>
        <w:numPr>
          <w:ilvl w:val="0"/>
          <w:numId w:val="12"/>
        </w:numPr>
        <w:tabs>
          <w:tab w:val="left" w:pos="752"/>
        </w:tabs>
        <w:spacing w:before="3" w:after="0" w:line="240" w:lineRule="auto"/>
        <w:ind w:left="751" w:right="0" w:hanging="525"/>
        <w:jc w:val="left"/>
        <w:rPr>
          <w:sz w:val="21"/>
        </w:rPr>
      </w:pPr>
      <w:r>
        <w:rPr>
          <w:spacing w:val="1"/>
          <w:w w:val="95"/>
          <w:sz w:val="21"/>
        </w:rPr>
        <w:t xml:space="preserve">施工单项合同估算价在 </w:t>
      </w:r>
      <w:r>
        <w:rPr>
          <w:w w:val="95"/>
          <w:sz w:val="21"/>
        </w:rPr>
        <w:t>400 万元人民币以上；</w:t>
      </w:r>
    </w:p>
    <w:p>
      <w:pPr>
        <w:pStyle w:val="ListParagraph"/>
        <w:numPr>
          <w:ilvl w:val="0"/>
          <w:numId w:val="12"/>
        </w:numPr>
        <w:tabs>
          <w:tab w:val="left" w:pos="752"/>
        </w:tabs>
        <w:spacing w:before="103" w:after="0" w:line="240" w:lineRule="auto"/>
        <w:ind w:left="751" w:right="0" w:hanging="525"/>
        <w:jc w:val="left"/>
        <w:rPr>
          <w:sz w:val="21"/>
        </w:rPr>
      </w:pPr>
      <w:r>
        <w:rPr>
          <w:spacing w:val="3"/>
          <w:w w:val="95"/>
          <w:sz w:val="21"/>
        </w:rPr>
        <w:t xml:space="preserve">重要设备、材料等货物的采购，单项合同估算价在 </w:t>
      </w:r>
      <w:r>
        <w:rPr>
          <w:w w:val="95"/>
          <w:sz w:val="21"/>
        </w:rPr>
        <w:t>200</w:t>
      </w:r>
      <w:r>
        <w:rPr>
          <w:spacing w:val="6"/>
          <w:w w:val="95"/>
          <w:sz w:val="21"/>
        </w:rPr>
        <w:t xml:space="preserve"> 万元人民币以上；</w:t>
      </w:r>
    </w:p>
    <w:p>
      <w:pPr>
        <w:pStyle w:val="ListParagraph"/>
        <w:numPr>
          <w:ilvl w:val="0"/>
          <w:numId w:val="12"/>
        </w:numPr>
        <w:tabs>
          <w:tab w:val="left" w:pos="752"/>
        </w:tabs>
        <w:spacing w:before="106" w:after="0" w:line="240" w:lineRule="auto"/>
        <w:ind w:left="751" w:right="0" w:hanging="525"/>
        <w:jc w:val="left"/>
        <w:rPr>
          <w:sz w:val="21"/>
        </w:rPr>
      </w:pPr>
      <w:r>
        <w:rPr>
          <w:spacing w:val="3"/>
          <w:w w:val="95"/>
          <w:sz w:val="21"/>
        </w:rPr>
        <w:t xml:space="preserve">勘察、设计、监理等服务的采购，单项合同估算价在 </w:t>
      </w:r>
      <w:r>
        <w:rPr>
          <w:w w:val="95"/>
          <w:sz w:val="21"/>
        </w:rPr>
        <w:t>100</w:t>
      </w:r>
      <w:r>
        <w:rPr>
          <w:spacing w:val="6"/>
          <w:w w:val="95"/>
          <w:sz w:val="21"/>
        </w:rPr>
        <w:t xml:space="preserve"> 万元人民币以上。</w:t>
      </w:r>
    </w:p>
    <w:p>
      <w:pPr>
        <w:pStyle w:val="BodyText"/>
        <w:spacing w:before="8"/>
        <w:ind w:left="0"/>
        <w:rPr>
          <w:sz w:val="7"/>
        </w:rPr>
      </w:pPr>
      <w:r>
        <w:pict>
          <v:shape id="docshape15" o:spid="_x0000_s1037" type="#_x0000_t202" style="width:82.8pt;height:19.9pt;margin-top:8.3pt;margin-left:48.3pt;mso-height-relative:page;mso-position-horizontal-relative:page;mso-width-relative:page;mso-wrap-distance-bottom:0;mso-wrap-distance-top:0;position:absolute;z-index:-251646976" coordsize="21600,21600" filled="f" stroked="t" strokecolor="black">
            <v:textbox inset="0,0,0,0">
              <w:txbxContent>
                <w:p>
                  <w:pPr>
                    <w:spacing w:before="3" w:line="306" w:lineRule="exact"/>
                    <w:ind w:left="1" w:right="0" w:firstLine="0"/>
                    <w:jc w:val="left"/>
                    <w:rPr>
                      <w:b/>
                      <w:sz w:val="24"/>
                    </w:rPr>
                  </w:pPr>
                  <w:r>
                    <w:rPr>
                      <w:b/>
                      <w:sz w:val="24"/>
                    </w:rPr>
                    <w:t>重要考点·07</w:t>
                  </w:r>
                </w:p>
              </w:txbxContent>
            </v:textbox>
            <w10:wrap type="topAndBottom"/>
          </v:shape>
        </w:pict>
      </w:r>
    </w:p>
    <w:p>
      <w:pPr>
        <w:pStyle w:val="BodyText"/>
        <w:spacing w:before="5"/>
        <w:ind w:left="0"/>
        <w:rPr>
          <w:sz w:val="7"/>
        </w:rPr>
      </w:pPr>
    </w:p>
    <w:p>
      <w:pPr>
        <w:pStyle w:val="BodyText"/>
        <w:spacing w:before="69"/>
      </w:pPr>
      <w:r>
        <w:t>（一）编报项目建议书</w:t>
      </w:r>
    </w:p>
    <w:p>
      <w:pPr>
        <w:pStyle w:val="BodyText"/>
        <w:spacing w:before="106" w:line="333" w:lineRule="auto"/>
        <w:ind w:right="367"/>
        <w:jc w:val="both"/>
      </w:pPr>
      <w:r>
        <w:rPr>
          <w:w w:val="95"/>
        </w:rPr>
        <w:t>项目建议书是拟建项目单位向政府投资主管部门提出的要求建设某一工程项目的建议文件，是对工程项目建设</w:t>
      </w:r>
      <w:r>
        <w:rPr>
          <w:spacing w:val="216"/>
        </w:rPr>
        <w:t xml:space="preserve"> </w:t>
      </w:r>
      <w:r>
        <w:rPr>
          <w:w w:val="95"/>
        </w:rPr>
        <w:t>的轮廓设想。项目建议书的主要作用是推荐一个拟建项目，论述其建设的必要性、建设条件的可行性和获利的</w:t>
      </w:r>
      <w:r>
        <w:rPr>
          <w:spacing w:val="206"/>
        </w:rPr>
        <w:t xml:space="preserve"> </w:t>
      </w:r>
      <w:r>
        <w:t>可能性，供政府投资主管部门选择并确定是否进行下一步工作。</w:t>
      </w:r>
    </w:p>
    <w:p>
      <w:pPr>
        <w:pStyle w:val="BodyText"/>
        <w:spacing w:before="1"/>
      </w:pPr>
      <w:r>
        <w:t>项目建议书的内容视工程项目不同而有繁有简，但一般应包括以下几方面内容：</w:t>
      </w:r>
    </w:p>
    <w:p>
      <w:pPr>
        <w:pStyle w:val="ListParagraph"/>
        <w:numPr>
          <w:ilvl w:val="0"/>
          <w:numId w:val="13"/>
        </w:numPr>
        <w:tabs>
          <w:tab w:val="left" w:pos="752"/>
        </w:tabs>
        <w:spacing w:before="105" w:after="0" w:line="240" w:lineRule="auto"/>
        <w:ind w:left="751" w:right="0" w:hanging="525"/>
        <w:jc w:val="left"/>
        <w:rPr>
          <w:sz w:val="21"/>
        </w:rPr>
      </w:pPr>
      <w:r>
        <w:rPr>
          <w:sz w:val="21"/>
        </w:rPr>
        <w:t>项目提出的必要性和依据；</w:t>
      </w:r>
    </w:p>
    <w:p>
      <w:pPr>
        <w:pStyle w:val="ListParagraph"/>
        <w:numPr>
          <w:ilvl w:val="0"/>
          <w:numId w:val="13"/>
        </w:numPr>
        <w:tabs>
          <w:tab w:val="left" w:pos="752"/>
        </w:tabs>
        <w:spacing w:before="106" w:after="0" w:line="240" w:lineRule="auto"/>
        <w:ind w:left="751" w:right="0" w:hanging="525"/>
        <w:jc w:val="left"/>
        <w:rPr>
          <w:sz w:val="21"/>
        </w:rPr>
      </w:pPr>
      <w:r>
        <w:rPr>
          <w:sz w:val="21"/>
        </w:rPr>
        <w:t>产品方案、拟建规模和建设地点的初步设想；</w:t>
      </w:r>
    </w:p>
    <w:p>
      <w:pPr>
        <w:pStyle w:val="ListParagraph"/>
        <w:numPr>
          <w:ilvl w:val="0"/>
          <w:numId w:val="13"/>
        </w:numPr>
        <w:tabs>
          <w:tab w:val="left" w:pos="752"/>
        </w:tabs>
        <w:spacing w:before="107" w:after="0" w:line="240" w:lineRule="auto"/>
        <w:ind w:left="751" w:right="0" w:hanging="525"/>
        <w:jc w:val="left"/>
        <w:rPr>
          <w:sz w:val="21"/>
        </w:rPr>
      </w:pPr>
      <w:r>
        <w:rPr>
          <w:sz w:val="21"/>
        </w:rPr>
        <w:t>资源情况、建设条件、协作关系和设备技术引进国别、厂商的初步分析；</w:t>
      </w:r>
    </w:p>
    <w:p>
      <w:pPr>
        <w:pStyle w:val="ListParagraph"/>
        <w:numPr>
          <w:ilvl w:val="0"/>
          <w:numId w:val="13"/>
        </w:numPr>
        <w:tabs>
          <w:tab w:val="left" w:pos="752"/>
        </w:tabs>
        <w:spacing w:before="103" w:after="0" w:line="240" w:lineRule="auto"/>
        <w:ind w:left="751" w:right="0" w:hanging="525"/>
        <w:jc w:val="left"/>
        <w:rPr>
          <w:sz w:val="21"/>
        </w:rPr>
      </w:pPr>
      <w:r>
        <w:rPr>
          <w:sz w:val="21"/>
        </w:rPr>
        <w:t>投资估算、资金筹措及还贷方案设想；</w:t>
      </w:r>
    </w:p>
    <w:p>
      <w:pPr>
        <w:pStyle w:val="ListParagraph"/>
        <w:numPr>
          <w:ilvl w:val="0"/>
          <w:numId w:val="13"/>
        </w:numPr>
        <w:tabs>
          <w:tab w:val="left" w:pos="752"/>
        </w:tabs>
        <w:spacing w:before="106" w:after="0" w:line="240" w:lineRule="auto"/>
        <w:ind w:left="751" w:right="0" w:hanging="525"/>
        <w:jc w:val="left"/>
        <w:rPr>
          <w:sz w:val="21"/>
        </w:rPr>
      </w:pPr>
      <w:r>
        <w:rPr>
          <w:sz w:val="21"/>
        </w:rPr>
        <w:t>项目进度安排；</w:t>
      </w:r>
    </w:p>
    <w:p>
      <w:pPr>
        <w:pStyle w:val="ListParagraph"/>
        <w:numPr>
          <w:ilvl w:val="0"/>
          <w:numId w:val="13"/>
        </w:numPr>
        <w:tabs>
          <w:tab w:val="left" w:pos="752"/>
        </w:tabs>
        <w:spacing w:before="105" w:after="0" w:line="240" w:lineRule="auto"/>
        <w:ind w:left="751" w:right="0" w:hanging="525"/>
        <w:jc w:val="left"/>
        <w:rPr>
          <w:sz w:val="21"/>
        </w:rPr>
      </w:pPr>
      <w:r>
        <w:rPr>
          <w:sz w:val="21"/>
        </w:rPr>
        <w:t>经济效益和社会效益的初步估计；</w:t>
      </w:r>
    </w:p>
    <w:p>
      <w:pPr>
        <w:pStyle w:val="ListParagraph"/>
        <w:numPr>
          <w:ilvl w:val="0"/>
          <w:numId w:val="13"/>
        </w:numPr>
        <w:tabs>
          <w:tab w:val="left" w:pos="752"/>
        </w:tabs>
        <w:spacing w:before="105" w:after="0" w:line="240" w:lineRule="auto"/>
        <w:ind w:left="751" w:right="0" w:hanging="525"/>
        <w:jc w:val="left"/>
        <w:rPr>
          <w:sz w:val="21"/>
        </w:rPr>
      </w:pPr>
      <w:r>
        <w:rPr>
          <w:sz w:val="21"/>
        </w:rPr>
        <w:t>环境影响的初步评价。</w:t>
      </w:r>
    </w:p>
    <w:p>
      <w:pPr>
        <w:pStyle w:val="BodyText"/>
        <w:spacing w:before="108" w:line="331" w:lineRule="auto"/>
        <w:ind w:right="261"/>
      </w:pPr>
      <w:r>
        <w:t>对于政府投资工程，项目建议书按要求编制完成后，应根据建设规模和限额划分报送有关部门审批。项目建议</w:t>
      </w:r>
      <w:r>
        <w:rPr>
          <w:w w:val="95"/>
        </w:rPr>
        <w:t>书经批准后，可进行可行性研究工作，但并不表明项目非上不可，批准的项目建议书不是工程项目的最终决策。</w:t>
      </w:r>
    </w:p>
    <w:p>
      <w:pPr>
        <w:pStyle w:val="BodyText"/>
        <w:spacing w:before="6"/>
      </w:pPr>
      <w:r>
        <w:rPr>
          <w:spacing w:val="1"/>
          <w:w w:val="95"/>
        </w:rPr>
        <w:t xml:space="preserve">【分值】考试形式为选择题，分值为 </w:t>
      </w:r>
      <w:r>
        <w:rPr>
          <w:w w:val="95"/>
        </w:rPr>
        <w:t>1-2</w:t>
      </w:r>
      <w:r>
        <w:rPr>
          <w:spacing w:val="3"/>
          <w:w w:val="95"/>
        </w:rPr>
        <w:t xml:space="preserve"> 分。</w:t>
      </w:r>
    </w:p>
    <w:p>
      <w:pPr>
        <w:pStyle w:val="BodyText"/>
        <w:spacing w:before="103"/>
      </w:pPr>
      <w:r>
        <w:t>【记忆方法】根据特点结合关键词进行掌握</w:t>
      </w:r>
    </w:p>
    <w:p>
      <w:pPr>
        <w:pStyle w:val="BodyText"/>
        <w:spacing w:before="8"/>
        <w:ind w:left="0"/>
        <w:rPr>
          <w:sz w:val="7"/>
        </w:rPr>
      </w:pPr>
      <w:r>
        <w:pict>
          <v:shape id="docshape16" o:spid="_x0000_s1038" type="#_x0000_t202" style="width:82.8pt;height:19.9pt;margin-top:8.35pt;margin-left:48.3pt;mso-height-relative:page;mso-position-horizontal-relative:page;mso-width-relative:page;mso-wrap-distance-bottom:0;mso-wrap-distance-top:0;position:absolute;z-index:-251645952" coordsize="21600,21600" filled="f" stroked="t" strokecolor="black">
            <v:textbox inset="0,0,0,0">
              <w:txbxContent>
                <w:p>
                  <w:pPr>
                    <w:spacing w:before="1"/>
                    <w:ind w:left="1" w:right="0" w:firstLine="0"/>
                    <w:jc w:val="left"/>
                    <w:rPr>
                      <w:b/>
                      <w:sz w:val="24"/>
                    </w:rPr>
                  </w:pPr>
                  <w:r>
                    <w:rPr>
                      <w:b/>
                      <w:sz w:val="24"/>
                    </w:rPr>
                    <w:t>精选习题·07</w:t>
                  </w:r>
                </w:p>
              </w:txbxContent>
            </v:textbox>
            <w10:wrap type="topAndBottom"/>
          </v:shape>
        </w:pict>
      </w:r>
    </w:p>
    <w:p>
      <w:pPr>
        <w:pStyle w:val="BodyText"/>
        <w:spacing w:before="5"/>
        <w:ind w:left="0"/>
        <w:rPr>
          <w:sz w:val="7"/>
        </w:rPr>
      </w:pPr>
    </w:p>
    <w:p>
      <w:pPr>
        <w:pStyle w:val="BodyText"/>
        <w:tabs>
          <w:tab w:val="left" w:pos="6107"/>
        </w:tabs>
        <w:spacing w:before="70" w:line="336" w:lineRule="auto"/>
        <w:ind w:left="647" w:right="4262" w:hanging="420"/>
      </w:pPr>
      <w:r>
        <w:t>【2021】下列工作内容中，属于工程项目建议书内容的是（</w:t>
      </w:r>
      <w:r>
        <w:tab/>
      </w:r>
      <w:r>
        <w:rPr>
          <w:spacing w:val="-104"/>
        </w:rPr>
        <w:t>）</w:t>
      </w:r>
      <w:r>
        <w:rPr>
          <w:spacing w:val="-3"/>
        </w:rPr>
        <w:t>。</w:t>
      </w:r>
      <w:r>
        <w:t>A.比选确定设计方案</w:t>
      </w:r>
    </w:p>
    <w:p>
      <w:pPr>
        <w:pStyle w:val="BodyText"/>
        <w:spacing w:line="333" w:lineRule="auto"/>
        <w:ind w:left="647" w:right="7939"/>
      </w:pPr>
      <w:r>
        <w:rPr>
          <w:spacing w:val="-1"/>
        </w:rPr>
        <w:t>B.环境影响的初步评价</w:t>
      </w:r>
      <w:r>
        <w:t>C.经济效益测算分析</w:t>
      </w:r>
      <w:r>
        <w:rPr>
          <w:spacing w:val="1"/>
        </w:rPr>
        <w:t xml:space="preserve"> </w:t>
      </w:r>
      <w:r>
        <w:t>D.技术方案论证</w:t>
      </w:r>
    </w:p>
    <w:p>
      <w:pPr>
        <w:pStyle w:val="BodyText"/>
      </w:pPr>
      <w:r>
        <w:t>【答案】B</w:t>
      </w:r>
    </w:p>
    <w:p>
      <w:pPr>
        <w:pStyle w:val="BodyText"/>
        <w:spacing w:before="104" w:line="331" w:lineRule="auto"/>
        <w:ind w:right="367"/>
      </w:pPr>
      <w:r>
        <w:rPr>
          <w:spacing w:val="-4"/>
          <w:w w:val="99"/>
        </w:rPr>
        <w:t>【解析】项目建议书的内容视工程项目不同而有繁有简，但一般应包括以下几方面内容：</w:t>
      </w:r>
      <w:r>
        <w:rPr>
          <w:spacing w:val="2"/>
          <w:w w:val="99"/>
        </w:rPr>
        <w:t>（</w:t>
      </w:r>
      <w:r>
        <w:rPr>
          <w:spacing w:val="1"/>
          <w:w w:val="99"/>
        </w:rPr>
        <w:t>1</w:t>
      </w:r>
      <w:r>
        <w:rPr>
          <w:spacing w:val="2"/>
          <w:w w:val="99"/>
        </w:rPr>
        <w:t>）</w:t>
      </w:r>
      <w:r>
        <w:rPr>
          <w:spacing w:val="-1"/>
          <w:w w:val="99"/>
        </w:rPr>
        <w:t>项目提出的必要</w:t>
      </w:r>
      <w:r>
        <w:rPr>
          <w:spacing w:val="-22"/>
          <w:w w:val="99"/>
        </w:rPr>
        <w:t>性和依据；</w:t>
      </w:r>
      <w:r>
        <w:rPr>
          <w:spacing w:val="2"/>
          <w:w w:val="99"/>
        </w:rPr>
        <w:t>（</w:t>
      </w:r>
      <w:r>
        <w:rPr>
          <w:spacing w:val="-2"/>
          <w:w w:val="99"/>
        </w:rPr>
        <w:t>2</w:t>
      </w:r>
      <w:r>
        <w:rPr>
          <w:spacing w:val="2"/>
          <w:w w:val="99"/>
        </w:rPr>
        <w:t>）</w:t>
      </w:r>
      <w:r>
        <w:rPr>
          <w:spacing w:val="-7"/>
          <w:w w:val="99"/>
        </w:rPr>
        <w:t>产品方案、拟建规模和建设地点的初步设想；</w:t>
      </w:r>
      <w:r>
        <w:rPr>
          <w:spacing w:val="2"/>
          <w:w w:val="99"/>
        </w:rPr>
        <w:t>（</w:t>
      </w:r>
      <w:r>
        <w:rPr>
          <w:spacing w:val="1"/>
          <w:w w:val="99"/>
        </w:rPr>
        <w:t>3</w:t>
      </w:r>
      <w:r>
        <w:rPr>
          <w:spacing w:val="2"/>
          <w:w w:val="99"/>
        </w:rPr>
        <w:t>）</w:t>
      </w:r>
      <w:r>
        <w:rPr>
          <w:spacing w:val="-1"/>
          <w:w w:val="99"/>
        </w:rPr>
        <w:t>资源情况、建设条件、协作关系和设备技术</w:t>
      </w:r>
    </w:p>
    <w:p>
      <w:pPr>
        <w:spacing w:after="0" w:line="331" w:lineRule="auto"/>
        <w:sectPr>
          <w:headerReference w:type="default" r:id="rId8"/>
          <w:pgSz w:w="11910" w:h="16840"/>
          <w:pgMar w:top="1180" w:right="540" w:bottom="280" w:left="680" w:header="993" w:footer="0" w:gutter="0"/>
          <w:pgNumType w:start="8"/>
          <w:cols w:space="708"/>
        </w:sectPr>
      </w:pPr>
    </w:p>
    <w:p>
      <w:pPr>
        <w:pStyle w:val="BodyText"/>
        <w:spacing w:before="54" w:line="331" w:lineRule="auto"/>
        <w:ind w:right="367"/>
      </w:pPr>
      <w:r>
        <w:pict>
          <v:shape id="docshape17" o:spid="_x0000_s1039" type="#_x0000_t202" style="width:82.8pt;height:19.9pt;margin-top:43.05pt;margin-left:48.3pt;mso-height-relative:page;mso-position-horizontal-relative:page;mso-width-relative:page;mso-wrap-distance-bottom:0;mso-wrap-distance-top:0;position:absolute;z-index:-251644928" coordsize="21600,21600" filled="f" stroked="t" strokecolor="black">
            <v:textbox inset="0,0,0,0">
              <w:txbxContent>
                <w:p>
                  <w:pPr>
                    <w:spacing w:before="1"/>
                    <w:ind w:left="1" w:right="0" w:firstLine="0"/>
                    <w:jc w:val="left"/>
                    <w:rPr>
                      <w:b/>
                      <w:sz w:val="24"/>
                    </w:rPr>
                  </w:pPr>
                  <w:r>
                    <w:rPr>
                      <w:b/>
                      <w:sz w:val="24"/>
                    </w:rPr>
                    <w:t>重要考点·08</w:t>
                  </w:r>
                </w:p>
              </w:txbxContent>
            </v:textbox>
            <w10:wrap type="topAndBottom"/>
          </v:shape>
        </w:pict>
      </w:r>
      <w:r>
        <w:rPr>
          <w:spacing w:val="-9"/>
          <w:w w:val="99"/>
        </w:rPr>
        <w:t>引进国别、厂商的初步分析；</w:t>
      </w:r>
      <w:r>
        <w:rPr>
          <w:spacing w:val="-1"/>
          <w:w w:val="99"/>
        </w:rPr>
        <w:t>（</w:t>
      </w:r>
      <w:r>
        <w:rPr>
          <w:spacing w:val="1"/>
          <w:w w:val="99"/>
        </w:rPr>
        <w:t>4</w:t>
      </w:r>
      <w:r>
        <w:rPr>
          <w:spacing w:val="2"/>
          <w:w w:val="99"/>
        </w:rPr>
        <w:t>）</w:t>
      </w:r>
      <w:r>
        <w:rPr>
          <w:spacing w:val="-8"/>
          <w:w w:val="99"/>
        </w:rPr>
        <w:t>投资估算、资金筹措及还贷方案设想；</w:t>
      </w:r>
      <w:r>
        <w:rPr>
          <w:spacing w:val="2"/>
          <w:w w:val="99"/>
        </w:rPr>
        <w:t>（</w:t>
      </w:r>
      <w:r>
        <w:rPr>
          <w:spacing w:val="1"/>
          <w:w w:val="99"/>
        </w:rPr>
        <w:t>5</w:t>
      </w:r>
      <w:r>
        <w:rPr>
          <w:spacing w:val="2"/>
          <w:w w:val="99"/>
        </w:rPr>
        <w:t>）</w:t>
      </w:r>
      <w:r>
        <w:rPr>
          <w:spacing w:val="-16"/>
          <w:w w:val="99"/>
        </w:rPr>
        <w:t>项目进度安排；</w:t>
      </w:r>
      <w:r>
        <w:rPr>
          <w:spacing w:val="-1"/>
          <w:w w:val="99"/>
        </w:rPr>
        <w:t>（</w:t>
      </w:r>
      <w:r>
        <w:rPr>
          <w:spacing w:val="1"/>
          <w:w w:val="99"/>
        </w:rPr>
        <w:t>6</w:t>
      </w:r>
      <w:r>
        <w:rPr>
          <w:spacing w:val="2"/>
          <w:w w:val="99"/>
        </w:rPr>
        <w:t>）</w:t>
      </w:r>
      <w:r>
        <w:rPr>
          <w:spacing w:val="-1"/>
          <w:w w:val="99"/>
        </w:rPr>
        <w:t>经济效益和</w:t>
      </w:r>
      <w:r>
        <w:rPr>
          <w:spacing w:val="-12"/>
          <w:w w:val="99"/>
        </w:rPr>
        <w:t>社会效益的初步估计；</w:t>
      </w:r>
      <w:r>
        <w:rPr>
          <w:spacing w:val="2"/>
          <w:w w:val="99"/>
        </w:rPr>
        <w:t>（</w:t>
      </w:r>
      <w:r>
        <w:rPr>
          <w:spacing w:val="-2"/>
          <w:w w:val="99"/>
        </w:rPr>
        <w:t>7</w:t>
      </w:r>
      <w:r>
        <w:rPr>
          <w:spacing w:val="-1"/>
          <w:w w:val="99"/>
        </w:rPr>
        <w:t>）环境影响的初步评价。</w:t>
      </w:r>
    </w:p>
    <w:p>
      <w:pPr>
        <w:pStyle w:val="BodyText"/>
        <w:spacing w:before="5"/>
        <w:ind w:left="0"/>
        <w:rPr>
          <w:sz w:val="7"/>
        </w:rPr>
      </w:pPr>
    </w:p>
    <w:p>
      <w:pPr>
        <w:pStyle w:val="BodyText"/>
        <w:spacing w:before="70"/>
      </w:pPr>
      <w:r>
        <w:t>（一）编报可行性研究报告</w:t>
      </w:r>
    </w:p>
    <w:p>
      <w:pPr>
        <w:pStyle w:val="BodyText"/>
        <w:spacing w:before="108" w:line="331" w:lineRule="auto"/>
        <w:ind w:right="367"/>
      </w:pPr>
      <w:r>
        <w:rPr>
          <w:w w:val="95"/>
        </w:rPr>
        <w:t>可行性研究是指在工程项目决策之前，通过调查、研究、分析建设工程在技术、经济等方面的条件和情况，对</w:t>
      </w:r>
      <w:r>
        <w:rPr>
          <w:spacing w:val="206"/>
        </w:rPr>
        <w:t xml:space="preserve"> </w:t>
      </w:r>
      <w:r>
        <w:t>可能的多种方案进行比较论证，同时对工程建成后的综合效益进行预测和评价的一种投资决策分析活动。</w:t>
      </w:r>
    </w:p>
    <w:p>
      <w:pPr>
        <w:pStyle w:val="BodyText"/>
        <w:spacing w:before="6"/>
      </w:pPr>
      <w:r>
        <w:t>可行性研究应完成以下工作内容：</w:t>
      </w:r>
    </w:p>
    <w:p>
      <w:pPr>
        <w:pStyle w:val="ListParagraph"/>
        <w:numPr>
          <w:ilvl w:val="0"/>
          <w:numId w:val="14"/>
        </w:numPr>
        <w:tabs>
          <w:tab w:val="left" w:pos="752"/>
        </w:tabs>
        <w:spacing w:before="103" w:after="0" w:line="240" w:lineRule="auto"/>
        <w:ind w:left="751" w:right="0" w:hanging="525"/>
        <w:jc w:val="left"/>
        <w:rPr>
          <w:sz w:val="21"/>
        </w:rPr>
      </w:pPr>
      <w:r>
        <w:rPr>
          <w:sz w:val="21"/>
        </w:rPr>
        <w:t>进行市场研究，以解决工程建设的必要性问题；</w:t>
      </w:r>
    </w:p>
    <w:p>
      <w:pPr>
        <w:pStyle w:val="ListParagraph"/>
        <w:numPr>
          <w:ilvl w:val="0"/>
          <w:numId w:val="14"/>
        </w:numPr>
        <w:tabs>
          <w:tab w:val="left" w:pos="752"/>
        </w:tabs>
        <w:spacing w:before="105" w:after="0" w:line="240" w:lineRule="auto"/>
        <w:ind w:left="751" w:right="0" w:hanging="525"/>
        <w:jc w:val="left"/>
        <w:rPr>
          <w:sz w:val="21"/>
        </w:rPr>
      </w:pPr>
      <w:r>
        <w:rPr>
          <w:sz w:val="21"/>
        </w:rPr>
        <w:t>进行工艺技术方案研究，以解决工程建设的技术可行性问题；</w:t>
      </w:r>
    </w:p>
    <w:p>
      <w:pPr>
        <w:pStyle w:val="ListParagraph"/>
        <w:numPr>
          <w:ilvl w:val="0"/>
          <w:numId w:val="14"/>
        </w:numPr>
        <w:tabs>
          <w:tab w:val="left" w:pos="752"/>
        </w:tabs>
        <w:spacing w:before="108" w:after="0" w:line="240" w:lineRule="auto"/>
        <w:ind w:left="751" w:right="0" w:hanging="525"/>
        <w:jc w:val="left"/>
        <w:rPr>
          <w:sz w:val="21"/>
        </w:rPr>
      </w:pPr>
      <w:r>
        <w:rPr>
          <w:sz w:val="21"/>
        </w:rPr>
        <w:t>进行财务和经济分析，以解决工程建设的经济合理性问题。</w:t>
      </w:r>
    </w:p>
    <w:p>
      <w:pPr>
        <w:pStyle w:val="BodyText"/>
        <w:spacing w:before="103" w:line="333" w:lineRule="auto"/>
        <w:ind w:right="261"/>
      </w:pPr>
      <w:r>
        <w:rPr>
          <w:spacing w:val="-14"/>
          <w:w w:val="95"/>
        </w:rPr>
        <w:t>可行性研究工作完成后，需要编写出反映其全部工作成果的“可行性研究报告”。凡经可行性研究未通过的项目，</w:t>
      </w:r>
      <w:r>
        <w:rPr>
          <w:spacing w:val="212"/>
        </w:rPr>
        <w:t xml:space="preserve"> </w:t>
      </w:r>
      <w:r>
        <w:t>不得进行下一步工作。</w:t>
      </w:r>
    </w:p>
    <w:p>
      <w:pPr>
        <w:pStyle w:val="BodyText"/>
      </w:pPr>
      <w:r>
        <w:rPr>
          <w:spacing w:val="1"/>
          <w:w w:val="95"/>
        </w:rPr>
        <w:t xml:space="preserve">【分值】考试形式为选择题，分值为 </w:t>
      </w:r>
      <w:r>
        <w:rPr>
          <w:w w:val="95"/>
        </w:rPr>
        <w:t>1-2</w:t>
      </w:r>
      <w:r>
        <w:rPr>
          <w:spacing w:val="3"/>
          <w:w w:val="95"/>
        </w:rPr>
        <w:t xml:space="preserve"> 分。</w:t>
      </w:r>
    </w:p>
    <w:p>
      <w:pPr>
        <w:pStyle w:val="BodyText"/>
        <w:spacing w:before="106"/>
      </w:pPr>
      <w:r>
        <w:t>【记忆方法】根据特点结合关键词进行掌握</w:t>
      </w:r>
    </w:p>
    <w:p>
      <w:pPr>
        <w:pStyle w:val="BodyText"/>
        <w:spacing w:before="8"/>
        <w:ind w:left="0"/>
        <w:rPr>
          <w:sz w:val="7"/>
        </w:rPr>
      </w:pPr>
      <w:r>
        <w:pict>
          <v:shape id="docshape18" o:spid="_x0000_s1040" type="#_x0000_t202" style="width:82.8pt;height:19.9pt;margin-top:8.35pt;margin-left:48.3pt;mso-height-relative:page;mso-position-horizontal-relative:page;mso-width-relative:page;mso-wrap-distance-bottom:0;mso-wrap-distance-top:0;position:absolute;z-index:-251643904" coordsize="21600,21600" filled="f" stroked="t" strokecolor="black">
            <v:textbox inset="0,0,0,0">
              <w:txbxContent>
                <w:p>
                  <w:pPr>
                    <w:spacing w:before="3" w:line="306" w:lineRule="exact"/>
                    <w:ind w:left="1" w:right="0" w:firstLine="0"/>
                    <w:jc w:val="left"/>
                    <w:rPr>
                      <w:b/>
                      <w:sz w:val="24"/>
                    </w:rPr>
                  </w:pPr>
                  <w:r>
                    <w:rPr>
                      <w:b/>
                      <w:sz w:val="24"/>
                    </w:rPr>
                    <w:t>精选习题·08</w:t>
                  </w:r>
                </w:p>
              </w:txbxContent>
            </v:textbox>
            <w10:wrap type="topAndBottom"/>
          </v:shape>
        </w:pict>
      </w:r>
    </w:p>
    <w:p>
      <w:pPr>
        <w:pStyle w:val="BodyText"/>
        <w:spacing w:before="7"/>
        <w:ind w:left="0"/>
        <w:rPr>
          <w:sz w:val="7"/>
        </w:rPr>
      </w:pPr>
    </w:p>
    <w:p>
      <w:pPr>
        <w:pStyle w:val="BodyText"/>
        <w:tabs>
          <w:tab w:val="left" w:pos="5475"/>
        </w:tabs>
        <w:spacing w:before="70" w:line="331" w:lineRule="auto"/>
        <w:ind w:left="647" w:right="4893" w:hanging="420"/>
      </w:pPr>
      <w:r>
        <w:t>【2022】工程项目可行性研究应完成的工作内容是（</w:t>
      </w:r>
      <w:r>
        <w:tab/>
      </w:r>
      <w:r>
        <w:rPr>
          <w:spacing w:val="-104"/>
        </w:rPr>
        <w:t>）</w:t>
      </w:r>
      <w:r>
        <w:rPr>
          <w:spacing w:val="-2"/>
        </w:rPr>
        <w:t>。</w:t>
      </w:r>
      <w:r>
        <w:t>A.进行项目的经济分析和财务评价</w:t>
      </w:r>
    </w:p>
    <w:p>
      <w:pPr>
        <w:pStyle w:val="BodyText"/>
        <w:spacing w:before="3"/>
        <w:ind w:left="647"/>
      </w:pPr>
      <w:r>
        <w:t>B.编制工程概算</w:t>
      </w:r>
    </w:p>
    <w:p>
      <w:pPr>
        <w:pStyle w:val="BodyText"/>
        <w:spacing w:before="106" w:line="333" w:lineRule="auto"/>
        <w:ind w:left="647" w:right="7519"/>
      </w:pPr>
      <w:r>
        <w:rPr>
          <w:spacing w:val="-1"/>
        </w:rPr>
        <w:t>C.提出拟建规模的初步设想D.进行环境影响的初步评价</w:t>
      </w:r>
    </w:p>
    <w:p>
      <w:pPr>
        <w:pStyle w:val="BodyText"/>
        <w:spacing w:before="3"/>
      </w:pPr>
      <w:r>
        <w:t>【答案】A</w:t>
      </w:r>
    </w:p>
    <w:p>
      <w:pPr>
        <w:pStyle w:val="BodyText"/>
        <w:spacing w:before="103"/>
      </w:pPr>
      <w:r>
        <w:t>【解析】可行性研究应完成以下工作内容：</w:t>
      </w:r>
    </w:p>
    <w:p>
      <w:pPr>
        <w:pStyle w:val="ListParagraph"/>
        <w:numPr>
          <w:ilvl w:val="0"/>
          <w:numId w:val="15"/>
        </w:numPr>
        <w:tabs>
          <w:tab w:val="left" w:pos="752"/>
        </w:tabs>
        <w:spacing w:before="105" w:after="0" w:line="240" w:lineRule="auto"/>
        <w:ind w:left="751" w:right="0" w:hanging="525"/>
        <w:jc w:val="left"/>
        <w:rPr>
          <w:sz w:val="21"/>
        </w:rPr>
      </w:pPr>
      <w:r>
        <w:rPr>
          <w:sz w:val="21"/>
        </w:rPr>
        <w:t>进行市场研究，以解决工程建设的必要性问题；</w:t>
      </w:r>
    </w:p>
    <w:p>
      <w:pPr>
        <w:pStyle w:val="ListParagraph"/>
        <w:numPr>
          <w:ilvl w:val="0"/>
          <w:numId w:val="15"/>
        </w:numPr>
        <w:tabs>
          <w:tab w:val="left" w:pos="752"/>
        </w:tabs>
        <w:spacing w:before="106" w:after="0" w:line="240" w:lineRule="auto"/>
        <w:ind w:left="751" w:right="0" w:hanging="525"/>
        <w:jc w:val="left"/>
        <w:rPr>
          <w:sz w:val="21"/>
        </w:rPr>
      </w:pPr>
      <w:r>
        <w:rPr>
          <w:sz w:val="21"/>
        </w:rPr>
        <w:t>进行工艺技术方案研究，以解决工程建设的技术可行性问题；</w:t>
      </w:r>
    </w:p>
    <w:p>
      <w:pPr>
        <w:pStyle w:val="ListParagraph"/>
        <w:numPr>
          <w:ilvl w:val="0"/>
          <w:numId w:val="15"/>
        </w:numPr>
        <w:tabs>
          <w:tab w:val="left" w:pos="752"/>
        </w:tabs>
        <w:spacing w:before="105" w:after="0" w:line="240" w:lineRule="auto"/>
        <w:ind w:left="751" w:right="0" w:hanging="525"/>
        <w:jc w:val="left"/>
        <w:rPr>
          <w:sz w:val="21"/>
        </w:rPr>
      </w:pPr>
      <w:r>
        <w:rPr>
          <w:sz w:val="21"/>
        </w:rPr>
        <w:t>进行财务和经济分析，以解决工程建设的经济合理性问题。</w:t>
      </w:r>
    </w:p>
    <w:p>
      <w:pPr>
        <w:pStyle w:val="BodyText"/>
        <w:spacing w:before="8"/>
        <w:ind w:left="0"/>
        <w:rPr>
          <w:sz w:val="7"/>
        </w:rPr>
      </w:pPr>
      <w:r>
        <w:pict>
          <v:shape id="docshape19" o:spid="_x0000_s1041" type="#_x0000_t202" style="width:82.8pt;height:19.9pt;margin-top:8.35pt;margin-left:48.3pt;mso-height-relative:page;mso-position-horizontal-relative:page;mso-width-relative:page;mso-wrap-distance-bottom:0;mso-wrap-distance-top:0;position:absolute;z-index:-251642880" coordsize="21600,21600" filled="f" stroked="t" strokecolor="black">
            <v:textbox inset="0,0,0,0">
              <w:txbxContent>
                <w:p>
                  <w:pPr>
                    <w:spacing w:before="3" w:line="306" w:lineRule="exact"/>
                    <w:ind w:left="1" w:right="0" w:firstLine="0"/>
                    <w:jc w:val="left"/>
                    <w:rPr>
                      <w:b/>
                      <w:sz w:val="24"/>
                    </w:rPr>
                  </w:pPr>
                  <w:r>
                    <w:rPr>
                      <w:b/>
                      <w:sz w:val="24"/>
                    </w:rPr>
                    <w:t>重要考点·09</w:t>
                  </w:r>
                </w:p>
              </w:txbxContent>
            </v:textbox>
            <w10:wrap type="topAndBottom"/>
          </v:shape>
        </w:pict>
      </w:r>
    </w:p>
    <w:p>
      <w:pPr>
        <w:pStyle w:val="BodyText"/>
        <w:spacing w:before="7"/>
        <w:ind w:left="0"/>
        <w:rPr>
          <w:sz w:val="7"/>
        </w:rPr>
      </w:pPr>
    </w:p>
    <w:p>
      <w:pPr>
        <w:pStyle w:val="BodyText"/>
        <w:spacing w:before="70"/>
      </w:pPr>
      <w:r>
        <w:t>（一）投资决策管理制度</w:t>
      </w:r>
    </w:p>
    <w:p>
      <w:pPr>
        <w:pStyle w:val="BodyText"/>
        <w:spacing w:before="103" w:line="336" w:lineRule="auto"/>
        <w:ind w:right="367"/>
      </w:pPr>
      <w:r>
        <w:rPr>
          <w:spacing w:val="-3"/>
          <w:w w:val="99"/>
        </w:rPr>
        <w:t>根据《国务院关于投资体制改革的决定</w:t>
      </w:r>
      <w:r>
        <w:rPr>
          <w:spacing w:val="-116"/>
          <w:w w:val="99"/>
        </w:rPr>
        <w:t>》</w:t>
      </w:r>
      <w:r>
        <w:rPr>
          <w:spacing w:val="2"/>
          <w:w w:val="99"/>
        </w:rPr>
        <w:t>（</w:t>
      </w:r>
      <w:r>
        <w:rPr>
          <w:w w:val="99"/>
        </w:rPr>
        <w:t>国发</w:t>
      </w:r>
      <w:r>
        <w:rPr>
          <w:spacing w:val="1"/>
          <w:w w:val="99"/>
        </w:rPr>
        <w:t>[20</w:t>
      </w:r>
      <w:r>
        <w:rPr>
          <w:spacing w:val="-2"/>
          <w:w w:val="99"/>
        </w:rPr>
        <w:t>0</w:t>
      </w:r>
      <w:r>
        <w:rPr>
          <w:spacing w:val="1"/>
          <w:w w:val="99"/>
        </w:rPr>
        <w:t>4]2</w:t>
      </w:r>
      <w:r>
        <w:rPr>
          <w:w w:val="99"/>
        </w:rPr>
        <w:t>0</w:t>
      </w:r>
      <w:r>
        <w:rPr>
          <w:spacing w:val="-54"/>
        </w:rPr>
        <w:t xml:space="preserve"> </w:t>
      </w:r>
      <w:r>
        <w:rPr>
          <w:spacing w:val="-1"/>
          <w:w w:val="99"/>
        </w:rPr>
        <w:t>号</w:t>
      </w:r>
      <w:r>
        <w:rPr>
          <w:spacing w:val="-104"/>
          <w:w w:val="99"/>
        </w:rPr>
        <w:t>）</w:t>
      </w:r>
      <w:r>
        <w:rPr>
          <w:spacing w:val="-3"/>
          <w:w w:val="99"/>
        </w:rPr>
        <w:t>，政府投资工程实行审批制；非政府投资工程实行</w:t>
      </w:r>
      <w:r>
        <w:t>核准制或登记备案制。</w:t>
      </w:r>
    </w:p>
    <w:p>
      <w:pPr>
        <w:pStyle w:val="ListParagraph"/>
        <w:numPr>
          <w:ilvl w:val="0"/>
          <w:numId w:val="16"/>
        </w:numPr>
        <w:tabs>
          <w:tab w:val="left" w:pos="439"/>
        </w:tabs>
        <w:spacing w:before="0" w:after="0" w:line="264" w:lineRule="exact"/>
        <w:ind w:left="438" w:right="0" w:hanging="212"/>
        <w:jc w:val="left"/>
        <w:rPr>
          <w:sz w:val="21"/>
        </w:rPr>
      </w:pPr>
      <w:r>
        <w:rPr>
          <w:sz w:val="21"/>
        </w:rPr>
        <w:t>政府投资工程</w:t>
      </w:r>
    </w:p>
    <w:p>
      <w:pPr>
        <w:pStyle w:val="BodyText"/>
        <w:spacing w:before="105" w:line="333" w:lineRule="auto"/>
        <w:ind w:right="367"/>
        <w:jc w:val="both"/>
      </w:pPr>
      <w:r>
        <w:rPr>
          <w:w w:val="95"/>
        </w:rPr>
        <w:t>对于采用直接投资和资本金注入方式的政府投资工程，政府需要从投资决策的角度审批项目建议书和可行性研</w:t>
      </w:r>
      <w:r>
        <w:rPr>
          <w:spacing w:val="216"/>
        </w:rPr>
        <w:t xml:space="preserve"> </w:t>
      </w:r>
      <w:r>
        <w:rPr>
          <w:w w:val="95"/>
        </w:rPr>
        <w:t>究报告，除特殊情况外，不再审批开工报告，同时还要严格审批其初步设计和概算；对于采用投资补助、转贷</w:t>
      </w:r>
      <w:r>
        <w:rPr>
          <w:spacing w:val="206"/>
        </w:rPr>
        <w:t xml:space="preserve"> </w:t>
      </w:r>
      <w:r>
        <w:t>和贷款贴息方式的政府投资工程，则只审批资金申请报告。</w:t>
      </w:r>
    </w:p>
    <w:p>
      <w:pPr>
        <w:pStyle w:val="ListParagraph"/>
        <w:numPr>
          <w:ilvl w:val="0"/>
          <w:numId w:val="16"/>
        </w:numPr>
        <w:tabs>
          <w:tab w:val="left" w:pos="439"/>
        </w:tabs>
        <w:spacing w:before="3" w:after="0" w:line="240" w:lineRule="auto"/>
        <w:ind w:left="438" w:right="0" w:hanging="212"/>
        <w:jc w:val="left"/>
        <w:rPr>
          <w:sz w:val="21"/>
        </w:rPr>
      </w:pPr>
      <w:r>
        <w:rPr>
          <w:sz w:val="21"/>
        </w:rPr>
        <w:t>非政府投资工程</w:t>
      </w:r>
    </w:p>
    <w:p>
      <w:pPr>
        <w:pStyle w:val="BodyText"/>
        <w:spacing w:before="103" w:line="333" w:lineRule="auto"/>
        <w:ind w:right="367"/>
      </w:pPr>
      <w:r>
        <w:rPr>
          <w:w w:val="95"/>
        </w:rPr>
        <w:t>对于企业不使用政府资金投资建设的工程，政府不再进行投资决策性质的审批，区别不同情况实行核准制或登</w:t>
      </w:r>
      <w:r>
        <w:rPr>
          <w:spacing w:val="206"/>
        </w:rPr>
        <w:t xml:space="preserve"> </w:t>
      </w:r>
      <w:r>
        <w:t>记备案制。</w:t>
      </w:r>
    </w:p>
    <w:p>
      <w:pPr>
        <w:spacing w:after="0" w:line="333" w:lineRule="auto"/>
        <w:sectPr>
          <w:headerReference w:type="default" r:id="rId9"/>
          <w:pgSz w:w="11910" w:h="16840"/>
          <w:pgMar w:top="1180" w:right="540" w:bottom="280" w:left="680" w:header="993" w:footer="0" w:gutter="0"/>
          <w:pgNumType w:start="9"/>
          <w:cols w:space="708"/>
        </w:sectPr>
      </w:pPr>
    </w:p>
    <w:p>
      <w:pPr>
        <w:pStyle w:val="ListParagraph"/>
        <w:numPr>
          <w:ilvl w:val="0"/>
          <w:numId w:val="17"/>
        </w:numPr>
        <w:tabs>
          <w:tab w:val="left" w:pos="752"/>
        </w:tabs>
        <w:spacing w:before="54" w:after="0" w:line="333" w:lineRule="auto"/>
        <w:ind w:left="227" w:right="368" w:firstLine="0"/>
        <w:jc w:val="both"/>
        <w:rPr>
          <w:sz w:val="21"/>
        </w:rPr>
      </w:pPr>
      <w:r>
        <w:rPr>
          <w:w w:val="95"/>
          <w:sz w:val="21"/>
        </w:rPr>
        <w:t>核准制。企业投资建设《政府核准的投资项目目录》中的项目时，仅需向政府提交项目申请报告，不再经</w:t>
      </w:r>
      <w:r>
        <w:rPr>
          <w:spacing w:val="95"/>
          <w:w w:val="95"/>
          <w:sz w:val="21"/>
        </w:rPr>
        <w:t xml:space="preserve"> </w:t>
      </w:r>
      <w:r>
        <w:rPr>
          <w:w w:val="95"/>
          <w:sz w:val="21"/>
        </w:rPr>
        <w:t>过批准项目建议书、可行性研究报告和开工报告的程序。项目申请报告应包括下列内容：①企业基本情况；②</w:t>
      </w:r>
      <w:r>
        <w:rPr>
          <w:spacing w:val="215"/>
          <w:sz w:val="21"/>
        </w:rPr>
        <w:t xml:space="preserve"> </w:t>
      </w:r>
      <w:r>
        <w:rPr>
          <w:w w:val="95"/>
          <w:sz w:val="21"/>
        </w:rPr>
        <w:t>项目情况，包括项目名称、建设地点、建设规模、建设内容等；③项目利用资源情况分析及对生态环境的影响</w:t>
      </w:r>
      <w:r>
        <w:rPr>
          <w:spacing w:val="205"/>
          <w:sz w:val="21"/>
        </w:rPr>
        <w:t xml:space="preserve"> </w:t>
      </w:r>
      <w:r>
        <w:rPr>
          <w:sz w:val="21"/>
        </w:rPr>
        <w:t>分析；④项目对经济和社会的影响分析。</w:t>
      </w:r>
    </w:p>
    <w:p>
      <w:pPr>
        <w:pStyle w:val="BodyText"/>
        <w:spacing w:line="336" w:lineRule="auto"/>
        <w:ind w:right="364"/>
      </w:pPr>
      <w:r>
        <w:rPr>
          <w:w w:val="95"/>
        </w:rPr>
        <w:t>政府核准机关需要审查下列内容：①是否危害经济安全、社会安全、生态安全等国家安全；②是否符合相关发</w:t>
      </w:r>
      <w:r>
        <w:rPr>
          <w:spacing w:val="219"/>
        </w:rPr>
        <w:t xml:space="preserve"> </w:t>
      </w:r>
      <w:r>
        <w:rPr>
          <w:w w:val="95"/>
        </w:rPr>
        <w:t>展建设规划、产业政策和技术标准；③是否合理开发并有效利用资源；④是否对重大公共利益产生不利影响。</w:t>
      </w:r>
    </w:p>
    <w:p>
      <w:pPr>
        <w:pStyle w:val="ListParagraph"/>
        <w:numPr>
          <w:ilvl w:val="0"/>
          <w:numId w:val="17"/>
        </w:numPr>
        <w:tabs>
          <w:tab w:val="left" w:pos="752"/>
        </w:tabs>
        <w:spacing w:before="0" w:after="0" w:line="336" w:lineRule="auto"/>
        <w:ind w:left="227" w:right="261" w:firstLine="0"/>
        <w:jc w:val="left"/>
        <w:rPr>
          <w:sz w:val="21"/>
        </w:rPr>
      </w:pPr>
      <w:r>
        <w:rPr>
          <w:spacing w:val="-1"/>
          <w:sz w:val="21"/>
        </w:rPr>
        <w:t>备案制。对于《政府核准的投资项目目录》以外的企业投资项目，实行备案制。除国家另有规定外，由企</w:t>
      </w:r>
      <w:r>
        <w:rPr>
          <w:w w:val="95"/>
          <w:sz w:val="21"/>
        </w:rPr>
        <w:t>业按照属地原则向地方政府投资主管部门备案。备案告知内容包括：①企业基本情况；②项目名称、建设地点、</w:t>
      </w:r>
      <w:r>
        <w:rPr>
          <w:spacing w:val="112"/>
          <w:sz w:val="21"/>
        </w:rPr>
        <w:t xml:space="preserve"> </w:t>
      </w:r>
      <w:r>
        <w:rPr>
          <w:sz w:val="21"/>
        </w:rPr>
        <w:t>建设规模、建设内容；③项目总投资额；④项目符合产业政策的声明。</w:t>
      </w:r>
    </w:p>
    <w:p>
      <w:pPr>
        <w:pStyle w:val="BodyText"/>
        <w:spacing w:line="262" w:lineRule="exact"/>
      </w:pPr>
      <w:r>
        <w:rPr>
          <w:spacing w:val="1"/>
          <w:w w:val="95"/>
        </w:rPr>
        <w:t xml:space="preserve">【分值】考试形式为选择题，分值为 </w:t>
      </w:r>
      <w:r>
        <w:rPr>
          <w:w w:val="95"/>
        </w:rPr>
        <w:t>1-2</w:t>
      </w:r>
      <w:r>
        <w:rPr>
          <w:spacing w:val="3"/>
          <w:w w:val="95"/>
        </w:rPr>
        <w:t xml:space="preserve"> 分。</w:t>
      </w:r>
    </w:p>
    <w:p>
      <w:pPr>
        <w:pStyle w:val="BodyText"/>
        <w:spacing w:before="100"/>
      </w:pPr>
      <w:r>
        <w:t>【记忆方法】根据口诀结合易错易混点进行掌握</w:t>
      </w:r>
    </w:p>
    <w:p>
      <w:pPr>
        <w:pStyle w:val="BodyText"/>
        <w:spacing w:before="8"/>
        <w:ind w:left="0"/>
        <w:rPr>
          <w:sz w:val="7"/>
        </w:rPr>
      </w:pPr>
      <w:r>
        <w:pict>
          <v:shape id="docshape20" o:spid="_x0000_s1042" type="#_x0000_t202" style="width:82.8pt;height:19.9pt;margin-top:8.35pt;margin-left:48.3pt;mso-height-relative:page;mso-position-horizontal-relative:page;mso-width-relative:page;mso-wrap-distance-bottom:0;mso-wrap-distance-top:0;position:absolute;z-index:-251639808" coordsize="21600,21600" filled="f" stroked="t" strokecolor="black">
            <v:textbox inset="0,0,0,0">
              <w:txbxContent>
                <w:p>
                  <w:pPr>
                    <w:spacing w:before="3" w:line="306" w:lineRule="exact"/>
                    <w:ind w:left="1" w:right="0" w:firstLine="0"/>
                    <w:jc w:val="left"/>
                    <w:rPr>
                      <w:b/>
                      <w:sz w:val="24"/>
                    </w:rPr>
                  </w:pPr>
                  <w:r>
                    <w:rPr>
                      <w:b/>
                      <w:sz w:val="24"/>
                    </w:rPr>
                    <w:t>精选习题·09</w:t>
                  </w:r>
                </w:p>
              </w:txbxContent>
            </v:textbox>
            <w10:wrap type="topAndBottom"/>
          </v:shape>
        </w:pict>
      </w:r>
    </w:p>
    <w:p>
      <w:pPr>
        <w:pStyle w:val="BodyText"/>
        <w:spacing w:before="5"/>
        <w:ind w:left="0"/>
        <w:rPr>
          <w:sz w:val="7"/>
        </w:rPr>
      </w:pPr>
    </w:p>
    <w:p>
      <w:pPr>
        <w:pStyle w:val="BodyText"/>
        <w:tabs>
          <w:tab w:val="left" w:pos="1695"/>
        </w:tabs>
        <w:spacing w:before="69" w:line="333" w:lineRule="auto"/>
        <w:ind w:right="367"/>
      </w:pPr>
      <w:r>
        <w:rPr>
          <w:w w:val="95"/>
        </w:rPr>
        <w:t>【2022】根据《国务院关于投资体制改革的决定</w:t>
      </w:r>
      <w:r>
        <w:rPr>
          <w:spacing w:val="-104"/>
          <w:w w:val="95"/>
        </w:rPr>
        <w:t>》</w:t>
      </w:r>
      <w:r>
        <w:rPr>
          <w:w w:val="95"/>
        </w:rPr>
        <w:t>，对于需要政府核准的投资项目，投资决策阶段需向政府提交</w:t>
      </w:r>
      <w:r>
        <w:rPr>
          <w:spacing w:val="110"/>
        </w:rPr>
        <w:t xml:space="preserve"> </w:t>
      </w:r>
      <w:r>
        <w:t>的文件是（</w:t>
      </w:r>
      <w:r>
        <w:tab/>
      </w:r>
      <w:r>
        <w:rPr>
          <w:spacing w:val="-104"/>
        </w:rPr>
        <w:t>）</w:t>
      </w:r>
      <w:r>
        <w:t>。</w:t>
      </w:r>
    </w:p>
    <w:p>
      <w:pPr>
        <w:pStyle w:val="ListParagraph"/>
        <w:numPr>
          <w:ilvl w:val="1"/>
          <w:numId w:val="17"/>
        </w:numPr>
        <w:tabs>
          <w:tab w:val="left" w:pos="859"/>
        </w:tabs>
        <w:spacing w:before="4" w:after="0" w:line="333" w:lineRule="auto"/>
        <w:ind w:left="647" w:right="8570" w:firstLine="0"/>
        <w:jc w:val="left"/>
        <w:rPr>
          <w:sz w:val="21"/>
        </w:rPr>
      </w:pPr>
      <w:r>
        <w:rPr>
          <w:spacing w:val="-1"/>
          <w:sz w:val="21"/>
        </w:rPr>
        <w:t>项目申请报告</w:t>
      </w:r>
      <w:r>
        <w:rPr>
          <w:sz w:val="21"/>
        </w:rPr>
        <w:t>B.项目建议书</w:t>
      </w:r>
      <w:r>
        <w:rPr>
          <w:spacing w:val="1"/>
          <w:sz w:val="21"/>
        </w:rPr>
        <w:t xml:space="preserve"> </w:t>
      </w:r>
      <w:r>
        <w:rPr>
          <w:spacing w:val="-1"/>
          <w:sz w:val="21"/>
        </w:rPr>
        <w:t>C.初步设计概算</w:t>
      </w:r>
      <w:r>
        <w:rPr>
          <w:sz w:val="21"/>
        </w:rPr>
        <w:t>D.开工报告</w:t>
      </w:r>
    </w:p>
    <w:p>
      <w:pPr>
        <w:pStyle w:val="BodyText"/>
        <w:spacing w:line="268" w:lineRule="exact"/>
      </w:pPr>
      <w:r>
        <w:t>【答案】A</w:t>
      </w:r>
    </w:p>
    <w:p>
      <w:pPr>
        <w:pStyle w:val="BodyText"/>
        <w:spacing w:before="107" w:line="331" w:lineRule="auto"/>
        <w:ind w:right="367"/>
      </w:pPr>
      <w:r>
        <w:pict>
          <v:shape id="docshape21" o:spid="_x0000_s1043" type="#_x0000_t202" style="width:82.8pt;height:19.9pt;margin-top:45.7pt;margin-left:48.3pt;mso-height-relative:page;mso-position-horizontal-relative:page;mso-width-relative:page;mso-wrap-distance-bottom:0;mso-wrap-distance-top:0;position:absolute;z-index:-251638784" coordsize="21600,21600" filled="f" stroked="t" strokecolor="black">
            <v:textbox inset="0,0,0,0">
              <w:txbxContent>
                <w:p>
                  <w:pPr>
                    <w:spacing w:before="1"/>
                    <w:ind w:left="1" w:right="0" w:firstLine="0"/>
                    <w:jc w:val="left"/>
                    <w:rPr>
                      <w:b/>
                      <w:sz w:val="24"/>
                    </w:rPr>
                  </w:pPr>
                  <w:r>
                    <w:rPr>
                      <w:b/>
                      <w:sz w:val="24"/>
                    </w:rPr>
                    <w:t>重要考点·10</w:t>
                  </w:r>
                </w:p>
              </w:txbxContent>
            </v:textbox>
            <w10:wrap type="topAndBottom"/>
          </v:shape>
        </w:pict>
      </w:r>
      <w:r>
        <w:rPr>
          <w:w w:val="95"/>
        </w:rPr>
        <w:t>【解析】核准制：企业投资建设《政府核准的投资项目目录》中的项目时，仅需向政府提交项目申请报告，不</w:t>
      </w:r>
      <w:r>
        <w:rPr>
          <w:spacing w:val="206"/>
        </w:rPr>
        <w:t xml:space="preserve"> </w:t>
      </w:r>
      <w:r>
        <w:t>再经过批准项目建议书、可行性研究报告和开工报告的程序。</w:t>
      </w:r>
    </w:p>
    <w:p>
      <w:pPr>
        <w:pStyle w:val="BodyText"/>
        <w:spacing w:before="5"/>
        <w:ind w:left="0"/>
        <w:rPr>
          <w:sz w:val="7"/>
        </w:rPr>
      </w:pPr>
    </w:p>
    <w:p>
      <w:pPr>
        <w:pStyle w:val="BodyText"/>
        <w:spacing w:before="70" w:after="55"/>
      </w:pPr>
      <w:r>
        <w:t>（一）工程设计</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701"/>
        <w:gridCol w:w="8605"/>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5"/>
        </w:trPr>
        <w:tc>
          <w:tcPr>
            <w:tcW w:w="1701" w:type="dxa"/>
          </w:tcPr>
          <w:p>
            <w:pPr>
              <w:pStyle w:val="TableParagraph"/>
              <w:spacing w:before="53"/>
              <w:ind w:left="619" w:right="611"/>
              <w:jc w:val="center"/>
              <w:rPr>
                <w:sz w:val="21"/>
              </w:rPr>
            </w:pPr>
            <w:r>
              <w:rPr>
                <w:sz w:val="21"/>
              </w:rPr>
              <w:t>阶段</w:t>
            </w:r>
          </w:p>
        </w:tc>
        <w:tc>
          <w:tcPr>
            <w:tcW w:w="8605" w:type="dxa"/>
          </w:tcPr>
          <w:p>
            <w:pPr>
              <w:pStyle w:val="TableParagraph"/>
              <w:spacing w:before="53"/>
              <w:ind w:left="4071" w:right="4064"/>
              <w:jc w:val="center"/>
              <w:rPr>
                <w:sz w:val="21"/>
              </w:rPr>
            </w:pPr>
            <w:r>
              <w:rPr>
                <w:sz w:val="21"/>
              </w:rPr>
              <w:t>内容</w:t>
            </w:r>
          </w:p>
        </w:tc>
      </w:tr>
      <w:tr>
        <w:tblPrEx>
          <w:tblW w:w="0" w:type="auto"/>
          <w:tblInd w:w="124" w:type="dxa"/>
          <w:tblLayout w:type="fixed"/>
          <w:tblCellMar>
            <w:top w:w="0" w:type="dxa"/>
            <w:left w:w="0" w:type="dxa"/>
            <w:bottom w:w="0" w:type="dxa"/>
            <w:right w:w="0" w:type="dxa"/>
          </w:tblCellMar>
        </w:tblPrEx>
        <w:trPr>
          <w:trHeight w:val="749"/>
        </w:trPr>
        <w:tc>
          <w:tcPr>
            <w:tcW w:w="1701" w:type="dxa"/>
          </w:tcPr>
          <w:p>
            <w:pPr>
              <w:pStyle w:val="TableParagraph"/>
              <w:spacing w:before="6"/>
              <w:rPr>
                <w:sz w:val="18"/>
              </w:rPr>
            </w:pPr>
          </w:p>
          <w:p>
            <w:pPr>
              <w:pStyle w:val="TableParagraph"/>
              <w:ind w:left="107"/>
              <w:rPr>
                <w:sz w:val="21"/>
              </w:rPr>
            </w:pPr>
            <w:r>
              <w:rPr>
                <w:sz w:val="21"/>
              </w:rPr>
              <w:t>初步设计</w:t>
            </w:r>
          </w:p>
        </w:tc>
        <w:tc>
          <w:tcPr>
            <w:tcW w:w="8605" w:type="dxa"/>
          </w:tcPr>
          <w:p>
            <w:pPr>
              <w:pStyle w:val="TableParagraph"/>
              <w:spacing w:before="52"/>
              <w:ind w:left="108"/>
              <w:rPr>
                <w:sz w:val="21"/>
              </w:rPr>
            </w:pPr>
            <w:r>
              <w:rPr>
                <w:w w:val="95"/>
                <w:sz w:val="21"/>
              </w:rPr>
              <w:t>初步设计提出的总概算超过可行性研究报告总投资的</w:t>
            </w:r>
            <w:r>
              <w:rPr>
                <w:spacing w:val="143"/>
                <w:sz w:val="21"/>
              </w:rPr>
              <w:t xml:space="preserve">  </w:t>
            </w:r>
            <w:r>
              <w:rPr>
                <w:w w:val="95"/>
                <w:sz w:val="21"/>
              </w:rPr>
              <w:t>10%以上，需重新向原审批单位报批可</w:t>
            </w:r>
          </w:p>
          <w:p>
            <w:pPr>
              <w:pStyle w:val="TableParagraph"/>
              <w:spacing w:before="103"/>
              <w:ind w:left="108"/>
              <w:rPr>
                <w:sz w:val="21"/>
              </w:rPr>
            </w:pPr>
            <w:r>
              <w:rPr>
                <w:sz w:val="21"/>
              </w:rPr>
              <w:t>行性研究报告。</w:t>
            </w:r>
          </w:p>
        </w:tc>
      </w:tr>
      <w:tr>
        <w:tblPrEx>
          <w:tblW w:w="0" w:type="auto"/>
          <w:tblInd w:w="124" w:type="dxa"/>
          <w:tblLayout w:type="fixed"/>
          <w:tblCellMar>
            <w:top w:w="0" w:type="dxa"/>
            <w:left w:w="0" w:type="dxa"/>
            <w:bottom w:w="0" w:type="dxa"/>
            <w:right w:w="0" w:type="dxa"/>
          </w:tblCellMar>
        </w:tblPrEx>
        <w:trPr>
          <w:trHeight w:val="373"/>
        </w:trPr>
        <w:tc>
          <w:tcPr>
            <w:tcW w:w="1701" w:type="dxa"/>
          </w:tcPr>
          <w:p>
            <w:pPr>
              <w:pStyle w:val="TableParagraph"/>
              <w:spacing w:before="51"/>
              <w:ind w:left="107"/>
              <w:rPr>
                <w:sz w:val="21"/>
              </w:rPr>
            </w:pPr>
            <w:r>
              <w:rPr>
                <w:sz w:val="21"/>
              </w:rPr>
              <w:t>技术设计</w:t>
            </w:r>
          </w:p>
        </w:tc>
        <w:tc>
          <w:tcPr>
            <w:tcW w:w="8605" w:type="dxa"/>
          </w:tcPr>
          <w:p>
            <w:pPr>
              <w:pStyle w:val="TableParagraph"/>
              <w:spacing w:before="51"/>
              <w:ind w:left="108"/>
              <w:rPr>
                <w:sz w:val="21"/>
              </w:rPr>
            </w:pPr>
            <w:r>
              <w:rPr>
                <w:sz w:val="21"/>
              </w:rPr>
              <w:t>重大工程和技术复杂工程，可根据需要增设。</w:t>
            </w:r>
          </w:p>
        </w:tc>
      </w:tr>
      <w:tr>
        <w:tblPrEx>
          <w:tblW w:w="0" w:type="auto"/>
          <w:tblInd w:w="124" w:type="dxa"/>
          <w:tblLayout w:type="fixed"/>
          <w:tblCellMar>
            <w:top w:w="0" w:type="dxa"/>
            <w:left w:w="0" w:type="dxa"/>
            <w:bottom w:w="0" w:type="dxa"/>
            <w:right w:w="0" w:type="dxa"/>
          </w:tblCellMar>
        </w:tblPrEx>
        <w:trPr>
          <w:trHeight w:val="1872"/>
        </w:trPr>
        <w:tc>
          <w:tcPr>
            <w:tcW w:w="1701" w:type="dxa"/>
          </w:tcPr>
          <w:p>
            <w:pPr>
              <w:pStyle w:val="TableParagraph"/>
              <w:rPr>
                <w:sz w:val="20"/>
              </w:rPr>
            </w:pPr>
          </w:p>
          <w:p>
            <w:pPr>
              <w:pStyle w:val="TableParagraph"/>
              <w:rPr>
                <w:sz w:val="20"/>
              </w:rPr>
            </w:pPr>
          </w:p>
          <w:p>
            <w:pPr>
              <w:pStyle w:val="TableParagraph"/>
              <w:spacing w:before="5"/>
              <w:rPr>
                <w:sz w:val="22"/>
              </w:rPr>
            </w:pPr>
          </w:p>
          <w:p>
            <w:pPr>
              <w:pStyle w:val="TableParagraph"/>
              <w:spacing w:before="1"/>
              <w:ind w:left="107"/>
              <w:rPr>
                <w:sz w:val="21"/>
              </w:rPr>
            </w:pPr>
            <w:r>
              <w:rPr>
                <w:sz w:val="21"/>
              </w:rPr>
              <w:t>施工图设计</w:t>
            </w:r>
          </w:p>
        </w:tc>
        <w:tc>
          <w:tcPr>
            <w:tcW w:w="8605" w:type="dxa"/>
          </w:tcPr>
          <w:p>
            <w:pPr>
              <w:pStyle w:val="TableParagraph"/>
              <w:spacing w:before="51"/>
              <w:ind w:left="108" w:right="-15"/>
              <w:rPr>
                <w:sz w:val="21"/>
              </w:rPr>
            </w:pPr>
            <w:r>
              <w:rPr>
                <w:w w:val="95"/>
                <w:sz w:val="21"/>
              </w:rPr>
              <w:t>建设单位应当将施工图送施工图审查机构审查。施工图审查机构对施工图审查的内容包括：</w:t>
            </w:r>
          </w:p>
          <w:p>
            <w:pPr>
              <w:pStyle w:val="TableParagraph"/>
              <w:spacing w:before="105"/>
              <w:ind w:left="108" w:right="-15"/>
              <w:rPr>
                <w:sz w:val="21"/>
              </w:rPr>
            </w:pPr>
            <w:r>
              <w:rPr>
                <w:spacing w:val="-1"/>
                <w:w w:val="99"/>
                <w:sz w:val="21"/>
              </w:rPr>
              <w:t>（</w:t>
            </w:r>
            <w:r>
              <w:rPr>
                <w:spacing w:val="1"/>
                <w:w w:val="99"/>
                <w:sz w:val="21"/>
              </w:rPr>
              <w:t>1</w:t>
            </w:r>
            <w:r>
              <w:rPr>
                <w:spacing w:val="-3"/>
                <w:w w:val="99"/>
                <w:sz w:val="21"/>
              </w:rPr>
              <w:t>）</w:t>
            </w:r>
            <w:r>
              <w:rPr>
                <w:spacing w:val="-9"/>
                <w:w w:val="99"/>
                <w:sz w:val="21"/>
              </w:rPr>
              <w:t>是否符合工程建设强制性标准；</w:t>
            </w:r>
            <w:r>
              <w:rPr>
                <w:spacing w:val="-1"/>
                <w:w w:val="99"/>
                <w:sz w:val="21"/>
              </w:rPr>
              <w:t>（</w:t>
            </w:r>
            <w:r>
              <w:rPr>
                <w:spacing w:val="1"/>
                <w:w w:val="99"/>
                <w:sz w:val="21"/>
              </w:rPr>
              <w:t>2</w:t>
            </w:r>
            <w:r>
              <w:rPr>
                <w:spacing w:val="-3"/>
                <w:w w:val="99"/>
                <w:sz w:val="21"/>
              </w:rPr>
              <w:t>）</w:t>
            </w:r>
            <w:r>
              <w:rPr>
                <w:spacing w:val="-9"/>
                <w:w w:val="99"/>
                <w:sz w:val="21"/>
              </w:rPr>
              <w:t>地基基础和主体结构的安全性；</w:t>
            </w:r>
            <w:r>
              <w:rPr>
                <w:spacing w:val="-1"/>
                <w:w w:val="99"/>
                <w:sz w:val="21"/>
              </w:rPr>
              <w:t>（</w:t>
            </w:r>
            <w:r>
              <w:rPr>
                <w:spacing w:val="1"/>
                <w:w w:val="99"/>
                <w:sz w:val="21"/>
              </w:rPr>
              <w:t>3</w:t>
            </w:r>
            <w:r>
              <w:rPr>
                <w:spacing w:val="-3"/>
                <w:w w:val="99"/>
                <w:sz w:val="21"/>
              </w:rPr>
              <w:t>）</w:t>
            </w:r>
            <w:r>
              <w:rPr>
                <w:spacing w:val="-1"/>
                <w:w w:val="99"/>
                <w:sz w:val="21"/>
              </w:rPr>
              <w:t>消防安全性；</w:t>
            </w:r>
          </w:p>
          <w:p>
            <w:pPr>
              <w:pStyle w:val="TableParagraph"/>
              <w:spacing w:before="5" w:line="370" w:lineRule="atLeast"/>
              <w:ind w:left="108" w:right="-15"/>
              <w:rPr>
                <w:sz w:val="21"/>
              </w:rPr>
            </w:pPr>
            <w:r>
              <w:rPr>
                <w:spacing w:val="-1"/>
                <w:w w:val="99"/>
                <w:sz w:val="21"/>
              </w:rPr>
              <w:t>（</w:t>
            </w:r>
            <w:r>
              <w:rPr>
                <w:spacing w:val="1"/>
                <w:w w:val="99"/>
                <w:sz w:val="21"/>
              </w:rPr>
              <w:t>4</w:t>
            </w:r>
            <w:r>
              <w:rPr>
                <w:spacing w:val="-3"/>
                <w:w w:val="99"/>
                <w:sz w:val="21"/>
              </w:rPr>
              <w:t>）</w:t>
            </w:r>
            <w:r>
              <w:rPr>
                <w:spacing w:val="-1"/>
                <w:w w:val="99"/>
                <w:sz w:val="21"/>
              </w:rPr>
              <w:t>人防工程</w:t>
            </w:r>
            <w:r>
              <w:rPr>
                <w:spacing w:val="2"/>
                <w:w w:val="99"/>
                <w:sz w:val="21"/>
              </w:rPr>
              <w:t>（</w:t>
            </w:r>
            <w:r>
              <w:rPr>
                <w:spacing w:val="-1"/>
                <w:w w:val="99"/>
                <w:sz w:val="21"/>
              </w:rPr>
              <w:t>不含人防指挥工程</w:t>
            </w:r>
            <w:r>
              <w:rPr>
                <w:spacing w:val="-3"/>
                <w:w w:val="99"/>
                <w:sz w:val="21"/>
              </w:rPr>
              <w:t>）</w:t>
            </w:r>
            <w:r>
              <w:rPr>
                <w:spacing w:val="-19"/>
                <w:w w:val="99"/>
                <w:sz w:val="21"/>
              </w:rPr>
              <w:t>防护安全性；</w:t>
            </w:r>
            <w:r>
              <w:rPr>
                <w:spacing w:val="-1"/>
                <w:w w:val="99"/>
                <w:sz w:val="21"/>
              </w:rPr>
              <w:t>（</w:t>
            </w:r>
            <w:r>
              <w:rPr>
                <w:spacing w:val="1"/>
                <w:w w:val="99"/>
                <w:sz w:val="21"/>
              </w:rPr>
              <w:t>5</w:t>
            </w:r>
            <w:r>
              <w:rPr>
                <w:spacing w:val="-3"/>
                <w:w w:val="99"/>
                <w:sz w:val="21"/>
              </w:rPr>
              <w:t>）</w:t>
            </w:r>
            <w:r>
              <w:rPr>
                <w:spacing w:val="-1"/>
                <w:w w:val="99"/>
                <w:sz w:val="21"/>
              </w:rPr>
              <w:t>是否符合民用建筑节能强制性标准，</w:t>
            </w:r>
            <w:r>
              <w:rPr>
                <w:spacing w:val="-6"/>
                <w:w w:val="99"/>
                <w:sz w:val="21"/>
              </w:rPr>
              <w:t>对执行绿色建筑标准的项目，还应当审查是否符合绿色建筑标准；</w:t>
            </w:r>
            <w:r>
              <w:rPr>
                <w:spacing w:val="2"/>
                <w:w w:val="99"/>
                <w:sz w:val="21"/>
              </w:rPr>
              <w:t>（</w:t>
            </w:r>
            <w:r>
              <w:rPr>
                <w:spacing w:val="-2"/>
                <w:w w:val="99"/>
                <w:sz w:val="21"/>
              </w:rPr>
              <w:t>6</w:t>
            </w:r>
            <w:r>
              <w:rPr>
                <w:spacing w:val="-1"/>
                <w:w w:val="99"/>
                <w:sz w:val="21"/>
              </w:rPr>
              <w:t>）勘察设计企业和注册</w:t>
            </w:r>
            <w:r>
              <w:rPr>
                <w:sz w:val="21"/>
              </w:rPr>
              <w:t>执业人员以及相关人员是否按规定在施工图上加盖相应的图章和签字。</w:t>
            </w:r>
          </w:p>
        </w:tc>
      </w:tr>
    </w:tbl>
    <w:p>
      <w:pPr>
        <w:pStyle w:val="BodyText"/>
        <w:spacing w:before="51"/>
      </w:pPr>
      <w:r>
        <w:rPr>
          <w:spacing w:val="1"/>
          <w:w w:val="95"/>
        </w:rPr>
        <w:t xml:space="preserve">【分值】考试形式为选择题，分值为 </w:t>
      </w:r>
      <w:r>
        <w:rPr>
          <w:w w:val="95"/>
        </w:rPr>
        <w:t>1-2</w:t>
      </w:r>
      <w:r>
        <w:rPr>
          <w:spacing w:val="3"/>
          <w:w w:val="95"/>
        </w:rPr>
        <w:t xml:space="preserve"> 分。</w:t>
      </w:r>
    </w:p>
    <w:p>
      <w:pPr>
        <w:pStyle w:val="BodyText"/>
        <w:spacing w:before="106"/>
      </w:pPr>
      <w:r>
        <w:drawing>
          <wp:anchor distT="0" distB="0" distL="0" distR="0" simplePos="0" relativeHeight="251674624" behindDoc="0" locked="0" layoutInCell="1" allowOverlap="1">
            <wp:simplePos x="0" y="0"/>
            <wp:positionH relativeFrom="page">
              <wp:posOffset>585470</wp:posOffset>
            </wp:positionH>
            <wp:positionV relativeFrom="paragraph">
              <wp:posOffset>314960</wp:posOffset>
            </wp:positionV>
            <wp:extent cx="56515" cy="30924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xmlns:r="http://schemas.openxmlformats.org/officeDocument/2006/relationships" r:embed="rId10" cstate="print"/>
                    <a:stretch>
                      <a:fillRect/>
                    </a:stretch>
                  </pic:blipFill>
                  <pic:spPr>
                    <a:xfrm>
                      <a:off x="0" y="0"/>
                      <a:ext cx="56353" cy="309562"/>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1637030</wp:posOffset>
            </wp:positionH>
            <wp:positionV relativeFrom="paragraph">
              <wp:posOffset>371475</wp:posOffset>
            </wp:positionV>
            <wp:extent cx="55880" cy="25209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xmlns:r="http://schemas.openxmlformats.org/officeDocument/2006/relationships" r:embed="rId11" cstate="print"/>
                    <a:stretch>
                      <a:fillRect/>
                    </a:stretch>
                  </pic:blipFill>
                  <pic:spPr>
                    <a:xfrm>
                      <a:off x="0" y="0"/>
                      <a:ext cx="56176" cy="252412"/>
                    </a:xfrm>
                    <a:prstGeom prst="rect">
                      <a:avLst/>
                    </a:prstGeom>
                  </pic:spPr>
                </pic:pic>
              </a:graphicData>
            </a:graphic>
          </wp:anchor>
        </w:drawing>
      </w:r>
      <w:r>
        <w:t>【记忆方法】根据特点理解记忆</w:t>
      </w:r>
    </w:p>
    <w:p>
      <w:pPr>
        <w:pStyle w:val="BodyText"/>
        <w:spacing w:before="7"/>
        <w:ind w:left="0"/>
        <w:rPr>
          <w:sz w:val="7"/>
        </w:rPr>
      </w:pPr>
      <w:r>
        <w:pict>
          <v:shape id="docshape22" o:spid="_x0000_s1044" type="#_x0000_t202" style="width:82.8pt;height:19.95pt;margin-top:8.3pt;margin-left:48.3pt;mso-height-relative:page;mso-position-horizontal-relative:page;mso-width-relative:page;mso-wrap-distance-bottom:0;mso-wrap-distance-top:0;position:absolute;z-index:-251637760" coordsize="21600,21600" filled="f" stroked="t" strokecolor="black">
            <v:textbox inset="0,0,0,0">
              <w:txbxContent>
                <w:p>
                  <w:pPr>
                    <w:spacing w:before="1"/>
                    <w:ind w:left="1" w:right="0" w:firstLine="0"/>
                    <w:jc w:val="left"/>
                    <w:rPr>
                      <w:b/>
                      <w:sz w:val="24"/>
                    </w:rPr>
                  </w:pPr>
                  <w:r>
                    <w:rPr>
                      <w:b/>
                      <w:sz w:val="24"/>
                    </w:rPr>
                    <w:t>精选习题·10</w:t>
                  </w:r>
                </w:p>
              </w:txbxContent>
            </v:textbox>
            <w10:wrap type="topAndBottom"/>
          </v:shape>
        </w:pict>
      </w:r>
    </w:p>
    <w:p>
      <w:pPr>
        <w:pStyle w:val="BodyText"/>
        <w:tabs>
          <w:tab w:val="left" w:pos="7796"/>
        </w:tabs>
        <w:spacing w:before="164"/>
      </w:pPr>
      <w:r>
        <w:t>【2022】工程项目初步设计提出的总概算超过可行性研究报告确定的总投资（</w:t>
      </w:r>
      <w:r>
        <w:tab/>
      </w:r>
      <w:r>
        <w:t>）以上时，应重新向原审批</w:t>
      </w:r>
    </w:p>
    <w:p>
      <w:pPr>
        <w:spacing w:after="0"/>
        <w:sectPr>
          <w:headerReference w:type="default" r:id="rId12"/>
          <w:pgSz w:w="11910" w:h="16840"/>
          <w:pgMar w:top="1180" w:right="540" w:bottom="280" w:left="680" w:header="993" w:footer="0" w:gutter="0"/>
          <w:pgNumType w:start="10"/>
          <w:cols w:space="708"/>
        </w:sectPr>
      </w:pPr>
    </w:p>
    <w:p>
      <w:pPr>
        <w:pStyle w:val="BodyText"/>
        <w:spacing w:before="54" w:line="331" w:lineRule="auto"/>
        <w:ind w:left="647" w:right="7939" w:hanging="420"/>
      </w:pPr>
      <w:r>
        <w:rPr>
          <w:spacing w:val="-1"/>
        </w:rPr>
        <w:t>单位报批可行性研究报告。</w:t>
      </w:r>
      <w:r>
        <w:t>A.3%</w:t>
      </w:r>
    </w:p>
    <w:p>
      <w:pPr>
        <w:pStyle w:val="ListParagraph"/>
        <w:numPr>
          <w:ilvl w:val="1"/>
          <w:numId w:val="158"/>
        </w:numPr>
        <w:tabs>
          <w:tab w:val="left" w:pos="859"/>
        </w:tabs>
        <w:spacing w:before="4" w:after="0" w:line="333" w:lineRule="auto"/>
        <w:ind w:left="647" w:right="9512" w:firstLine="0"/>
        <w:jc w:val="left"/>
        <w:rPr>
          <w:sz w:val="21"/>
        </w:rPr>
      </w:pPr>
      <w:r>
        <w:rPr>
          <w:sz w:val="21"/>
        </w:rPr>
        <w:t>5%</w:t>
      </w:r>
      <w:r>
        <w:rPr>
          <w:spacing w:val="1"/>
          <w:sz w:val="21"/>
        </w:rPr>
        <w:t xml:space="preserve"> </w:t>
      </w:r>
      <w:r>
        <w:rPr>
          <w:sz w:val="21"/>
        </w:rPr>
        <w:t>C.10%</w:t>
      </w:r>
      <w:r>
        <w:rPr>
          <w:spacing w:val="-102"/>
          <w:sz w:val="21"/>
        </w:rPr>
        <w:t xml:space="preserve"> </w:t>
      </w:r>
      <w:r>
        <w:rPr>
          <w:sz w:val="21"/>
        </w:rPr>
        <w:t>D.15%</w:t>
      </w:r>
    </w:p>
    <w:p>
      <w:pPr>
        <w:pStyle w:val="BodyText"/>
        <w:spacing w:before="3"/>
      </w:pPr>
      <w:r>
        <w:rPr>
          <w:w w:val="95"/>
        </w:rPr>
        <w:t>【答案】C</w:t>
      </w:r>
    </w:p>
    <w:p>
      <w:pPr>
        <w:pStyle w:val="BodyText"/>
        <w:spacing w:before="103" w:line="333" w:lineRule="auto"/>
        <w:ind w:right="367"/>
      </w:pPr>
      <w:r>
        <w:pict>
          <v:shape id="docshape23" o:spid="_x0000_s1045" type="#_x0000_t202" style="width:82.8pt;height:19.9pt;margin-top:45.65pt;margin-left:48.3pt;mso-height-relative:page;mso-position-horizontal-relative:page;mso-width-relative:page;mso-wrap-distance-bottom:0;mso-wrap-distance-top:0;position:absolute;z-index:-251635712" coordsize="21600,21600" filled="f" stroked="t" strokecolor="black">
            <v:textbox inset="0,0,0,0">
              <w:txbxContent>
                <w:p>
                  <w:pPr>
                    <w:spacing w:before="3" w:line="306" w:lineRule="exact"/>
                    <w:ind w:left="1" w:right="0" w:firstLine="0"/>
                    <w:jc w:val="left"/>
                    <w:rPr>
                      <w:b/>
                      <w:sz w:val="24"/>
                    </w:rPr>
                  </w:pPr>
                  <w:r>
                    <w:rPr>
                      <w:b/>
                      <w:sz w:val="24"/>
                    </w:rPr>
                    <w:t>重要考点·11</w:t>
                  </w:r>
                </w:p>
              </w:txbxContent>
            </v:textbox>
            <w10:wrap type="topAndBottom"/>
          </v:shape>
        </w:pict>
      </w:r>
      <w:r>
        <w:rPr>
          <w:w w:val="95"/>
        </w:rPr>
        <w:t>【解析】如果初步设计提出的总概算超过可行性研究报告总投资的</w:t>
      </w:r>
      <w:r>
        <w:rPr>
          <w:spacing w:val="133"/>
        </w:rPr>
        <w:t xml:space="preserve">  </w:t>
      </w:r>
      <w:r>
        <w:rPr>
          <w:w w:val="95"/>
        </w:rPr>
        <w:t>10%以上或其他主要指标需要变更时，应说</w:t>
      </w:r>
      <w:r>
        <w:t>明原因和计算依据，并重新向原审批单位报批可行性研究报告。</w:t>
      </w:r>
    </w:p>
    <w:p>
      <w:pPr>
        <w:pStyle w:val="BodyText"/>
        <w:spacing w:before="7"/>
        <w:ind w:left="0"/>
        <w:rPr>
          <w:sz w:val="7"/>
        </w:rPr>
      </w:pPr>
    </w:p>
    <w:p>
      <w:pPr>
        <w:pStyle w:val="ListParagraph"/>
        <w:numPr>
          <w:ilvl w:val="0"/>
          <w:numId w:val="18"/>
        </w:numPr>
        <w:tabs>
          <w:tab w:val="left" w:pos="439"/>
        </w:tabs>
        <w:spacing w:before="70" w:after="0" w:line="240" w:lineRule="auto"/>
        <w:ind w:left="438" w:right="0" w:hanging="212"/>
        <w:jc w:val="left"/>
        <w:rPr>
          <w:sz w:val="21"/>
        </w:rPr>
      </w:pPr>
      <w:r>
        <w:rPr>
          <w:sz w:val="21"/>
        </w:rPr>
        <w:t>工程质量监督手续的办理</w:t>
      </w:r>
    </w:p>
    <w:p>
      <w:pPr>
        <w:pStyle w:val="BodyText"/>
        <w:spacing w:before="103" w:line="333" w:lineRule="auto"/>
        <w:ind w:right="367"/>
      </w:pPr>
      <w:r>
        <w:rPr>
          <w:w w:val="95"/>
        </w:rPr>
        <w:t>建设单位在办理施工许可证之前应当到规定的工程质量监督机构办理工程质量监督注册手续。办理质量监督注</w:t>
      </w:r>
      <w:r>
        <w:rPr>
          <w:spacing w:val="206"/>
        </w:rPr>
        <w:t xml:space="preserve"> </w:t>
      </w:r>
      <w:r>
        <w:t>册手续时需提供下列资料：</w:t>
      </w:r>
    </w:p>
    <w:p>
      <w:pPr>
        <w:pStyle w:val="ListParagraph"/>
        <w:numPr>
          <w:ilvl w:val="0"/>
          <w:numId w:val="19"/>
        </w:numPr>
        <w:tabs>
          <w:tab w:val="left" w:pos="752"/>
        </w:tabs>
        <w:spacing w:before="0" w:after="0" w:line="240" w:lineRule="auto"/>
        <w:ind w:left="751" w:right="0" w:hanging="525"/>
        <w:jc w:val="left"/>
        <w:rPr>
          <w:sz w:val="21"/>
        </w:rPr>
      </w:pPr>
      <w:r>
        <w:rPr>
          <w:sz w:val="21"/>
        </w:rPr>
        <w:t>施工图设计文件审查报告和批准书；</w:t>
      </w:r>
    </w:p>
    <w:p>
      <w:pPr>
        <w:pStyle w:val="ListParagraph"/>
        <w:numPr>
          <w:ilvl w:val="0"/>
          <w:numId w:val="19"/>
        </w:numPr>
        <w:tabs>
          <w:tab w:val="left" w:pos="752"/>
        </w:tabs>
        <w:spacing w:before="106" w:after="0" w:line="240" w:lineRule="auto"/>
        <w:ind w:left="751" w:right="0" w:hanging="525"/>
        <w:jc w:val="left"/>
        <w:rPr>
          <w:sz w:val="21"/>
        </w:rPr>
      </w:pPr>
      <w:r>
        <w:rPr>
          <w:sz w:val="21"/>
        </w:rPr>
        <w:t>中标通知书和施工、监理合同；</w:t>
      </w:r>
    </w:p>
    <w:p>
      <w:pPr>
        <w:pStyle w:val="ListParagraph"/>
        <w:numPr>
          <w:ilvl w:val="0"/>
          <w:numId w:val="19"/>
        </w:numPr>
        <w:tabs>
          <w:tab w:val="left" w:pos="752"/>
        </w:tabs>
        <w:spacing w:before="107" w:after="0" w:line="240" w:lineRule="auto"/>
        <w:ind w:left="751" w:right="0" w:hanging="525"/>
        <w:jc w:val="left"/>
        <w:rPr>
          <w:sz w:val="21"/>
        </w:rPr>
      </w:pPr>
      <w:r>
        <w:rPr>
          <w:sz w:val="21"/>
        </w:rPr>
        <w:t>建设单位、施工单位和监理单位工程项目的负责人和机构组成；</w:t>
      </w:r>
    </w:p>
    <w:p>
      <w:pPr>
        <w:pStyle w:val="ListParagraph"/>
        <w:numPr>
          <w:ilvl w:val="0"/>
          <w:numId w:val="19"/>
        </w:numPr>
        <w:tabs>
          <w:tab w:val="left" w:pos="752"/>
        </w:tabs>
        <w:spacing w:before="103" w:after="0" w:line="240" w:lineRule="auto"/>
        <w:ind w:left="751" w:right="0" w:hanging="525"/>
        <w:jc w:val="left"/>
        <w:rPr>
          <w:sz w:val="21"/>
        </w:rPr>
      </w:pPr>
      <w:r>
        <w:rPr>
          <w:spacing w:val="-1"/>
          <w:w w:val="99"/>
          <w:sz w:val="21"/>
        </w:rPr>
        <w:t>施工组织设计和监理规划（监理实施细则</w:t>
      </w:r>
      <w:r>
        <w:rPr>
          <w:spacing w:val="-106"/>
          <w:w w:val="99"/>
          <w:sz w:val="21"/>
        </w:rPr>
        <w:t>）</w:t>
      </w:r>
      <w:r>
        <w:rPr>
          <w:w w:val="99"/>
          <w:sz w:val="21"/>
        </w:rPr>
        <w:t>；</w:t>
      </w:r>
    </w:p>
    <w:p>
      <w:pPr>
        <w:pStyle w:val="ListParagraph"/>
        <w:numPr>
          <w:ilvl w:val="0"/>
          <w:numId w:val="19"/>
        </w:numPr>
        <w:tabs>
          <w:tab w:val="left" w:pos="752"/>
        </w:tabs>
        <w:spacing w:before="106" w:after="0" w:line="240" w:lineRule="auto"/>
        <w:ind w:left="751" w:right="0" w:hanging="525"/>
        <w:jc w:val="left"/>
        <w:rPr>
          <w:sz w:val="21"/>
        </w:rPr>
      </w:pPr>
      <w:r>
        <w:rPr>
          <w:sz w:val="21"/>
        </w:rPr>
        <w:t>其他需要的文件资料。</w:t>
      </w:r>
    </w:p>
    <w:p>
      <w:pPr>
        <w:pStyle w:val="BodyText"/>
        <w:spacing w:before="105"/>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【记忆方法】根据理解结合易错点进行掌握</w:t>
      </w:r>
    </w:p>
    <w:p>
      <w:pPr>
        <w:pStyle w:val="BodyText"/>
        <w:spacing w:before="9"/>
        <w:ind w:left="0"/>
        <w:rPr>
          <w:sz w:val="7"/>
        </w:rPr>
      </w:pPr>
      <w:r>
        <w:pict>
          <v:shape id="docshape24" o:spid="_x0000_s1046" type="#_x0000_t202" style="width:82.8pt;height:19.9pt;margin-top:8.35pt;margin-left:48.3pt;mso-height-relative:page;mso-position-horizontal-relative:page;mso-width-relative:page;mso-wrap-distance-bottom:0;mso-wrap-distance-top:0;position:absolute;z-index:-251634688" coordsize="21600,21600" filled="f" stroked="t" strokecolor="black">
            <v:textbox inset="0,0,0,0">
              <w:txbxContent>
                <w:p>
                  <w:pPr>
                    <w:spacing w:before="3" w:line="306" w:lineRule="exact"/>
                    <w:ind w:left="1" w:right="0" w:firstLine="0"/>
                    <w:jc w:val="left"/>
                    <w:rPr>
                      <w:b/>
                      <w:sz w:val="24"/>
                    </w:rPr>
                  </w:pPr>
                  <w:r>
                    <w:rPr>
                      <w:b/>
                      <w:sz w:val="24"/>
                    </w:rPr>
                    <w:t>精选习题·11</w:t>
                  </w:r>
                </w:p>
              </w:txbxContent>
            </v:textbox>
            <w10:wrap type="topAndBottom"/>
          </v:shape>
        </w:pict>
      </w:r>
    </w:p>
    <w:p>
      <w:pPr>
        <w:pStyle w:val="BodyText"/>
        <w:spacing w:before="7"/>
        <w:ind w:left="0"/>
        <w:rPr>
          <w:sz w:val="7"/>
        </w:rPr>
      </w:pPr>
    </w:p>
    <w:p>
      <w:pPr>
        <w:pStyle w:val="BodyText"/>
        <w:tabs>
          <w:tab w:val="left" w:pos="6527"/>
        </w:tabs>
        <w:spacing w:before="70" w:line="331" w:lineRule="auto"/>
        <w:ind w:left="647" w:right="3842" w:hanging="420"/>
      </w:pPr>
      <w:r>
        <w:t>【2022】建设单位办理工程质量监督手续时，应提供的资料是（</w:t>
      </w:r>
      <w:r>
        <w:tab/>
      </w:r>
      <w:r>
        <w:rPr>
          <w:spacing w:val="-104"/>
        </w:rPr>
        <w:t>）</w:t>
      </w:r>
      <w:r>
        <w:rPr>
          <w:spacing w:val="-3"/>
        </w:rPr>
        <w:t>。</w:t>
      </w:r>
      <w:r>
        <w:t>A.建设工程规划许可证</w:t>
      </w:r>
    </w:p>
    <w:p>
      <w:pPr>
        <w:pStyle w:val="BodyText"/>
        <w:spacing w:before="3" w:line="333" w:lineRule="auto"/>
        <w:ind w:left="647" w:right="7939"/>
      </w:pPr>
      <w:r>
        <w:rPr>
          <w:spacing w:val="-1"/>
        </w:rPr>
        <w:t>B.建设工程用地许可证</w:t>
      </w:r>
      <w:r>
        <w:t>C.施工组织设计</w:t>
      </w:r>
    </w:p>
    <w:p>
      <w:pPr>
        <w:pStyle w:val="BodyText"/>
        <w:spacing w:before="1"/>
        <w:ind w:left="647"/>
      </w:pPr>
      <w:r>
        <w:t>D.施工许可证</w:t>
      </w:r>
    </w:p>
    <w:p>
      <w:pPr>
        <w:pStyle w:val="BodyText"/>
        <w:spacing w:before="108"/>
      </w:pPr>
      <w:r>
        <w:t>【答案】C</w:t>
      </w:r>
    </w:p>
    <w:p>
      <w:pPr>
        <w:pStyle w:val="BodyText"/>
        <w:spacing w:before="103" w:line="333" w:lineRule="auto"/>
        <w:ind w:right="367"/>
        <w:jc w:val="both"/>
      </w:pPr>
      <w:r>
        <w:pict>
          <v:shape id="docshape25" o:spid="_x0000_s1047" type="#_x0000_t202" style="width:82.8pt;height:19.9pt;margin-top:64.35pt;margin-left:48.3pt;mso-height-relative:page;mso-position-horizontal-relative:page;mso-width-relative:page;mso-wrap-distance-bottom:0;mso-wrap-distance-top:0;position:absolute;z-index:-251633664" coordsize="21600,21600" filled="f" stroked="t" strokecolor="black">
            <v:textbox inset="0,0,0,0">
              <w:txbxContent>
                <w:p>
                  <w:pPr>
                    <w:spacing w:before="1"/>
                    <w:ind w:left="1" w:right="0" w:firstLine="0"/>
                    <w:jc w:val="left"/>
                    <w:rPr>
                      <w:b/>
                      <w:sz w:val="24"/>
                    </w:rPr>
                  </w:pPr>
                  <w:r>
                    <w:rPr>
                      <w:b/>
                      <w:sz w:val="24"/>
                    </w:rPr>
                    <w:t>重要考点·12</w:t>
                  </w:r>
                </w:p>
              </w:txbxContent>
            </v:textbox>
            <w10:wrap type="topAndBottom"/>
          </v:shape>
        </w:pict>
      </w:r>
      <w:r>
        <w:drawing>
          <wp:anchor distT="0" distB="0" distL="0" distR="0" simplePos="0" relativeHeight="251679744" behindDoc="0" locked="0" layoutInCell="1" allowOverlap="1">
            <wp:simplePos x="0" y="0"/>
            <wp:positionH relativeFrom="page">
              <wp:posOffset>585470</wp:posOffset>
            </wp:positionH>
            <wp:positionV relativeFrom="paragraph">
              <wp:posOffset>789305</wp:posOffset>
            </wp:positionV>
            <wp:extent cx="56515" cy="309245"/>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xmlns:r="http://schemas.openxmlformats.org/officeDocument/2006/relationships" r:embed="rId13" cstate="print"/>
                    <a:stretch>
                      <a:fillRect/>
                    </a:stretch>
                  </pic:blipFill>
                  <pic:spPr>
                    <a:xfrm>
                      <a:off x="0" y="0"/>
                      <a:ext cx="56469" cy="309562"/>
                    </a:xfrm>
                    <a:prstGeom prst="rect">
                      <a:avLst/>
                    </a:prstGeom>
                  </pic:spPr>
                </pic:pic>
              </a:graphicData>
            </a:graphic>
          </wp:anchor>
        </w:drawing>
      </w:r>
      <w:r>
        <w:rPr>
          <w:spacing w:val="-4"/>
          <w:w w:val="99"/>
        </w:rPr>
        <w:t>【解析】本题考核的是工程质量监督手续的办理。办理质量监督注册手续时需提供下列资料：</w:t>
      </w:r>
      <w:r>
        <w:rPr>
          <w:spacing w:val="-1"/>
          <w:w w:val="99"/>
        </w:rPr>
        <w:t>（</w:t>
      </w:r>
      <w:r>
        <w:rPr>
          <w:spacing w:val="1"/>
          <w:w w:val="99"/>
        </w:rPr>
        <w:t>1</w:t>
      </w:r>
      <w:r>
        <w:rPr>
          <w:spacing w:val="2"/>
          <w:w w:val="99"/>
        </w:rPr>
        <w:t>）</w:t>
      </w:r>
      <w:r>
        <w:rPr>
          <w:spacing w:val="-1"/>
          <w:w w:val="99"/>
        </w:rPr>
        <w:t>施工图设计</w:t>
      </w:r>
      <w:r>
        <w:rPr>
          <w:spacing w:val="-11"/>
          <w:w w:val="99"/>
        </w:rPr>
        <w:t>文件审查报告和批准书；</w:t>
      </w:r>
      <w:r>
        <w:rPr>
          <w:spacing w:val="2"/>
          <w:w w:val="99"/>
        </w:rPr>
        <w:t>（</w:t>
      </w:r>
      <w:r>
        <w:rPr>
          <w:spacing w:val="1"/>
          <w:w w:val="99"/>
        </w:rPr>
        <w:t>2</w:t>
      </w:r>
      <w:r>
        <w:rPr>
          <w:spacing w:val="2"/>
          <w:w w:val="99"/>
        </w:rPr>
        <w:t>）</w:t>
      </w:r>
      <w:r>
        <w:rPr>
          <w:spacing w:val="-9"/>
          <w:w w:val="99"/>
        </w:rPr>
        <w:t>中标通知书和施工、监理合同：</w:t>
      </w:r>
      <w:r>
        <w:rPr>
          <w:spacing w:val="2"/>
          <w:w w:val="99"/>
        </w:rPr>
        <w:t>（</w:t>
      </w:r>
      <w:r>
        <w:rPr>
          <w:spacing w:val="1"/>
          <w:w w:val="99"/>
        </w:rPr>
        <w:t>3</w:t>
      </w:r>
      <w:r>
        <w:rPr>
          <w:spacing w:val="2"/>
          <w:w w:val="99"/>
        </w:rPr>
        <w:t>）</w:t>
      </w:r>
      <w:r>
        <w:rPr>
          <w:spacing w:val="-1"/>
          <w:w w:val="99"/>
        </w:rPr>
        <w:t>建设单位、施工单位和监理单位工程项目的</w:t>
      </w:r>
      <w:r>
        <w:rPr>
          <w:spacing w:val="-13"/>
          <w:w w:val="99"/>
        </w:rPr>
        <w:t>负责人和机构组成；</w:t>
      </w:r>
      <w:r>
        <w:rPr>
          <w:spacing w:val="-1"/>
          <w:w w:val="99"/>
        </w:rPr>
        <w:t>（</w:t>
      </w:r>
      <w:r>
        <w:rPr>
          <w:spacing w:val="1"/>
          <w:w w:val="99"/>
        </w:rPr>
        <w:t>4</w:t>
      </w:r>
      <w:r>
        <w:rPr>
          <w:spacing w:val="-1"/>
          <w:w w:val="99"/>
        </w:rPr>
        <w:t>）施工组织设计和监理规划（监理实施细则</w:t>
      </w:r>
      <w:r>
        <w:rPr>
          <w:spacing w:val="-104"/>
          <w:w w:val="99"/>
        </w:rPr>
        <w:t>）；</w:t>
      </w:r>
      <w:r>
        <w:rPr>
          <w:spacing w:val="-1"/>
          <w:w w:val="99"/>
        </w:rPr>
        <w:t>（</w:t>
      </w:r>
      <w:r>
        <w:rPr>
          <w:spacing w:val="1"/>
          <w:w w:val="99"/>
        </w:rPr>
        <w:t>5</w:t>
      </w:r>
      <w:r>
        <w:rPr>
          <w:spacing w:val="-1"/>
          <w:w w:val="99"/>
        </w:rPr>
        <w:t>）其他需要的文件资料。</w:t>
      </w:r>
    </w:p>
    <w:p>
      <w:pPr>
        <w:pStyle w:val="BodyText"/>
        <w:spacing w:before="164" w:line="336" w:lineRule="auto"/>
        <w:ind w:right="7099"/>
      </w:pPr>
      <w:r>
        <w:rPr>
          <w:spacing w:val="-1"/>
        </w:rPr>
        <w:t>（一）全过程工程咨询的含义及特点</w:t>
      </w:r>
      <w:r>
        <w:t>1.全过程工程咨询的含义</w:t>
      </w:r>
    </w:p>
    <w:p>
      <w:pPr>
        <w:pStyle w:val="BodyText"/>
        <w:spacing w:line="333" w:lineRule="auto"/>
        <w:ind w:right="367"/>
        <w:jc w:val="both"/>
      </w:pPr>
      <w:r>
        <w:rPr>
          <w:w w:val="95"/>
        </w:rPr>
        <w:t>所谓全过程工程咨询，是指工程咨询方综合运用多学科知识、工程实践经验、现代科学技术和经济管理方法，</w:t>
      </w:r>
      <w:r>
        <w:rPr>
          <w:spacing w:val="216"/>
        </w:rPr>
        <w:t xml:space="preserve"> </w:t>
      </w:r>
      <w:r>
        <w:rPr>
          <w:w w:val="95"/>
        </w:rPr>
        <w:t>采用多种服务方式组合，为委托方在项目投资决策、建设实施阶段提供阶段性或整体解决方案的智力性服务活</w:t>
      </w:r>
      <w:r>
        <w:rPr>
          <w:spacing w:val="206"/>
        </w:rPr>
        <w:t xml:space="preserve"> </w:t>
      </w:r>
      <w:r>
        <w:t>动。</w:t>
      </w:r>
    </w:p>
    <w:p>
      <w:pPr>
        <w:pStyle w:val="BodyText"/>
      </w:pPr>
      <w:r>
        <w:rPr>
          <w:spacing w:val="-13"/>
          <w:w w:val="95"/>
        </w:rPr>
        <w:t>这里的“工程咨询方”，可以是具备相应资质和能力的一家咨询单位，也可以是多家咨询单位组成的联合体</w:t>
      </w:r>
      <w:r>
        <w:rPr>
          <w:spacing w:val="-52"/>
          <w:w w:val="95"/>
        </w:rPr>
        <w:t>。“委</w:t>
      </w:r>
    </w:p>
    <w:p>
      <w:pPr>
        <w:spacing w:after="0"/>
        <w:sectPr>
          <w:headerReference w:type="default" r:id="rId14"/>
          <w:pgSz w:w="11910" w:h="16840"/>
          <w:pgMar w:top="1180" w:right="540" w:bottom="280" w:left="680" w:header="993" w:footer="0" w:gutter="0"/>
          <w:pgNumType w:start="11"/>
          <w:cols w:space="708"/>
        </w:sectPr>
      </w:pPr>
    </w:p>
    <w:p>
      <w:pPr>
        <w:pStyle w:val="BodyText"/>
        <w:spacing w:before="54"/>
      </w:pPr>
      <w:r>
        <w:t>托方”可以是投资方、建设单位，也可能是项目使用或运营单位。</w:t>
      </w:r>
    </w:p>
    <w:p>
      <w:pPr>
        <w:pStyle w:val="BodyText"/>
        <w:spacing w:before="103" w:line="333" w:lineRule="auto"/>
        <w:ind w:right="367"/>
      </w:pPr>
      <w:r>
        <w:rPr>
          <w:w w:val="95"/>
        </w:rPr>
        <w:t>这种全过程工程咨询不仅强调投资决策、建设实施全过程，甚至延伸至运营维护阶段；而且强调技术、经济和</w:t>
      </w:r>
      <w:r>
        <w:rPr>
          <w:spacing w:val="206"/>
        </w:rPr>
        <w:t xml:space="preserve"> </w:t>
      </w:r>
      <w:r>
        <w:t>管理相结合的综合性咨询。</w:t>
      </w:r>
    </w:p>
    <w:p>
      <w:pPr>
        <w:pStyle w:val="BodyText"/>
        <w:spacing w:before="3" w:line="331" w:lineRule="auto"/>
        <w:ind w:right="3528"/>
      </w:pPr>
      <w:r>
        <w:rPr>
          <w:w w:val="95"/>
        </w:rPr>
        <w:t>全过程工程咨询服务内容包括投资决策综合性咨询和工程建设全过程咨询。</w:t>
      </w:r>
      <w:r>
        <w:rPr>
          <w:spacing w:val="42"/>
          <w:w w:val="95"/>
        </w:rPr>
        <w:t xml:space="preserve"> </w:t>
      </w:r>
      <w:r>
        <w:t>2.全过程工程咨询的特点</w:t>
      </w:r>
    </w:p>
    <w:p>
      <w:pPr>
        <w:pStyle w:val="BodyText"/>
        <w:spacing w:before="6"/>
      </w:pPr>
      <w:r>
        <w:t>与传统“碎片化”咨询相比，全过程工程咨询具有以下三大特点：</w:t>
      </w:r>
    </w:p>
    <w:p>
      <w:pPr>
        <w:pStyle w:val="ListParagraph"/>
        <w:numPr>
          <w:ilvl w:val="0"/>
          <w:numId w:val="20"/>
        </w:numPr>
        <w:tabs>
          <w:tab w:val="left" w:pos="752"/>
        </w:tabs>
        <w:spacing w:before="103" w:after="0" w:line="240" w:lineRule="auto"/>
        <w:ind w:left="751" w:right="0" w:hanging="525"/>
        <w:jc w:val="left"/>
        <w:rPr>
          <w:sz w:val="21"/>
        </w:rPr>
      </w:pPr>
      <w:r>
        <w:rPr>
          <w:sz w:val="21"/>
        </w:rPr>
        <w:t>咨询服务范围广。</w:t>
      </w:r>
    </w:p>
    <w:p>
      <w:pPr>
        <w:pStyle w:val="BodyText"/>
        <w:spacing w:before="106" w:line="333" w:lineRule="auto"/>
        <w:ind w:right="261"/>
        <w:jc w:val="both"/>
      </w:pPr>
      <w:r>
        <w:rPr>
          <w:w w:val="95"/>
        </w:rPr>
        <w:t>全过程工程咨询服务覆盖面广，主要体现在两个方面：一是从服务阶段看，全过程工程咨询覆盖项目投资决策、</w:t>
      </w:r>
      <w:r>
        <w:rPr>
          <w:spacing w:val="123"/>
        </w:rPr>
        <w:t xml:space="preserve"> </w:t>
      </w:r>
      <w:r>
        <w:rPr>
          <w:w w:val="95"/>
        </w:rPr>
        <w:t>建设实施（设计、招标、施工）全过程集成化服务，有时还会包括运营维护阶段咨询服务；二是从服务内容看，</w:t>
      </w:r>
      <w:r>
        <w:rPr>
          <w:spacing w:val="112"/>
        </w:rPr>
        <w:t xml:space="preserve"> </w:t>
      </w:r>
      <w:r>
        <w:t>全过程工程咨询包含技术咨询和管理咨询，而不只是侧重于管理咨询。</w:t>
      </w:r>
    </w:p>
    <w:p>
      <w:pPr>
        <w:pStyle w:val="ListParagraph"/>
        <w:numPr>
          <w:ilvl w:val="0"/>
          <w:numId w:val="20"/>
        </w:numPr>
        <w:tabs>
          <w:tab w:val="left" w:pos="752"/>
        </w:tabs>
        <w:spacing w:before="1" w:after="0" w:line="240" w:lineRule="auto"/>
        <w:ind w:left="751" w:right="0" w:hanging="525"/>
        <w:jc w:val="left"/>
        <w:rPr>
          <w:sz w:val="21"/>
        </w:rPr>
      </w:pPr>
      <w:r>
        <w:rPr>
          <w:sz w:val="21"/>
        </w:rPr>
        <w:t>强调智力性策划。</w:t>
      </w:r>
    </w:p>
    <w:p>
      <w:pPr>
        <w:pStyle w:val="BodyText"/>
        <w:spacing w:before="105" w:line="336" w:lineRule="auto"/>
        <w:ind w:right="273"/>
      </w:pPr>
      <w:r>
        <w:t>全过程工程咨询单位要运用工程技术、经济学、管理学、法学等多学科知识和经验，为委托方提供智力服务。</w:t>
      </w:r>
      <w:r>
        <w:rPr>
          <w:spacing w:val="-4"/>
          <w:w w:val="99"/>
        </w:rPr>
        <w:t>如：建设方案策划和比选、融资方案策划、招标方案策划等。全过程工程咨询不只是简单地为委托方“打杂”，</w:t>
      </w:r>
      <w:r>
        <w:t>只是协助委托方办理相关报批手续等。</w:t>
      </w:r>
    </w:p>
    <w:p>
      <w:pPr>
        <w:pStyle w:val="ListParagraph"/>
        <w:numPr>
          <w:ilvl w:val="0"/>
          <w:numId w:val="20"/>
        </w:numPr>
        <w:tabs>
          <w:tab w:val="left" w:pos="752"/>
        </w:tabs>
        <w:spacing w:before="0" w:after="0" w:line="262" w:lineRule="exact"/>
        <w:ind w:left="751" w:right="0" w:hanging="525"/>
        <w:jc w:val="left"/>
        <w:rPr>
          <w:sz w:val="21"/>
        </w:rPr>
      </w:pPr>
      <w:r>
        <w:rPr>
          <w:sz w:val="21"/>
        </w:rPr>
        <w:t>实施多阶段集成。</w:t>
      </w:r>
    </w:p>
    <w:p>
      <w:pPr>
        <w:pStyle w:val="BodyText"/>
        <w:spacing w:before="106" w:line="333" w:lineRule="auto"/>
        <w:ind w:right="261"/>
      </w:pPr>
      <w:r>
        <w:t>全过程工程咨询服务不是将各个阶段简单相加，而是要通过多阶段集成化咨询服务，为委托方创造价值。要综</w:t>
      </w:r>
      <w:r>
        <w:rPr>
          <w:w w:val="95"/>
        </w:rPr>
        <w:t>合考虑项目质量、安全、环保、投资、工期等目标以及合同管理、资源管理、信息管理、技术管理、风险管理、</w:t>
      </w:r>
      <w:r>
        <w:rPr>
          <w:spacing w:val="112"/>
        </w:rPr>
        <w:t xml:space="preserve"> </w:t>
      </w:r>
      <w:r>
        <w:t>沟通管理等要素之间的相互制约和影响关系，从技术经济角度实现综合集成。</w:t>
      </w:r>
    </w:p>
    <w:p>
      <w:pPr>
        <w:pStyle w:val="BodyText"/>
        <w:spacing w:before="3"/>
      </w:pPr>
      <w:r>
        <w:rPr>
          <w:w w:val="95"/>
        </w:rPr>
        <w:t>【分值】考试形式为选择题，分值为 1</w:t>
      </w:r>
      <w:r>
        <w:rPr>
          <w:spacing w:val="1"/>
          <w:w w:val="95"/>
        </w:rPr>
        <w:t xml:space="preserve"> 分。</w:t>
      </w:r>
    </w:p>
    <w:p>
      <w:pPr>
        <w:pStyle w:val="BodyText"/>
        <w:spacing w:before="103"/>
      </w:pPr>
      <w:r>
        <w:t>【记忆方法】理解记忆</w:t>
      </w:r>
    </w:p>
    <w:p>
      <w:pPr>
        <w:pStyle w:val="BodyText"/>
        <w:spacing w:before="8"/>
        <w:ind w:left="0"/>
        <w:rPr>
          <w:sz w:val="7"/>
        </w:rPr>
      </w:pPr>
      <w:r>
        <w:pict>
          <v:shape id="docshape26" o:spid="_x0000_s1048" type="#_x0000_t202" style="width:82.8pt;height:19.9pt;margin-top:8.3pt;margin-left:48.3pt;mso-height-relative:page;mso-position-horizontal-relative:page;mso-width-relative:page;mso-wrap-distance-bottom:0;mso-wrap-distance-top:0;position:absolute;z-index:-251630592" coordsize="21600,21600" filled="f" stroked="t" strokecolor="black">
            <v:textbox inset="0,0,0,0">
              <w:txbxContent>
                <w:p>
                  <w:pPr>
                    <w:spacing w:before="1"/>
                    <w:ind w:left="1" w:right="0" w:firstLine="0"/>
                    <w:jc w:val="left"/>
                    <w:rPr>
                      <w:b/>
                      <w:sz w:val="24"/>
                    </w:rPr>
                  </w:pPr>
                  <w:r>
                    <w:rPr>
                      <w:b/>
                      <w:sz w:val="24"/>
                    </w:rPr>
                    <w:t>精选习题·12</w:t>
                  </w:r>
                </w:p>
              </w:txbxContent>
            </v:textbox>
            <w10:wrap type="topAndBottom"/>
          </v:shape>
        </w:pict>
      </w:r>
    </w:p>
    <w:p>
      <w:pPr>
        <w:pStyle w:val="BodyText"/>
        <w:spacing w:before="5"/>
        <w:ind w:left="0"/>
        <w:rPr>
          <w:sz w:val="7"/>
        </w:rPr>
      </w:pPr>
    </w:p>
    <w:p>
      <w:pPr>
        <w:pStyle w:val="BodyText"/>
        <w:tabs>
          <w:tab w:val="left" w:pos="5267"/>
        </w:tabs>
        <w:spacing w:before="70" w:line="333" w:lineRule="auto"/>
        <w:ind w:left="647" w:right="5102" w:hanging="420"/>
      </w:pPr>
      <w:r>
        <w:t>【2022】关于全过程工程咨询的说法，正确的是（</w:t>
      </w:r>
      <w:r>
        <w:tab/>
      </w:r>
      <w:r>
        <w:rPr>
          <w:spacing w:val="-104"/>
        </w:rPr>
        <w:t>）</w:t>
      </w:r>
      <w:r>
        <w:rPr>
          <w:spacing w:val="-3"/>
        </w:rPr>
        <w:t>。</w:t>
      </w:r>
      <w:r>
        <w:t>A.全过程工程咨询侧重于工程建设实施阶段</w:t>
      </w:r>
    </w:p>
    <w:p>
      <w:pPr>
        <w:pStyle w:val="BodyText"/>
        <w:spacing w:before="1" w:line="336" w:lineRule="auto"/>
        <w:ind w:left="647" w:right="6890"/>
      </w:pPr>
      <w:r>
        <w:rPr>
          <w:spacing w:val="-1"/>
        </w:rPr>
        <w:t>B.全过程工程咨询侧重于管理咨询</w:t>
      </w:r>
      <w:r>
        <w:t>C.全过程工程咨询是一种制度</w:t>
      </w:r>
    </w:p>
    <w:p>
      <w:pPr>
        <w:pStyle w:val="BodyText"/>
        <w:spacing w:line="265" w:lineRule="exact"/>
        <w:ind w:left="647"/>
      </w:pPr>
      <w:r>
        <w:t>D.全过程工程咨询是一种智力性服务</w:t>
      </w:r>
    </w:p>
    <w:p>
      <w:pPr>
        <w:pStyle w:val="BodyText"/>
        <w:spacing w:before="108"/>
      </w:pPr>
      <w:r>
        <w:t>【答案】D</w:t>
      </w:r>
    </w:p>
    <w:p>
      <w:pPr>
        <w:pStyle w:val="BodyText"/>
        <w:spacing w:before="102" w:line="336" w:lineRule="auto"/>
        <w:ind w:right="261"/>
      </w:pPr>
      <w:r>
        <w:pict>
          <v:shape id="docshape27" o:spid="_x0000_s1049" type="#_x0000_t202" style="width:82.8pt;height:19.9pt;margin-top:64.3pt;margin-left:48.3pt;mso-height-relative:page;mso-position-horizontal-relative:page;mso-width-relative:page;mso-wrap-distance-bottom:0;mso-wrap-distance-top:0;position:absolute;z-index:-251629568" coordsize="21600,21600" filled="f" stroked="t" strokecolor="black">
            <v:textbox inset="0,0,0,0">
              <w:txbxContent>
                <w:p>
                  <w:pPr>
                    <w:spacing w:before="1"/>
                    <w:ind w:left="1" w:right="0" w:firstLine="0"/>
                    <w:jc w:val="left"/>
                    <w:rPr>
                      <w:b/>
                      <w:sz w:val="24"/>
                    </w:rPr>
                  </w:pPr>
                  <w:r>
                    <w:rPr>
                      <w:b/>
                      <w:sz w:val="24"/>
                    </w:rPr>
                    <w:t>重要考点·13</w:t>
                  </w:r>
                </w:p>
              </w:txbxContent>
            </v:textbox>
            <w10:wrap type="topAndBottom"/>
          </v:shape>
        </w:pict>
      </w:r>
      <w:r>
        <w:drawing>
          <wp:anchor distT="0" distB="0" distL="0" distR="0" simplePos="0" relativeHeight="251683840" behindDoc="0" locked="0" layoutInCell="1" allowOverlap="1">
            <wp:simplePos x="0" y="0"/>
            <wp:positionH relativeFrom="page">
              <wp:posOffset>585470</wp:posOffset>
            </wp:positionH>
            <wp:positionV relativeFrom="paragraph">
              <wp:posOffset>788670</wp:posOffset>
            </wp:positionV>
            <wp:extent cx="56515" cy="30924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xmlns:r="http://schemas.openxmlformats.org/officeDocument/2006/relationships" r:embed="rId15" cstate="print"/>
                    <a:stretch>
                      <a:fillRect/>
                    </a:stretch>
                  </pic:blipFill>
                  <pic:spPr>
                    <a:xfrm>
                      <a:off x="0" y="0"/>
                      <a:ext cx="56469" cy="309562"/>
                    </a:xfrm>
                    <a:prstGeom prst="rect">
                      <a:avLst/>
                    </a:prstGeom>
                  </pic:spPr>
                </pic:pic>
              </a:graphicData>
            </a:graphic>
          </wp:anchor>
        </w:drawing>
      </w:r>
      <w:r>
        <w:pict>
          <v:shape id="docshape28" o:spid="_x0000_s1050" type="#_x0000_t202" style="width:426.85pt;height:76.3pt;margin-top:127.35pt;margin-left:39.7pt;mso-height-relative:page;mso-position-horizontal-relative:page;mso-width-relative:page;position:absolute;z-index:2516848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00"/>
                    <w:gridCol w:w="672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124"/>
                    </w:trPr>
                    <w:tc>
                      <w:tcPr>
                        <w:tcW w:w="1800" w:type="dxa"/>
                      </w:tcPr>
                      <w:p>
                        <w:pPr>
                          <w:pStyle w:val="TableParagraph"/>
                          <w:rPr>
                            <w:sz w:val="20"/>
                          </w:rPr>
                        </w:pPr>
                      </w:p>
                      <w:p>
                        <w:pPr>
                          <w:pStyle w:val="TableParagraph"/>
                          <w:spacing w:before="168"/>
                          <w:ind w:left="107"/>
                          <w:rPr>
                            <w:sz w:val="21"/>
                          </w:rPr>
                        </w:pPr>
                        <w:r>
                          <w:rPr>
                            <w:sz w:val="21"/>
                          </w:rPr>
                          <w:t>制度与模式</w:t>
                        </w:r>
                      </w:p>
                    </w:tc>
                    <w:tc>
                      <w:tcPr>
                        <w:tcW w:w="6722" w:type="dxa"/>
                      </w:tcPr>
                      <w:p>
                        <w:pPr>
                          <w:pStyle w:val="TableParagraph"/>
                          <w:spacing w:before="53" w:line="331" w:lineRule="auto"/>
                          <w:ind w:left="107" w:right="97"/>
                          <w:rPr>
                            <w:sz w:val="21"/>
                          </w:rPr>
                        </w:pPr>
                        <w:r>
                          <w:rPr>
                            <w:w w:val="95"/>
                            <w:sz w:val="21"/>
                          </w:rPr>
                          <w:t>全过程工程咨询是一种工程建设组织模式，不是一种制度，模式的本质</w:t>
                        </w:r>
                        <w:r>
                          <w:rPr>
                            <w:spacing w:val="11"/>
                            <w:w w:val="95"/>
                            <w:sz w:val="21"/>
                          </w:rPr>
                          <w:t xml:space="preserve"> </w:t>
                        </w:r>
                        <w:r>
                          <w:rPr>
                            <w:spacing w:val="-8"/>
                            <w:w w:val="99"/>
                            <w:sz w:val="21"/>
                          </w:rPr>
                          <w:t>是“选择性”；工程监理、工程招投标等属于制度，制度的本质是“强</w:t>
                        </w:r>
                      </w:p>
                      <w:p>
                        <w:pPr>
                          <w:pStyle w:val="TableParagraph"/>
                          <w:spacing w:before="3"/>
                          <w:ind w:left="107"/>
                          <w:rPr>
                            <w:sz w:val="21"/>
                          </w:rPr>
                        </w:pPr>
                        <w:r>
                          <w:rPr>
                            <w:spacing w:val="-11"/>
                            <w:sz w:val="21"/>
                          </w:rPr>
                          <w:t>制性”。全过程工程咨询可包含工程监理，但不是替代关系。</w:t>
                        </w:r>
                      </w:p>
                    </w:tc>
                  </w:tr>
                  <w:tr>
                    <w:tblPrEx>
                      <w:tblW w:w="0" w:type="auto"/>
                      <w:tblInd w:w="5" w:type="dxa"/>
                      <w:tblLayout w:type="fixed"/>
                      <w:tblCellMar>
                        <w:top w:w="0" w:type="dxa"/>
                        <w:left w:w="0" w:type="dxa"/>
                        <w:bottom w:w="0" w:type="dxa"/>
                        <w:right w:w="0" w:type="dxa"/>
                      </w:tblCellMar>
                    </w:tblPrEx>
                    <w:trPr>
                      <w:trHeight w:val="372"/>
                    </w:trPr>
                    <w:tc>
                      <w:tcPr>
                        <w:tcW w:w="1800" w:type="dxa"/>
                      </w:tcPr>
                      <w:p>
                        <w:pPr>
                          <w:pStyle w:val="TableParagraph"/>
                          <w:spacing w:before="52"/>
                          <w:ind w:left="107"/>
                          <w:rPr>
                            <w:sz w:val="21"/>
                          </w:rPr>
                        </w:pPr>
                        <w:r>
                          <w:rPr>
                            <w:spacing w:val="16"/>
                            <w:sz w:val="21"/>
                          </w:rPr>
                          <w:t>全过程工程咨询</w:t>
                        </w:r>
                      </w:p>
                    </w:tc>
                    <w:tc>
                      <w:tcPr>
                        <w:tcW w:w="6722" w:type="dxa"/>
                      </w:tcPr>
                      <w:p>
                        <w:pPr>
                          <w:pStyle w:val="TableParagraph"/>
                          <w:spacing w:before="52"/>
                          <w:ind w:left="107"/>
                          <w:rPr>
                            <w:sz w:val="21"/>
                          </w:rPr>
                        </w:pPr>
                        <w:r>
                          <w:rPr>
                            <w:sz w:val="21"/>
                          </w:rPr>
                          <w:t>全过程工程咨询强调技术、经济、管理的综合集成服务；而项目管理服</w:t>
                        </w:r>
                      </w:p>
                    </w:tc>
                  </w:tr>
                </w:tbl>
                <w:p>
                  <w:pPr>
                    <w:pStyle w:val="BodyText"/>
                    <w:ind w:left="0"/>
                  </w:pPr>
                </w:p>
              </w:txbxContent>
            </v:textbox>
          </v:shape>
        </w:pict>
      </w:r>
      <w:r>
        <w:rPr>
          <w:w w:val="95"/>
        </w:rPr>
        <w:t>【解析】选项</w:t>
      </w:r>
      <w:r>
        <w:rPr>
          <w:spacing w:val="101"/>
        </w:rPr>
        <w:t xml:space="preserve"> </w:t>
      </w:r>
      <w:r>
        <w:rPr>
          <w:w w:val="95"/>
        </w:rPr>
        <w:t>A 错误，全过程工程咨询覆盖项目投资决策、建设实施（设计、招标、施工）全过程集成化服务，</w:t>
      </w:r>
      <w:r>
        <w:rPr>
          <w:spacing w:val="1"/>
          <w:w w:val="95"/>
        </w:rPr>
        <w:t xml:space="preserve"> </w:t>
      </w:r>
      <w:r>
        <w:rPr>
          <w:w w:val="95"/>
        </w:rPr>
        <w:t>有时还会包括运营维护阶段咨询服务。选项</w:t>
      </w:r>
      <w:r>
        <w:rPr>
          <w:spacing w:val="156"/>
        </w:rPr>
        <w:t xml:space="preserve"> </w:t>
      </w:r>
      <w:r>
        <w:rPr>
          <w:w w:val="95"/>
        </w:rPr>
        <w:t>B</w:t>
      </w:r>
      <w:r>
        <w:rPr>
          <w:spacing w:val="160"/>
        </w:rPr>
        <w:t xml:space="preserve"> </w:t>
      </w:r>
      <w:r>
        <w:rPr>
          <w:w w:val="95"/>
        </w:rPr>
        <w:t>错误，全过程工程咨询包含技术咨询和管理咨询，而不只是侧重于</w:t>
      </w:r>
      <w:r>
        <w:rPr>
          <w:spacing w:val="-5"/>
          <w:w w:val="95"/>
        </w:rPr>
        <w:t xml:space="preserve">管理咨询。选项 </w:t>
      </w:r>
      <w:r>
        <w:rPr>
          <w:w w:val="95"/>
        </w:rPr>
        <w:t>C</w:t>
      </w:r>
      <w:r>
        <w:rPr>
          <w:spacing w:val="-7"/>
          <w:w w:val="95"/>
        </w:rPr>
        <w:t xml:space="preserve"> 错误，全过程工程咨询是一种工程建设组织模式，不是一种制度。</w:t>
      </w:r>
    </w:p>
    <w:p>
      <w:pPr>
        <w:pStyle w:val="BodyText"/>
        <w:spacing w:before="164" w:line="336" w:lineRule="auto"/>
        <w:ind w:right="6679"/>
      </w:pPr>
      <w:r>
        <w:rPr>
          <w:w w:val="95"/>
        </w:rPr>
        <w:t>（一）全过程工程咨询的本质和实施策略</w:t>
      </w:r>
      <w:r>
        <w:t>1.全过程工程咨询的本质</w:t>
      </w:r>
    </w:p>
    <w:p>
      <w:pPr>
        <w:spacing w:after="0" w:line="336" w:lineRule="auto"/>
        <w:sectPr>
          <w:headerReference w:type="default" r:id="rId16"/>
          <w:pgSz w:w="11910" w:h="16840"/>
          <w:pgMar w:top="1180" w:right="540" w:bottom="280" w:left="680" w:header="993" w:footer="0" w:gutter="0"/>
          <w:pgNumType w:start="12"/>
          <w:cols w:space="708"/>
        </w:sectPr>
      </w:pPr>
    </w:p>
    <w:tbl>
      <w:tblPr>
        <w:tblStyle w:val="TableNormal"/>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1800"/>
        <w:gridCol w:w="6722"/>
        <w:gridCol w:w="1678"/>
      </w:tblGrid>
      <w:tr>
        <w:tblPrEx>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746"/>
        </w:trPr>
        <w:tc>
          <w:tcPr>
            <w:tcW w:w="1800" w:type="dxa"/>
            <w:tcBorders>
              <w:left w:val="single" w:sz="4" w:space="0" w:color="000000"/>
              <w:bottom w:val="single" w:sz="4" w:space="0" w:color="000000"/>
              <w:right w:val="single" w:sz="4" w:space="0" w:color="000000"/>
            </w:tcBorders>
          </w:tcPr>
          <w:p>
            <w:pPr>
              <w:pStyle w:val="TableParagraph"/>
              <w:spacing w:before="50"/>
              <w:ind w:left="107"/>
              <w:rPr>
                <w:sz w:val="21"/>
              </w:rPr>
            </w:pPr>
            <w:r>
              <w:rPr>
                <w:sz w:val="21"/>
              </w:rPr>
              <w:t>与项目管理服务</w:t>
            </w:r>
          </w:p>
        </w:tc>
        <w:tc>
          <w:tcPr>
            <w:tcW w:w="6722" w:type="dxa"/>
            <w:tcBorders>
              <w:left w:val="single" w:sz="4" w:space="0" w:color="000000"/>
              <w:bottom w:val="single" w:sz="4" w:space="0" w:color="000000"/>
              <w:right w:val="single" w:sz="4" w:space="0" w:color="000000"/>
            </w:tcBorders>
          </w:tcPr>
          <w:p>
            <w:pPr>
              <w:pStyle w:val="TableParagraph"/>
              <w:spacing w:before="50"/>
              <w:ind w:left="107"/>
              <w:rPr>
                <w:sz w:val="21"/>
              </w:rPr>
            </w:pPr>
            <w:r>
              <w:rPr>
                <w:sz w:val="21"/>
              </w:rPr>
              <w:t>务主要侧重于管理咨询。绝不能用“项目管理服务”或“工程代建”替</w:t>
            </w:r>
          </w:p>
          <w:p>
            <w:pPr>
              <w:pStyle w:val="TableParagraph"/>
              <w:spacing w:before="106"/>
              <w:ind w:left="107"/>
              <w:rPr>
                <w:sz w:val="21"/>
              </w:rPr>
            </w:pPr>
            <w:r>
              <w:rPr>
                <w:spacing w:val="-10"/>
                <w:sz w:val="21"/>
              </w:rPr>
              <w:t>代“全过程工程咨询”。</w:t>
            </w:r>
          </w:p>
        </w:tc>
        <w:tc>
          <w:tcPr>
            <w:tcW w:w="1678" w:type="dxa"/>
            <w:vMerge w:val="restart"/>
            <w:tcBorders>
              <w:top w:val="single" w:sz="6" w:space="0" w:color="000000"/>
              <w:left w:val="single" w:sz="4" w:space="0" w:color="000000"/>
              <w:bottom w:val="nil"/>
              <w:right w:val="nil"/>
            </w:tcBorders>
          </w:tcPr>
          <w:p>
            <w:pPr>
              <w:pStyle w:val="TableParagraph"/>
              <w:rPr>
                <w:rFonts w:ascii="Times New Roman"/>
                <w:sz w:val="20"/>
              </w:rPr>
            </w:pPr>
          </w:p>
        </w:tc>
      </w:tr>
      <w:tr>
        <w:tblPrEx>
          <w:tblW w:w="0" w:type="auto"/>
          <w:tblInd w:w="124" w:type="dxa"/>
          <w:tblLayout w:type="fixed"/>
          <w:tblCellMar>
            <w:top w:w="0" w:type="dxa"/>
            <w:left w:w="0" w:type="dxa"/>
            <w:bottom w:w="0" w:type="dxa"/>
            <w:right w:w="0" w:type="dxa"/>
          </w:tblCellMar>
        </w:tblPrEx>
        <w:trPr>
          <w:trHeight w:val="1123"/>
        </w:trPr>
        <w:tc>
          <w:tcPr>
            <w:tcW w:w="1800" w:type="dxa"/>
            <w:tcBorders>
              <w:top w:val="single" w:sz="4" w:space="0" w:color="000000"/>
              <w:left w:val="single" w:sz="4" w:space="0" w:color="000000"/>
              <w:bottom w:val="single" w:sz="4" w:space="0" w:color="000000"/>
              <w:right w:val="single" w:sz="4" w:space="0" w:color="000000"/>
            </w:tcBorders>
          </w:tcPr>
          <w:p>
            <w:pPr>
              <w:pStyle w:val="TableParagraph"/>
              <w:spacing w:before="8"/>
              <w:rPr>
                <w:sz w:val="18"/>
              </w:rPr>
            </w:pPr>
          </w:p>
          <w:p>
            <w:pPr>
              <w:pStyle w:val="TableParagraph"/>
              <w:spacing w:line="331" w:lineRule="auto"/>
              <w:ind w:left="107" w:right="98"/>
              <w:rPr>
                <w:sz w:val="21"/>
              </w:rPr>
            </w:pPr>
            <w:r>
              <w:rPr>
                <w:spacing w:val="15"/>
                <w:sz w:val="21"/>
              </w:rPr>
              <w:t>全过程工程咨询</w:t>
            </w:r>
            <w:r>
              <w:rPr>
                <w:sz w:val="21"/>
              </w:rPr>
              <w:t>与全寿命周期</w:t>
            </w:r>
          </w:p>
        </w:tc>
        <w:tc>
          <w:tcPr>
            <w:tcW w:w="6722" w:type="dxa"/>
            <w:tcBorders>
              <w:top w:val="single" w:sz="4" w:space="0" w:color="000000"/>
              <w:left w:val="single" w:sz="4" w:space="0" w:color="000000"/>
              <w:bottom w:val="single" w:sz="4" w:space="0" w:color="000000"/>
              <w:right w:val="single" w:sz="4" w:space="0" w:color="000000"/>
            </w:tcBorders>
          </w:tcPr>
          <w:p>
            <w:pPr>
              <w:pStyle w:val="TableParagraph"/>
              <w:spacing w:before="52" w:line="331" w:lineRule="auto"/>
              <w:ind w:left="107" w:right="97"/>
              <w:rPr>
                <w:sz w:val="21"/>
              </w:rPr>
            </w:pPr>
            <w:r>
              <w:rPr>
                <w:w w:val="95"/>
                <w:sz w:val="21"/>
              </w:rPr>
              <w:t>全过程工程咨询业务可以覆盖项目投资决策、建设实施全过程，可以是</w:t>
            </w:r>
            <w:r>
              <w:rPr>
                <w:spacing w:val="25"/>
                <w:w w:val="95"/>
                <w:sz w:val="21"/>
              </w:rPr>
              <w:t xml:space="preserve"> </w:t>
            </w:r>
            <w:r>
              <w:rPr>
                <w:w w:val="95"/>
                <w:sz w:val="21"/>
              </w:rPr>
              <w:t>从头到尾进行咨询，也可以是其中若干阶段。而且，项目运营维护期咨</w:t>
            </w:r>
          </w:p>
          <w:p>
            <w:pPr>
              <w:pStyle w:val="TableParagraph"/>
              <w:spacing w:before="3"/>
              <w:ind w:left="107"/>
              <w:rPr>
                <w:sz w:val="21"/>
              </w:rPr>
            </w:pPr>
            <w:r>
              <w:rPr>
                <w:spacing w:val="-7"/>
                <w:sz w:val="21"/>
              </w:rPr>
              <w:t>询可看作是全过程工程咨询的“外延”。</w:t>
            </w:r>
          </w:p>
        </w:tc>
        <w:tc>
          <w:tcPr>
            <w:tcW w:w="1678" w:type="dxa"/>
            <w:vMerge/>
            <w:tcBorders>
              <w:top w:val="nil"/>
              <w:left w:val="single" w:sz="4" w:space="0" w:color="000000"/>
              <w:bottom w:val="nil"/>
              <w:right w:val="nil"/>
            </w:tcBorders>
          </w:tcPr>
          <w:p>
            <w:pPr>
              <w:rPr>
                <w:sz w:val="2"/>
                <w:szCs w:val="2"/>
              </w:rPr>
            </w:pPr>
          </w:p>
        </w:tc>
      </w:tr>
    </w:tbl>
    <w:p>
      <w:pPr>
        <w:pStyle w:val="ListParagraph"/>
        <w:numPr>
          <w:ilvl w:val="0"/>
          <w:numId w:val="18"/>
        </w:numPr>
        <w:tabs>
          <w:tab w:val="left" w:pos="439"/>
        </w:tabs>
        <w:spacing w:before="50" w:after="0" w:line="240" w:lineRule="auto"/>
        <w:ind w:left="438" w:right="0" w:hanging="212"/>
        <w:jc w:val="left"/>
        <w:rPr>
          <w:sz w:val="21"/>
        </w:rPr>
      </w:pPr>
      <w:r>
        <w:rPr>
          <w:sz w:val="21"/>
        </w:rPr>
        <w:t>全过程工程咨询实施策略</w:t>
      </w:r>
    </w:p>
    <w:p>
      <w:pPr>
        <w:pStyle w:val="BodyText"/>
        <w:spacing w:before="106" w:line="333" w:lineRule="auto"/>
        <w:ind w:right="367"/>
      </w:pPr>
      <w:r>
        <w:rPr>
          <w:w w:val="95"/>
        </w:rPr>
        <w:t>全过程工程咨询的核心是通过采用一系列工程技术、经济、管理方法和多阶段集成化服务，为委托方提供增值</w:t>
      </w:r>
      <w:r>
        <w:rPr>
          <w:spacing w:val="206"/>
        </w:rPr>
        <w:t xml:space="preserve"> </w:t>
      </w:r>
      <w:r>
        <w:t>服务。工程监理企业要想发展为全过程工程咨询企业，需要在以下几方面作出努力：</w:t>
      </w:r>
    </w:p>
    <w:p>
      <w:pPr>
        <w:pStyle w:val="ListParagraph"/>
        <w:numPr>
          <w:ilvl w:val="0"/>
          <w:numId w:val="21"/>
        </w:numPr>
        <w:tabs>
          <w:tab w:val="left" w:pos="752"/>
        </w:tabs>
        <w:spacing w:before="0" w:after="0" w:line="240" w:lineRule="auto"/>
        <w:ind w:left="751" w:right="0" w:hanging="525"/>
        <w:jc w:val="left"/>
        <w:rPr>
          <w:sz w:val="21"/>
        </w:rPr>
      </w:pPr>
      <w:r>
        <w:rPr>
          <w:w w:val="95"/>
          <w:sz w:val="21"/>
        </w:rPr>
        <w:t>加大人才培养引进力度；</w:t>
      </w:r>
    </w:p>
    <w:p>
      <w:pPr>
        <w:pStyle w:val="ListParagraph"/>
        <w:numPr>
          <w:ilvl w:val="0"/>
          <w:numId w:val="21"/>
        </w:numPr>
        <w:tabs>
          <w:tab w:val="left" w:pos="752"/>
        </w:tabs>
        <w:spacing w:before="106" w:after="0" w:line="240" w:lineRule="auto"/>
        <w:ind w:left="751" w:right="0" w:hanging="525"/>
        <w:jc w:val="left"/>
        <w:rPr>
          <w:sz w:val="21"/>
        </w:rPr>
      </w:pPr>
      <w:r>
        <w:rPr>
          <w:w w:val="95"/>
          <w:sz w:val="21"/>
        </w:rPr>
        <w:t>优化调整企业组织结构；</w:t>
      </w:r>
    </w:p>
    <w:p>
      <w:pPr>
        <w:pStyle w:val="ListParagraph"/>
        <w:numPr>
          <w:ilvl w:val="0"/>
          <w:numId w:val="21"/>
        </w:numPr>
        <w:tabs>
          <w:tab w:val="left" w:pos="752"/>
        </w:tabs>
        <w:spacing w:before="105" w:after="0" w:line="240" w:lineRule="auto"/>
        <w:ind w:left="751" w:right="0" w:hanging="525"/>
        <w:jc w:val="left"/>
        <w:rPr>
          <w:sz w:val="21"/>
        </w:rPr>
      </w:pPr>
      <w:r>
        <w:rPr>
          <w:w w:val="95"/>
          <w:sz w:val="21"/>
        </w:rPr>
        <w:t>创新工程咨询服务模式；</w:t>
      </w:r>
    </w:p>
    <w:p>
      <w:pPr>
        <w:pStyle w:val="ListParagraph"/>
        <w:numPr>
          <w:ilvl w:val="0"/>
          <w:numId w:val="21"/>
        </w:numPr>
        <w:tabs>
          <w:tab w:val="left" w:pos="752"/>
        </w:tabs>
        <w:spacing w:before="105" w:after="0" w:line="240" w:lineRule="auto"/>
        <w:ind w:left="751" w:right="0" w:hanging="525"/>
        <w:jc w:val="left"/>
        <w:rPr>
          <w:sz w:val="21"/>
        </w:rPr>
      </w:pPr>
      <w:r>
        <w:rPr>
          <w:w w:val="95"/>
          <w:sz w:val="21"/>
        </w:rPr>
        <w:t>加强现代信息技术应用；</w:t>
      </w:r>
    </w:p>
    <w:p>
      <w:pPr>
        <w:pStyle w:val="ListParagraph"/>
        <w:numPr>
          <w:ilvl w:val="0"/>
          <w:numId w:val="21"/>
        </w:numPr>
        <w:tabs>
          <w:tab w:val="left" w:pos="752"/>
        </w:tabs>
        <w:spacing w:before="106" w:after="0" w:line="240" w:lineRule="auto"/>
        <w:ind w:left="751" w:right="0" w:hanging="525"/>
        <w:jc w:val="left"/>
        <w:rPr>
          <w:sz w:val="21"/>
        </w:rPr>
      </w:pPr>
      <w:r>
        <w:rPr>
          <w:w w:val="95"/>
          <w:sz w:val="21"/>
        </w:rPr>
        <w:t>重视知识管理平台建设。</w:t>
      </w:r>
    </w:p>
    <w:p>
      <w:pPr>
        <w:pStyle w:val="BodyText"/>
        <w:spacing w:before="105"/>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【记忆方法】理解记忆</w:t>
      </w:r>
    </w:p>
    <w:p>
      <w:pPr>
        <w:pStyle w:val="BodyText"/>
        <w:spacing w:before="7"/>
        <w:ind w:left="0"/>
        <w:rPr>
          <w:sz w:val="7"/>
        </w:rPr>
      </w:pPr>
      <w:r>
        <w:pict>
          <v:shape id="docshape29" o:spid="_x0000_s1051" type="#_x0000_t202" style="width:82.8pt;height:20pt;margin-top:8.25pt;margin-left:48.3pt;mso-height-relative:page;mso-position-horizontal-relative:page;mso-width-relative:page;mso-wrap-distance-bottom:0;mso-wrap-distance-top:0;position:absolute;z-index:-251628544" coordsize="21600,21600" filled="f" stroked="t" strokecolor="black">
            <v:textbox inset="0,0,0,0">
              <w:txbxContent>
                <w:p>
                  <w:pPr>
                    <w:spacing w:before="2"/>
                    <w:ind w:left="1" w:right="0" w:firstLine="0"/>
                    <w:jc w:val="left"/>
                    <w:rPr>
                      <w:b/>
                      <w:sz w:val="24"/>
                    </w:rPr>
                  </w:pPr>
                  <w:r>
                    <w:rPr>
                      <w:b/>
                      <w:sz w:val="24"/>
                    </w:rPr>
                    <w:t>精选习题·13</w:t>
                  </w:r>
                </w:p>
              </w:txbxContent>
            </v:textbox>
            <w10:wrap type="topAndBottom"/>
          </v:shape>
        </w:pict>
      </w:r>
    </w:p>
    <w:p>
      <w:pPr>
        <w:pStyle w:val="BodyText"/>
        <w:spacing w:before="4"/>
        <w:ind w:left="0"/>
        <w:rPr>
          <w:sz w:val="7"/>
        </w:rPr>
      </w:pPr>
    </w:p>
    <w:p>
      <w:pPr>
        <w:pStyle w:val="BodyText"/>
        <w:spacing w:before="70" w:line="333" w:lineRule="auto"/>
        <w:ind w:left="647" w:right="3002" w:hanging="420"/>
        <w:jc w:val="both"/>
      </w:pPr>
      <w:r>
        <w:t>【2020】工程监理企业发展为全过程工程咨询企业，需要作出的努力有（</w:t>
      </w:r>
      <w:r>
        <w:rPr>
          <w:spacing w:val="194"/>
        </w:rPr>
        <w:t xml:space="preserve"> </w:t>
      </w:r>
      <w:r>
        <w:rPr>
          <w:spacing w:val="-104"/>
        </w:rPr>
        <w:t>）</w:t>
      </w:r>
      <w:r>
        <w:t>。A.加强市场的宣传力度</w:t>
      </w:r>
    </w:p>
    <w:p>
      <w:pPr>
        <w:pStyle w:val="BodyText"/>
        <w:spacing w:before="1" w:line="333" w:lineRule="auto"/>
        <w:ind w:left="647" w:right="7730"/>
        <w:jc w:val="both"/>
      </w:pPr>
      <w:r>
        <w:rPr>
          <w:spacing w:val="-1"/>
        </w:rPr>
        <w:t>B.优化调整企业组织结构C.加大人才培养引进力度D.创新工程咨询服务模式E.重视知识管理平台建设</w:t>
      </w:r>
    </w:p>
    <w:p>
      <w:pPr>
        <w:pStyle w:val="BodyText"/>
        <w:spacing w:before="2"/>
      </w:pPr>
      <w:r>
        <w:t>【答案】BCDE</w:t>
      </w:r>
    </w:p>
    <w:p>
      <w:pPr>
        <w:pStyle w:val="BodyText"/>
        <w:spacing w:before="105" w:line="333" w:lineRule="auto"/>
        <w:ind w:right="364"/>
        <w:jc w:val="both"/>
      </w:pPr>
      <w:r>
        <w:pict>
          <v:shape id="docshape30" o:spid="_x0000_s1052" type="#_x0000_t202" style="width:82.8pt;height:19.95pt;margin-top:64.45pt;margin-left:48.3pt;mso-height-relative:page;mso-position-horizontal-relative:page;mso-width-relative:page;mso-wrap-distance-bottom:0;mso-wrap-distance-top:0;position:absolute;z-index:-251627520" coordsize="21600,21600" filled="f" stroked="t" strokecolor="black">
            <v:textbox inset="0,0,0,0">
              <w:txbxContent>
                <w:p>
                  <w:pPr>
                    <w:spacing w:before="1"/>
                    <w:ind w:left="1" w:right="0" w:firstLine="0"/>
                    <w:jc w:val="left"/>
                    <w:rPr>
                      <w:b/>
                      <w:sz w:val="24"/>
                    </w:rPr>
                  </w:pPr>
                  <w:r>
                    <w:rPr>
                      <w:b/>
                      <w:sz w:val="24"/>
                    </w:rPr>
                    <w:t>重要考点·14</w:t>
                  </w:r>
                </w:p>
              </w:txbxContent>
            </v:textbox>
            <w10:wrap type="topAndBottom"/>
          </v:shape>
        </w:pict>
      </w:r>
      <w:r>
        <w:rPr>
          <w:spacing w:val="-4"/>
          <w:w w:val="99"/>
        </w:rPr>
        <w:t>【解析】工程监理企业要想发展为全过程工程咨询企业，需要在以下几方面作出努力：</w:t>
      </w:r>
      <w:r>
        <w:rPr>
          <w:spacing w:val="-1"/>
          <w:w w:val="99"/>
        </w:rPr>
        <w:t>（</w:t>
      </w:r>
      <w:r>
        <w:rPr>
          <w:spacing w:val="3"/>
          <w:w w:val="99"/>
        </w:rPr>
        <w:t>1</w:t>
      </w:r>
      <w:r>
        <w:rPr>
          <w:spacing w:val="2"/>
          <w:w w:val="99"/>
        </w:rPr>
        <w:t>）</w:t>
      </w:r>
      <w:r>
        <w:rPr>
          <w:spacing w:val="-1"/>
          <w:w w:val="99"/>
        </w:rPr>
        <w:t>加大人才培养引进</w:t>
      </w:r>
      <w:r>
        <w:rPr>
          <w:spacing w:val="-35"/>
          <w:w w:val="95"/>
        </w:rPr>
        <w:t>力度。</w:t>
      </w:r>
      <w:r>
        <w:rPr>
          <w:w w:val="95"/>
        </w:rPr>
        <w:t>（2）</w:t>
      </w:r>
      <w:r>
        <w:rPr>
          <w:spacing w:val="-10"/>
          <w:w w:val="95"/>
        </w:rPr>
        <w:t>优化调整企业组织结构。</w:t>
      </w:r>
      <w:r>
        <w:rPr>
          <w:w w:val="95"/>
        </w:rPr>
        <w:t>（3）</w:t>
      </w:r>
      <w:r>
        <w:rPr>
          <w:spacing w:val="-10"/>
          <w:w w:val="95"/>
        </w:rPr>
        <w:t>创新工程咨询服务模式。</w:t>
      </w:r>
      <w:r>
        <w:rPr>
          <w:w w:val="95"/>
        </w:rPr>
        <w:t>（4）</w:t>
      </w:r>
      <w:r>
        <w:rPr>
          <w:spacing w:val="-10"/>
          <w:w w:val="95"/>
        </w:rPr>
        <w:t>加强现代信息技术应用。</w:t>
      </w:r>
      <w:r>
        <w:rPr>
          <w:w w:val="95"/>
        </w:rPr>
        <w:t>（5）重视知识</w:t>
      </w:r>
      <w:r>
        <w:rPr>
          <w:spacing w:val="228"/>
        </w:rPr>
        <w:t xml:space="preserve"> </w:t>
      </w:r>
      <w:r>
        <w:t>管理平台建设。</w:t>
      </w:r>
    </w:p>
    <w:p>
      <w:pPr>
        <w:pStyle w:val="BodyText"/>
        <w:spacing w:before="4"/>
        <w:ind w:left="0"/>
        <w:rPr>
          <w:sz w:val="7"/>
        </w:rPr>
      </w:pPr>
    </w:p>
    <w:p>
      <w:pPr>
        <w:pStyle w:val="BodyText"/>
        <w:spacing w:before="70"/>
      </w:pPr>
      <w:r>
        <w:rPr>
          <w:w w:val="95"/>
        </w:rPr>
        <w:t>一、工程总承包</w:t>
      </w:r>
    </w:p>
    <w:p>
      <w:pPr>
        <w:pStyle w:val="BodyText"/>
        <w:spacing w:before="106"/>
      </w:pPr>
      <w:r>
        <w:t>（一）工程总承包的含义及特点</w:t>
      </w:r>
    </w:p>
    <w:p>
      <w:pPr>
        <w:pStyle w:val="BodyText"/>
        <w:spacing w:before="105" w:line="333" w:lineRule="auto"/>
        <w:ind w:right="368"/>
      </w:pPr>
      <w:r>
        <w:rPr>
          <w:w w:val="95"/>
        </w:rPr>
        <w:t>在我国，工程总承包是指承包单位按照与建设单位签订的合同，对工程设计、采购、施工（EPC）或者设计、施</w:t>
      </w:r>
      <w:r>
        <w:rPr>
          <w:spacing w:val="105"/>
        </w:rPr>
        <w:t xml:space="preserve"> </w:t>
      </w:r>
      <w:r>
        <w:t>工（DB）等阶段实行总承包，并对工程的质量、安全、工期和造价等全面负责的工程建设组织实施方式。</w:t>
      </w:r>
    </w:p>
    <w:p>
      <w:pPr>
        <w:pStyle w:val="ListParagraph"/>
        <w:numPr>
          <w:ilvl w:val="0"/>
          <w:numId w:val="22"/>
        </w:numPr>
        <w:tabs>
          <w:tab w:val="left" w:pos="439"/>
        </w:tabs>
        <w:spacing w:before="1" w:after="0" w:line="240" w:lineRule="auto"/>
        <w:ind w:left="438" w:right="0" w:hanging="212"/>
        <w:jc w:val="left"/>
        <w:rPr>
          <w:sz w:val="21"/>
        </w:rPr>
      </w:pPr>
      <w:r>
        <w:rPr>
          <w:sz w:val="21"/>
        </w:rPr>
        <w:t>工程总承包模式</w:t>
      </w:r>
    </w:p>
    <w:p>
      <w:pPr>
        <w:pStyle w:val="BodyText"/>
        <w:spacing w:before="105" w:line="333" w:lineRule="auto"/>
        <w:ind w:right="367"/>
        <w:jc w:val="both"/>
      </w:pPr>
      <w:r>
        <w:rPr>
          <w:w w:val="95"/>
        </w:rPr>
        <w:t>工程总承包任务可由同时具有相应工程设计资质和施工资质的一家承包单位承担，也可由具有相应资质的设计</w:t>
      </w:r>
      <w:r>
        <w:rPr>
          <w:spacing w:val="216"/>
        </w:rPr>
        <w:t xml:space="preserve"> </w:t>
      </w:r>
      <w:r>
        <w:rPr>
          <w:w w:val="95"/>
        </w:rPr>
        <w:t>单位和施工单位组成联合体承担。设计单位和施工单位组成联合体的，应根据承包项目特点和复杂程度，合理</w:t>
      </w:r>
      <w:r>
        <w:rPr>
          <w:spacing w:val="216"/>
        </w:rPr>
        <w:t xml:space="preserve"> </w:t>
      </w:r>
      <w:r>
        <w:rPr>
          <w:w w:val="95"/>
        </w:rPr>
        <w:t>确定联合体牵头单位，并在联合体协议中明确联合体成员单位的责任和权利。联合体各方应共同与建设单位签</w:t>
      </w:r>
      <w:r>
        <w:rPr>
          <w:spacing w:val="206"/>
        </w:rPr>
        <w:t xml:space="preserve"> </w:t>
      </w:r>
      <w:r>
        <w:t>订工程总承包合同，并就工程总承包项目承担连带责任。</w:t>
      </w:r>
    </w:p>
    <w:p>
      <w:pPr>
        <w:pStyle w:val="BodyText"/>
        <w:spacing w:before="2"/>
      </w:pPr>
      <w:r>
        <w:rPr>
          <w:w w:val="95"/>
        </w:rPr>
        <w:t>采用联合体方式承包工程，可集中联合体各方在资金、技术和管理等方面的优势，克服单一公司力不能及的困</w:t>
      </w:r>
    </w:p>
    <w:p>
      <w:pPr>
        <w:spacing w:after="0"/>
        <w:sectPr>
          <w:headerReference w:type="default" r:id="rId17"/>
          <w:pgSz w:w="11910" w:h="16840"/>
          <w:pgMar w:top="1160" w:right="540" w:bottom="280" w:left="680" w:header="0" w:footer="0" w:gutter="0"/>
          <w:pgNumType w:start="13"/>
          <w:cols w:space="708"/>
        </w:sectPr>
      </w:pPr>
    </w:p>
    <w:p>
      <w:pPr>
        <w:pStyle w:val="BodyText"/>
        <w:spacing w:before="54" w:line="333" w:lineRule="auto"/>
        <w:ind w:right="367"/>
        <w:jc w:val="both"/>
      </w:pPr>
      <w:r>
        <w:rPr>
          <w:w w:val="95"/>
        </w:rPr>
        <w:t>难，不仅有利于增强竞争能力，而且有利于增强抗风险能力。工程总承包单位应具有相应的项目管理体系和项</w:t>
      </w:r>
      <w:r>
        <w:rPr>
          <w:spacing w:val="216"/>
        </w:rPr>
        <w:t xml:space="preserve"> </w:t>
      </w:r>
      <w:r>
        <w:rPr>
          <w:w w:val="95"/>
        </w:rPr>
        <w:t>目管理能力、财务和风险承担能力，以及与发包工程相类似的设计、施工或者工程总承包业绩。设计单位和施</w:t>
      </w:r>
      <w:r>
        <w:rPr>
          <w:spacing w:val="206"/>
        </w:rPr>
        <w:t xml:space="preserve"> </w:t>
      </w:r>
      <w:r>
        <w:t>工单位组成联合体承包工程的，要避免“联”而不合、设计施工缺乏融合等问题。</w:t>
      </w:r>
    </w:p>
    <w:p>
      <w:pPr>
        <w:pStyle w:val="ListParagraph"/>
        <w:numPr>
          <w:ilvl w:val="0"/>
          <w:numId w:val="22"/>
        </w:numPr>
        <w:tabs>
          <w:tab w:val="left" w:pos="439"/>
        </w:tabs>
        <w:spacing w:before="1" w:after="0" w:line="240" w:lineRule="auto"/>
        <w:ind w:left="438" w:right="0" w:hanging="212"/>
        <w:jc w:val="left"/>
        <w:rPr>
          <w:sz w:val="21"/>
        </w:rPr>
      </w:pPr>
      <w:r>
        <w:rPr>
          <w:sz w:val="21"/>
        </w:rPr>
        <w:t>工程总承包特点</w:t>
      </w:r>
    </w:p>
    <w:p>
      <w:pPr>
        <w:pStyle w:val="BodyText"/>
        <w:spacing w:before="103"/>
      </w:pPr>
      <w:r>
        <w:t>工程总承包模式具有以下特点：</w:t>
      </w:r>
    </w:p>
    <w:p>
      <w:pPr>
        <w:pStyle w:val="ListParagraph"/>
        <w:numPr>
          <w:ilvl w:val="0"/>
          <w:numId w:val="23"/>
        </w:numPr>
        <w:tabs>
          <w:tab w:val="left" w:pos="752"/>
        </w:tabs>
        <w:spacing w:before="108" w:after="0" w:line="240" w:lineRule="auto"/>
        <w:ind w:left="751" w:right="0" w:hanging="525"/>
        <w:jc w:val="left"/>
        <w:rPr>
          <w:sz w:val="21"/>
        </w:rPr>
      </w:pPr>
      <w:r>
        <w:rPr>
          <w:spacing w:val="-9"/>
          <w:w w:val="95"/>
          <w:sz w:val="21"/>
        </w:rPr>
        <w:t>有利于缩短建设工期。有些施工和采购准备工作可与设计工作同时进行或搭接进行，从而可缩短建设工期。</w:t>
      </w:r>
    </w:p>
    <w:p>
      <w:pPr>
        <w:pStyle w:val="ListParagraph"/>
        <w:numPr>
          <w:ilvl w:val="0"/>
          <w:numId w:val="23"/>
        </w:numPr>
        <w:tabs>
          <w:tab w:val="left" w:pos="752"/>
        </w:tabs>
        <w:spacing w:before="103" w:after="0" w:line="333" w:lineRule="auto"/>
        <w:ind w:left="227" w:right="273" w:firstLine="0"/>
        <w:jc w:val="left"/>
        <w:rPr>
          <w:sz w:val="21"/>
        </w:rPr>
      </w:pPr>
      <w:r>
        <w:rPr>
          <w:w w:val="95"/>
          <w:sz w:val="21"/>
        </w:rPr>
        <w:t>便于较早确定工程造价。建设单位与总承包单位之间通常签订总价合同。总承包单位负责工程总体控制，</w:t>
      </w:r>
      <w:r>
        <w:rPr>
          <w:spacing w:val="175"/>
          <w:sz w:val="21"/>
        </w:rPr>
        <w:t xml:space="preserve"> </w:t>
      </w:r>
      <w:r>
        <w:rPr>
          <w:sz w:val="21"/>
        </w:rPr>
        <w:t>有利于减少工程设计变更，有利于将工程造价控制在预算范围内，可减小建设单位工程造价失控风险。</w:t>
      </w:r>
    </w:p>
    <w:p>
      <w:pPr>
        <w:pStyle w:val="ListParagraph"/>
        <w:numPr>
          <w:ilvl w:val="0"/>
          <w:numId w:val="23"/>
        </w:numPr>
        <w:tabs>
          <w:tab w:val="left" w:pos="752"/>
        </w:tabs>
        <w:spacing w:before="3" w:after="0" w:line="331" w:lineRule="auto"/>
        <w:ind w:left="227" w:right="367" w:firstLine="0"/>
        <w:jc w:val="left"/>
        <w:rPr>
          <w:sz w:val="21"/>
        </w:rPr>
      </w:pPr>
      <w:r>
        <w:rPr>
          <w:w w:val="95"/>
          <w:sz w:val="21"/>
        </w:rPr>
        <w:t>有利于控制工程质量。在承包单位内部增加工程质量监控环节，工程质量既有分包单位的自控，又有总承</w:t>
      </w:r>
      <w:r>
        <w:rPr>
          <w:spacing w:val="86"/>
          <w:w w:val="95"/>
          <w:sz w:val="21"/>
        </w:rPr>
        <w:t xml:space="preserve"> </w:t>
      </w:r>
      <w:r>
        <w:rPr>
          <w:sz w:val="21"/>
        </w:rPr>
        <w:t>包单位的监督管理。</w:t>
      </w:r>
    </w:p>
    <w:p>
      <w:pPr>
        <w:pStyle w:val="ListParagraph"/>
        <w:numPr>
          <w:ilvl w:val="0"/>
          <w:numId w:val="23"/>
        </w:numPr>
        <w:tabs>
          <w:tab w:val="left" w:pos="752"/>
        </w:tabs>
        <w:spacing w:before="4" w:after="0" w:line="333" w:lineRule="auto"/>
        <w:ind w:left="227" w:right="367" w:firstLine="0"/>
        <w:jc w:val="left"/>
        <w:rPr>
          <w:sz w:val="21"/>
        </w:rPr>
      </w:pPr>
      <w:r>
        <w:rPr>
          <w:w w:val="95"/>
          <w:sz w:val="21"/>
        </w:rPr>
        <w:t>工程项目责任主体单一。由总承包单位负责工程设计和施工，可减少工程实施中的争议和索赔发生。工程</w:t>
      </w:r>
      <w:r>
        <w:rPr>
          <w:spacing w:val="86"/>
          <w:w w:val="95"/>
          <w:sz w:val="21"/>
        </w:rPr>
        <w:t xml:space="preserve"> </w:t>
      </w:r>
      <w:r>
        <w:rPr>
          <w:sz w:val="21"/>
        </w:rPr>
        <w:t>设计与施工责任主体合一，能够激励总承包单位更加注重提高工程项目整体质量和效益。</w:t>
      </w:r>
    </w:p>
    <w:p>
      <w:pPr>
        <w:pStyle w:val="ListParagraph"/>
        <w:numPr>
          <w:ilvl w:val="0"/>
          <w:numId w:val="23"/>
        </w:numPr>
        <w:tabs>
          <w:tab w:val="left" w:pos="752"/>
        </w:tabs>
        <w:spacing w:before="1" w:after="0" w:line="336" w:lineRule="auto"/>
        <w:ind w:left="227" w:right="367" w:firstLine="0"/>
        <w:jc w:val="left"/>
        <w:rPr>
          <w:sz w:val="21"/>
        </w:rPr>
      </w:pPr>
      <w:r>
        <w:rPr>
          <w:w w:val="95"/>
          <w:sz w:val="21"/>
        </w:rPr>
        <w:t>可减轻建设单位合同管理负担。采用工程总承包模式，与建设单位直接签订合同的参建方减少，合同结构</w:t>
      </w:r>
      <w:r>
        <w:rPr>
          <w:spacing w:val="86"/>
          <w:w w:val="95"/>
          <w:sz w:val="21"/>
        </w:rPr>
        <w:t xml:space="preserve"> </w:t>
      </w:r>
      <w:r>
        <w:rPr>
          <w:sz w:val="21"/>
        </w:rPr>
        <w:t>简单，可大量减少建设单位协调工作量，合同管理工作量也大大减少。</w:t>
      </w:r>
    </w:p>
    <w:p>
      <w:pPr>
        <w:pStyle w:val="BodyText"/>
        <w:spacing w:line="333" w:lineRule="auto"/>
        <w:ind w:right="367"/>
      </w:pPr>
      <w:r>
        <w:rPr>
          <w:w w:val="95"/>
        </w:rPr>
        <w:t>但由于工程总承包单位的选择范围小，同时因工程总承包的责任重、风险大，为应对工程实施风险，总承包单</w:t>
      </w:r>
      <w:r>
        <w:rPr>
          <w:spacing w:val="206"/>
        </w:rPr>
        <w:t xml:space="preserve"> </w:t>
      </w:r>
      <w:r>
        <w:t>位通常会提高报价，最终导致工程总承包合同价会较高。</w:t>
      </w:r>
    </w:p>
    <w:p>
      <w:pPr>
        <w:pStyle w:val="BodyText"/>
      </w:pPr>
      <w:r>
        <w:t>（二）工程总承包模式适用条件</w:t>
      </w:r>
    </w:p>
    <w:p>
      <w:pPr>
        <w:pStyle w:val="ListParagraph"/>
        <w:numPr>
          <w:ilvl w:val="0"/>
          <w:numId w:val="24"/>
        </w:numPr>
        <w:tabs>
          <w:tab w:val="left" w:pos="752"/>
        </w:tabs>
        <w:spacing w:before="101" w:after="0" w:line="336" w:lineRule="auto"/>
        <w:ind w:left="227" w:right="367" w:firstLine="0"/>
        <w:jc w:val="left"/>
        <w:rPr>
          <w:sz w:val="21"/>
        </w:rPr>
      </w:pPr>
      <w:r>
        <w:rPr>
          <w:w w:val="95"/>
          <w:sz w:val="21"/>
        </w:rPr>
        <w:t>对于建设内容明确、技术方案成熟的工程，建设单位能给予投标人充分的资料和时间，以便使投标人能够</w:t>
      </w:r>
      <w:r>
        <w:rPr>
          <w:spacing w:val="86"/>
          <w:w w:val="95"/>
          <w:sz w:val="21"/>
        </w:rPr>
        <w:t xml:space="preserve"> </w:t>
      </w:r>
      <w:r>
        <w:rPr>
          <w:spacing w:val="-10"/>
          <w:sz w:val="21"/>
        </w:rPr>
        <w:t>仔细研究“业主要求”。进而向招标人提交一份技术先进可靠、价格和工期合理的投标书。</w:t>
      </w:r>
    </w:p>
    <w:p>
      <w:pPr>
        <w:pStyle w:val="ListParagraph"/>
        <w:numPr>
          <w:ilvl w:val="0"/>
          <w:numId w:val="24"/>
        </w:numPr>
        <w:tabs>
          <w:tab w:val="left" w:pos="752"/>
        </w:tabs>
        <w:spacing w:before="0" w:after="0" w:line="333" w:lineRule="auto"/>
        <w:ind w:left="227" w:right="367" w:firstLine="0"/>
        <w:jc w:val="left"/>
        <w:rPr>
          <w:sz w:val="21"/>
        </w:rPr>
      </w:pPr>
      <w:r>
        <w:rPr>
          <w:sz w:val="21"/>
        </w:rPr>
        <w:t>建设单位或其代表有权监督总承包单位工作，但不能过分干预总承包单位工作，也不要审批大多数施工图纸，只要其设计和所完成的工程符合合同约定，就应认为总承包单位已履行合同义务。</w:t>
      </w:r>
    </w:p>
    <w:p>
      <w:pPr>
        <w:pStyle w:val="ListParagraph"/>
        <w:numPr>
          <w:ilvl w:val="0"/>
          <w:numId w:val="24"/>
        </w:numPr>
        <w:tabs>
          <w:tab w:val="left" w:pos="752"/>
        </w:tabs>
        <w:spacing w:before="0" w:after="0" w:line="240" w:lineRule="auto"/>
        <w:ind w:left="751" w:right="0" w:hanging="525"/>
        <w:jc w:val="left"/>
        <w:rPr>
          <w:sz w:val="21"/>
        </w:rPr>
      </w:pPr>
      <w:r>
        <w:rPr>
          <w:spacing w:val="-2"/>
          <w:sz w:val="21"/>
        </w:rPr>
        <w:t>由于采用总价合同，因而工程的期中支付款应由建设单位直接按合同约定支付，可按月支付，也可按阶段</w:t>
      </w:r>
    </w:p>
    <w:p>
      <w:pPr>
        <w:pStyle w:val="BodyText"/>
        <w:spacing w:before="102" w:line="336" w:lineRule="auto"/>
        <w:ind w:right="367"/>
      </w:pPr>
      <w:r>
        <w:rPr>
          <w:w w:val="95"/>
        </w:rPr>
        <w:t>（形象进度或里程碑事件）支付，但不需要先由监理工程师审查工程量和总承包单位结算报告，再签发工程款</w:t>
      </w:r>
      <w:r>
        <w:rPr>
          <w:spacing w:val="206"/>
        </w:rPr>
        <w:t xml:space="preserve"> </w:t>
      </w:r>
      <w:r>
        <w:t>支付证书。</w:t>
      </w:r>
    </w:p>
    <w:p>
      <w:pPr>
        <w:pStyle w:val="BodyText"/>
        <w:spacing w:line="265" w:lineRule="exact"/>
      </w:pPr>
      <w:r>
        <w:rPr>
          <w:spacing w:val="1"/>
          <w:w w:val="95"/>
        </w:rPr>
        <w:t xml:space="preserve">【分值】考试形式为选择题，分值为 </w:t>
      </w:r>
      <w:r>
        <w:rPr>
          <w:w w:val="95"/>
        </w:rPr>
        <w:t>1-2</w:t>
      </w:r>
      <w:r>
        <w:rPr>
          <w:spacing w:val="3"/>
          <w:w w:val="95"/>
        </w:rPr>
        <w:t xml:space="preserve"> 分。</w:t>
      </w:r>
    </w:p>
    <w:p>
      <w:pPr>
        <w:pStyle w:val="BodyText"/>
        <w:spacing w:before="108"/>
      </w:pPr>
      <w:r>
        <w:t>【记忆方法】理解记忆</w:t>
      </w:r>
    </w:p>
    <w:p>
      <w:pPr>
        <w:pStyle w:val="BodyText"/>
        <w:spacing w:before="5"/>
        <w:ind w:left="0"/>
        <w:rPr>
          <w:sz w:val="7"/>
        </w:rPr>
      </w:pPr>
      <w:r>
        <w:pict>
          <v:shape id="docshape32" o:spid="_x0000_s1053" type="#_x0000_t202" style="width:82.8pt;height:19.9pt;margin-top:8.2pt;margin-left:48.3pt;mso-height-relative:page;mso-position-horizontal-relative:page;mso-width-relative:page;mso-wrap-distance-bottom:0;mso-wrap-distance-top:0;position:absolute;z-index:-251626496" coordsize="21600,21600" filled="f" stroked="t" strokecolor="black">
            <v:textbox inset="0,0,0,0">
              <w:txbxContent>
                <w:p>
                  <w:pPr>
                    <w:spacing w:before="3" w:line="306" w:lineRule="exact"/>
                    <w:ind w:left="1" w:right="0" w:firstLine="0"/>
                    <w:jc w:val="left"/>
                    <w:rPr>
                      <w:b/>
                      <w:sz w:val="24"/>
                    </w:rPr>
                  </w:pPr>
                  <w:r>
                    <w:rPr>
                      <w:b/>
                      <w:sz w:val="24"/>
                    </w:rPr>
                    <w:t>精选习题·14</w:t>
                  </w:r>
                </w:p>
              </w:txbxContent>
            </v:textbox>
            <w10:wrap type="topAndBottom"/>
          </v:shape>
        </w:pict>
      </w:r>
    </w:p>
    <w:p>
      <w:pPr>
        <w:pStyle w:val="BodyText"/>
        <w:tabs>
          <w:tab w:val="left" w:pos="4427"/>
        </w:tabs>
        <w:spacing w:before="135" w:line="304" w:lineRule="auto"/>
        <w:ind w:left="647" w:right="5942" w:hanging="420"/>
      </w:pPr>
      <w:r>
        <w:t>【2022】采用工程总承包模式的特点是（</w:t>
      </w:r>
      <w:r>
        <w:tab/>
      </w:r>
      <w:r>
        <w:rPr>
          <w:spacing w:val="-104"/>
        </w:rPr>
        <w:t>）</w:t>
      </w:r>
      <w:r>
        <w:rPr>
          <w:spacing w:val="-3"/>
        </w:rPr>
        <w:t>。</w:t>
      </w:r>
      <w:r>
        <w:t>A.不利于缩短建设工期</w:t>
      </w:r>
    </w:p>
    <w:p>
      <w:pPr>
        <w:pStyle w:val="ListParagraph"/>
        <w:numPr>
          <w:ilvl w:val="0"/>
          <w:numId w:val="25"/>
        </w:numPr>
        <w:tabs>
          <w:tab w:val="left" w:pos="859"/>
        </w:tabs>
        <w:spacing w:before="32" w:after="0" w:line="240" w:lineRule="auto"/>
        <w:ind w:left="858" w:right="0" w:hanging="212"/>
        <w:jc w:val="left"/>
        <w:rPr>
          <w:sz w:val="21"/>
        </w:rPr>
      </w:pPr>
      <w:r>
        <w:rPr>
          <w:sz w:val="21"/>
        </w:rPr>
        <w:t>不利于控制工程质量</w:t>
      </w:r>
    </w:p>
    <w:p>
      <w:pPr>
        <w:pStyle w:val="ListParagraph"/>
        <w:numPr>
          <w:ilvl w:val="0"/>
          <w:numId w:val="25"/>
        </w:numPr>
        <w:tabs>
          <w:tab w:val="left" w:pos="859"/>
        </w:tabs>
        <w:spacing w:before="108" w:after="0" w:line="240" w:lineRule="auto"/>
        <w:ind w:left="858" w:right="0" w:hanging="212"/>
        <w:jc w:val="left"/>
        <w:rPr>
          <w:sz w:val="21"/>
        </w:rPr>
      </w:pPr>
      <w:r>
        <w:rPr>
          <w:sz w:val="21"/>
        </w:rPr>
        <w:t>不便于较早确定工程造价</w:t>
      </w:r>
    </w:p>
    <w:p>
      <w:pPr>
        <w:pStyle w:val="ListParagraph"/>
        <w:numPr>
          <w:ilvl w:val="0"/>
          <w:numId w:val="25"/>
        </w:numPr>
        <w:tabs>
          <w:tab w:val="left" w:pos="859"/>
        </w:tabs>
        <w:spacing w:before="103" w:after="0" w:line="240" w:lineRule="auto"/>
        <w:ind w:left="858" w:right="0" w:hanging="212"/>
        <w:jc w:val="left"/>
        <w:rPr>
          <w:sz w:val="21"/>
        </w:rPr>
      </w:pPr>
      <w:r>
        <w:rPr>
          <w:sz w:val="21"/>
        </w:rPr>
        <w:t>可减轻建设单位合同管理负担</w:t>
      </w:r>
    </w:p>
    <w:p>
      <w:pPr>
        <w:pStyle w:val="BodyText"/>
        <w:spacing w:before="107"/>
      </w:pPr>
      <w:r>
        <w:t>【答案】D</w:t>
      </w:r>
    </w:p>
    <w:p>
      <w:pPr>
        <w:pStyle w:val="BodyText"/>
        <w:spacing w:before="103" w:line="333" w:lineRule="auto"/>
        <w:ind w:right="367"/>
      </w:pPr>
      <w:r>
        <w:pict>
          <v:shape id="docshape33" o:spid="_x0000_s1054" type="#_x0000_t202" style="width:82.8pt;height:19.9pt;margin-top:45.65pt;margin-left:48.3pt;mso-height-relative:page;mso-position-horizontal-relative:page;mso-width-relative:page;mso-wrap-distance-bottom:0;mso-wrap-distance-top:0;position:absolute;z-index:-251625472" coordsize="21600,21600" filled="f" stroked="t" strokecolor="black">
            <v:textbox inset="0,0,0,0">
              <w:txbxContent>
                <w:p>
                  <w:pPr>
                    <w:spacing w:before="3" w:line="306" w:lineRule="exact"/>
                    <w:ind w:left="1" w:right="0" w:firstLine="0"/>
                    <w:jc w:val="left"/>
                    <w:rPr>
                      <w:b/>
                      <w:sz w:val="24"/>
                    </w:rPr>
                  </w:pPr>
                  <w:r>
                    <w:rPr>
                      <w:b/>
                      <w:sz w:val="24"/>
                    </w:rPr>
                    <w:t>重要考点·15</w:t>
                  </w:r>
                </w:p>
              </w:txbxContent>
            </v:textbox>
            <w10:wrap type="topAndBottom"/>
          </v:shape>
        </w:pict>
      </w:r>
      <w:r>
        <w:rPr>
          <w:spacing w:val="-7"/>
          <w:w w:val="99"/>
        </w:rPr>
        <w:t>【解析】工程总承包模式具有以下特点：</w:t>
      </w:r>
      <w:r>
        <w:rPr>
          <w:spacing w:val="-1"/>
          <w:w w:val="99"/>
        </w:rPr>
        <w:t>（</w:t>
      </w:r>
      <w:r>
        <w:rPr>
          <w:spacing w:val="1"/>
          <w:w w:val="99"/>
        </w:rPr>
        <w:t>1</w:t>
      </w:r>
      <w:r>
        <w:rPr>
          <w:spacing w:val="2"/>
          <w:w w:val="99"/>
        </w:rPr>
        <w:t>）</w:t>
      </w:r>
      <w:r>
        <w:rPr>
          <w:spacing w:val="-12"/>
          <w:w w:val="99"/>
        </w:rPr>
        <w:t>有利于缩短建设工期。</w:t>
      </w:r>
      <w:r>
        <w:rPr>
          <w:spacing w:val="2"/>
          <w:w w:val="99"/>
        </w:rPr>
        <w:t>（</w:t>
      </w:r>
      <w:r>
        <w:rPr>
          <w:spacing w:val="-2"/>
          <w:w w:val="99"/>
        </w:rPr>
        <w:t>2</w:t>
      </w:r>
      <w:r>
        <w:rPr>
          <w:spacing w:val="2"/>
          <w:w w:val="99"/>
        </w:rPr>
        <w:t>）</w:t>
      </w:r>
      <w:r>
        <w:rPr>
          <w:spacing w:val="-11"/>
          <w:w w:val="99"/>
        </w:rPr>
        <w:t>便于较早确定工程造价。</w:t>
      </w:r>
      <w:r>
        <w:rPr>
          <w:spacing w:val="2"/>
          <w:w w:val="99"/>
        </w:rPr>
        <w:t>（</w:t>
      </w:r>
      <w:r>
        <w:rPr>
          <w:spacing w:val="-2"/>
          <w:w w:val="99"/>
        </w:rPr>
        <w:t>3</w:t>
      </w:r>
      <w:r>
        <w:rPr>
          <w:spacing w:val="2"/>
          <w:w w:val="99"/>
        </w:rPr>
        <w:t>）</w:t>
      </w:r>
      <w:r>
        <w:rPr>
          <w:w w:val="99"/>
        </w:rPr>
        <w:t>有利于</w:t>
      </w:r>
      <w:r>
        <w:rPr>
          <w:spacing w:val="-15"/>
        </w:rPr>
        <w:t>控制工程质量。</w:t>
      </w:r>
      <w:r>
        <w:t>（4）</w:t>
      </w:r>
      <w:r>
        <w:rPr>
          <w:spacing w:val="-10"/>
        </w:rPr>
        <w:t>工程项目责任主体单一。</w:t>
      </w:r>
      <w:r>
        <w:t>（5）可减轻建设单位合同管理负担。</w:t>
      </w:r>
    </w:p>
    <w:p>
      <w:pPr>
        <w:pStyle w:val="BodyText"/>
        <w:spacing w:before="7"/>
        <w:ind w:left="0"/>
        <w:rPr>
          <w:sz w:val="7"/>
        </w:rPr>
      </w:pPr>
    </w:p>
    <w:p>
      <w:pPr>
        <w:pStyle w:val="BodyText"/>
        <w:spacing w:before="70"/>
      </w:pPr>
      <w:r>
        <w:t>（1）建筑工程施工许可</w:t>
      </w:r>
    </w:p>
    <w:p>
      <w:pPr>
        <w:spacing w:after="0"/>
        <w:sectPr>
          <w:headerReference w:type="default" r:id="rId18"/>
          <w:pgSz w:w="11910" w:h="16840"/>
          <w:pgMar w:top="1180" w:right="540" w:bottom="280" w:left="680" w:header="993" w:footer="0" w:gutter="0"/>
          <w:pgNumType w:start="14"/>
          <w:cols w:space="708"/>
        </w:sectPr>
      </w:pPr>
    </w:p>
    <w:p>
      <w:pPr>
        <w:pStyle w:val="ListParagraph"/>
        <w:numPr>
          <w:ilvl w:val="0"/>
          <w:numId w:val="26"/>
        </w:numPr>
        <w:tabs>
          <w:tab w:val="left" w:pos="543"/>
        </w:tabs>
        <w:spacing w:before="54" w:after="0" w:line="333" w:lineRule="auto"/>
        <w:ind w:left="227" w:right="261" w:firstLine="0"/>
        <w:jc w:val="left"/>
        <w:rPr>
          <w:sz w:val="21"/>
        </w:rPr>
      </w:pPr>
      <w:r>
        <w:rPr>
          <w:spacing w:val="-1"/>
          <w:sz w:val="21"/>
        </w:rPr>
        <w:t>施工许可证的申领。建筑工程开工前，建设单位应当按照国家有关规定向工程所在地县级以上人民政府建设</w:t>
      </w:r>
      <w:r>
        <w:rPr>
          <w:w w:val="95"/>
          <w:sz w:val="21"/>
        </w:rPr>
        <w:t>主管部门申请领取施工许可证。按照国务院规定的权限和程序批准开工报告的建筑工程，不再领取施工许可证。</w:t>
      </w:r>
      <w:r>
        <w:rPr>
          <w:spacing w:val="112"/>
          <w:sz w:val="21"/>
        </w:rPr>
        <w:t xml:space="preserve"> </w:t>
      </w:r>
      <w:r>
        <w:rPr>
          <w:sz w:val="21"/>
        </w:rPr>
        <w:t>建设单位申请领取施工许可证，应当具备下列条件：</w:t>
      </w:r>
    </w:p>
    <w:p>
      <w:pPr>
        <w:pStyle w:val="BodyText"/>
        <w:spacing w:before="1"/>
      </w:pPr>
      <w:r>
        <w:t>①已经办理建筑工程用地批准手续；</w:t>
      </w:r>
    </w:p>
    <w:p>
      <w:pPr>
        <w:pStyle w:val="BodyText"/>
        <w:spacing w:before="103"/>
      </w:pPr>
      <w:r>
        <w:t>②依法应当办理建设工程规划许可证的，已经取得建设工程规划许可证；</w:t>
      </w:r>
    </w:p>
    <w:p>
      <w:pPr>
        <w:pStyle w:val="BodyText"/>
        <w:spacing w:before="108"/>
      </w:pPr>
      <w:r>
        <w:t>③需要拆迁的，其拆迁进度符合施工要求；</w:t>
      </w:r>
    </w:p>
    <w:p>
      <w:pPr>
        <w:pStyle w:val="BodyText"/>
        <w:spacing w:before="103"/>
      </w:pPr>
      <w:r>
        <w:t>④已经确定建筑施工企业；</w:t>
      </w:r>
    </w:p>
    <w:p>
      <w:pPr>
        <w:pStyle w:val="BodyText"/>
        <w:spacing w:before="105"/>
      </w:pPr>
      <w:r>
        <w:t>⑤有满足施工需要的资金安排、施工图纸及技术资料；</w:t>
      </w:r>
    </w:p>
    <w:p>
      <w:pPr>
        <w:pStyle w:val="BodyText"/>
        <w:spacing w:before="108" w:line="331" w:lineRule="auto"/>
        <w:ind w:right="6890"/>
      </w:pPr>
      <w:r>
        <w:rPr>
          <w:w w:val="95"/>
        </w:rPr>
        <w:t>⑥有保证工程质量和安全的具体措施。</w:t>
      </w:r>
      <w:r>
        <w:t>2）施工许可证有效期。</w:t>
      </w:r>
    </w:p>
    <w:p>
      <w:pPr>
        <w:pStyle w:val="BodyText"/>
        <w:spacing w:before="4"/>
      </w:pPr>
      <w:r>
        <w:rPr>
          <w:w w:val="95"/>
        </w:rPr>
        <w:t>①建设单位应当自领取施工许可证之日起</w:t>
      </w:r>
      <w:r>
        <w:rPr>
          <w:spacing w:val="164"/>
        </w:rPr>
        <w:t xml:space="preserve"> </w:t>
      </w:r>
      <w:r>
        <w:rPr>
          <w:w w:val="95"/>
        </w:rPr>
        <w:t>3</w:t>
      </w:r>
      <w:r>
        <w:rPr>
          <w:spacing w:val="149"/>
        </w:rPr>
        <w:t xml:space="preserve"> </w:t>
      </w:r>
      <w:r>
        <w:rPr>
          <w:w w:val="95"/>
        </w:rPr>
        <w:t>个月内开工。因故不能按期开工的，应当向发证机关申请延期；延</w:t>
      </w:r>
    </w:p>
    <w:p>
      <w:pPr>
        <w:pStyle w:val="BodyText"/>
        <w:spacing w:before="105"/>
      </w:pPr>
      <w:r>
        <w:rPr>
          <w:w w:val="95"/>
        </w:rPr>
        <w:t>期以两次为限，每次不超过</w:t>
      </w:r>
      <w:r>
        <w:rPr>
          <w:spacing w:val="146"/>
        </w:rPr>
        <w:t xml:space="preserve"> </w:t>
      </w:r>
      <w:r>
        <w:rPr>
          <w:w w:val="95"/>
        </w:rPr>
        <w:t>3</w:t>
      </w:r>
      <w:r>
        <w:rPr>
          <w:spacing w:val="132"/>
        </w:rPr>
        <w:t xml:space="preserve"> </w:t>
      </w:r>
      <w:r>
        <w:rPr>
          <w:w w:val="95"/>
        </w:rPr>
        <w:t>个月。既不开工又不申请延期或者超过延期时限的，施工许可证自行废止。</w:t>
      </w:r>
    </w:p>
    <w:p>
      <w:pPr>
        <w:pStyle w:val="BodyText"/>
        <w:spacing w:before="105"/>
      </w:pPr>
      <w:r>
        <w:rPr>
          <w:w w:val="95"/>
        </w:rPr>
        <w:t>②在建的建筑工程因故中止施工的，建设单位应当自中止施工之日起</w:t>
      </w:r>
      <w:r>
        <w:rPr>
          <w:spacing w:val="164"/>
        </w:rPr>
        <w:t xml:space="preserve"> </w:t>
      </w:r>
      <w:r>
        <w:rPr>
          <w:w w:val="95"/>
        </w:rPr>
        <w:t>1</w:t>
      </w:r>
      <w:r>
        <w:rPr>
          <w:spacing w:val="149"/>
        </w:rPr>
        <w:t xml:space="preserve"> </w:t>
      </w:r>
      <w:r>
        <w:rPr>
          <w:w w:val="95"/>
        </w:rPr>
        <w:t>个月内，向发证机关报告，并按照规定</w:t>
      </w:r>
    </w:p>
    <w:p>
      <w:pPr>
        <w:pStyle w:val="BodyText"/>
        <w:spacing w:before="108" w:line="331" w:lineRule="auto"/>
        <w:ind w:right="367"/>
      </w:pPr>
      <w:r>
        <w:rPr>
          <w:w w:val="95"/>
        </w:rPr>
        <w:t>做好建筑工程的维护管理工作。建筑工程恢复施工时，应当向发证机关报告。中止施工满</w:t>
      </w:r>
      <w:r>
        <w:rPr>
          <w:spacing w:val="138"/>
        </w:rPr>
        <w:t xml:space="preserve"> </w:t>
      </w:r>
      <w:r>
        <w:rPr>
          <w:w w:val="95"/>
        </w:rPr>
        <w:t>1</w:t>
      </w:r>
      <w:r>
        <w:rPr>
          <w:spacing w:val="143"/>
        </w:rPr>
        <w:t xml:space="preserve"> </w:t>
      </w:r>
      <w:r>
        <w:rPr>
          <w:w w:val="95"/>
        </w:rPr>
        <w:t>年的工程恢复施工</w:t>
      </w:r>
      <w:r>
        <w:t>前，建设单位应当报发证机关核验施工许可证。</w:t>
      </w:r>
    </w:p>
    <w:p>
      <w:pPr>
        <w:pStyle w:val="BodyText"/>
        <w:spacing w:before="4"/>
      </w:pPr>
      <w:r>
        <w:rPr>
          <w:spacing w:val="1"/>
          <w:w w:val="95"/>
        </w:rPr>
        <w:t xml:space="preserve">【分值】考试形式为选择题，分值为 </w:t>
      </w:r>
      <w:r>
        <w:rPr>
          <w:w w:val="95"/>
        </w:rPr>
        <w:t>1-3</w:t>
      </w:r>
      <w:r>
        <w:rPr>
          <w:spacing w:val="3"/>
          <w:w w:val="95"/>
        </w:rPr>
        <w:t xml:space="preserve"> 分。</w:t>
      </w:r>
    </w:p>
    <w:p>
      <w:pPr>
        <w:pStyle w:val="BodyText"/>
        <w:spacing w:before="105"/>
      </w:pPr>
      <w:r>
        <w:t>【记忆方法】理解记忆</w:t>
      </w:r>
    </w:p>
    <w:p>
      <w:pPr>
        <w:pStyle w:val="BodyText"/>
        <w:spacing w:before="8"/>
        <w:ind w:left="0"/>
        <w:rPr>
          <w:sz w:val="7"/>
        </w:rPr>
      </w:pPr>
      <w:r>
        <w:pict>
          <v:shape id="docshape34" o:spid="_x0000_s1055" type="#_x0000_t202" style="width:82.8pt;height:19.9pt;margin-top:8.35pt;margin-left:48.3pt;mso-height-relative:page;mso-position-horizontal-relative:page;mso-width-relative:page;mso-wrap-distance-bottom:0;mso-wrap-distance-top:0;position:absolute;z-index:-251624448" coordsize="21600,21600" filled="f" stroked="t" strokecolor="black">
            <v:textbox inset="0,0,0,0">
              <w:txbxContent>
                <w:p>
                  <w:pPr>
                    <w:spacing w:before="1"/>
                    <w:ind w:left="1" w:right="0" w:firstLine="0"/>
                    <w:jc w:val="left"/>
                    <w:rPr>
                      <w:b/>
                      <w:sz w:val="24"/>
                    </w:rPr>
                  </w:pPr>
                  <w:r>
                    <w:rPr>
                      <w:b/>
                      <w:sz w:val="24"/>
                    </w:rPr>
                    <w:t>精选习题·15</w:t>
                  </w:r>
                </w:p>
              </w:txbxContent>
            </v:textbox>
            <w10:wrap type="topAndBottom"/>
          </v:shape>
        </w:pict>
      </w:r>
    </w:p>
    <w:p>
      <w:pPr>
        <w:pStyle w:val="BodyText"/>
        <w:spacing w:before="5"/>
        <w:ind w:left="0"/>
        <w:rPr>
          <w:sz w:val="7"/>
        </w:rPr>
      </w:pPr>
    </w:p>
    <w:p>
      <w:pPr>
        <w:pStyle w:val="BodyText"/>
        <w:tabs>
          <w:tab w:val="left" w:pos="7472"/>
        </w:tabs>
        <w:spacing w:before="70" w:line="336" w:lineRule="auto"/>
        <w:ind w:left="647" w:right="2373" w:hanging="420"/>
      </w:pPr>
      <w:r>
        <w:t>【2022】根据《建筑法</w:t>
      </w:r>
      <w:r>
        <w:rPr>
          <w:spacing w:val="-104"/>
        </w:rPr>
        <w:t>》</w:t>
      </w:r>
      <w:r>
        <w:t>，施工许可证申请延期以两次为限，每次不超过（</w:t>
      </w:r>
      <w:r>
        <w:tab/>
      </w:r>
      <w:r>
        <w:rPr>
          <w:spacing w:val="-1"/>
        </w:rPr>
        <w:t>）个月</w:t>
      </w:r>
      <w:r>
        <w:t>。A.1</w:t>
      </w:r>
    </w:p>
    <w:p>
      <w:pPr>
        <w:pStyle w:val="BodyText"/>
        <w:spacing w:line="265" w:lineRule="exact"/>
        <w:ind w:left="647"/>
      </w:pPr>
      <w:r>
        <w:t>B.2</w:t>
      </w:r>
    </w:p>
    <w:p>
      <w:pPr>
        <w:pStyle w:val="BodyText"/>
        <w:spacing w:before="105"/>
        <w:ind w:left="647"/>
      </w:pPr>
      <w:r>
        <w:t>C.3</w:t>
      </w:r>
    </w:p>
    <w:p>
      <w:pPr>
        <w:pStyle w:val="BodyText"/>
        <w:spacing w:before="105"/>
        <w:ind w:left="647"/>
      </w:pPr>
      <w:r>
        <w:t>D.6</w:t>
      </w:r>
    </w:p>
    <w:p>
      <w:pPr>
        <w:pStyle w:val="BodyText"/>
        <w:spacing w:before="106"/>
      </w:pPr>
      <w:r>
        <w:t>【答案】C</w:t>
      </w:r>
    </w:p>
    <w:p>
      <w:pPr>
        <w:pStyle w:val="BodyText"/>
        <w:spacing w:before="108" w:line="331" w:lineRule="auto"/>
        <w:ind w:right="367"/>
      </w:pPr>
      <w:r>
        <w:pict>
          <v:shape id="docshape35" o:spid="_x0000_s1056" type="#_x0000_t202" style="width:82.8pt;height:19.85pt;margin-top:45.8pt;margin-left:48.3pt;mso-height-relative:page;mso-position-horizontal-relative:page;mso-width-relative:page;mso-wrap-distance-bottom:0;mso-wrap-distance-top:0;position:absolute;z-index:-251623424" coordsize="21600,21600" filled="f" stroked="t" strokecolor="black">
            <v:textbox inset="0,0,0,0">
              <w:txbxContent>
                <w:p>
                  <w:pPr>
                    <w:spacing w:before="2" w:line="305" w:lineRule="exact"/>
                    <w:ind w:left="1" w:right="0" w:firstLine="0"/>
                    <w:jc w:val="left"/>
                    <w:rPr>
                      <w:b/>
                      <w:sz w:val="24"/>
                    </w:rPr>
                  </w:pPr>
                  <w:r>
                    <w:rPr>
                      <w:b/>
                      <w:sz w:val="24"/>
                    </w:rPr>
                    <w:t>重要考点·16</w:t>
                  </w:r>
                </w:p>
              </w:txbxContent>
            </v:textbox>
            <w10:wrap type="topAndBottom"/>
          </v:shape>
        </w:pict>
      </w:r>
      <w:r>
        <w:rPr>
          <w:w w:val="95"/>
        </w:rPr>
        <w:t>【解析】因故不能按期开工的，应当向发证机关申请延期；延期以两次为限，每次不超过</w:t>
      </w:r>
      <w:r>
        <w:rPr>
          <w:spacing w:val="138"/>
        </w:rPr>
        <w:t xml:space="preserve"> </w:t>
      </w:r>
      <w:r>
        <w:rPr>
          <w:w w:val="95"/>
        </w:rPr>
        <w:t>3</w:t>
      </w:r>
      <w:r>
        <w:rPr>
          <w:spacing w:val="143"/>
        </w:rPr>
        <w:t xml:space="preserve"> </w:t>
      </w:r>
      <w:r>
        <w:rPr>
          <w:w w:val="95"/>
        </w:rPr>
        <w:t>个月。既不开工又</w:t>
      </w:r>
      <w:r>
        <w:t>不申请延期或者超过延期时限的，施工许可证自行废止。</w:t>
      </w:r>
    </w:p>
    <w:p>
      <w:pPr>
        <w:pStyle w:val="BodyText"/>
        <w:spacing w:before="8"/>
        <w:ind w:left="0"/>
        <w:rPr>
          <w:sz w:val="7"/>
        </w:rPr>
      </w:pPr>
    </w:p>
    <w:p>
      <w:pPr>
        <w:pStyle w:val="BodyText"/>
        <w:spacing w:before="69"/>
      </w:pPr>
      <w:r>
        <w:t>1.建筑安全生产管理</w:t>
      </w:r>
    </w:p>
    <w:p>
      <w:pPr>
        <w:pStyle w:val="ListParagraph"/>
        <w:numPr>
          <w:ilvl w:val="0"/>
          <w:numId w:val="27"/>
        </w:numPr>
        <w:tabs>
          <w:tab w:val="left" w:pos="752"/>
        </w:tabs>
        <w:spacing w:before="103" w:after="0" w:line="333" w:lineRule="auto"/>
        <w:ind w:left="227" w:right="367" w:firstLine="0"/>
        <w:jc w:val="left"/>
        <w:rPr>
          <w:sz w:val="21"/>
        </w:rPr>
      </w:pPr>
      <w:r>
        <w:rPr>
          <w:sz w:val="21"/>
        </w:rPr>
        <w:t>建设单位的安全生产管理。建设单位应当向建筑施工企业提供与施工现场相关的地下管线资料，建筑施工企业应当采取措施加以保护。</w:t>
      </w:r>
    </w:p>
    <w:p>
      <w:pPr>
        <w:pStyle w:val="BodyText"/>
        <w:spacing w:before="4" w:line="331" w:lineRule="auto"/>
        <w:ind w:right="3842"/>
      </w:pPr>
      <w:r>
        <w:rPr>
          <w:w w:val="95"/>
        </w:rPr>
        <w:t>有下列情形之一的，建设单位应当按照国家有关规定办理申请批准手续：</w:t>
      </w:r>
      <w:r>
        <w:rPr>
          <w:spacing w:val="1"/>
          <w:w w:val="95"/>
        </w:rPr>
        <w:t xml:space="preserve"> </w:t>
      </w:r>
      <w:r>
        <w:t>1）需要临时占用规划批准范围以外场地的；</w:t>
      </w:r>
    </w:p>
    <w:p>
      <w:pPr>
        <w:pStyle w:val="ListParagraph"/>
        <w:numPr>
          <w:ilvl w:val="0"/>
          <w:numId w:val="26"/>
        </w:numPr>
        <w:tabs>
          <w:tab w:val="left" w:pos="543"/>
        </w:tabs>
        <w:spacing w:before="6" w:after="0" w:line="240" w:lineRule="auto"/>
        <w:ind w:left="542" w:right="0" w:hanging="316"/>
        <w:jc w:val="left"/>
        <w:rPr>
          <w:sz w:val="21"/>
        </w:rPr>
      </w:pPr>
      <w:r>
        <w:rPr>
          <w:sz w:val="21"/>
        </w:rPr>
        <w:t>可能损坏道路、管线、电力、邮电通信等公共设施的；</w:t>
      </w:r>
    </w:p>
    <w:p>
      <w:pPr>
        <w:pStyle w:val="ListParagraph"/>
        <w:numPr>
          <w:ilvl w:val="0"/>
          <w:numId w:val="26"/>
        </w:numPr>
        <w:tabs>
          <w:tab w:val="left" w:pos="543"/>
        </w:tabs>
        <w:spacing w:before="103" w:after="0" w:line="240" w:lineRule="auto"/>
        <w:ind w:left="542" w:right="0" w:hanging="316"/>
        <w:jc w:val="left"/>
        <w:rPr>
          <w:sz w:val="21"/>
        </w:rPr>
      </w:pPr>
      <w:r>
        <w:rPr>
          <w:sz w:val="21"/>
        </w:rPr>
        <w:t>需要临时停水、停电、中断道路交通的；</w:t>
      </w:r>
    </w:p>
    <w:p>
      <w:pPr>
        <w:pStyle w:val="ListParagraph"/>
        <w:numPr>
          <w:ilvl w:val="0"/>
          <w:numId w:val="26"/>
        </w:numPr>
        <w:tabs>
          <w:tab w:val="left" w:pos="543"/>
        </w:tabs>
        <w:spacing w:before="105" w:after="0" w:line="240" w:lineRule="auto"/>
        <w:ind w:left="542" w:right="0" w:hanging="316"/>
        <w:jc w:val="left"/>
        <w:rPr>
          <w:sz w:val="21"/>
        </w:rPr>
      </w:pPr>
      <w:r>
        <w:rPr>
          <w:sz w:val="21"/>
        </w:rPr>
        <w:t>需要进行爆破作业的；</w:t>
      </w:r>
    </w:p>
    <w:p>
      <w:pPr>
        <w:pStyle w:val="ListParagraph"/>
        <w:numPr>
          <w:ilvl w:val="0"/>
          <w:numId w:val="26"/>
        </w:numPr>
        <w:tabs>
          <w:tab w:val="left" w:pos="543"/>
        </w:tabs>
        <w:spacing w:before="108" w:after="0" w:line="240" w:lineRule="auto"/>
        <w:ind w:left="542" w:right="0" w:hanging="316"/>
        <w:jc w:val="left"/>
        <w:rPr>
          <w:sz w:val="21"/>
        </w:rPr>
      </w:pPr>
      <w:r>
        <w:rPr>
          <w:sz w:val="21"/>
        </w:rPr>
        <w:t>法律、法规规定需要办理报批手续的其他情形。</w:t>
      </w:r>
    </w:p>
    <w:p>
      <w:pPr>
        <w:pStyle w:val="ListParagraph"/>
        <w:numPr>
          <w:ilvl w:val="0"/>
          <w:numId w:val="27"/>
        </w:numPr>
        <w:tabs>
          <w:tab w:val="left" w:pos="752"/>
        </w:tabs>
        <w:spacing w:before="103" w:after="0" w:line="240" w:lineRule="auto"/>
        <w:ind w:left="751" w:right="0" w:hanging="525"/>
        <w:jc w:val="left"/>
        <w:rPr>
          <w:sz w:val="21"/>
        </w:rPr>
      </w:pPr>
      <w:r>
        <w:rPr>
          <w:sz w:val="21"/>
        </w:rPr>
        <w:t>建筑施工企业的安全生产管理</w:t>
      </w:r>
    </w:p>
    <w:p>
      <w:pPr>
        <w:spacing w:after="0" w:line="240" w:lineRule="auto"/>
        <w:jc w:val="left"/>
        <w:rPr>
          <w:sz w:val="21"/>
        </w:rPr>
        <w:sectPr>
          <w:headerReference w:type="default" r:id="rId19"/>
          <w:pgSz w:w="11910" w:h="16840"/>
          <w:pgMar w:top="1180" w:right="540" w:bottom="280" w:left="680" w:header="993" w:footer="0" w:gutter="0"/>
          <w:pgNumType w:start="15"/>
          <w:cols w:space="708"/>
        </w:sectPr>
      </w:pPr>
    </w:p>
    <w:p>
      <w:pPr>
        <w:pStyle w:val="ListParagraph"/>
        <w:numPr>
          <w:ilvl w:val="0"/>
          <w:numId w:val="28"/>
        </w:numPr>
        <w:tabs>
          <w:tab w:val="left" w:pos="543"/>
        </w:tabs>
        <w:spacing w:before="54" w:after="0" w:line="331" w:lineRule="auto"/>
        <w:ind w:left="227" w:right="367" w:firstLine="0"/>
        <w:jc w:val="left"/>
        <w:rPr>
          <w:sz w:val="21"/>
        </w:rPr>
      </w:pPr>
      <w:r>
        <w:rPr>
          <w:w w:val="95"/>
          <w:sz w:val="21"/>
        </w:rPr>
        <w:t>施工现场安全管理。施工现场安全由建筑施工企业负责。实行施工总承包的，由总承包单位负责。分包单位</w:t>
      </w:r>
      <w:r>
        <w:rPr>
          <w:spacing w:val="95"/>
          <w:w w:val="95"/>
          <w:sz w:val="21"/>
        </w:rPr>
        <w:t xml:space="preserve"> </w:t>
      </w:r>
      <w:r>
        <w:rPr>
          <w:sz w:val="21"/>
        </w:rPr>
        <w:t>向总承包单位负责，服从总承包单位对施工现场的安全生产管理。</w:t>
      </w:r>
    </w:p>
    <w:p>
      <w:pPr>
        <w:pStyle w:val="ListParagraph"/>
        <w:numPr>
          <w:ilvl w:val="0"/>
          <w:numId w:val="28"/>
        </w:numPr>
        <w:tabs>
          <w:tab w:val="left" w:pos="543"/>
        </w:tabs>
        <w:spacing w:before="4" w:after="0" w:line="336" w:lineRule="auto"/>
        <w:ind w:left="227" w:right="367" w:firstLine="0"/>
        <w:jc w:val="left"/>
        <w:rPr>
          <w:sz w:val="21"/>
        </w:rPr>
      </w:pPr>
      <w:r>
        <w:rPr>
          <w:sz w:val="21"/>
        </w:rPr>
        <w:t>安全生产教育培训。建筑施工企业应当建立健全劳动安全生产教育培训制度，加强对职工安全生产的教育培训；未经安全生产教育培训的人员，不得上岗作业。</w:t>
      </w:r>
    </w:p>
    <w:p>
      <w:pPr>
        <w:pStyle w:val="ListParagraph"/>
        <w:numPr>
          <w:ilvl w:val="0"/>
          <w:numId w:val="28"/>
        </w:numPr>
        <w:tabs>
          <w:tab w:val="left" w:pos="543"/>
        </w:tabs>
        <w:spacing w:before="0" w:after="0" w:line="333" w:lineRule="auto"/>
        <w:ind w:left="227" w:right="367" w:firstLine="0"/>
        <w:jc w:val="both"/>
        <w:rPr>
          <w:sz w:val="21"/>
        </w:rPr>
      </w:pPr>
      <w:r>
        <w:rPr>
          <w:w w:val="95"/>
          <w:sz w:val="21"/>
        </w:rPr>
        <w:t>安全生产防护。建筑施工企业和作业人员在施工过程中，应当遵守有关安全生产的法律、法规和建筑行业安</w:t>
      </w:r>
      <w:r>
        <w:rPr>
          <w:spacing w:val="101"/>
          <w:sz w:val="21"/>
        </w:rPr>
        <w:t xml:space="preserve"> </w:t>
      </w:r>
      <w:r>
        <w:rPr>
          <w:w w:val="95"/>
          <w:sz w:val="21"/>
        </w:rPr>
        <w:t>全规章、规程，不得违章指挥或者违章作业。作业人员有权对影响人身健康的作业程序和作业条件提出改进意</w:t>
      </w:r>
      <w:r>
        <w:rPr>
          <w:spacing w:val="216"/>
          <w:sz w:val="21"/>
        </w:rPr>
        <w:t xml:space="preserve"> </w:t>
      </w:r>
      <w:r>
        <w:rPr>
          <w:w w:val="95"/>
          <w:sz w:val="21"/>
        </w:rPr>
        <w:t>见，有权获得安全生产所需的防护用品。作业人员对危及生命安全和人身健康的行为有权提出批评、检举和控</w:t>
      </w:r>
      <w:r>
        <w:rPr>
          <w:spacing w:val="206"/>
          <w:sz w:val="21"/>
        </w:rPr>
        <w:t xml:space="preserve"> </w:t>
      </w:r>
      <w:r>
        <w:rPr>
          <w:sz w:val="21"/>
        </w:rPr>
        <w:t>告。</w:t>
      </w:r>
    </w:p>
    <w:p>
      <w:pPr>
        <w:pStyle w:val="ListParagraph"/>
        <w:numPr>
          <w:ilvl w:val="0"/>
          <w:numId w:val="28"/>
        </w:numPr>
        <w:tabs>
          <w:tab w:val="left" w:pos="543"/>
        </w:tabs>
        <w:spacing w:before="0" w:after="0" w:line="331" w:lineRule="auto"/>
        <w:ind w:left="227" w:right="367" w:firstLine="0"/>
        <w:jc w:val="left"/>
        <w:rPr>
          <w:sz w:val="21"/>
        </w:rPr>
      </w:pPr>
      <w:r>
        <w:rPr>
          <w:sz w:val="21"/>
        </w:rPr>
        <w:t>工伤保险和意外伤害保险。建筑施工企业应当依法为职工参加工伤保险缴纳工伤保险费。鼓励企业为从事危险作业的职工办理意外伤害保险，支付保险费。</w:t>
      </w:r>
    </w:p>
    <w:p>
      <w:pPr>
        <w:pStyle w:val="ListParagraph"/>
        <w:numPr>
          <w:ilvl w:val="0"/>
          <w:numId w:val="28"/>
        </w:numPr>
        <w:tabs>
          <w:tab w:val="left" w:pos="543"/>
        </w:tabs>
        <w:spacing w:before="3" w:after="0" w:line="333" w:lineRule="auto"/>
        <w:ind w:left="227" w:right="367" w:firstLine="0"/>
        <w:jc w:val="left"/>
        <w:rPr>
          <w:sz w:val="21"/>
        </w:rPr>
      </w:pPr>
      <w:r>
        <w:rPr>
          <w:sz w:val="21"/>
        </w:rPr>
        <w:t>装修工程施工安全。涉及建筑主体和承重结构变动的装修工程，建设单位应当在施工前委托原设计单位或者具有相应资质条件的设计单位提出设计方案；没有设计方案的，不得施工。</w:t>
      </w:r>
    </w:p>
    <w:p>
      <w:pPr>
        <w:pStyle w:val="ListParagraph"/>
        <w:numPr>
          <w:ilvl w:val="0"/>
          <w:numId w:val="28"/>
        </w:numPr>
        <w:tabs>
          <w:tab w:val="left" w:pos="543"/>
        </w:tabs>
        <w:spacing w:before="1" w:after="0" w:line="240" w:lineRule="auto"/>
        <w:ind w:left="542" w:right="0" w:hanging="316"/>
        <w:jc w:val="left"/>
        <w:rPr>
          <w:sz w:val="21"/>
        </w:rPr>
      </w:pPr>
      <w:r>
        <w:rPr>
          <w:spacing w:val="-10"/>
          <w:w w:val="95"/>
          <w:sz w:val="21"/>
        </w:rPr>
        <w:t>房屋拆除安全。房屋拆除应当由具备保证安全条件的建筑施工单位承担，由建筑施工单位负责人对安全负责。</w:t>
      </w:r>
    </w:p>
    <w:p>
      <w:pPr>
        <w:pStyle w:val="ListParagraph"/>
        <w:numPr>
          <w:ilvl w:val="0"/>
          <w:numId w:val="28"/>
        </w:numPr>
        <w:tabs>
          <w:tab w:val="left" w:pos="543"/>
        </w:tabs>
        <w:spacing w:before="108" w:after="0" w:line="331" w:lineRule="auto"/>
        <w:ind w:left="227" w:right="367" w:firstLine="0"/>
        <w:jc w:val="left"/>
        <w:rPr>
          <w:sz w:val="21"/>
        </w:rPr>
      </w:pPr>
      <w:r>
        <w:rPr>
          <w:w w:val="95"/>
          <w:sz w:val="21"/>
        </w:rPr>
        <w:t>施工安全事故处理。施工中发生事故时，建筑施工企业应当采取紧急措施减少人员伤亡和事故损失，并按照</w:t>
      </w:r>
      <w:r>
        <w:rPr>
          <w:spacing w:val="95"/>
          <w:w w:val="95"/>
          <w:sz w:val="21"/>
        </w:rPr>
        <w:t xml:space="preserve"> </w:t>
      </w:r>
      <w:r>
        <w:rPr>
          <w:sz w:val="21"/>
        </w:rPr>
        <w:t>国家有关规定及时向有关部门报告。</w:t>
      </w:r>
    </w:p>
    <w:p>
      <w:pPr>
        <w:pStyle w:val="BodyText"/>
        <w:spacing w:before="3"/>
      </w:pPr>
      <w:r>
        <w:rPr>
          <w:spacing w:val="1"/>
          <w:w w:val="95"/>
        </w:rPr>
        <w:t xml:space="preserve">【分值】考试形式为选择题，分值为 </w:t>
      </w:r>
      <w:r>
        <w:rPr>
          <w:w w:val="95"/>
        </w:rPr>
        <w:t>1-3</w:t>
      </w:r>
      <w:r>
        <w:rPr>
          <w:spacing w:val="3"/>
          <w:w w:val="95"/>
        </w:rPr>
        <w:t xml:space="preserve"> 分。</w:t>
      </w:r>
    </w:p>
    <w:p>
      <w:pPr>
        <w:pStyle w:val="BodyText"/>
        <w:spacing w:before="106"/>
      </w:pPr>
      <w:r>
        <w:t>【记忆方法】理解记忆</w:t>
      </w:r>
    </w:p>
    <w:p>
      <w:pPr>
        <w:pStyle w:val="BodyText"/>
        <w:spacing w:before="7"/>
        <w:ind w:left="0"/>
        <w:rPr>
          <w:sz w:val="7"/>
        </w:rPr>
      </w:pPr>
      <w:r>
        <w:pict>
          <v:shape id="docshape36" o:spid="_x0000_s1057" type="#_x0000_t202" style="width:82.8pt;height:19.9pt;margin-top:8.3pt;margin-left:48.3pt;mso-height-relative:page;mso-position-horizontal-relative:page;mso-width-relative:page;mso-wrap-distance-bottom:0;mso-wrap-distance-top:0;position:absolute;z-index:-251622400" coordsize="21600,21600" filled="f" stroked="t" strokecolor="black">
            <v:textbox inset="0,0,0,0">
              <w:txbxContent>
                <w:p>
                  <w:pPr>
                    <w:spacing w:before="1"/>
                    <w:ind w:left="1" w:right="0" w:firstLine="0"/>
                    <w:jc w:val="left"/>
                    <w:rPr>
                      <w:b/>
                      <w:sz w:val="24"/>
                    </w:rPr>
                  </w:pPr>
                  <w:r>
                    <w:rPr>
                      <w:b/>
                      <w:sz w:val="24"/>
                    </w:rPr>
                    <w:t>精选习题·16</w:t>
                  </w:r>
                </w:p>
              </w:txbxContent>
            </v:textbox>
            <w10:wrap type="topAndBottom"/>
          </v:shape>
        </w:pict>
      </w:r>
    </w:p>
    <w:p>
      <w:pPr>
        <w:pStyle w:val="BodyText"/>
        <w:spacing w:before="5"/>
        <w:ind w:left="0"/>
        <w:rPr>
          <w:sz w:val="7"/>
        </w:rPr>
      </w:pPr>
    </w:p>
    <w:p>
      <w:pPr>
        <w:pStyle w:val="BodyText"/>
        <w:tabs>
          <w:tab w:val="left" w:pos="7052"/>
        </w:tabs>
        <w:spacing w:before="70" w:line="336" w:lineRule="auto"/>
        <w:ind w:left="647" w:right="3319" w:hanging="420"/>
      </w:pPr>
      <w:r>
        <w:t>【2021】根据《建筑法</w:t>
      </w:r>
      <w:r>
        <w:rPr>
          <w:spacing w:val="-104"/>
        </w:rPr>
        <w:t>》</w:t>
      </w:r>
      <w:r>
        <w:t>，关于建筑安全生产管理的说法，正确的是（</w:t>
      </w:r>
      <w:r>
        <w:tab/>
      </w:r>
      <w:r>
        <w:rPr>
          <w:spacing w:val="-106"/>
        </w:rPr>
        <w:t>）</w:t>
      </w:r>
      <w:r>
        <w:rPr>
          <w:spacing w:val="-3"/>
        </w:rPr>
        <w:t>。</w:t>
      </w:r>
      <w:r>
        <w:t>A.房屋拆除应当由具备保证安全条件的施工单位承担</w:t>
      </w:r>
    </w:p>
    <w:p>
      <w:pPr>
        <w:pStyle w:val="BodyText"/>
        <w:spacing w:line="265" w:lineRule="exact"/>
        <w:ind w:left="647"/>
      </w:pPr>
      <w:r>
        <w:t>B.需要临时停水、停电的，施工单位应办理申请批准手续</w:t>
      </w:r>
    </w:p>
    <w:p>
      <w:pPr>
        <w:pStyle w:val="BodyText"/>
        <w:spacing w:before="105" w:line="333" w:lineRule="auto"/>
        <w:ind w:left="647" w:right="2899"/>
      </w:pPr>
      <w:r>
        <w:rPr>
          <w:w w:val="95"/>
        </w:rPr>
        <w:t>C.涉及承重结构变动的装修工程，施工单位应事前委托设计单位提出设计方案</w:t>
      </w:r>
      <w:r>
        <w:rPr>
          <w:spacing w:val="62"/>
          <w:w w:val="95"/>
        </w:rPr>
        <w:t xml:space="preserve"> </w:t>
      </w:r>
      <w:r>
        <w:rPr>
          <w:w w:val="95"/>
        </w:rPr>
        <w:t>D.施工单位负责收集与施工现场相关的地下管线资料，并对管线采取保护措施</w:t>
      </w:r>
    </w:p>
    <w:p>
      <w:pPr>
        <w:pStyle w:val="BodyText"/>
        <w:spacing w:before="1"/>
      </w:pPr>
      <w:r>
        <w:t>【答案】A</w:t>
      </w:r>
    </w:p>
    <w:p>
      <w:pPr>
        <w:pStyle w:val="BodyText"/>
        <w:spacing w:before="108" w:line="333" w:lineRule="auto"/>
        <w:ind w:right="367"/>
        <w:jc w:val="both"/>
      </w:pPr>
      <w:r>
        <w:pict>
          <v:shape id="docshape37" o:spid="_x0000_s1058" type="#_x0000_t202" style="width:82.8pt;height:19.9pt;margin-top:101.95pt;margin-left:48.3pt;mso-height-relative:page;mso-position-horizontal-relative:page;mso-width-relative:page;mso-wrap-distance-bottom:0;mso-wrap-distance-top:0;position:absolute;z-index:-251621376" coordsize="21600,21600" filled="f" stroked="t" strokecolor="black">
            <v:textbox inset="0,0,0,0">
              <w:txbxContent>
                <w:p>
                  <w:pPr>
                    <w:spacing w:before="3" w:line="306" w:lineRule="exact"/>
                    <w:ind w:left="1" w:right="0" w:firstLine="0"/>
                    <w:jc w:val="left"/>
                    <w:rPr>
                      <w:b/>
                      <w:sz w:val="24"/>
                    </w:rPr>
                  </w:pPr>
                  <w:r>
                    <w:rPr>
                      <w:b/>
                      <w:sz w:val="24"/>
                    </w:rPr>
                    <w:t>重要考点·17</w:t>
                  </w:r>
                </w:p>
              </w:txbxContent>
            </v:textbox>
            <w10:wrap type="topAndBottom"/>
          </v:shape>
        </w:pict>
      </w:r>
      <w:r>
        <w:rPr>
          <w:w w:val="95"/>
        </w:rPr>
        <w:t>【解析】选项</w:t>
      </w:r>
      <w:r>
        <w:rPr>
          <w:spacing w:val="138"/>
        </w:rPr>
        <w:t xml:space="preserve"> </w:t>
      </w:r>
      <w:r>
        <w:rPr>
          <w:w w:val="95"/>
        </w:rPr>
        <w:t>A</w:t>
      </w:r>
      <w:r>
        <w:rPr>
          <w:spacing w:val="143"/>
        </w:rPr>
        <w:t xml:space="preserve"> </w:t>
      </w:r>
      <w:r>
        <w:rPr>
          <w:w w:val="95"/>
        </w:rPr>
        <w:t>正确，房屋拆除应当由具备保证安全条件的建筑施工单位承担，由建筑施工单位负责人对安全负责；选项</w:t>
      </w:r>
      <w:r>
        <w:rPr>
          <w:spacing w:val="138"/>
        </w:rPr>
        <w:t xml:space="preserve"> </w:t>
      </w:r>
      <w:r>
        <w:rPr>
          <w:w w:val="95"/>
        </w:rPr>
        <w:t>B</w:t>
      </w:r>
      <w:r>
        <w:rPr>
          <w:spacing w:val="143"/>
        </w:rPr>
        <w:t xml:space="preserve"> </w:t>
      </w:r>
      <w:r>
        <w:rPr>
          <w:w w:val="95"/>
        </w:rPr>
        <w:t>错误，需要临时停水、停电、中断道路交通的，建设单位应当按照国家有关规定办理申请批准手续；选项</w:t>
      </w:r>
      <w:r>
        <w:rPr>
          <w:spacing w:val="138"/>
        </w:rPr>
        <w:t xml:space="preserve"> </w:t>
      </w:r>
      <w:r>
        <w:rPr>
          <w:w w:val="95"/>
        </w:rPr>
        <w:t>C</w:t>
      </w:r>
      <w:r>
        <w:rPr>
          <w:spacing w:val="143"/>
        </w:rPr>
        <w:t xml:space="preserve"> </w:t>
      </w:r>
      <w:r>
        <w:rPr>
          <w:w w:val="95"/>
        </w:rPr>
        <w:t>错误，涉及建筑主体和承重结构变动的装修工程，建设单位应当在施工前委托原设计单位或者具有相应资质条件的设计单位提出设计方案；没有设计方案的，不得施工；选项</w:t>
      </w:r>
      <w:r>
        <w:rPr>
          <w:spacing w:val="138"/>
        </w:rPr>
        <w:t xml:space="preserve"> </w:t>
      </w:r>
      <w:r>
        <w:rPr>
          <w:w w:val="95"/>
        </w:rPr>
        <w:t>D</w:t>
      </w:r>
      <w:r>
        <w:rPr>
          <w:spacing w:val="143"/>
        </w:rPr>
        <w:t xml:space="preserve"> </w:t>
      </w:r>
      <w:r>
        <w:rPr>
          <w:w w:val="95"/>
        </w:rPr>
        <w:t>错误，建设单位应当向建筑施工</w:t>
      </w:r>
      <w:r>
        <w:t>企业提供与施工现场相关的地下管线资料，建筑施工企业应当采取措施加以保护。</w:t>
      </w:r>
    </w:p>
    <w:p>
      <w:pPr>
        <w:pStyle w:val="BodyText"/>
        <w:spacing w:before="7"/>
        <w:ind w:left="0"/>
        <w:rPr>
          <w:sz w:val="7"/>
        </w:rPr>
      </w:pPr>
    </w:p>
    <w:p>
      <w:pPr>
        <w:pStyle w:val="BodyText"/>
        <w:spacing w:before="70"/>
      </w:pPr>
      <w:r>
        <w:t>1.招标</w:t>
      </w:r>
    </w:p>
    <w:p>
      <w:pPr>
        <w:pStyle w:val="ListParagraph"/>
        <w:numPr>
          <w:ilvl w:val="0"/>
          <w:numId w:val="29"/>
        </w:numPr>
        <w:tabs>
          <w:tab w:val="left" w:pos="752"/>
        </w:tabs>
        <w:spacing w:before="103" w:after="0" w:line="336" w:lineRule="auto"/>
        <w:ind w:left="227" w:right="367" w:firstLine="0"/>
        <w:jc w:val="left"/>
        <w:rPr>
          <w:sz w:val="21"/>
        </w:rPr>
      </w:pPr>
      <w:r>
        <w:rPr>
          <w:sz w:val="21"/>
        </w:rPr>
        <w:t>招标方式。招标分为公开招标和邀请招标两种方式。公开招标是指招标人以招标公告的方式邀请不特定的法人或者其他组织投标。邀请招标是指招标人以投标邀请书的方式邀请特定的法人或者其他组织投标。</w:t>
      </w:r>
    </w:p>
    <w:p>
      <w:pPr>
        <w:pStyle w:val="ListParagraph"/>
        <w:numPr>
          <w:ilvl w:val="0"/>
          <w:numId w:val="30"/>
        </w:numPr>
        <w:tabs>
          <w:tab w:val="left" w:pos="543"/>
        </w:tabs>
        <w:spacing w:before="0" w:after="0" w:line="333" w:lineRule="auto"/>
        <w:ind w:left="227" w:right="368" w:firstLine="0"/>
        <w:jc w:val="left"/>
        <w:rPr>
          <w:sz w:val="21"/>
        </w:rPr>
      </w:pPr>
      <w:r>
        <w:rPr>
          <w:w w:val="95"/>
          <w:sz w:val="21"/>
        </w:rPr>
        <w:t>招标人采用公开招标方式的，应当发布招标公告。依法必须进行招标的项目，应当通过国家指定的报刊、信</w:t>
      </w:r>
      <w:r>
        <w:rPr>
          <w:spacing w:val="94"/>
          <w:w w:val="95"/>
          <w:sz w:val="21"/>
        </w:rPr>
        <w:t xml:space="preserve"> </w:t>
      </w:r>
      <w:r>
        <w:rPr>
          <w:sz w:val="21"/>
        </w:rPr>
        <w:t>息网络或者媒介发布招标公告。</w:t>
      </w:r>
    </w:p>
    <w:p>
      <w:pPr>
        <w:pStyle w:val="ListParagraph"/>
        <w:numPr>
          <w:ilvl w:val="0"/>
          <w:numId w:val="30"/>
        </w:numPr>
        <w:tabs>
          <w:tab w:val="left" w:pos="543"/>
        </w:tabs>
        <w:spacing w:before="0" w:after="0" w:line="331" w:lineRule="auto"/>
        <w:ind w:left="227" w:right="367" w:firstLine="0"/>
        <w:jc w:val="left"/>
        <w:rPr>
          <w:sz w:val="21"/>
        </w:rPr>
      </w:pPr>
      <w:r>
        <w:rPr>
          <w:w w:val="95"/>
          <w:sz w:val="21"/>
        </w:rPr>
        <w:t>招标人采用邀请招标方式的，应当向</w:t>
      </w:r>
      <w:r>
        <w:rPr>
          <w:spacing w:val="140"/>
          <w:sz w:val="21"/>
        </w:rPr>
        <w:t xml:space="preserve"> </w:t>
      </w:r>
      <w:r>
        <w:rPr>
          <w:w w:val="95"/>
          <w:sz w:val="21"/>
        </w:rPr>
        <w:t>3</w:t>
      </w:r>
      <w:r>
        <w:rPr>
          <w:spacing w:val="143"/>
          <w:sz w:val="21"/>
        </w:rPr>
        <w:t xml:space="preserve"> </w:t>
      </w:r>
      <w:r>
        <w:rPr>
          <w:w w:val="95"/>
          <w:sz w:val="21"/>
        </w:rPr>
        <w:t>个以上具备承担招标项目的能力、资信良好的特定法人或者其他组</w:t>
      </w:r>
      <w:r>
        <w:rPr>
          <w:sz w:val="21"/>
        </w:rPr>
        <w:t>织发出投标邀请书。</w:t>
      </w:r>
    </w:p>
    <w:p>
      <w:pPr>
        <w:spacing w:after="0" w:line="331" w:lineRule="auto"/>
        <w:jc w:val="left"/>
        <w:rPr>
          <w:sz w:val="21"/>
        </w:rPr>
        <w:sectPr>
          <w:headerReference w:type="default" r:id="rId20"/>
          <w:pgSz w:w="11910" w:h="16840"/>
          <w:pgMar w:top="1180" w:right="540" w:bottom="280" w:left="680" w:header="993" w:footer="0" w:gutter="0"/>
          <w:pgNumType w:start="16"/>
          <w:cols w:space="708"/>
        </w:sectPr>
      </w:pPr>
    </w:p>
    <w:p>
      <w:pPr>
        <w:pStyle w:val="ListParagraph"/>
        <w:numPr>
          <w:ilvl w:val="0"/>
          <w:numId w:val="29"/>
        </w:numPr>
        <w:tabs>
          <w:tab w:val="left" w:pos="752"/>
        </w:tabs>
        <w:spacing w:before="54" w:after="0" w:line="331" w:lineRule="auto"/>
        <w:ind w:left="227" w:right="367" w:firstLine="0"/>
        <w:jc w:val="left"/>
        <w:rPr>
          <w:sz w:val="21"/>
        </w:rPr>
      </w:pPr>
      <w:r>
        <w:rPr>
          <w:sz w:val="21"/>
        </w:rPr>
        <w:t>招标文件。招标人对已发出的招标文件进行必要的澄清或者修改的，应当在招标文件要求提交投标文件</w:t>
      </w:r>
      <w:r>
        <w:rPr>
          <w:w w:val="95"/>
          <w:sz w:val="21"/>
        </w:rPr>
        <w:t>截止时间至少</w:t>
      </w:r>
      <w:r>
        <w:rPr>
          <w:spacing w:val="148"/>
          <w:sz w:val="21"/>
        </w:rPr>
        <w:t xml:space="preserve"> </w:t>
      </w:r>
      <w:r>
        <w:rPr>
          <w:w w:val="95"/>
          <w:sz w:val="21"/>
        </w:rPr>
        <w:t>15</w:t>
      </w:r>
      <w:r>
        <w:rPr>
          <w:spacing w:val="151"/>
          <w:sz w:val="21"/>
        </w:rPr>
        <w:t xml:space="preserve"> </w:t>
      </w:r>
      <w:r>
        <w:rPr>
          <w:w w:val="95"/>
          <w:sz w:val="21"/>
        </w:rPr>
        <w:t>日前，以书面形式通知所有招标文件收受人。该澄清或者修改的内容为招标文件的组成部分</w:t>
      </w:r>
      <w:r>
        <w:rPr>
          <w:sz w:val="21"/>
        </w:rPr>
        <w:t>。</w:t>
      </w:r>
    </w:p>
    <w:p>
      <w:pPr>
        <w:pStyle w:val="ListParagraph"/>
        <w:numPr>
          <w:ilvl w:val="0"/>
          <w:numId w:val="29"/>
        </w:numPr>
        <w:tabs>
          <w:tab w:val="left" w:pos="752"/>
        </w:tabs>
        <w:spacing w:before="4" w:after="0" w:line="336" w:lineRule="auto"/>
        <w:ind w:left="227" w:right="368" w:firstLine="0"/>
        <w:jc w:val="left"/>
        <w:rPr>
          <w:sz w:val="21"/>
        </w:rPr>
      </w:pPr>
      <w:r>
        <w:rPr>
          <w:w w:val="95"/>
          <w:sz w:val="21"/>
        </w:rPr>
        <w:t>其他规定。依法必须进行招标的项目，自招标文件开始发出之日起至投标人提交投标文件截止之日止，最</w:t>
      </w:r>
      <w:r>
        <w:rPr>
          <w:spacing w:val="85"/>
          <w:w w:val="95"/>
          <w:sz w:val="21"/>
        </w:rPr>
        <w:t xml:space="preserve"> </w:t>
      </w:r>
      <w:r>
        <w:rPr>
          <w:spacing w:val="-9"/>
          <w:sz w:val="21"/>
        </w:rPr>
        <w:t xml:space="preserve">短不得少于 </w:t>
      </w:r>
      <w:r>
        <w:rPr>
          <w:sz w:val="21"/>
        </w:rPr>
        <w:t>20</w:t>
      </w:r>
      <w:r>
        <w:rPr>
          <w:spacing w:val="-18"/>
          <w:sz w:val="21"/>
        </w:rPr>
        <w:t xml:space="preserve"> 日。</w:t>
      </w:r>
    </w:p>
    <w:p>
      <w:pPr>
        <w:pStyle w:val="BodyText"/>
        <w:spacing w:line="265" w:lineRule="exact"/>
      </w:pPr>
      <w:r>
        <w:rPr>
          <w:spacing w:val="1"/>
          <w:w w:val="95"/>
        </w:rPr>
        <w:t xml:space="preserve">【分值】考试形式为选择题，分值为 </w:t>
      </w:r>
      <w:r>
        <w:rPr>
          <w:w w:val="95"/>
        </w:rPr>
        <w:t>1-2</w:t>
      </w:r>
      <w:r>
        <w:rPr>
          <w:spacing w:val="3"/>
          <w:w w:val="95"/>
        </w:rPr>
        <w:t xml:space="preserve"> 分。</w:t>
      </w:r>
    </w:p>
    <w:p>
      <w:pPr>
        <w:pStyle w:val="BodyText"/>
        <w:spacing w:before="108"/>
      </w:pPr>
      <w:r>
        <w:t>【记忆方法】理解记忆</w:t>
      </w:r>
    </w:p>
    <w:p>
      <w:pPr>
        <w:pStyle w:val="BodyText"/>
        <w:spacing w:before="5"/>
        <w:ind w:left="0"/>
        <w:rPr>
          <w:sz w:val="7"/>
        </w:rPr>
      </w:pPr>
      <w:r>
        <w:pict>
          <v:shape id="docshape38" o:spid="_x0000_s1059" type="#_x0000_t202" style="width:82.8pt;height:19.9pt;margin-top:8.2pt;margin-left:48.3pt;mso-height-relative:page;mso-position-horizontal-relative:page;mso-width-relative:page;mso-wrap-distance-bottom:0;mso-wrap-distance-top:0;position:absolute;z-index:-251620352" coordsize="21600,21600" filled="f" stroked="t" strokecolor="black">
            <v:textbox inset="0,0,0,0">
              <w:txbxContent>
                <w:p>
                  <w:pPr>
                    <w:spacing w:before="3" w:line="306" w:lineRule="exact"/>
                    <w:ind w:left="1" w:right="0" w:firstLine="0"/>
                    <w:jc w:val="left"/>
                    <w:rPr>
                      <w:b/>
                      <w:sz w:val="24"/>
                    </w:rPr>
                  </w:pPr>
                  <w:r>
                    <w:rPr>
                      <w:b/>
                      <w:sz w:val="24"/>
                    </w:rPr>
                    <w:t>精选习题·17</w:t>
                  </w:r>
                </w:p>
              </w:txbxContent>
            </v:textbox>
            <w10:wrap type="topAndBottom"/>
          </v:shape>
        </w:pict>
      </w:r>
    </w:p>
    <w:p>
      <w:pPr>
        <w:pStyle w:val="BodyText"/>
        <w:spacing w:before="5"/>
        <w:ind w:left="0"/>
        <w:rPr>
          <w:sz w:val="7"/>
        </w:rPr>
      </w:pPr>
    </w:p>
    <w:p>
      <w:pPr>
        <w:pStyle w:val="BodyText"/>
        <w:tabs>
          <w:tab w:val="left" w:pos="2955"/>
        </w:tabs>
        <w:spacing w:before="69" w:line="333" w:lineRule="auto"/>
        <w:ind w:right="367"/>
      </w:pPr>
      <w:r>
        <w:rPr>
          <w:w w:val="95"/>
        </w:rPr>
        <w:t>【2022】根据《招标投标法</w:t>
      </w:r>
      <w:r>
        <w:rPr>
          <w:spacing w:val="-104"/>
          <w:w w:val="95"/>
        </w:rPr>
        <w:t>》</w:t>
      </w:r>
      <w:r>
        <w:rPr>
          <w:w w:val="95"/>
        </w:rPr>
        <w:t>，招标人对发出的招标文件进行必要的澄清或者修改的，应当在招标文件要求提交</w:t>
      </w:r>
      <w:r>
        <w:rPr>
          <w:spacing w:val="110"/>
        </w:rPr>
        <w:t xml:space="preserve"> </w:t>
      </w:r>
      <w:r>
        <w:t>投标文件截止时间至少（</w:t>
      </w:r>
      <w:r>
        <w:tab/>
      </w:r>
      <w:r>
        <w:t>）日前，以书面形式通知所有招标文件收受人。</w:t>
      </w:r>
    </w:p>
    <w:p>
      <w:pPr>
        <w:pStyle w:val="BodyText"/>
        <w:spacing w:before="4"/>
        <w:ind w:left="647"/>
      </w:pPr>
      <w:r>
        <w:t>A.5</w:t>
      </w:r>
    </w:p>
    <w:p>
      <w:pPr>
        <w:pStyle w:val="BodyText"/>
        <w:spacing w:before="103" w:line="333" w:lineRule="auto"/>
        <w:ind w:left="647" w:right="9603"/>
      </w:pPr>
      <w:r>
        <w:t>B.7</w:t>
      </w:r>
      <w:r>
        <w:rPr>
          <w:spacing w:val="1"/>
        </w:rPr>
        <w:t xml:space="preserve"> </w:t>
      </w:r>
      <w:r>
        <w:t>C.10</w:t>
      </w:r>
      <w:r>
        <w:rPr>
          <w:spacing w:val="-102"/>
        </w:rPr>
        <w:t xml:space="preserve"> </w:t>
      </w:r>
      <w:r>
        <w:t>D.15</w:t>
      </w:r>
    </w:p>
    <w:p>
      <w:pPr>
        <w:pStyle w:val="BodyText"/>
        <w:spacing w:before="1"/>
      </w:pPr>
      <w:r>
        <w:t>【答案】D</w:t>
      </w:r>
    </w:p>
    <w:p>
      <w:pPr>
        <w:pStyle w:val="BodyText"/>
        <w:spacing w:before="108" w:line="331" w:lineRule="auto"/>
        <w:ind w:right="367"/>
      </w:pPr>
      <w:r>
        <w:pict>
          <v:shape id="docshape39" o:spid="_x0000_s1060" type="#_x0000_t202" style="width:82.8pt;height:19.9pt;margin-top:45.75pt;margin-left:48.3pt;mso-height-relative:page;mso-position-horizontal-relative:page;mso-width-relative:page;mso-wrap-distance-bottom:0;mso-wrap-distance-top:0;position:absolute;z-index:-251619328" coordsize="21600,21600" filled="f" stroked="t" strokecolor="black">
            <v:textbox inset="0,0,0,0">
              <w:txbxContent>
                <w:p>
                  <w:pPr>
                    <w:spacing w:before="1"/>
                    <w:ind w:left="1" w:right="0" w:firstLine="0"/>
                    <w:jc w:val="left"/>
                    <w:rPr>
                      <w:b/>
                      <w:sz w:val="24"/>
                    </w:rPr>
                  </w:pPr>
                  <w:r>
                    <w:rPr>
                      <w:b/>
                      <w:sz w:val="24"/>
                    </w:rPr>
                    <w:t>重要考点·18</w:t>
                  </w:r>
                </w:p>
              </w:txbxContent>
            </v:textbox>
            <w10:wrap type="topAndBottom"/>
          </v:shape>
        </w:pict>
      </w:r>
      <w:r>
        <w:rPr>
          <w:w w:val="95"/>
        </w:rPr>
        <w:t>【解析】招标人对己发出的招标文件进行必要的澄清或者修改的，应当在招标文件要求提交投标文件截止时间</w:t>
      </w:r>
      <w:r>
        <w:rPr>
          <w:spacing w:val="216"/>
        </w:rPr>
        <w:t xml:space="preserve"> </w:t>
      </w:r>
      <w:r>
        <w:rPr>
          <w:spacing w:val="-15"/>
          <w:w w:val="95"/>
        </w:rPr>
        <w:t xml:space="preserve">至少 </w:t>
      </w:r>
      <w:r>
        <w:rPr>
          <w:w w:val="95"/>
        </w:rPr>
        <w:t>15</w:t>
      </w:r>
      <w:r>
        <w:rPr>
          <w:spacing w:val="-7"/>
          <w:w w:val="95"/>
        </w:rPr>
        <w:t xml:space="preserve"> 日前，以书面形式通知所有招标文件收受人。</w:t>
      </w:r>
    </w:p>
    <w:p>
      <w:pPr>
        <w:pStyle w:val="BodyText"/>
        <w:spacing w:before="5"/>
        <w:ind w:left="0"/>
        <w:rPr>
          <w:sz w:val="7"/>
        </w:rPr>
      </w:pPr>
    </w:p>
    <w:p>
      <w:pPr>
        <w:pStyle w:val="BodyText"/>
        <w:spacing w:before="70"/>
      </w:pPr>
      <w:r>
        <w:t>1.开标、评标和中标</w:t>
      </w:r>
    </w:p>
    <w:p>
      <w:pPr>
        <w:pStyle w:val="ListParagraph"/>
        <w:numPr>
          <w:ilvl w:val="0"/>
          <w:numId w:val="31"/>
        </w:numPr>
        <w:tabs>
          <w:tab w:val="left" w:pos="752"/>
        </w:tabs>
        <w:spacing w:before="105" w:after="0" w:line="333" w:lineRule="auto"/>
        <w:ind w:left="227" w:right="367" w:firstLine="0"/>
        <w:jc w:val="both"/>
        <w:rPr>
          <w:sz w:val="21"/>
        </w:rPr>
      </w:pPr>
      <w:r>
        <w:rPr>
          <w:w w:val="95"/>
          <w:sz w:val="21"/>
        </w:rPr>
        <w:t>开标。开标应当在招标人主持下，在招标文件确定的提交投标文件截止时间的同一时间公开进行。开标地</w:t>
      </w:r>
      <w:r>
        <w:rPr>
          <w:spacing w:val="96"/>
          <w:w w:val="95"/>
          <w:sz w:val="21"/>
        </w:rPr>
        <w:t xml:space="preserve"> </w:t>
      </w:r>
      <w:r>
        <w:rPr>
          <w:w w:val="95"/>
          <w:sz w:val="21"/>
        </w:rPr>
        <w:t>点应当为招标文件中预先确定的地点。开标应邀请所有投标人参加。开标时，中投标人或者其推选的代表检查</w:t>
      </w:r>
      <w:r>
        <w:rPr>
          <w:spacing w:val="216"/>
          <w:sz w:val="21"/>
        </w:rPr>
        <w:t xml:space="preserve"> </w:t>
      </w:r>
      <w:r>
        <w:rPr>
          <w:w w:val="95"/>
          <w:sz w:val="21"/>
        </w:rPr>
        <w:t>投标文件的密封情况，也可以由招标人委托的公证机构检查并公证。经确认无误后，由工作人员当众拆封，宣</w:t>
      </w:r>
      <w:r>
        <w:rPr>
          <w:spacing w:val="206"/>
          <w:sz w:val="21"/>
        </w:rPr>
        <w:t xml:space="preserve"> </w:t>
      </w:r>
      <w:r>
        <w:rPr>
          <w:sz w:val="21"/>
        </w:rPr>
        <w:t>读投标人名称、投标价格和投标文件的其他主要内容。</w:t>
      </w:r>
    </w:p>
    <w:p>
      <w:pPr>
        <w:pStyle w:val="BodyText"/>
        <w:spacing w:before="2" w:line="333" w:lineRule="auto"/>
        <w:ind w:right="367"/>
      </w:pPr>
      <w:r>
        <w:rPr>
          <w:w w:val="95"/>
        </w:rPr>
        <w:t>招标人在招标文件要求提交投标文件的截止时间前收到的所有投标文件，开标时都应当当众予以拆封、宣读。</w:t>
      </w:r>
      <w:r>
        <w:rPr>
          <w:spacing w:val="206"/>
        </w:rPr>
        <w:t xml:space="preserve"> </w:t>
      </w:r>
      <w:r>
        <w:t>开标过程应当记录，并存档备查。</w:t>
      </w:r>
    </w:p>
    <w:p>
      <w:pPr>
        <w:pStyle w:val="ListParagraph"/>
        <w:numPr>
          <w:ilvl w:val="0"/>
          <w:numId w:val="31"/>
        </w:numPr>
        <w:tabs>
          <w:tab w:val="left" w:pos="752"/>
        </w:tabs>
        <w:spacing w:before="1" w:after="0" w:line="240" w:lineRule="auto"/>
        <w:ind w:left="751" w:right="0" w:hanging="525"/>
        <w:jc w:val="left"/>
        <w:rPr>
          <w:sz w:val="21"/>
        </w:rPr>
      </w:pPr>
      <w:r>
        <w:rPr>
          <w:sz w:val="21"/>
        </w:rPr>
        <w:t>评标。评标由招标人依法组建的评标委员会负责。</w:t>
      </w:r>
    </w:p>
    <w:p>
      <w:pPr>
        <w:pStyle w:val="ListParagraph"/>
        <w:numPr>
          <w:ilvl w:val="0"/>
          <w:numId w:val="32"/>
        </w:numPr>
        <w:tabs>
          <w:tab w:val="left" w:pos="543"/>
        </w:tabs>
        <w:spacing w:before="108" w:after="0" w:line="333" w:lineRule="auto"/>
        <w:ind w:left="227" w:right="367" w:firstLine="0"/>
        <w:jc w:val="both"/>
        <w:rPr>
          <w:sz w:val="21"/>
        </w:rPr>
      </w:pPr>
      <w:r>
        <w:rPr>
          <w:w w:val="95"/>
          <w:sz w:val="21"/>
        </w:rPr>
        <w:t>评标委员会的组成。依法必须进行招标的项目，其评标委员会由招标人的代表和有关技术、经济等方面的专</w:t>
      </w:r>
      <w:r>
        <w:rPr>
          <w:spacing w:val="101"/>
          <w:sz w:val="21"/>
        </w:rPr>
        <w:t xml:space="preserve"> </w:t>
      </w:r>
      <w:r>
        <w:rPr>
          <w:spacing w:val="1"/>
          <w:w w:val="95"/>
          <w:sz w:val="21"/>
        </w:rPr>
        <w:t xml:space="preserve">家组成，成员人数为 </w:t>
      </w:r>
      <w:r>
        <w:rPr>
          <w:w w:val="95"/>
          <w:sz w:val="21"/>
        </w:rPr>
        <w:t>5</w:t>
      </w:r>
      <w:r>
        <w:rPr>
          <w:spacing w:val="106"/>
          <w:sz w:val="21"/>
        </w:rPr>
        <w:t xml:space="preserve"> </w:t>
      </w:r>
      <w:r>
        <w:rPr>
          <w:w w:val="95"/>
          <w:sz w:val="21"/>
        </w:rPr>
        <w:t>人以上单数。其中，技术、经济等方面的专家不得少于成员总数的</w:t>
      </w:r>
      <w:r>
        <w:rPr>
          <w:spacing w:val="123"/>
          <w:sz w:val="21"/>
        </w:rPr>
        <w:t xml:space="preserve"> </w:t>
      </w:r>
      <w:r>
        <w:rPr>
          <w:w w:val="95"/>
          <w:sz w:val="21"/>
        </w:rPr>
        <w:t>2/3。评标委员会的专家成员应当从事相关领域工作满八年并具有高级职称或者具有同等专业水平，由招标人从国务院有关部门或</w:t>
      </w:r>
      <w:r>
        <w:rPr>
          <w:spacing w:val="216"/>
          <w:sz w:val="21"/>
        </w:rPr>
        <w:t xml:space="preserve"> </w:t>
      </w:r>
      <w:r>
        <w:rPr>
          <w:w w:val="95"/>
          <w:sz w:val="21"/>
        </w:rPr>
        <w:t>者省、自治区、直辖市人民政府有关部门提供的专家名册或者招标代理机构的专家库内的相关专业的专家名单</w:t>
      </w:r>
      <w:r>
        <w:rPr>
          <w:spacing w:val="206"/>
          <w:sz w:val="21"/>
        </w:rPr>
        <w:t xml:space="preserve"> </w:t>
      </w:r>
      <w:r>
        <w:rPr>
          <w:sz w:val="21"/>
        </w:rPr>
        <w:t>中确定。一般招标项目可以采取随机抽取方式，特殊招标项目可以由招标人直接确定。</w:t>
      </w:r>
    </w:p>
    <w:p>
      <w:pPr>
        <w:pStyle w:val="BodyText"/>
        <w:spacing w:before="2" w:line="331" w:lineRule="auto"/>
        <w:ind w:right="367"/>
      </w:pPr>
      <w:r>
        <w:rPr>
          <w:w w:val="95"/>
        </w:rPr>
        <w:t>与投标人有利害关系的人不得进入相关项目的评标委员会，已经进入的应当进行更换。评标委员会成员的名单</w:t>
      </w:r>
      <w:r>
        <w:rPr>
          <w:spacing w:val="206"/>
        </w:rPr>
        <w:t xml:space="preserve"> </w:t>
      </w:r>
      <w:r>
        <w:t>在中标结果确定前应当保密。</w:t>
      </w:r>
    </w:p>
    <w:p>
      <w:pPr>
        <w:pStyle w:val="ListParagraph"/>
        <w:numPr>
          <w:ilvl w:val="0"/>
          <w:numId w:val="32"/>
        </w:numPr>
        <w:tabs>
          <w:tab w:val="left" w:pos="543"/>
        </w:tabs>
        <w:spacing w:before="6" w:after="0" w:line="333" w:lineRule="auto"/>
        <w:ind w:left="227" w:right="367" w:firstLine="0"/>
        <w:jc w:val="both"/>
        <w:rPr>
          <w:sz w:val="21"/>
        </w:rPr>
      </w:pPr>
      <w:r>
        <w:rPr>
          <w:w w:val="95"/>
          <w:sz w:val="21"/>
        </w:rPr>
        <w:t>评标保密与中标条件。招标人应当采取必要的措施，保证评标在严格保密的情况下进行。评标委员会应当按</w:t>
      </w:r>
      <w:r>
        <w:rPr>
          <w:spacing w:val="101"/>
          <w:sz w:val="21"/>
        </w:rPr>
        <w:t xml:space="preserve"> </w:t>
      </w:r>
      <w:r>
        <w:rPr>
          <w:w w:val="95"/>
          <w:sz w:val="21"/>
        </w:rPr>
        <w:t>照招标文件确定的评标标准和方法，对投标文件进行评审和比较。设有标底的，应当参考标底。中标人的投标</w:t>
      </w:r>
      <w:r>
        <w:rPr>
          <w:spacing w:val="206"/>
          <w:sz w:val="21"/>
        </w:rPr>
        <w:t xml:space="preserve"> </w:t>
      </w:r>
      <w:r>
        <w:rPr>
          <w:sz w:val="21"/>
        </w:rPr>
        <w:t>应当符合下列条件之一：</w:t>
      </w:r>
    </w:p>
    <w:p>
      <w:pPr>
        <w:pStyle w:val="BodyText"/>
        <w:spacing w:before="1"/>
      </w:pPr>
      <w:r>
        <w:t>①能够最大限度地满足招标文件中规定的各项综合评价标准；</w:t>
      </w:r>
    </w:p>
    <w:p>
      <w:pPr>
        <w:pStyle w:val="BodyText"/>
        <w:spacing w:before="103"/>
      </w:pPr>
      <w:r>
        <w:t>②能够满足招标文件的实质性要求，并且经评审的投标价格最低。但是，投标价格低于成本的除外。</w:t>
      </w:r>
    </w:p>
    <w:p>
      <w:pPr>
        <w:spacing w:after="0"/>
        <w:sectPr>
          <w:headerReference w:type="default" r:id="rId21"/>
          <w:pgSz w:w="11910" w:h="16840"/>
          <w:pgMar w:top="1180" w:right="540" w:bottom="280" w:left="680" w:header="993" w:footer="0" w:gutter="0"/>
          <w:pgNumType w:start="17"/>
          <w:cols w:space="708"/>
        </w:sectPr>
      </w:pPr>
    </w:p>
    <w:p>
      <w:pPr>
        <w:pStyle w:val="BodyText"/>
        <w:spacing w:before="54"/>
      </w:pPr>
      <w:r>
        <w:t>评标委员会经评审，认为所有投标都不符合招标文件要求的，可以否决所有投标。</w:t>
      </w:r>
    </w:p>
    <w:p>
      <w:pPr>
        <w:pStyle w:val="BodyText"/>
        <w:spacing w:before="103" w:line="336" w:lineRule="auto"/>
        <w:ind w:right="261"/>
      </w:pPr>
      <w:r>
        <w:rPr>
          <w:w w:val="95"/>
        </w:rPr>
        <w:t>评标委员会完成评标后，应当向招标人提出书面评标报告，并推荐合格的中标候选人。招标人据此确定中标人。</w:t>
      </w:r>
      <w:r>
        <w:rPr>
          <w:spacing w:val="112"/>
        </w:rPr>
        <w:t xml:space="preserve"> </w:t>
      </w:r>
      <w:r>
        <w:t>招标人也可以授权评标委员会直接确定中标人。在确定中标人前，招标人不得与投标人就投标价格、投标方案等实质性内容进行谈判。</w:t>
      </w:r>
    </w:p>
    <w:p>
      <w:pPr>
        <w:pStyle w:val="ListParagraph"/>
        <w:numPr>
          <w:ilvl w:val="0"/>
          <w:numId w:val="31"/>
        </w:numPr>
        <w:tabs>
          <w:tab w:val="left" w:pos="752"/>
        </w:tabs>
        <w:spacing w:before="0" w:after="0" w:line="333" w:lineRule="auto"/>
        <w:ind w:left="227" w:right="261" w:firstLine="0"/>
        <w:jc w:val="left"/>
        <w:rPr>
          <w:sz w:val="21"/>
        </w:rPr>
      </w:pPr>
      <w:r>
        <w:rPr>
          <w:spacing w:val="-1"/>
          <w:sz w:val="21"/>
        </w:rPr>
        <w:t>中标。中标人确定后，招标人应当向中标人发出中标通知书，并同时将中标结果通知所有未中标的投标人</w:t>
      </w:r>
      <w:r>
        <w:rPr>
          <w:sz w:val="21"/>
        </w:rPr>
        <w:t>。中标通知书对招标人和中标人具有法律效力，中标通知书发出后，招标人改变中标结果或者中标人放弃中标项目的，应当依法承担法律责任。</w:t>
      </w:r>
    </w:p>
    <w:p>
      <w:pPr>
        <w:pStyle w:val="BodyText"/>
        <w:spacing w:line="336" w:lineRule="auto"/>
        <w:ind w:right="367"/>
      </w:pPr>
      <w:r>
        <w:rPr>
          <w:w w:val="95"/>
        </w:rPr>
        <w:t>自中标通知书发出之日起</w:t>
      </w:r>
      <w:r>
        <w:rPr>
          <w:spacing w:val="96"/>
        </w:rPr>
        <w:t xml:space="preserve"> </w:t>
      </w:r>
      <w:r>
        <w:rPr>
          <w:w w:val="95"/>
        </w:rPr>
        <w:t>30</w:t>
      </w:r>
      <w:r>
        <w:rPr>
          <w:spacing w:val="101"/>
        </w:rPr>
        <w:t xml:space="preserve"> </w:t>
      </w:r>
      <w:r>
        <w:rPr>
          <w:w w:val="95"/>
        </w:rPr>
        <w:t>日内，按照招标文件和中标人的投标文件订立书面合同。招标人和中标人不得再订</w:t>
      </w:r>
      <w:r>
        <w:t>立背离合同实质性内容的其他协议。</w:t>
      </w:r>
    </w:p>
    <w:p>
      <w:pPr>
        <w:pStyle w:val="BodyText"/>
        <w:spacing w:line="333" w:lineRule="auto"/>
        <w:ind w:right="367"/>
      </w:pPr>
      <w:r>
        <w:rPr>
          <w:w w:val="95"/>
        </w:rPr>
        <w:t>招标文件要求中标人提交履约保证金的，中标人应当提交。依法必须进行招标的项目，招标人应当自确定中标</w:t>
      </w:r>
      <w:r>
        <w:rPr>
          <w:spacing w:val="216"/>
        </w:rPr>
        <w:t xml:space="preserve"> </w:t>
      </w:r>
      <w:r>
        <w:rPr>
          <w:spacing w:val="-9"/>
          <w:w w:val="95"/>
        </w:rPr>
        <w:t xml:space="preserve">人之日起 </w:t>
      </w:r>
      <w:r>
        <w:rPr>
          <w:w w:val="95"/>
        </w:rPr>
        <w:t>15</w:t>
      </w:r>
      <w:r>
        <w:rPr>
          <w:spacing w:val="-7"/>
          <w:w w:val="95"/>
        </w:rPr>
        <w:t xml:space="preserve"> 日内，向有关行政监督部门提交招标投标情况的书面报告。</w:t>
      </w:r>
    </w:p>
    <w:p>
      <w:pPr>
        <w:pStyle w:val="BodyText"/>
      </w:pPr>
      <w:r>
        <w:rPr>
          <w:spacing w:val="1"/>
          <w:w w:val="95"/>
        </w:rPr>
        <w:t xml:space="preserve">【分值】考试形式为选择题，分值为 </w:t>
      </w:r>
      <w:r>
        <w:rPr>
          <w:w w:val="95"/>
        </w:rPr>
        <w:t>1-2</w:t>
      </w:r>
      <w:r>
        <w:rPr>
          <w:spacing w:val="3"/>
          <w:w w:val="95"/>
        </w:rPr>
        <w:t xml:space="preserve"> 分。</w:t>
      </w:r>
    </w:p>
    <w:p>
      <w:pPr>
        <w:pStyle w:val="BodyText"/>
        <w:spacing w:before="96"/>
      </w:pPr>
      <w:r>
        <w:t>【记忆方法】理解记忆</w:t>
      </w:r>
    </w:p>
    <w:p>
      <w:pPr>
        <w:pStyle w:val="BodyText"/>
        <w:spacing w:before="8"/>
        <w:ind w:left="0"/>
        <w:rPr>
          <w:sz w:val="7"/>
        </w:rPr>
      </w:pPr>
      <w:r>
        <w:pict>
          <v:shape id="docshape40" o:spid="_x0000_s1061" type="#_x0000_t202" style="width:82.8pt;height:19.9pt;margin-top:8.35pt;margin-left:48.3pt;mso-height-relative:page;mso-position-horizontal-relative:page;mso-width-relative:page;mso-wrap-distance-bottom:0;mso-wrap-distance-top:0;position:absolute;z-index:-251618304" coordsize="21600,21600" filled="f" stroked="t" strokecolor="black">
            <v:textbox inset="0,0,0,0">
              <w:txbxContent>
                <w:p>
                  <w:pPr>
                    <w:spacing w:before="3" w:line="306" w:lineRule="exact"/>
                    <w:ind w:left="1" w:right="0" w:firstLine="0"/>
                    <w:jc w:val="left"/>
                    <w:rPr>
                      <w:b/>
                      <w:sz w:val="24"/>
                    </w:rPr>
                  </w:pPr>
                  <w:r>
                    <w:rPr>
                      <w:b/>
                      <w:sz w:val="24"/>
                    </w:rPr>
                    <w:t>精选习题·18</w:t>
                  </w:r>
                </w:p>
              </w:txbxContent>
            </v:textbox>
            <w10:wrap type="topAndBottom"/>
          </v:shape>
        </w:pict>
      </w:r>
    </w:p>
    <w:p>
      <w:pPr>
        <w:pStyle w:val="BodyText"/>
        <w:spacing w:before="7"/>
        <w:ind w:left="0"/>
        <w:rPr>
          <w:sz w:val="7"/>
        </w:rPr>
      </w:pPr>
    </w:p>
    <w:p>
      <w:pPr>
        <w:pStyle w:val="BodyText"/>
        <w:tabs>
          <w:tab w:val="left" w:pos="8415"/>
        </w:tabs>
        <w:spacing w:before="70" w:line="331" w:lineRule="auto"/>
        <w:ind w:left="647" w:right="1953" w:hanging="420"/>
      </w:pPr>
      <w:r>
        <w:t>【2021】根据《招标投标法》关于开标、评标、中标和合同订立的说法，正确的有（</w:t>
      </w:r>
      <w:r>
        <w:tab/>
      </w:r>
      <w:r>
        <w:rPr>
          <w:spacing w:val="-104"/>
        </w:rPr>
        <w:t>）</w:t>
      </w:r>
      <w:r>
        <w:rPr>
          <w:spacing w:val="-2"/>
        </w:rPr>
        <w:t>。</w:t>
      </w:r>
      <w:r>
        <w:t>A.开标应当在招标文件确定的提交投标文件截止时间的同一时间公开进行</w:t>
      </w:r>
    </w:p>
    <w:p>
      <w:pPr>
        <w:pStyle w:val="BodyText"/>
        <w:spacing w:before="3" w:line="333" w:lineRule="auto"/>
        <w:ind w:left="647" w:right="5839"/>
      </w:pPr>
      <w:r>
        <w:t>B.评标由招标人依法组建的评标委员会负责</w:t>
      </w:r>
      <w:r>
        <w:rPr>
          <w:spacing w:val="1"/>
        </w:rPr>
        <w:t xml:space="preserve"> </w:t>
      </w:r>
      <w:r>
        <w:rPr>
          <w:w w:val="95"/>
        </w:rPr>
        <w:t>C.中标通知书对招标人和中标人具有法律效力</w:t>
      </w:r>
    </w:p>
    <w:p>
      <w:pPr>
        <w:pStyle w:val="BodyText"/>
        <w:spacing w:before="1"/>
        <w:ind w:left="647"/>
      </w:pPr>
      <w:r>
        <w:t>D.评标委员会应当提出书面评标报告并确定中标人</w:t>
      </w:r>
    </w:p>
    <w:p>
      <w:pPr>
        <w:pStyle w:val="BodyText"/>
        <w:spacing w:before="108"/>
        <w:ind w:left="647"/>
      </w:pPr>
      <w:r>
        <w:t>E.招标人和中标人不得再行订立背离合同实质性内容的其他协议</w:t>
      </w:r>
    </w:p>
    <w:p>
      <w:pPr>
        <w:pStyle w:val="BodyText"/>
        <w:spacing w:before="103"/>
      </w:pPr>
      <w:r>
        <w:t>【答案】ABCE</w:t>
      </w:r>
    </w:p>
    <w:p>
      <w:pPr>
        <w:pStyle w:val="BodyText"/>
        <w:spacing w:before="105" w:line="333" w:lineRule="auto"/>
        <w:ind w:right="367"/>
      </w:pPr>
      <w:r>
        <w:pict>
          <v:shape id="docshape41" o:spid="_x0000_s1062" type="#_x0000_t202" style="width:82.8pt;height:19.9pt;margin-top:45.75pt;margin-left:48.3pt;mso-height-relative:page;mso-position-horizontal-relative:page;mso-width-relative:page;mso-wrap-distance-bottom:0;mso-wrap-distance-top:0;position:absolute;z-index:-251617280" coordsize="21600,21600" filled="f" stroked="t" strokecolor="black">
            <v:textbox inset="0,0,0,0">
              <w:txbxContent>
                <w:p>
                  <w:pPr>
                    <w:spacing w:before="1"/>
                    <w:ind w:left="1" w:right="0" w:firstLine="0"/>
                    <w:jc w:val="left"/>
                    <w:rPr>
                      <w:b/>
                      <w:sz w:val="24"/>
                    </w:rPr>
                  </w:pPr>
                  <w:r>
                    <w:rPr>
                      <w:b/>
                      <w:sz w:val="24"/>
                    </w:rPr>
                    <w:t>重要考点·19</w:t>
                  </w:r>
                </w:p>
              </w:txbxContent>
            </v:textbox>
            <w10:wrap type="topAndBottom"/>
          </v:shape>
        </w:pict>
      </w:r>
      <w:r>
        <w:rPr>
          <w:w w:val="95"/>
        </w:rPr>
        <w:t>【解析】选项</w:t>
      </w:r>
      <w:r>
        <w:rPr>
          <w:spacing w:val="138"/>
        </w:rPr>
        <w:t xml:space="preserve"> </w:t>
      </w:r>
      <w:r>
        <w:rPr>
          <w:w w:val="95"/>
        </w:rPr>
        <w:t>D</w:t>
      </w:r>
      <w:r>
        <w:rPr>
          <w:spacing w:val="143"/>
        </w:rPr>
        <w:t xml:space="preserve"> </w:t>
      </w:r>
      <w:r>
        <w:rPr>
          <w:w w:val="95"/>
        </w:rPr>
        <w:t>错误，评标委员会完成评标后，应当向招标人提出书面评标报告，并推荐合格的中标候选人。</w:t>
      </w:r>
      <w:r>
        <w:t>招标人据此确定中标人。招标人也可以授权评标委员会直接确定中标人。</w:t>
      </w:r>
    </w:p>
    <w:p>
      <w:pPr>
        <w:pStyle w:val="BodyText"/>
        <w:spacing w:before="5"/>
        <w:ind w:left="0"/>
        <w:rPr>
          <w:sz w:val="7"/>
        </w:rPr>
      </w:pPr>
    </w:p>
    <w:p>
      <w:pPr>
        <w:pStyle w:val="BodyText"/>
        <w:spacing w:before="70"/>
      </w:pPr>
      <w:r>
        <w:t>一、合同类型</w:t>
      </w:r>
    </w:p>
    <w:p>
      <w:pPr>
        <w:pStyle w:val="BodyText"/>
        <w:spacing w:before="108" w:line="333" w:lineRule="auto"/>
        <w:ind w:right="367"/>
        <w:jc w:val="both"/>
      </w:pPr>
      <w:r>
        <w:rPr>
          <w:w w:val="95"/>
        </w:rPr>
        <w:t>《民法典》合同编第二分编典型合同中明确了</w:t>
      </w:r>
      <w:r>
        <w:rPr>
          <w:spacing w:val="106"/>
        </w:rPr>
        <w:t xml:space="preserve"> </w:t>
      </w:r>
      <w:r>
        <w:rPr>
          <w:w w:val="95"/>
        </w:rPr>
        <w:t>19 类合同，即：买卖合同，供用电、水、气、热力合同，赠与合同，借款合同，保证合同，租赁合同，融资租贷合同，保理合同，承揽合同，建设工程合同，运输合同，技术</w:t>
      </w:r>
      <w:r>
        <w:rPr>
          <w:spacing w:val="206"/>
        </w:rPr>
        <w:t xml:space="preserve"> </w:t>
      </w:r>
      <w:r>
        <w:t>合同，保管合同，仓储合同，委托合同，物业服务合同，行纪合同，中介合同，合伙合同。</w:t>
      </w:r>
    </w:p>
    <w:p>
      <w:pPr>
        <w:pStyle w:val="BodyText"/>
        <w:spacing w:line="268" w:lineRule="exact"/>
      </w:pPr>
      <w:r>
        <w:rPr>
          <w:w w:val="95"/>
        </w:rPr>
        <w:t>其中，建设工程合同包括工程勘察、设计、施工合同；建筑工程监理合同、项目管理服务合同属于委托合同。</w:t>
      </w:r>
    </w:p>
    <w:p>
      <w:pPr>
        <w:pStyle w:val="BodyText"/>
        <w:spacing w:before="105"/>
      </w:pPr>
      <w:r>
        <w:rPr>
          <w:spacing w:val="1"/>
          <w:w w:val="95"/>
        </w:rPr>
        <w:t xml:space="preserve">【分值】考试形式为选择题，分值为 </w:t>
      </w:r>
      <w:r>
        <w:rPr>
          <w:w w:val="95"/>
        </w:rPr>
        <w:t>1-2</w:t>
      </w:r>
      <w:r>
        <w:rPr>
          <w:spacing w:val="3"/>
          <w:w w:val="95"/>
        </w:rPr>
        <w:t xml:space="preserve"> 分。</w:t>
      </w:r>
    </w:p>
    <w:p>
      <w:pPr>
        <w:pStyle w:val="BodyText"/>
        <w:spacing w:before="108"/>
      </w:pPr>
      <w:r>
        <w:t>【记忆方法】理解记忆</w:t>
      </w:r>
    </w:p>
    <w:p>
      <w:pPr>
        <w:pStyle w:val="BodyText"/>
        <w:spacing w:before="5"/>
        <w:ind w:left="0"/>
        <w:rPr>
          <w:sz w:val="7"/>
        </w:rPr>
      </w:pPr>
      <w:r>
        <w:pict>
          <v:shape id="docshape42" o:spid="_x0000_s1063" type="#_x0000_t202" style="width:82.8pt;height:19.9pt;margin-top:8.2pt;margin-left:48.3pt;mso-height-relative:page;mso-position-horizontal-relative:page;mso-width-relative:page;mso-wrap-distance-bottom:0;mso-wrap-distance-top:0;position:absolute;z-index:-251616256" coordsize="21600,21600" filled="f" stroked="t" strokecolor="black">
            <v:textbox inset="0,0,0,0">
              <w:txbxContent>
                <w:p>
                  <w:pPr>
                    <w:spacing w:before="1"/>
                    <w:ind w:left="1" w:right="0" w:firstLine="0"/>
                    <w:jc w:val="left"/>
                    <w:rPr>
                      <w:b/>
                      <w:sz w:val="24"/>
                    </w:rPr>
                  </w:pPr>
                  <w:r>
                    <w:rPr>
                      <w:b/>
                      <w:sz w:val="24"/>
                    </w:rPr>
                    <w:t>精选习题·19</w:t>
                  </w:r>
                </w:p>
              </w:txbxContent>
            </v:textbox>
            <w10:wrap type="topAndBottom"/>
          </v:shape>
        </w:pict>
      </w:r>
    </w:p>
    <w:p>
      <w:pPr>
        <w:pStyle w:val="BodyText"/>
        <w:spacing w:before="5"/>
        <w:ind w:left="0"/>
        <w:rPr>
          <w:sz w:val="7"/>
        </w:rPr>
      </w:pPr>
    </w:p>
    <w:p>
      <w:pPr>
        <w:pStyle w:val="BodyText"/>
        <w:tabs>
          <w:tab w:val="left" w:pos="5687"/>
        </w:tabs>
        <w:spacing w:before="70" w:line="336" w:lineRule="auto"/>
        <w:ind w:left="647" w:right="4682" w:hanging="420"/>
      </w:pPr>
      <w:r>
        <w:t>【2022】根据《民法典》合同编，工程设计合同属于（</w:t>
      </w:r>
      <w:r>
        <w:tab/>
      </w:r>
      <w:r>
        <w:rPr>
          <w:spacing w:val="-104"/>
        </w:rPr>
        <w:t>）</w:t>
      </w:r>
      <w:r>
        <w:rPr>
          <w:spacing w:val="-3"/>
        </w:rPr>
        <w:t>。</w:t>
      </w:r>
      <w:r>
        <w:t>A.建设工程合同</w:t>
      </w:r>
    </w:p>
    <w:p>
      <w:pPr>
        <w:pStyle w:val="BodyText"/>
        <w:spacing w:line="333" w:lineRule="auto"/>
        <w:ind w:left="647" w:right="8990"/>
      </w:pPr>
      <w:r>
        <w:rPr>
          <w:spacing w:val="-1"/>
        </w:rPr>
        <w:t>B.承揽合同C.委托合同</w:t>
      </w:r>
    </w:p>
    <w:p>
      <w:pPr>
        <w:spacing w:after="0" w:line="333" w:lineRule="auto"/>
        <w:sectPr>
          <w:headerReference w:type="default" r:id="rId22"/>
          <w:pgSz w:w="11910" w:h="16840"/>
          <w:pgMar w:top="1180" w:right="540" w:bottom="280" w:left="680" w:header="993" w:footer="0" w:gutter="0"/>
          <w:pgNumType w:start="18"/>
          <w:cols w:space="708"/>
        </w:sectPr>
      </w:pPr>
    </w:p>
    <w:p>
      <w:pPr>
        <w:pStyle w:val="BodyText"/>
        <w:spacing w:before="54"/>
        <w:ind w:left="647"/>
      </w:pPr>
      <w:r>
        <w:t>D.技术合同</w:t>
      </w:r>
    </w:p>
    <w:p>
      <w:pPr>
        <w:pStyle w:val="BodyText"/>
        <w:spacing w:before="103"/>
      </w:pPr>
      <w:r>
        <w:t>【答案】A</w:t>
      </w:r>
    </w:p>
    <w:p>
      <w:pPr>
        <w:pStyle w:val="BodyText"/>
        <w:spacing w:before="105" w:line="336" w:lineRule="auto"/>
        <w:ind w:right="367"/>
      </w:pPr>
      <w:r>
        <w:pict>
          <v:shape id="docshape43" o:spid="_x0000_s1064" type="#_x0000_t202" style="width:82.8pt;height:19.9pt;margin-top:45.75pt;margin-left:48.3pt;mso-height-relative:page;mso-position-horizontal-relative:page;mso-width-relative:page;mso-wrap-distance-bottom:0;mso-wrap-distance-top:0;position:absolute;z-index:-251615232" coordsize="21600,21600" filled="f" stroked="t" strokecolor="black">
            <v:textbox inset="0,0,0,0">
              <w:txbxContent>
                <w:p>
                  <w:pPr>
                    <w:spacing w:before="1"/>
                    <w:ind w:left="1" w:right="0" w:firstLine="0"/>
                    <w:jc w:val="left"/>
                    <w:rPr>
                      <w:b/>
                      <w:sz w:val="24"/>
                    </w:rPr>
                  </w:pPr>
                  <w:r>
                    <w:rPr>
                      <w:b/>
                      <w:sz w:val="24"/>
                    </w:rPr>
                    <w:t>重要考点·20</w:t>
                  </w:r>
                </w:p>
              </w:txbxContent>
            </v:textbox>
            <w10:wrap type="topAndBottom"/>
          </v:shape>
        </w:pict>
      </w:r>
      <w:r>
        <w:rPr>
          <w:w w:val="95"/>
        </w:rPr>
        <w:t>【解析】建设工程合同包括工程勘察、设计、施工合同；建设工程监理合同、项目管理服务合同则属于委托合</w:t>
      </w:r>
      <w:r>
        <w:rPr>
          <w:spacing w:val="206"/>
        </w:rPr>
        <w:t xml:space="preserve"> </w:t>
      </w:r>
      <w:r>
        <w:t>同。</w:t>
      </w:r>
    </w:p>
    <w:p>
      <w:pPr>
        <w:pStyle w:val="BodyText"/>
        <w:spacing w:before="5"/>
        <w:ind w:left="0"/>
        <w:rPr>
          <w:sz w:val="7"/>
        </w:rPr>
      </w:pPr>
    </w:p>
    <w:p>
      <w:pPr>
        <w:pStyle w:val="BodyText"/>
        <w:spacing w:before="70"/>
      </w:pPr>
      <w:r>
        <w:t>（1）合同订立程序</w:t>
      </w:r>
    </w:p>
    <w:p>
      <w:pPr>
        <w:pStyle w:val="BodyText"/>
        <w:spacing w:before="107"/>
      </w:pPr>
      <w:r>
        <w:t>当事人订立合同，可以采取要约、承诺方式或者其他方式。</w:t>
      </w:r>
    </w:p>
    <w:p>
      <w:pPr>
        <w:pStyle w:val="BodyText"/>
        <w:spacing w:before="103" w:after="56"/>
      </w:pPr>
      <w:r>
        <w:t>①要约：是希望与他人订立合同的意思表示。</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38"/>
        <w:gridCol w:w="7384"/>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122"/>
        </w:trPr>
        <w:tc>
          <w:tcPr>
            <w:tcW w:w="1138" w:type="dxa"/>
          </w:tcPr>
          <w:p>
            <w:pPr>
              <w:pStyle w:val="TableParagraph"/>
              <w:rPr>
                <w:sz w:val="20"/>
              </w:rPr>
            </w:pPr>
          </w:p>
          <w:p>
            <w:pPr>
              <w:pStyle w:val="TableParagraph"/>
              <w:spacing w:before="168"/>
              <w:ind w:left="107"/>
              <w:rPr>
                <w:sz w:val="21"/>
              </w:rPr>
            </w:pPr>
            <w:r>
              <w:rPr>
                <w:sz w:val="21"/>
              </w:rPr>
              <w:t>要约条件</w:t>
            </w:r>
          </w:p>
        </w:tc>
        <w:tc>
          <w:tcPr>
            <w:tcW w:w="7384" w:type="dxa"/>
          </w:tcPr>
          <w:p>
            <w:pPr>
              <w:pStyle w:val="TableParagraph"/>
              <w:spacing w:before="50" w:line="333" w:lineRule="auto"/>
              <w:ind w:left="107" w:right="97"/>
              <w:rPr>
                <w:sz w:val="21"/>
              </w:rPr>
            </w:pPr>
            <w:r>
              <w:rPr>
                <w:w w:val="95"/>
                <w:sz w:val="21"/>
              </w:rPr>
              <w:t>要约应当符合如下规定：a.内容具体确定；b.表明经受要约人承诺，要约人即</w:t>
            </w:r>
            <w:r>
              <w:rPr>
                <w:spacing w:val="88"/>
                <w:w w:val="95"/>
                <w:sz w:val="21"/>
              </w:rPr>
              <w:t xml:space="preserve"> </w:t>
            </w:r>
            <w:r>
              <w:rPr>
                <w:w w:val="95"/>
                <w:sz w:val="21"/>
              </w:rPr>
              <w:t>受该意思表示约束。也就是说，要约必须是特定人的意思表示，必须是以缔结</w:t>
            </w:r>
          </w:p>
          <w:p>
            <w:pPr>
              <w:pStyle w:val="TableParagraph"/>
              <w:spacing w:before="1"/>
              <w:ind w:left="107"/>
              <w:rPr>
                <w:sz w:val="21"/>
              </w:rPr>
            </w:pPr>
            <w:r>
              <w:rPr>
                <w:sz w:val="21"/>
              </w:rPr>
              <w:t>合同为目的，必须具备合同的主要条款。</w:t>
            </w:r>
          </w:p>
        </w:tc>
      </w:tr>
      <w:tr>
        <w:tblPrEx>
          <w:tblW w:w="0" w:type="auto"/>
          <w:tblInd w:w="124" w:type="dxa"/>
          <w:tblLayout w:type="fixed"/>
          <w:tblCellMar>
            <w:top w:w="0" w:type="dxa"/>
            <w:left w:w="0" w:type="dxa"/>
            <w:bottom w:w="0" w:type="dxa"/>
            <w:right w:w="0" w:type="dxa"/>
          </w:tblCellMar>
        </w:tblPrEx>
        <w:trPr>
          <w:trHeight w:val="1871"/>
        </w:trPr>
        <w:tc>
          <w:tcPr>
            <w:tcW w:w="1138" w:type="dxa"/>
          </w:tcPr>
          <w:p>
            <w:pPr>
              <w:pStyle w:val="TableParagraph"/>
              <w:rPr>
                <w:sz w:val="20"/>
              </w:rPr>
            </w:pPr>
          </w:p>
          <w:p>
            <w:pPr>
              <w:pStyle w:val="TableParagraph"/>
              <w:rPr>
                <w:sz w:val="20"/>
              </w:rPr>
            </w:pPr>
          </w:p>
          <w:p>
            <w:pPr>
              <w:pStyle w:val="TableParagraph"/>
              <w:spacing w:before="6"/>
              <w:rPr>
                <w:sz w:val="22"/>
              </w:rPr>
            </w:pPr>
          </w:p>
          <w:p>
            <w:pPr>
              <w:pStyle w:val="TableParagraph"/>
              <w:ind w:left="107"/>
              <w:rPr>
                <w:sz w:val="21"/>
              </w:rPr>
            </w:pPr>
            <w:r>
              <w:rPr>
                <w:sz w:val="21"/>
              </w:rPr>
              <w:t>要约邀请</w:t>
            </w:r>
          </w:p>
        </w:tc>
        <w:tc>
          <w:tcPr>
            <w:tcW w:w="7384" w:type="dxa"/>
          </w:tcPr>
          <w:p>
            <w:pPr>
              <w:pStyle w:val="TableParagraph"/>
              <w:spacing w:before="52" w:line="333" w:lineRule="auto"/>
              <w:ind w:left="107" w:right="-15"/>
              <w:rPr>
                <w:sz w:val="21"/>
              </w:rPr>
            </w:pPr>
            <w:r>
              <w:rPr>
                <w:sz w:val="21"/>
              </w:rPr>
              <w:t>所谓要约邀请，是希望他人向自己发出要约的意思表示。要约邀请是当事人订立合同的预备行为，这种表示的内容往往不确定，不含有合同得以成立的主要</w:t>
            </w:r>
            <w:r>
              <w:rPr>
                <w:w w:val="95"/>
                <w:sz w:val="21"/>
              </w:rPr>
              <w:t>内容和相对人同意后受其约束的表示，在法律上无需承担责任。寄送的价目表、</w:t>
            </w:r>
            <w:r>
              <w:rPr>
                <w:spacing w:val="1"/>
                <w:w w:val="95"/>
                <w:sz w:val="21"/>
              </w:rPr>
              <w:t xml:space="preserve"> </w:t>
            </w:r>
            <w:r>
              <w:rPr>
                <w:sz w:val="21"/>
              </w:rPr>
              <w:t>拍卖公告、招标公告、招股说明书、商业广告等为要约邀请。商业广告和宣传</w:t>
            </w:r>
          </w:p>
          <w:p>
            <w:pPr>
              <w:pStyle w:val="TableParagraph"/>
              <w:spacing w:before="2"/>
              <w:ind w:left="107"/>
              <w:rPr>
                <w:sz w:val="21"/>
              </w:rPr>
            </w:pPr>
            <w:r>
              <w:rPr>
                <w:sz w:val="21"/>
              </w:rPr>
              <w:t>的内容符合要约规定的，构成要约。</w:t>
            </w:r>
          </w:p>
        </w:tc>
      </w:tr>
      <w:tr>
        <w:tblPrEx>
          <w:tblW w:w="0" w:type="auto"/>
          <w:tblInd w:w="124" w:type="dxa"/>
          <w:tblLayout w:type="fixed"/>
          <w:tblCellMar>
            <w:top w:w="0" w:type="dxa"/>
            <w:left w:w="0" w:type="dxa"/>
            <w:bottom w:w="0" w:type="dxa"/>
            <w:right w:w="0" w:type="dxa"/>
          </w:tblCellMar>
        </w:tblPrEx>
        <w:trPr>
          <w:trHeight w:val="374"/>
        </w:trPr>
        <w:tc>
          <w:tcPr>
            <w:tcW w:w="1138" w:type="dxa"/>
          </w:tcPr>
          <w:p>
            <w:pPr>
              <w:pStyle w:val="TableParagraph"/>
              <w:spacing w:before="51"/>
              <w:ind w:left="107"/>
              <w:rPr>
                <w:sz w:val="21"/>
              </w:rPr>
            </w:pPr>
            <w:r>
              <w:rPr>
                <w:sz w:val="21"/>
              </w:rPr>
              <w:t>要约生效</w:t>
            </w:r>
          </w:p>
        </w:tc>
        <w:tc>
          <w:tcPr>
            <w:tcW w:w="7384" w:type="dxa"/>
          </w:tcPr>
          <w:p>
            <w:pPr>
              <w:pStyle w:val="TableParagraph"/>
              <w:spacing w:before="51"/>
              <w:ind w:left="107"/>
              <w:rPr>
                <w:sz w:val="21"/>
              </w:rPr>
            </w:pPr>
            <w:r>
              <w:rPr>
                <w:sz w:val="21"/>
              </w:rPr>
              <w:t>要约到达受要约人时生效。</w:t>
            </w:r>
          </w:p>
        </w:tc>
      </w:tr>
      <w:tr>
        <w:tblPrEx>
          <w:tblW w:w="0" w:type="auto"/>
          <w:tblInd w:w="124" w:type="dxa"/>
          <w:tblLayout w:type="fixed"/>
          <w:tblCellMar>
            <w:top w:w="0" w:type="dxa"/>
            <w:left w:w="0" w:type="dxa"/>
            <w:bottom w:w="0" w:type="dxa"/>
            <w:right w:w="0" w:type="dxa"/>
          </w:tblCellMar>
        </w:tblPrEx>
        <w:trPr>
          <w:trHeight w:val="375"/>
        </w:trPr>
        <w:tc>
          <w:tcPr>
            <w:tcW w:w="1138" w:type="dxa"/>
          </w:tcPr>
          <w:p>
            <w:pPr>
              <w:pStyle w:val="TableParagraph"/>
              <w:spacing w:before="52"/>
              <w:ind w:left="107"/>
              <w:rPr>
                <w:sz w:val="21"/>
              </w:rPr>
            </w:pPr>
            <w:r>
              <w:rPr>
                <w:sz w:val="21"/>
              </w:rPr>
              <w:t>要约撤回</w:t>
            </w:r>
          </w:p>
        </w:tc>
        <w:tc>
          <w:tcPr>
            <w:tcW w:w="7384" w:type="dxa"/>
          </w:tcPr>
          <w:p>
            <w:pPr>
              <w:pStyle w:val="TableParagraph"/>
              <w:spacing w:before="52"/>
              <w:ind w:left="107"/>
              <w:rPr>
                <w:sz w:val="21"/>
              </w:rPr>
            </w:pPr>
            <w:r>
              <w:rPr>
                <w:sz w:val="21"/>
              </w:rPr>
              <w:t>撤回要约的通知应当在要约到达受要约人之前或者与要约同时到达受要约人。</w:t>
            </w:r>
          </w:p>
        </w:tc>
      </w:tr>
      <w:tr>
        <w:tblPrEx>
          <w:tblW w:w="0" w:type="auto"/>
          <w:tblInd w:w="124" w:type="dxa"/>
          <w:tblLayout w:type="fixed"/>
          <w:tblCellMar>
            <w:top w:w="0" w:type="dxa"/>
            <w:left w:w="0" w:type="dxa"/>
            <w:bottom w:w="0" w:type="dxa"/>
            <w:right w:w="0" w:type="dxa"/>
          </w:tblCellMar>
        </w:tblPrEx>
        <w:trPr>
          <w:trHeight w:val="1122"/>
        </w:trPr>
        <w:tc>
          <w:tcPr>
            <w:tcW w:w="1138" w:type="dxa"/>
            <w:vMerge w:val="restart"/>
          </w:tcPr>
          <w:p>
            <w:pPr>
              <w:pStyle w:val="TableParagraph"/>
              <w:rPr>
                <w:sz w:val="20"/>
              </w:rPr>
            </w:pPr>
          </w:p>
          <w:p>
            <w:pPr>
              <w:pStyle w:val="TableParagraph"/>
              <w:rPr>
                <w:sz w:val="20"/>
              </w:rPr>
            </w:pPr>
          </w:p>
          <w:p>
            <w:pPr>
              <w:pStyle w:val="TableParagraph"/>
              <w:rPr>
                <w:sz w:val="20"/>
              </w:rPr>
            </w:pPr>
          </w:p>
          <w:p>
            <w:pPr>
              <w:pStyle w:val="TableParagraph"/>
              <w:spacing w:before="5"/>
              <w:rPr>
                <w:sz w:val="17"/>
              </w:rPr>
            </w:pPr>
          </w:p>
          <w:p>
            <w:pPr>
              <w:pStyle w:val="TableParagraph"/>
              <w:ind w:left="107"/>
              <w:rPr>
                <w:sz w:val="21"/>
              </w:rPr>
            </w:pPr>
            <w:r>
              <w:rPr>
                <w:sz w:val="21"/>
              </w:rPr>
              <w:t>要约撤销</w:t>
            </w:r>
          </w:p>
        </w:tc>
        <w:tc>
          <w:tcPr>
            <w:tcW w:w="7384" w:type="dxa"/>
          </w:tcPr>
          <w:p>
            <w:pPr>
              <w:pStyle w:val="TableParagraph"/>
              <w:spacing w:before="50"/>
              <w:ind w:left="107"/>
              <w:rPr>
                <w:sz w:val="21"/>
              </w:rPr>
            </w:pPr>
            <w:r>
              <w:rPr>
                <w:w w:val="95"/>
                <w:sz w:val="21"/>
              </w:rPr>
              <w:t>撤销要约的意思表示以对话方式作出的，该意思表示的内容应当在受要约人作</w:t>
            </w:r>
          </w:p>
          <w:p>
            <w:pPr>
              <w:pStyle w:val="TableParagraph"/>
              <w:spacing w:before="5" w:line="370" w:lineRule="atLeast"/>
              <w:ind w:left="107" w:right="98"/>
              <w:rPr>
                <w:sz w:val="21"/>
              </w:rPr>
            </w:pPr>
            <w:r>
              <w:rPr>
                <w:w w:val="95"/>
                <w:sz w:val="21"/>
              </w:rPr>
              <w:t>出承诺之前为受要约人所知道；撤销要约的意思表示以非对话方式作出的，应</w:t>
            </w:r>
            <w:r>
              <w:rPr>
                <w:spacing w:val="77"/>
                <w:w w:val="95"/>
                <w:sz w:val="21"/>
              </w:rPr>
              <w:t xml:space="preserve"> </w:t>
            </w:r>
            <w:r>
              <w:rPr>
                <w:sz w:val="21"/>
              </w:rPr>
              <w:t>当在受要约人作出承诺之前到达受要约人。</w:t>
            </w:r>
          </w:p>
        </w:tc>
      </w:tr>
      <w:tr>
        <w:tblPrEx>
          <w:tblW w:w="0" w:type="auto"/>
          <w:tblInd w:w="124" w:type="dxa"/>
          <w:tblLayout w:type="fixed"/>
          <w:tblCellMar>
            <w:top w:w="0" w:type="dxa"/>
            <w:left w:w="0" w:type="dxa"/>
            <w:bottom w:w="0" w:type="dxa"/>
            <w:right w:w="0" w:type="dxa"/>
          </w:tblCellMar>
        </w:tblPrEx>
        <w:trPr>
          <w:trHeight w:val="1122"/>
        </w:trPr>
        <w:tc>
          <w:tcPr>
            <w:tcW w:w="1138" w:type="dxa"/>
            <w:vMerge/>
            <w:tcBorders>
              <w:top w:val="nil"/>
            </w:tcBorders>
          </w:tcPr>
          <w:p>
            <w:pPr>
              <w:rPr>
                <w:sz w:val="2"/>
                <w:szCs w:val="2"/>
              </w:rPr>
            </w:pPr>
          </w:p>
        </w:tc>
        <w:tc>
          <w:tcPr>
            <w:tcW w:w="7384" w:type="dxa"/>
          </w:tcPr>
          <w:p>
            <w:pPr>
              <w:pStyle w:val="TableParagraph"/>
              <w:spacing w:before="53" w:line="331" w:lineRule="auto"/>
              <w:ind w:left="107" w:right="97"/>
              <w:rPr>
                <w:sz w:val="21"/>
              </w:rPr>
            </w:pPr>
            <w:r>
              <w:rPr>
                <w:w w:val="95"/>
                <w:sz w:val="21"/>
              </w:rPr>
              <w:t>但有下列情形之一的，要约不得撤销：a.要约人已经确定承诺期限或者以其他</w:t>
            </w:r>
            <w:r>
              <w:rPr>
                <w:spacing w:val="88"/>
                <w:w w:val="95"/>
                <w:sz w:val="21"/>
              </w:rPr>
              <w:t xml:space="preserve"> </w:t>
            </w:r>
            <w:r>
              <w:rPr>
                <w:w w:val="95"/>
                <w:sz w:val="21"/>
              </w:rPr>
              <w:t>形式明示要约不可撤销；b.受要约人有理由认为要约是不可撤销的，并已经为</w:t>
            </w:r>
          </w:p>
          <w:p>
            <w:pPr>
              <w:pStyle w:val="TableParagraph"/>
              <w:spacing w:before="3"/>
              <w:ind w:left="107"/>
              <w:rPr>
                <w:sz w:val="21"/>
              </w:rPr>
            </w:pPr>
            <w:r>
              <w:rPr>
                <w:sz w:val="21"/>
              </w:rPr>
              <w:t>履行合同作了准备工作。</w:t>
            </w:r>
          </w:p>
        </w:tc>
      </w:tr>
      <w:tr>
        <w:tblPrEx>
          <w:tblW w:w="0" w:type="auto"/>
          <w:tblInd w:w="124" w:type="dxa"/>
          <w:tblLayout w:type="fixed"/>
          <w:tblCellMar>
            <w:top w:w="0" w:type="dxa"/>
            <w:left w:w="0" w:type="dxa"/>
            <w:bottom w:w="0" w:type="dxa"/>
            <w:right w:w="0" w:type="dxa"/>
          </w:tblCellMar>
        </w:tblPrEx>
        <w:trPr>
          <w:trHeight w:val="749"/>
        </w:trPr>
        <w:tc>
          <w:tcPr>
            <w:tcW w:w="1138" w:type="dxa"/>
          </w:tcPr>
          <w:p>
            <w:pPr>
              <w:pStyle w:val="TableParagraph"/>
              <w:spacing w:before="6"/>
              <w:rPr>
                <w:sz w:val="18"/>
              </w:rPr>
            </w:pPr>
          </w:p>
          <w:p>
            <w:pPr>
              <w:pStyle w:val="TableParagraph"/>
              <w:spacing w:before="1"/>
              <w:ind w:left="107"/>
              <w:rPr>
                <w:sz w:val="21"/>
              </w:rPr>
            </w:pPr>
            <w:r>
              <w:rPr>
                <w:sz w:val="21"/>
              </w:rPr>
              <w:t>要约失效</w:t>
            </w:r>
          </w:p>
        </w:tc>
        <w:tc>
          <w:tcPr>
            <w:tcW w:w="7384" w:type="dxa"/>
          </w:tcPr>
          <w:p>
            <w:pPr>
              <w:pStyle w:val="TableParagraph"/>
              <w:spacing w:before="53"/>
              <w:ind w:left="107"/>
              <w:rPr>
                <w:sz w:val="21"/>
              </w:rPr>
            </w:pPr>
            <w:r>
              <w:rPr>
                <w:sz w:val="21"/>
              </w:rPr>
              <w:t>a.要约被拒绝；b.要约被依法撤销；c.承诺期限届满，受要约人未作出承诺；</w:t>
            </w:r>
          </w:p>
          <w:p>
            <w:pPr>
              <w:pStyle w:val="TableParagraph"/>
              <w:spacing w:before="105"/>
              <w:ind w:left="107"/>
              <w:rPr>
                <w:sz w:val="21"/>
              </w:rPr>
            </w:pPr>
            <w:r>
              <w:rPr>
                <w:sz w:val="21"/>
              </w:rPr>
              <w:t>d.受要约人对要约的内容作出实质性变更。</w:t>
            </w:r>
          </w:p>
        </w:tc>
      </w:tr>
    </w:tbl>
    <w:p>
      <w:pPr>
        <w:pStyle w:val="BodyText"/>
        <w:spacing w:before="56" w:after="53"/>
      </w:pPr>
      <w:r>
        <w:t>②承诺：是受要约人同意要约的意思表示。</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00"/>
        <w:gridCol w:w="7322"/>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748"/>
        </w:trPr>
        <w:tc>
          <w:tcPr>
            <w:tcW w:w="1200" w:type="dxa"/>
          </w:tcPr>
          <w:p>
            <w:pPr>
              <w:pStyle w:val="TableParagraph"/>
              <w:spacing w:before="6"/>
              <w:rPr>
                <w:sz w:val="18"/>
              </w:rPr>
            </w:pPr>
          </w:p>
          <w:p>
            <w:pPr>
              <w:pStyle w:val="TableParagraph"/>
              <w:ind w:left="107"/>
              <w:rPr>
                <w:sz w:val="21"/>
              </w:rPr>
            </w:pPr>
            <w:r>
              <w:rPr>
                <w:sz w:val="21"/>
              </w:rPr>
              <w:t>承诺方式</w:t>
            </w:r>
          </w:p>
        </w:tc>
        <w:tc>
          <w:tcPr>
            <w:tcW w:w="7322" w:type="dxa"/>
          </w:tcPr>
          <w:p>
            <w:pPr>
              <w:pStyle w:val="TableParagraph"/>
              <w:spacing w:before="52"/>
              <w:ind w:left="107"/>
              <w:rPr>
                <w:sz w:val="21"/>
              </w:rPr>
            </w:pPr>
            <w:r>
              <w:rPr>
                <w:spacing w:val="-1"/>
                <w:sz w:val="21"/>
              </w:rPr>
              <w:t>除根据交易习惯或要约表明可以通过行为作出承诺之外，承诺应当以通知的方</w:t>
            </w:r>
          </w:p>
          <w:p>
            <w:pPr>
              <w:pStyle w:val="TableParagraph"/>
              <w:spacing w:before="105"/>
              <w:ind w:left="107"/>
              <w:rPr>
                <w:sz w:val="21"/>
              </w:rPr>
            </w:pPr>
            <w:r>
              <w:rPr>
                <w:sz w:val="21"/>
              </w:rPr>
              <w:t>式作出。</w:t>
            </w:r>
          </w:p>
        </w:tc>
      </w:tr>
      <w:tr>
        <w:tblPrEx>
          <w:tblW w:w="0" w:type="auto"/>
          <w:tblInd w:w="124" w:type="dxa"/>
          <w:tblLayout w:type="fixed"/>
          <w:tblCellMar>
            <w:top w:w="0" w:type="dxa"/>
            <w:left w:w="0" w:type="dxa"/>
            <w:bottom w:w="0" w:type="dxa"/>
            <w:right w:w="0" w:type="dxa"/>
          </w:tblCellMar>
        </w:tblPrEx>
        <w:trPr>
          <w:trHeight w:val="2247"/>
        </w:trPr>
        <w:tc>
          <w:tcPr>
            <w:tcW w:w="1200" w:type="dxa"/>
          </w:tcPr>
          <w:p>
            <w:pPr>
              <w:pStyle w:val="TableParagraph"/>
              <w:rPr>
                <w:sz w:val="20"/>
              </w:rPr>
            </w:pPr>
          </w:p>
          <w:p>
            <w:pPr>
              <w:pStyle w:val="TableParagraph"/>
              <w:rPr>
                <w:sz w:val="20"/>
              </w:rPr>
            </w:pPr>
          </w:p>
          <w:p>
            <w:pPr>
              <w:pStyle w:val="TableParagraph"/>
              <w:rPr>
                <w:sz w:val="20"/>
              </w:rPr>
            </w:pPr>
          </w:p>
          <w:p>
            <w:pPr>
              <w:pStyle w:val="TableParagraph"/>
              <w:spacing w:before="1"/>
              <w:rPr>
                <w:sz w:val="17"/>
              </w:rPr>
            </w:pPr>
          </w:p>
          <w:p>
            <w:pPr>
              <w:pStyle w:val="TableParagraph"/>
              <w:ind w:left="107"/>
              <w:rPr>
                <w:sz w:val="21"/>
              </w:rPr>
            </w:pPr>
            <w:r>
              <w:rPr>
                <w:sz w:val="21"/>
              </w:rPr>
              <w:t>承诺期限</w:t>
            </w:r>
          </w:p>
        </w:tc>
        <w:tc>
          <w:tcPr>
            <w:tcW w:w="7322" w:type="dxa"/>
          </w:tcPr>
          <w:p>
            <w:pPr>
              <w:pStyle w:val="TableParagraph"/>
              <w:spacing w:before="51" w:line="333" w:lineRule="auto"/>
              <w:ind w:left="107" w:right="97"/>
              <w:jc w:val="both"/>
              <w:rPr>
                <w:sz w:val="21"/>
              </w:rPr>
            </w:pPr>
            <w:r>
              <w:rPr>
                <w:w w:val="95"/>
                <w:sz w:val="21"/>
              </w:rPr>
              <w:t>承诺应当在要约确定的期限内到达要约人。要约没有确定承诺期限的，承诺应</w:t>
            </w:r>
            <w:r>
              <w:rPr>
                <w:spacing w:val="26"/>
                <w:w w:val="95"/>
                <w:sz w:val="21"/>
              </w:rPr>
              <w:t xml:space="preserve"> </w:t>
            </w:r>
            <w:r>
              <w:rPr>
                <w:w w:val="95"/>
                <w:sz w:val="21"/>
              </w:rPr>
              <w:t>当依照下列规定到达：a.除非当事人另有约定，以对话方式作出的要约，应当</w:t>
            </w:r>
            <w:r>
              <w:rPr>
                <w:spacing w:val="26"/>
                <w:w w:val="95"/>
                <w:sz w:val="21"/>
              </w:rPr>
              <w:t xml:space="preserve"> </w:t>
            </w:r>
            <w:r>
              <w:rPr>
                <w:w w:val="95"/>
                <w:sz w:val="21"/>
              </w:rPr>
              <w:t>即时作出承诺；b.以非对话方式作出的要约，承诺应当在合理期限内到达</w:t>
            </w:r>
            <w:r>
              <w:rPr>
                <w:spacing w:val="-149"/>
                <w:w w:val="95"/>
                <w:sz w:val="21"/>
              </w:rPr>
              <w:t>。</w:t>
            </w:r>
            <w:r>
              <w:rPr>
                <w:w w:val="95"/>
                <w:sz w:val="21"/>
              </w:rPr>
              <w:t>（以</w:t>
            </w:r>
            <w:r>
              <w:rPr>
                <w:spacing w:val="1"/>
                <w:w w:val="95"/>
                <w:sz w:val="21"/>
              </w:rPr>
              <w:t xml:space="preserve"> </w:t>
            </w:r>
            <w:r>
              <w:rPr>
                <w:w w:val="95"/>
                <w:sz w:val="21"/>
              </w:rPr>
              <w:t>信件或者电报作出的要约，承诺期限自信件载明的日期或者电报交发之日开始</w:t>
            </w:r>
            <w:r>
              <w:rPr>
                <w:spacing w:val="26"/>
                <w:w w:val="95"/>
                <w:sz w:val="21"/>
              </w:rPr>
              <w:t xml:space="preserve"> </w:t>
            </w:r>
            <w:r>
              <w:rPr>
                <w:w w:val="95"/>
                <w:sz w:val="21"/>
              </w:rPr>
              <w:t>计算。信件未载明日期的，自投寄该信件的邮戳日期开始计算。以电话、传真</w:t>
            </w:r>
          </w:p>
          <w:p>
            <w:pPr>
              <w:pStyle w:val="TableParagraph"/>
              <w:spacing w:before="2"/>
              <w:ind w:left="107"/>
              <w:rPr>
                <w:sz w:val="21"/>
              </w:rPr>
            </w:pPr>
            <w:r>
              <w:rPr>
                <w:spacing w:val="-4"/>
                <w:sz w:val="21"/>
              </w:rPr>
              <w:t>等快速通讯方式作出的要约，承诺期限自要约到达受要约人时开始计算。</w:t>
            </w:r>
            <w:r>
              <w:rPr>
                <w:sz w:val="21"/>
              </w:rPr>
              <w:t>）</w:t>
            </w:r>
          </w:p>
        </w:tc>
      </w:tr>
      <w:tr>
        <w:tblPrEx>
          <w:tblW w:w="0" w:type="auto"/>
          <w:tblInd w:w="124" w:type="dxa"/>
          <w:tblLayout w:type="fixed"/>
          <w:tblCellMar>
            <w:top w:w="0" w:type="dxa"/>
            <w:left w:w="0" w:type="dxa"/>
            <w:bottom w:w="0" w:type="dxa"/>
            <w:right w:w="0" w:type="dxa"/>
          </w:tblCellMar>
        </w:tblPrEx>
        <w:trPr>
          <w:trHeight w:val="746"/>
        </w:trPr>
        <w:tc>
          <w:tcPr>
            <w:tcW w:w="1200" w:type="dxa"/>
          </w:tcPr>
          <w:p>
            <w:pPr>
              <w:pStyle w:val="TableParagraph"/>
              <w:spacing w:before="7"/>
              <w:rPr>
                <w:sz w:val="18"/>
              </w:rPr>
            </w:pPr>
          </w:p>
          <w:p>
            <w:pPr>
              <w:pStyle w:val="TableParagraph"/>
              <w:ind w:left="107"/>
              <w:rPr>
                <w:sz w:val="21"/>
              </w:rPr>
            </w:pPr>
            <w:r>
              <w:rPr>
                <w:sz w:val="21"/>
              </w:rPr>
              <w:t>承诺生效</w:t>
            </w:r>
          </w:p>
        </w:tc>
        <w:tc>
          <w:tcPr>
            <w:tcW w:w="7322" w:type="dxa"/>
          </w:tcPr>
          <w:p>
            <w:pPr>
              <w:pStyle w:val="TableParagraph"/>
              <w:spacing w:before="50"/>
              <w:ind w:left="107"/>
              <w:rPr>
                <w:sz w:val="21"/>
              </w:rPr>
            </w:pPr>
            <w:r>
              <w:rPr>
                <w:spacing w:val="-1"/>
                <w:sz w:val="21"/>
              </w:rPr>
              <w:t>承诺通知到达要约人时生效。承诺不需要通知的，根据交易习惯或者要约的要</w:t>
            </w:r>
          </w:p>
          <w:p>
            <w:pPr>
              <w:pStyle w:val="TableParagraph"/>
              <w:spacing w:before="106"/>
              <w:ind w:left="107"/>
              <w:rPr>
                <w:sz w:val="21"/>
              </w:rPr>
            </w:pPr>
            <w:r>
              <w:rPr>
                <w:sz w:val="21"/>
              </w:rPr>
              <w:t>求作出承诺的行为时生效。</w:t>
            </w:r>
          </w:p>
        </w:tc>
      </w:tr>
    </w:tbl>
    <w:p>
      <w:pPr>
        <w:spacing w:after="0"/>
        <w:rPr>
          <w:sz w:val="21"/>
        </w:rPr>
        <w:sectPr>
          <w:headerReference w:type="default" r:id="rId23"/>
          <w:pgSz w:w="11910" w:h="16840"/>
          <w:pgMar w:top="1180" w:right="540" w:bottom="280" w:left="680" w:header="993" w:footer="0" w:gutter="0"/>
          <w:pgNumType w:start="19"/>
          <w:cols w:space="708"/>
        </w:sectPr>
      </w:pPr>
    </w:p>
    <w:tbl>
      <w:tblPr>
        <w:tblStyle w:val="TableNormal"/>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1200"/>
        <w:gridCol w:w="1058"/>
        <w:gridCol w:w="6264"/>
        <w:gridCol w:w="1678"/>
      </w:tblGrid>
      <w:tr>
        <w:tblPrEx>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746"/>
        </w:trPr>
        <w:tc>
          <w:tcPr>
            <w:tcW w:w="1200" w:type="dxa"/>
            <w:tcBorders>
              <w:left w:val="single" w:sz="4" w:space="0" w:color="000000"/>
              <w:bottom w:val="single" w:sz="4" w:space="0" w:color="000000"/>
              <w:right w:val="single" w:sz="4" w:space="0" w:color="000000"/>
            </w:tcBorders>
          </w:tcPr>
          <w:p>
            <w:pPr>
              <w:pStyle w:val="TableParagraph"/>
              <w:spacing w:before="4"/>
              <w:rPr>
                <w:sz w:val="18"/>
              </w:rPr>
            </w:pPr>
          </w:p>
          <w:p>
            <w:pPr>
              <w:pStyle w:val="TableParagraph"/>
              <w:ind w:left="107"/>
              <w:rPr>
                <w:sz w:val="21"/>
              </w:rPr>
            </w:pPr>
            <w:r>
              <w:rPr>
                <w:sz w:val="21"/>
              </w:rPr>
              <w:t>承诺撤回</w:t>
            </w:r>
          </w:p>
        </w:tc>
        <w:tc>
          <w:tcPr>
            <w:tcW w:w="7322" w:type="dxa"/>
            <w:gridSpan w:val="2"/>
            <w:tcBorders>
              <w:left w:val="single" w:sz="4" w:space="0" w:color="000000"/>
              <w:bottom w:val="single" w:sz="4" w:space="0" w:color="000000"/>
              <w:right w:val="single" w:sz="4" w:space="0" w:color="000000"/>
            </w:tcBorders>
          </w:tcPr>
          <w:p>
            <w:pPr>
              <w:pStyle w:val="TableParagraph"/>
              <w:spacing w:before="50"/>
              <w:ind w:left="107"/>
              <w:rPr>
                <w:sz w:val="21"/>
              </w:rPr>
            </w:pPr>
            <w:r>
              <w:rPr>
                <w:w w:val="95"/>
                <w:sz w:val="21"/>
              </w:rPr>
              <w:t>撤回承诺的通知应当在承诺通知到达要约人之前或者与承诺通知同时到达要</w:t>
            </w:r>
          </w:p>
          <w:p>
            <w:pPr>
              <w:pStyle w:val="TableParagraph"/>
              <w:spacing w:before="106"/>
              <w:ind w:left="107"/>
              <w:rPr>
                <w:sz w:val="21"/>
              </w:rPr>
            </w:pPr>
            <w:r>
              <w:rPr>
                <w:sz w:val="21"/>
              </w:rPr>
              <w:t>约人。</w:t>
            </w:r>
          </w:p>
        </w:tc>
        <w:tc>
          <w:tcPr>
            <w:tcW w:w="1678" w:type="dxa"/>
            <w:vMerge w:val="restart"/>
            <w:tcBorders>
              <w:top w:val="single" w:sz="6" w:space="0" w:color="000000"/>
              <w:left w:val="single" w:sz="4" w:space="0" w:color="000000"/>
              <w:bottom w:val="nil"/>
              <w:right w:val="nil"/>
            </w:tcBorders>
          </w:tcPr>
          <w:p>
            <w:pPr>
              <w:pStyle w:val="TableParagraph"/>
              <w:rPr>
                <w:rFonts w:ascii="Times New Roman"/>
                <w:sz w:val="20"/>
              </w:rPr>
            </w:pPr>
          </w:p>
        </w:tc>
      </w:tr>
      <w:tr>
        <w:tblPrEx>
          <w:tblW w:w="0" w:type="auto"/>
          <w:tblInd w:w="124" w:type="dxa"/>
          <w:tblLayout w:type="fixed"/>
          <w:tblCellMar>
            <w:top w:w="0" w:type="dxa"/>
            <w:left w:w="0" w:type="dxa"/>
            <w:bottom w:w="0" w:type="dxa"/>
            <w:right w:w="0" w:type="dxa"/>
          </w:tblCellMar>
        </w:tblPrEx>
        <w:trPr>
          <w:trHeight w:val="372"/>
        </w:trPr>
        <w:tc>
          <w:tcPr>
            <w:tcW w:w="1200"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322" w:type="dxa"/>
            <w:gridSpan w:val="2"/>
            <w:tcBorders>
              <w:top w:val="single" w:sz="4" w:space="0" w:color="000000"/>
              <w:left w:val="single" w:sz="4" w:space="0" w:color="000000"/>
              <w:bottom w:val="nil"/>
              <w:right w:val="single" w:sz="4" w:space="0" w:color="000000"/>
            </w:tcBorders>
          </w:tcPr>
          <w:p>
            <w:pPr>
              <w:pStyle w:val="TableParagraph"/>
              <w:spacing w:before="52"/>
              <w:ind w:left="107"/>
              <w:rPr>
                <w:sz w:val="21"/>
              </w:rPr>
            </w:pPr>
            <w:r>
              <w:rPr>
                <w:spacing w:val="-1"/>
                <w:sz w:val="21"/>
              </w:rPr>
              <w:t>受要约人超过承诺期限发出承诺，或者在承诺期限内发出承诺，按照通常情况</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3"/>
        </w:trPr>
        <w:tc>
          <w:tcPr>
            <w:tcW w:w="1200" w:type="dxa"/>
            <w:tcBorders>
              <w:top w:val="nil"/>
              <w:left w:val="single" w:sz="4" w:space="0" w:color="000000"/>
              <w:bottom w:val="nil"/>
              <w:right w:val="single" w:sz="4" w:space="0" w:color="000000"/>
            </w:tcBorders>
          </w:tcPr>
          <w:p>
            <w:pPr>
              <w:pStyle w:val="TableParagraph"/>
              <w:spacing w:before="51"/>
              <w:ind w:left="107"/>
              <w:rPr>
                <w:sz w:val="21"/>
              </w:rPr>
            </w:pPr>
            <w:r>
              <w:rPr>
                <w:sz w:val="21"/>
              </w:rPr>
              <w:t>逾期承诺</w:t>
            </w:r>
          </w:p>
        </w:tc>
        <w:tc>
          <w:tcPr>
            <w:tcW w:w="7322" w:type="dxa"/>
            <w:gridSpan w:val="2"/>
            <w:tcBorders>
              <w:top w:val="nil"/>
              <w:left w:val="single" w:sz="4" w:space="0" w:color="000000"/>
              <w:bottom w:val="nil"/>
              <w:right w:val="single" w:sz="4" w:space="0" w:color="000000"/>
            </w:tcBorders>
          </w:tcPr>
          <w:p>
            <w:pPr>
              <w:pStyle w:val="TableParagraph"/>
              <w:spacing w:before="51"/>
              <w:ind w:left="107"/>
              <w:rPr>
                <w:sz w:val="21"/>
              </w:rPr>
            </w:pPr>
            <w:r>
              <w:rPr>
                <w:spacing w:val="-1"/>
                <w:sz w:val="21"/>
              </w:rPr>
              <w:t>不能及时到达要约人的，为新要约。但要约人及时通知受要约人该承诺有效的</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6"/>
        </w:trPr>
        <w:tc>
          <w:tcPr>
            <w:tcW w:w="1200"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322" w:type="dxa"/>
            <w:gridSpan w:val="2"/>
            <w:tcBorders>
              <w:top w:val="nil"/>
              <w:left w:val="single" w:sz="4" w:space="0" w:color="000000"/>
              <w:bottom w:val="single" w:sz="4" w:space="0" w:color="000000"/>
              <w:right w:val="single" w:sz="4" w:space="0" w:color="000000"/>
            </w:tcBorders>
          </w:tcPr>
          <w:p>
            <w:pPr>
              <w:pStyle w:val="TableParagraph"/>
              <w:spacing w:before="52"/>
              <w:ind w:left="107"/>
              <w:rPr>
                <w:sz w:val="21"/>
              </w:rPr>
            </w:pPr>
            <w:r>
              <w:rPr>
                <w:sz w:val="21"/>
              </w:rPr>
              <w:t>除外。</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3"/>
        </w:trPr>
        <w:tc>
          <w:tcPr>
            <w:tcW w:w="1200"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058"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6264" w:type="dxa"/>
            <w:tcBorders>
              <w:top w:val="single" w:sz="4" w:space="0" w:color="000000"/>
              <w:left w:val="single" w:sz="4" w:space="0" w:color="000000"/>
              <w:bottom w:val="nil"/>
              <w:right w:val="single" w:sz="4" w:space="0" w:color="000000"/>
            </w:tcBorders>
          </w:tcPr>
          <w:p>
            <w:pPr>
              <w:pStyle w:val="TableParagraph"/>
              <w:spacing w:before="52"/>
              <w:ind w:left="108"/>
              <w:rPr>
                <w:sz w:val="21"/>
              </w:rPr>
            </w:pPr>
            <w:r>
              <w:rPr>
                <w:sz w:val="21"/>
              </w:rPr>
              <w:t>受要约人对要约的内容作出实质性变更（合同标的、数量、质量、</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6"/>
        </w:trPr>
        <w:tc>
          <w:tcPr>
            <w:tcW w:w="1200" w:type="dxa"/>
            <w:tcBorders>
              <w:top w:val="nil"/>
              <w:left w:val="single" w:sz="4" w:space="0" w:color="000000"/>
              <w:bottom w:val="nil"/>
              <w:right w:val="single" w:sz="4" w:space="0" w:color="000000"/>
            </w:tcBorders>
          </w:tcPr>
          <w:p>
            <w:pPr>
              <w:pStyle w:val="TableParagraph"/>
              <w:rPr>
                <w:rFonts w:ascii="Times New Roman"/>
                <w:sz w:val="20"/>
              </w:rPr>
            </w:pPr>
          </w:p>
        </w:tc>
        <w:tc>
          <w:tcPr>
            <w:tcW w:w="1058" w:type="dxa"/>
            <w:tcBorders>
              <w:top w:val="nil"/>
              <w:left w:val="single" w:sz="4" w:space="0" w:color="000000"/>
              <w:bottom w:val="nil"/>
              <w:right w:val="single" w:sz="4" w:space="0" w:color="000000"/>
            </w:tcBorders>
          </w:tcPr>
          <w:p>
            <w:pPr>
              <w:pStyle w:val="TableParagraph"/>
              <w:spacing w:before="57"/>
              <w:ind w:left="107"/>
              <w:rPr>
                <w:sz w:val="21"/>
              </w:rPr>
            </w:pPr>
            <w:r>
              <w:rPr>
                <w:w w:val="95"/>
                <w:sz w:val="21"/>
              </w:rPr>
              <w:t>承诺的内</w:t>
            </w:r>
          </w:p>
        </w:tc>
        <w:tc>
          <w:tcPr>
            <w:tcW w:w="6264" w:type="dxa"/>
            <w:tcBorders>
              <w:top w:val="nil"/>
              <w:left w:val="single" w:sz="4" w:space="0" w:color="000000"/>
              <w:bottom w:val="nil"/>
              <w:right w:val="single" w:sz="4" w:space="0" w:color="000000"/>
            </w:tcBorders>
          </w:tcPr>
          <w:p>
            <w:pPr>
              <w:pStyle w:val="TableParagraph"/>
              <w:spacing w:before="52"/>
              <w:ind w:left="108"/>
              <w:rPr>
                <w:sz w:val="21"/>
              </w:rPr>
            </w:pPr>
            <w:r>
              <w:rPr>
                <w:spacing w:val="-1"/>
                <w:sz w:val="21"/>
              </w:rPr>
              <w:t>价款或者报酬、履行期限、履行地点和方式、违约责任和解决争议</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2"/>
        </w:trPr>
        <w:tc>
          <w:tcPr>
            <w:tcW w:w="1200" w:type="dxa"/>
            <w:tcBorders>
              <w:top w:val="nil"/>
              <w:left w:val="single" w:sz="4" w:space="0" w:color="000000"/>
              <w:bottom w:val="nil"/>
              <w:right w:val="single" w:sz="4" w:space="0" w:color="000000"/>
            </w:tcBorders>
          </w:tcPr>
          <w:p>
            <w:pPr>
              <w:pStyle w:val="TableParagraph"/>
              <w:spacing w:before="54"/>
              <w:ind w:left="107"/>
              <w:rPr>
                <w:sz w:val="21"/>
              </w:rPr>
            </w:pPr>
            <w:r>
              <w:rPr>
                <w:spacing w:val="35"/>
                <w:sz w:val="21"/>
              </w:rPr>
              <w:t>要约内容</w:t>
            </w:r>
          </w:p>
        </w:tc>
        <w:tc>
          <w:tcPr>
            <w:tcW w:w="1058" w:type="dxa"/>
            <w:tcBorders>
              <w:top w:val="nil"/>
              <w:left w:val="single" w:sz="4" w:space="0" w:color="000000"/>
              <w:bottom w:val="nil"/>
              <w:right w:val="single" w:sz="4" w:space="0" w:color="000000"/>
            </w:tcBorders>
          </w:tcPr>
          <w:p>
            <w:pPr>
              <w:pStyle w:val="TableParagraph"/>
              <w:spacing w:before="54"/>
              <w:ind w:left="107"/>
              <w:rPr>
                <w:sz w:val="21"/>
              </w:rPr>
            </w:pPr>
            <w:r>
              <w:rPr>
                <w:w w:val="95"/>
                <w:sz w:val="21"/>
              </w:rPr>
              <w:t>容应当与</w:t>
            </w:r>
          </w:p>
        </w:tc>
        <w:tc>
          <w:tcPr>
            <w:tcW w:w="6264" w:type="dxa"/>
            <w:tcBorders>
              <w:top w:val="nil"/>
              <w:left w:val="single" w:sz="4" w:space="0" w:color="000000"/>
              <w:bottom w:val="single" w:sz="4" w:space="0" w:color="000000"/>
              <w:right w:val="single" w:sz="4" w:space="0" w:color="000000"/>
            </w:tcBorders>
          </w:tcPr>
          <w:p>
            <w:pPr>
              <w:pStyle w:val="TableParagraph"/>
              <w:spacing w:before="50"/>
              <w:ind w:left="108"/>
              <w:rPr>
                <w:sz w:val="21"/>
              </w:rPr>
            </w:pPr>
            <w:r>
              <w:rPr>
                <w:sz w:val="21"/>
              </w:rPr>
              <w:t>方法等的变更）的，为新要约。</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1"/>
        </w:trPr>
        <w:tc>
          <w:tcPr>
            <w:tcW w:w="1200" w:type="dxa"/>
            <w:tcBorders>
              <w:top w:val="nil"/>
              <w:left w:val="single" w:sz="4" w:space="0" w:color="000000"/>
              <w:bottom w:val="nil"/>
              <w:right w:val="single" w:sz="4" w:space="0" w:color="000000"/>
            </w:tcBorders>
          </w:tcPr>
          <w:p>
            <w:pPr>
              <w:pStyle w:val="TableParagraph"/>
              <w:spacing w:before="46"/>
              <w:ind w:left="107"/>
              <w:rPr>
                <w:sz w:val="21"/>
              </w:rPr>
            </w:pPr>
            <w:r>
              <w:rPr>
                <w:sz w:val="21"/>
              </w:rPr>
              <w:t>变更</w:t>
            </w:r>
          </w:p>
        </w:tc>
        <w:tc>
          <w:tcPr>
            <w:tcW w:w="1058" w:type="dxa"/>
            <w:tcBorders>
              <w:top w:val="nil"/>
              <w:left w:val="single" w:sz="4" w:space="0" w:color="000000"/>
              <w:bottom w:val="nil"/>
              <w:right w:val="single" w:sz="4" w:space="0" w:color="000000"/>
            </w:tcBorders>
          </w:tcPr>
          <w:p>
            <w:pPr>
              <w:pStyle w:val="TableParagraph"/>
              <w:spacing w:before="46"/>
              <w:ind w:left="107"/>
              <w:rPr>
                <w:sz w:val="21"/>
              </w:rPr>
            </w:pPr>
            <w:r>
              <w:rPr>
                <w:w w:val="95"/>
                <w:sz w:val="21"/>
              </w:rPr>
              <w:t>要约的内</w:t>
            </w:r>
          </w:p>
        </w:tc>
        <w:tc>
          <w:tcPr>
            <w:tcW w:w="6264" w:type="dxa"/>
            <w:tcBorders>
              <w:top w:val="single" w:sz="4" w:space="0" w:color="000000"/>
              <w:left w:val="single" w:sz="4" w:space="0" w:color="000000"/>
              <w:bottom w:val="nil"/>
              <w:right w:val="single" w:sz="4" w:space="0" w:color="000000"/>
            </w:tcBorders>
          </w:tcPr>
          <w:p>
            <w:pPr>
              <w:pStyle w:val="TableParagraph"/>
              <w:spacing w:before="51"/>
              <w:ind w:left="108"/>
              <w:rPr>
                <w:sz w:val="21"/>
              </w:rPr>
            </w:pPr>
            <w:r>
              <w:rPr>
                <w:spacing w:val="-1"/>
                <w:sz w:val="21"/>
              </w:rPr>
              <w:t>承诺对要约的内容作出非实质性变更的，除要约人及时表示反对或</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6"/>
        </w:trPr>
        <w:tc>
          <w:tcPr>
            <w:tcW w:w="1200" w:type="dxa"/>
            <w:tcBorders>
              <w:top w:val="nil"/>
              <w:left w:val="single" w:sz="4" w:space="0" w:color="000000"/>
              <w:bottom w:val="nil"/>
              <w:right w:val="single" w:sz="4" w:space="0" w:color="000000"/>
            </w:tcBorders>
          </w:tcPr>
          <w:p>
            <w:pPr>
              <w:pStyle w:val="TableParagraph"/>
              <w:rPr>
                <w:rFonts w:ascii="Times New Roman"/>
                <w:sz w:val="20"/>
              </w:rPr>
            </w:pPr>
          </w:p>
        </w:tc>
        <w:tc>
          <w:tcPr>
            <w:tcW w:w="1058" w:type="dxa"/>
            <w:tcBorders>
              <w:top w:val="nil"/>
              <w:left w:val="single" w:sz="4" w:space="0" w:color="000000"/>
              <w:bottom w:val="nil"/>
              <w:right w:val="single" w:sz="4" w:space="0" w:color="000000"/>
            </w:tcBorders>
          </w:tcPr>
          <w:p>
            <w:pPr>
              <w:pStyle w:val="TableParagraph"/>
              <w:spacing w:before="50"/>
              <w:ind w:left="107"/>
              <w:rPr>
                <w:sz w:val="21"/>
              </w:rPr>
            </w:pPr>
            <w:r>
              <w:rPr>
                <w:sz w:val="21"/>
              </w:rPr>
              <w:t>容一致</w:t>
            </w:r>
          </w:p>
        </w:tc>
        <w:tc>
          <w:tcPr>
            <w:tcW w:w="6264" w:type="dxa"/>
            <w:tcBorders>
              <w:top w:val="nil"/>
              <w:left w:val="single" w:sz="4" w:space="0" w:color="000000"/>
              <w:bottom w:val="nil"/>
              <w:right w:val="single" w:sz="4" w:space="0" w:color="000000"/>
            </w:tcBorders>
          </w:tcPr>
          <w:p>
            <w:pPr>
              <w:pStyle w:val="TableParagraph"/>
              <w:spacing w:before="54"/>
              <w:ind w:left="108"/>
              <w:rPr>
                <w:sz w:val="21"/>
              </w:rPr>
            </w:pPr>
            <w:r>
              <w:rPr>
                <w:spacing w:val="-1"/>
                <w:sz w:val="21"/>
              </w:rPr>
              <w:t>者要约表明承诺不得对要约的内容作出任何变更的以外，该承诺有</w:t>
            </w:r>
          </w:p>
        </w:tc>
        <w:tc>
          <w:tcPr>
            <w:tcW w:w="1678" w:type="dxa"/>
            <w:vMerge/>
            <w:tcBorders>
              <w:top w:val="nil"/>
              <w:left w:val="single" w:sz="4" w:space="0" w:color="000000"/>
              <w:bottom w:val="nil"/>
              <w:right w:val="nil"/>
            </w:tcBorders>
          </w:tcPr>
          <w:p>
            <w:pPr>
              <w:rPr>
                <w:sz w:val="2"/>
                <w:szCs w:val="2"/>
              </w:rPr>
            </w:pPr>
          </w:p>
        </w:tc>
      </w:tr>
      <w:tr>
        <w:tblPrEx>
          <w:tblW w:w="0" w:type="auto"/>
          <w:tblInd w:w="124" w:type="dxa"/>
          <w:tblLayout w:type="fixed"/>
          <w:tblCellMar>
            <w:top w:w="0" w:type="dxa"/>
            <w:left w:w="0" w:type="dxa"/>
            <w:bottom w:w="0" w:type="dxa"/>
            <w:right w:w="0" w:type="dxa"/>
          </w:tblCellMar>
        </w:tblPrEx>
        <w:trPr>
          <w:trHeight w:val="374"/>
        </w:trPr>
        <w:tc>
          <w:tcPr>
            <w:tcW w:w="1200"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05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6264" w:type="dxa"/>
            <w:tcBorders>
              <w:top w:val="nil"/>
              <w:left w:val="single" w:sz="4" w:space="0" w:color="000000"/>
              <w:bottom w:val="single" w:sz="4" w:space="0" w:color="000000"/>
              <w:right w:val="single" w:sz="4" w:space="0" w:color="000000"/>
            </w:tcBorders>
          </w:tcPr>
          <w:p>
            <w:pPr>
              <w:pStyle w:val="TableParagraph"/>
              <w:spacing w:before="52"/>
              <w:ind w:left="108"/>
              <w:rPr>
                <w:sz w:val="21"/>
              </w:rPr>
            </w:pPr>
            <w:r>
              <w:rPr>
                <w:sz w:val="21"/>
              </w:rPr>
              <w:t>效，合同的内容以承诺的内容为准。</w:t>
            </w:r>
          </w:p>
        </w:tc>
        <w:tc>
          <w:tcPr>
            <w:tcW w:w="1678" w:type="dxa"/>
            <w:vMerge/>
            <w:tcBorders>
              <w:top w:val="nil"/>
              <w:left w:val="single" w:sz="4" w:space="0" w:color="000000"/>
              <w:bottom w:val="nil"/>
              <w:right w:val="nil"/>
            </w:tcBorders>
          </w:tcPr>
          <w:p>
            <w:pPr>
              <w:rPr>
                <w:sz w:val="2"/>
                <w:szCs w:val="2"/>
              </w:rPr>
            </w:pPr>
          </w:p>
        </w:tc>
      </w:tr>
    </w:tbl>
    <w:p>
      <w:pPr>
        <w:pStyle w:val="BodyText"/>
        <w:spacing w:before="56"/>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【记忆方法】理解记忆</w:t>
      </w:r>
    </w:p>
    <w:p>
      <w:pPr>
        <w:pStyle w:val="BodyText"/>
        <w:spacing w:before="8"/>
        <w:ind w:left="0"/>
        <w:rPr>
          <w:sz w:val="7"/>
        </w:rPr>
      </w:pPr>
      <w:r>
        <w:pict>
          <v:shape id="docshape44" o:spid="_x0000_s1065" type="#_x0000_t202" style="width:82.8pt;height:19.9pt;margin-top:8.35pt;margin-left:48.3pt;mso-height-relative:page;mso-position-horizontal-relative:page;mso-width-relative:page;mso-wrap-distance-bottom:0;mso-wrap-distance-top:0;position:absolute;z-index:-251614208" coordsize="21600,21600" filled="f" stroked="t" strokecolor="black">
            <v:textbox inset="0,0,0,0">
              <w:txbxContent>
                <w:p>
                  <w:pPr>
                    <w:spacing w:before="1"/>
                    <w:ind w:left="1" w:right="0" w:firstLine="0"/>
                    <w:jc w:val="left"/>
                    <w:rPr>
                      <w:b/>
                      <w:sz w:val="24"/>
                    </w:rPr>
                  </w:pPr>
                  <w:r>
                    <w:rPr>
                      <w:b/>
                      <w:sz w:val="24"/>
                    </w:rPr>
                    <w:t>精选习题·20</w:t>
                  </w:r>
                </w:p>
              </w:txbxContent>
            </v:textbox>
            <w10:wrap type="topAndBottom"/>
          </v:shape>
        </w:pict>
      </w:r>
    </w:p>
    <w:p>
      <w:pPr>
        <w:pStyle w:val="BodyText"/>
        <w:spacing w:before="5"/>
        <w:ind w:left="0"/>
        <w:rPr>
          <w:sz w:val="7"/>
        </w:rPr>
      </w:pPr>
    </w:p>
    <w:p>
      <w:pPr>
        <w:pStyle w:val="BodyText"/>
        <w:tabs>
          <w:tab w:val="left" w:pos="6421"/>
        </w:tabs>
        <w:spacing w:before="70" w:line="333" w:lineRule="auto"/>
        <w:ind w:left="647" w:right="3947" w:hanging="420"/>
      </w:pPr>
      <w:r>
        <w:t>【2022】根据《民法典</w:t>
      </w:r>
      <w:r>
        <w:rPr>
          <w:spacing w:val="-104"/>
        </w:rPr>
        <w:t>》</w:t>
      </w:r>
      <w:r>
        <w:t>，关于要约和承诺的说法，正确的有（</w:t>
      </w:r>
      <w:r>
        <w:tab/>
      </w:r>
      <w:r>
        <w:rPr>
          <w:spacing w:val="-104"/>
        </w:rPr>
        <w:t>）</w:t>
      </w:r>
      <w:r>
        <w:rPr>
          <w:spacing w:val="-2"/>
        </w:rPr>
        <w:t>。</w:t>
      </w:r>
      <w:r>
        <w:t>A.承诺是受要约人同意要约的意思表示</w:t>
      </w:r>
    </w:p>
    <w:p>
      <w:pPr>
        <w:pStyle w:val="BodyText"/>
        <w:spacing w:line="333" w:lineRule="auto"/>
        <w:ind w:left="647" w:right="3110"/>
      </w:pPr>
      <w:r>
        <w:rPr>
          <w:w w:val="95"/>
        </w:rPr>
        <w:t>B.要约以信件作出且未载明日期的，承诺期限自投寄该信件的日期开始计算</w:t>
      </w:r>
      <w:r>
        <w:rPr>
          <w:spacing w:val="40"/>
          <w:w w:val="95"/>
        </w:rPr>
        <w:t xml:space="preserve"> </w:t>
      </w:r>
      <w:r>
        <w:t>C.承诺不需要通知的，在根据要约的要求作出承诺的行为时生效</w:t>
      </w:r>
    </w:p>
    <w:p>
      <w:pPr>
        <w:pStyle w:val="BodyText"/>
        <w:spacing w:before="1" w:line="333" w:lineRule="auto"/>
        <w:ind w:left="647" w:right="6679"/>
      </w:pPr>
      <w:r>
        <w:rPr>
          <w:spacing w:val="-1"/>
        </w:rPr>
        <w:t>D.承诺的内容应当与要约的内容一致E.要约生效的地点为合同成立的地点</w:t>
      </w:r>
    </w:p>
    <w:p>
      <w:pPr>
        <w:pStyle w:val="BodyText"/>
        <w:spacing w:before="1"/>
      </w:pPr>
      <w:r>
        <w:t>【答案】ACD</w:t>
      </w:r>
    </w:p>
    <w:p>
      <w:pPr>
        <w:pStyle w:val="BodyText"/>
        <w:spacing w:before="105" w:line="333" w:lineRule="auto"/>
        <w:ind w:right="367"/>
      </w:pPr>
      <w:r>
        <w:pict>
          <v:shape id="docshape45" o:spid="_x0000_s1066" type="#_x0000_t202" style="width:82.8pt;height:19.95pt;margin-top:45.7pt;margin-left:48.3pt;mso-height-relative:page;mso-position-horizontal-relative:page;mso-width-relative:page;mso-wrap-distance-bottom:0;mso-wrap-distance-top:0;position:absolute;z-index:-251613184" coordsize="21600,21600" filled="f" stroked="t" strokecolor="black">
            <v:textbox inset="0,0,0,0">
              <w:txbxContent>
                <w:p>
                  <w:pPr>
                    <w:spacing w:before="1"/>
                    <w:ind w:left="1" w:right="0" w:firstLine="0"/>
                    <w:jc w:val="left"/>
                    <w:rPr>
                      <w:b/>
                      <w:sz w:val="24"/>
                    </w:rPr>
                  </w:pPr>
                  <w:r>
                    <w:rPr>
                      <w:b/>
                      <w:sz w:val="24"/>
                    </w:rPr>
                    <w:t>重要考点·21</w:t>
                  </w:r>
                </w:p>
              </w:txbxContent>
            </v:textbox>
            <w10:wrap type="topAndBottom"/>
          </v:shape>
        </w:pict>
      </w:r>
      <w:r>
        <w:rPr>
          <w:w w:val="95"/>
        </w:rPr>
        <w:t>【解析】选项</w:t>
      </w:r>
      <w:r>
        <w:rPr>
          <w:spacing w:val="138"/>
        </w:rPr>
        <w:t xml:space="preserve"> </w:t>
      </w:r>
      <w:r>
        <w:rPr>
          <w:w w:val="95"/>
        </w:rPr>
        <w:t>B</w:t>
      </w:r>
      <w:r>
        <w:rPr>
          <w:spacing w:val="143"/>
        </w:rPr>
        <w:t xml:space="preserve"> </w:t>
      </w:r>
      <w:r>
        <w:rPr>
          <w:w w:val="95"/>
        </w:rPr>
        <w:t>错误，要约以信件或者电报作出的，承诺期限自信件载明的日期或者电报交发之日开始计算。信件未载明日期的，自投寄该信件的邮戳日期开始计算。选项 E 错误，承诺生效的地点为合同成立的地点。</w:t>
      </w:r>
    </w:p>
    <w:p>
      <w:pPr>
        <w:pStyle w:val="BodyText"/>
        <w:spacing w:before="4"/>
        <w:ind w:left="0"/>
        <w:rPr>
          <w:sz w:val="7"/>
        </w:rPr>
      </w:pPr>
    </w:p>
    <w:p>
      <w:pPr>
        <w:pStyle w:val="BodyText"/>
        <w:spacing w:before="70"/>
      </w:pPr>
      <w:r>
        <w:t>（1）合同效力</w:t>
      </w:r>
    </w:p>
    <w:p>
      <w:pPr>
        <w:pStyle w:val="ListParagraph"/>
        <w:numPr>
          <w:ilvl w:val="0"/>
          <w:numId w:val="33"/>
        </w:numPr>
        <w:tabs>
          <w:tab w:val="left" w:pos="543"/>
        </w:tabs>
        <w:spacing w:before="106" w:after="0" w:line="240" w:lineRule="auto"/>
        <w:ind w:left="542" w:right="0" w:hanging="316"/>
        <w:jc w:val="left"/>
        <w:rPr>
          <w:sz w:val="21"/>
        </w:rPr>
      </w:pPr>
      <w:r>
        <w:rPr>
          <w:sz w:val="21"/>
        </w:rPr>
        <w:t>合同生效。依法成立的合同自成立时生效，但是法律另有规定或者当事人另有约定的除外。</w:t>
      </w:r>
    </w:p>
    <w:p>
      <w:pPr>
        <w:pStyle w:val="BodyText"/>
        <w:spacing w:before="105" w:line="333" w:lineRule="auto"/>
        <w:ind w:right="367"/>
      </w:pPr>
      <w:r>
        <w:rPr>
          <w:w w:val="95"/>
        </w:rPr>
        <w:t>依照法律、行政法规的规定，合同应当办理批准等手续的，依照其规定。未办理批准等手续影响合同生效的，</w:t>
      </w:r>
      <w:r>
        <w:rPr>
          <w:spacing w:val="206"/>
        </w:rPr>
        <w:t xml:space="preserve"> </w:t>
      </w:r>
      <w:r>
        <w:t>不影响合同中履行报批等义务条款以及相关条款的效力。</w:t>
      </w:r>
    </w:p>
    <w:p>
      <w:pPr>
        <w:pStyle w:val="ListParagraph"/>
        <w:numPr>
          <w:ilvl w:val="0"/>
          <w:numId w:val="33"/>
        </w:numPr>
        <w:tabs>
          <w:tab w:val="left" w:pos="543"/>
        </w:tabs>
        <w:spacing w:before="1" w:after="0" w:line="333" w:lineRule="auto"/>
        <w:ind w:left="227" w:right="367" w:firstLine="0"/>
        <w:jc w:val="left"/>
        <w:rPr>
          <w:sz w:val="21"/>
        </w:rPr>
      </w:pPr>
      <w:r>
        <w:rPr>
          <w:sz w:val="21"/>
        </w:rPr>
        <w:t>无权代理人代定合同。无权代理人以被代理人的名义订立合同，被代理人已经开始履行合同义务或者接受相对人履行的，视为对合同的追认。</w:t>
      </w:r>
    </w:p>
    <w:p>
      <w:pPr>
        <w:pStyle w:val="BodyText"/>
        <w:spacing w:line="333" w:lineRule="auto"/>
        <w:ind w:right="367"/>
      </w:pPr>
      <w:r>
        <w:rPr>
          <w:w w:val="95"/>
        </w:rPr>
        <w:t>法人的法定代表人或者非法人组织的负责人超越权限订立的合同，除相对人知道或者应当知道其超越权限外，</w:t>
      </w:r>
      <w:r>
        <w:rPr>
          <w:spacing w:val="206"/>
        </w:rPr>
        <w:t xml:space="preserve"> </w:t>
      </w:r>
      <w:r>
        <w:t>该代表行为有效，订立的合同对法人或者非法人组织发生效力。</w:t>
      </w:r>
    </w:p>
    <w:p>
      <w:pPr>
        <w:pStyle w:val="BodyText"/>
        <w:spacing w:before="1"/>
      </w:pPr>
      <w:r>
        <w:t>当事人超越经营范围订立的合同的效力，应当依照法律规定确定，不得仅以超越经营范围确认合同无效。</w:t>
      </w:r>
    </w:p>
    <w:p>
      <w:pPr>
        <w:pStyle w:val="ListParagraph"/>
        <w:numPr>
          <w:ilvl w:val="0"/>
          <w:numId w:val="33"/>
        </w:numPr>
        <w:tabs>
          <w:tab w:val="left" w:pos="543"/>
        </w:tabs>
        <w:spacing w:before="106" w:after="0" w:line="333" w:lineRule="auto"/>
        <w:ind w:left="227" w:right="367" w:firstLine="0"/>
        <w:jc w:val="left"/>
        <w:rPr>
          <w:sz w:val="21"/>
        </w:rPr>
      </w:pPr>
      <w:r>
        <w:rPr>
          <w:w w:val="95"/>
          <w:sz w:val="21"/>
        </w:rPr>
        <w:t>合同中免责条款无效情形。合同有下列情况之一的，合同无效：①造成对方人身伤害的；②因故意或者重大</w:t>
      </w:r>
      <w:r>
        <w:rPr>
          <w:spacing w:val="95"/>
          <w:w w:val="95"/>
          <w:sz w:val="21"/>
        </w:rPr>
        <w:t xml:space="preserve"> </w:t>
      </w:r>
      <w:r>
        <w:rPr>
          <w:sz w:val="21"/>
        </w:rPr>
        <w:t>过失造成对方财产损失的。</w:t>
      </w:r>
    </w:p>
    <w:p>
      <w:pPr>
        <w:pStyle w:val="BodyText"/>
      </w:pPr>
      <w:r>
        <w:rPr>
          <w:spacing w:val="1"/>
          <w:w w:val="95"/>
        </w:rPr>
        <w:t xml:space="preserve">【分值】考试形式为选择题，分值为 </w:t>
      </w:r>
      <w:r>
        <w:rPr>
          <w:w w:val="95"/>
        </w:rPr>
        <w:t>1-2</w:t>
      </w:r>
      <w:r>
        <w:rPr>
          <w:spacing w:val="3"/>
          <w:w w:val="95"/>
        </w:rPr>
        <w:t xml:space="preserve"> 分。</w:t>
      </w:r>
    </w:p>
    <w:p>
      <w:pPr>
        <w:pStyle w:val="BodyText"/>
        <w:spacing w:before="106"/>
      </w:pPr>
      <w:r>
        <w:t>【记忆方法】理解记忆</w:t>
      </w:r>
    </w:p>
    <w:p>
      <w:pPr>
        <w:spacing w:after="0"/>
        <w:sectPr>
          <w:headerReference w:type="default" r:id="rId24"/>
          <w:pgSz w:w="11910" w:h="16840"/>
          <w:pgMar w:top="1160" w:right="540" w:bottom="280" w:left="680" w:header="0" w:footer="0" w:gutter="0"/>
          <w:pgNumType w:start="20"/>
          <w:cols w:space="708"/>
        </w:sectPr>
      </w:pPr>
    </w:p>
    <w:p>
      <w:pPr>
        <w:pStyle w:val="BodyText"/>
        <w:spacing w:before="4"/>
        <w:ind w:left="0"/>
        <w:rPr>
          <w:sz w:val="5"/>
        </w:rPr>
      </w:pPr>
    </w:p>
    <w:p>
      <w:pPr>
        <w:pStyle w:val="BodyText"/>
        <w:ind w:left="242"/>
        <w:rPr>
          <w:sz w:val="20"/>
        </w:rPr>
      </w:pPr>
      <w:r>
        <w:rPr>
          <w:sz w:val="20"/>
        </w:rPr>
        <w:pict>
          <v:shape id="docshape47" o:spid="_x0000_i1067" type="#_x0000_t202" style="width:82.8pt;height:19.85pt" coordsize="21600,21600" filled="f" stroked="t" strokecolor="black">
            <v:textbox inset="0,0,0,0">
              <w:txbxContent>
                <w:p>
                  <w:pPr>
                    <w:spacing w:before="3" w:line="305" w:lineRule="exact"/>
                    <w:ind w:left="1" w:right="0" w:firstLine="0"/>
                    <w:jc w:val="left"/>
                    <w:rPr>
                      <w:b/>
                      <w:sz w:val="24"/>
                    </w:rPr>
                  </w:pPr>
                  <w:r>
                    <w:rPr>
                      <w:b/>
                      <w:sz w:val="24"/>
                    </w:rPr>
                    <w:t>精选习题·21</w:t>
                  </w:r>
                </w:p>
              </w:txbxContent>
            </v:textbox>
            <w10:anchorlock/>
          </v:shape>
        </w:pict>
      </w:r>
    </w:p>
    <w:p>
      <w:pPr>
        <w:pStyle w:val="BodyText"/>
        <w:tabs>
          <w:tab w:val="left" w:pos="7367"/>
        </w:tabs>
        <w:spacing w:before="100" w:line="333" w:lineRule="auto"/>
        <w:ind w:left="647" w:right="3002" w:hanging="420"/>
      </w:pPr>
      <w:r>
        <w:t>【2021】根据《民法典》第三编合同，关于合同效力的说法，正确的有（</w:t>
      </w:r>
      <w:r>
        <w:tab/>
      </w:r>
      <w:r>
        <w:rPr>
          <w:spacing w:val="-104"/>
        </w:rPr>
        <w:t>）</w:t>
      </w:r>
      <w:r>
        <w:rPr>
          <w:spacing w:val="-3"/>
        </w:rPr>
        <w:t>。</w:t>
      </w:r>
      <w:r>
        <w:t>A.因未办理批准手续而影响合同生效的，合同中履行报批义务条款相应失效B.超越经营范围订立的合同，不得仅以超越经营范围确认合同无效</w:t>
      </w:r>
    </w:p>
    <w:p>
      <w:pPr>
        <w:pStyle w:val="BodyText"/>
        <w:spacing w:before="1" w:line="331" w:lineRule="auto"/>
        <w:ind w:left="647" w:right="4999"/>
      </w:pPr>
      <w:r>
        <w:rPr>
          <w:w w:val="95"/>
        </w:rPr>
        <w:t>C.因重大过失造成对方财产损失的，合同免责条款无效</w:t>
      </w:r>
      <w:r>
        <w:rPr>
          <w:spacing w:val="1"/>
          <w:w w:val="95"/>
        </w:rPr>
        <w:t xml:space="preserve"> </w:t>
      </w:r>
      <w:r>
        <w:t>D.造成对方人身损害的，合同免责条款无效</w:t>
      </w:r>
    </w:p>
    <w:p>
      <w:pPr>
        <w:pStyle w:val="BodyText"/>
        <w:spacing w:before="6"/>
        <w:ind w:left="647"/>
      </w:pPr>
      <w:r>
        <w:t>E.合同被撤销的，合同中有关解决争议方法的条款相应失效</w:t>
      </w:r>
    </w:p>
    <w:p>
      <w:pPr>
        <w:pStyle w:val="BodyText"/>
        <w:spacing w:before="103"/>
      </w:pPr>
      <w:r>
        <w:t>【答案】BCD</w:t>
      </w:r>
    </w:p>
    <w:p>
      <w:pPr>
        <w:pStyle w:val="BodyText"/>
        <w:spacing w:before="106" w:line="336" w:lineRule="auto"/>
        <w:ind w:right="367"/>
      </w:pPr>
      <w:r>
        <w:pict>
          <v:shape id="docshape48" o:spid="_x0000_s1068" type="#_x0000_t202" style="width:82.8pt;height:19.9pt;margin-top:45.8pt;margin-left:48.3pt;mso-height-relative:page;mso-position-horizontal-relative:page;mso-width-relative:page;mso-wrap-distance-bottom:0;mso-wrap-distance-top:0;position:absolute;z-index:-251612160" coordsize="21600,21600" filled="f" stroked="t" strokecolor="black">
            <v:textbox inset="0,0,0,0">
              <w:txbxContent>
                <w:p>
                  <w:pPr>
                    <w:spacing w:before="1"/>
                    <w:ind w:left="1" w:right="0" w:firstLine="0"/>
                    <w:jc w:val="left"/>
                    <w:rPr>
                      <w:b/>
                      <w:sz w:val="24"/>
                    </w:rPr>
                  </w:pPr>
                  <w:r>
                    <w:rPr>
                      <w:b/>
                      <w:sz w:val="24"/>
                    </w:rPr>
                    <w:t>重要考点·22</w:t>
                  </w:r>
                </w:p>
              </w:txbxContent>
            </v:textbox>
            <w10:wrap type="topAndBottom"/>
          </v:shape>
        </w:pict>
      </w:r>
      <w:r>
        <w:rPr>
          <w:w w:val="95"/>
        </w:rPr>
        <w:t>【解析】选项</w:t>
      </w:r>
      <w:r>
        <w:rPr>
          <w:spacing w:val="138"/>
        </w:rPr>
        <w:t xml:space="preserve"> </w:t>
      </w:r>
      <w:r>
        <w:rPr>
          <w:w w:val="95"/>
        </w:rPr>
        <w:t>A</w:t>
      </w:r>
      <w:r>
        <w:rPr>
          <w:spacing w:val="143"/>
        </w:rPr>
        <w:t xml:space="preserve"> </w:t>
      </w:r>
      <w:r>
        <w:rPr>
          <w:w w:val="95"/>
        </w:rPr>
        <w:t>错误，未办理批准等手续影响合同生效的，不影响合同中履行报批等义务条款以及相关条款的</w:t>
      </w:r>
      <w:r>
        <w:rPr>
          <w:spacing w:val="4"/>
          <w:w w:val="95"/>
        </w:rPr>
        <w:t xml:space="preserve">效力。选项 </w:t>
      </w:r>
      <w:r>
        <w:rPr>
          <w:w w:val="95"/>
        </w:rPr>
        <w:t>E 错误，合同不生效、无效、被撤销或者终止的，不影响合同中有关解决争议方法的条款的效力。</w:t>
      </w:r>
    </w:p>
    <w:p>
      <w:pPr>
        <w:pStyle w:val="BodyText"/>
        <w:spacing w:before="5"/>
        <w:ind w:left="0"/>
        <w:rPr>
          <w:sz w:val="7"/>
        </w:rPr>
      </w:pPr>
    </w:p>
    <w:p>
      <w:pPr>
        <w:pStyle w:val="BodyText"/>
        <w:spacing w:before="70"/>
      </w:pPr>
      <w:r>
        <w:t>1.建设工程合同有关规定</w:t>
      </w:r>
    </w:p>
    <w:p>
      <w:pPr>
        <w:pStyle w:val="BodyText"/>
        <w:spacing w:before="105" w:line="333" w:lineRule="auto"/>
        <w:ind w:right="368"/>
        <w:jc w:val="both"/>
      </w:pPr>
      <w:r>
        <w:rPr>
          <w:w w:val="95"/>
        </w:rPr>
        <w:t>建设工程合同是指承包人进行工程建设，发包人支付价款的合同。建设工程合同属于</w:t>
      </w:r>
      <w:r>
        <w:rPr>
          <w:spacing w:val="206"/>
        </w:rPr>
        <w:t xml:space="preserve"> </w:t>
      </w:r>
      <w:r>
        <w:rPr>
          <w:w w:val="95"/>
        </w:rPr>
        <w:t>一种特殊的承揽合同，包</w:t>
      </w:r>
      <w:r>
        <w:rPr>
          <w:spacing w:val="-8"/>
        </w:rPr>
        <w:t>括工程勘察、设计、施工合同。《民法典》合同编关于建设工程合同的主要规定如下：</w:t>
      </w:r>
    </w:p>
    <w:p>
      <w:pPr>
        <w:pStyle w:val="ListParagraph"/>
        <w:numPr>
          <w:ilvl w:val="0"/>
          <w:numId w:val="34"/>
        </w:numPr>
        <w:tabs>
          <w:tab w:val="left" w:pos="752"/>
        </w:tabs>
        <w:spacing w:before="1" w:after="0" w:line="333" w:lineRule="auto"/>
        <w:ind w:left="227" w:right="367" w:firstLine="0"/>
        <w:jc w:val="both"/>
        <w:rPr>
          <w:sz w:val="21"/>
        </w:rPr>
      </w:pPr>
      <w:r>
        <w:rPr>
          <w:w w:val="95"/>
          <w:sz w:val="21"/>
        </w:rPr>
        <w:t>建设工程承发包。发包人可以与总承包人订立建设工程合同，也可以分别与勘察人、设计人、施工人订立</w:t>
      </w:r>
      <w:r>
        <w:rPr>
          <w:spacing w:val="96"/>
          <w:w w:val="95"/>
          <w:sz w:val="21"/>
        </w:rPr>
        <w:t xml:space="preserve"> </w:t>
      </w:r>
      <w:r>
        <w:rPr>
          <w:w w:val="95"/>
          <w:sz w:val="21"/>
        </w:rPr>
        <w:t>勘察、设计、施工承包合同。发包人不得将应当由一个承包人完成的建设工程肢解成若干部分发包给数个承包</w:t>
      </w:r>
      <w:r>
        <w:rPr>
          <w:spacing w:val="216"/>
          <w:sz w:val="21"/>
        </w:rPr>
        <w:t xml:space="preserve"> </w:t>
      </w:r>
      <w:r>
        <w:rPr>
          <w:w w:val="95"/>
          <w:sz w:val="21"/>
        </w:rPr>
        <w:t>人。总承包人或者勘察、设计、施工承包人经发包人同意，可以将自己承包的部分工作交由第三人完成。第三</w:t>
      </w:r>
      <w:r>
        <w:rPr>
          <w:spacing w:val="216"/>
          <w:sz w:val="21"/>
        </w:rPr>
        <w:t xml:space="preserve"> </w:t>
      </w:r>
      <w:r>
        <w:rPr>
          <w:w w:val="95"/>
          <w:sz w:val="21"/>
        </w:rPr>
        <w:t>人就其完成的工作成果与总承包人或者勘察、设计、施工承包人向发包人承担连带责任。承包人不得将其承包</w:t>
      </w:r>
      <w:r>
        <w:rPr>
          <w:spacing w:val="206"/>
          <w:sz w:val="21"/>
        </w:rPr>
        <w:t xml:space="preserve"> </w:t>
      </w:r>
      <w:r>
        <w:rPr>
          <w:sz w:val="21"/>
        </w:rPr>
        <w:t>的全部建设工程转包给第三人或者将其承包的全部建设工程肢解以后以分包的名义分别转包给第三人。</w:t>
      </w:r>
    </w:p>
    <w:p>
      <w:pPr>
        <w:pStyle w:val="BodyText"/>
        <w:spacing w:before="2" w:line="336" w:lineRule="auto"/>
        <w:ind w:right="367"/>
      </w:pPr>
      <w:r>
        <w:rPr>
          <w:w w:val="95"/>
        </w:rPr>
        <w:t>禁止承包人将工程分包给不具备相应资质条件的单位。禁止分包单位将其承包的工程再分包。建设工程主体结</w:t>
      </w:r>
      <w:r>
        <w:rPr>
          <w:spacing w:val="206"/>
        </w:rPr>
        <w:t xml:space="preserve"> </w:t>
      </w:r>
      <w:r>
        <w:t>构的施工必须由承包人自行完成。</w:t>
      </w:r>
    </w:p>
    <w:p>
      <w:pPr>
        <w:pStyle w:val="ListParagraph"/>
        <w:numPr>
          <w:ilvl w:val="0"/>
          <w:numId w:val="34"/>
        </w:numPr>
        <w:tabs>
          <w:tab w:val="left" w:pos="752"/>
        </w:tabs>
        <w:spacing w:before="0" w:after="0" w:line="333" w:lineRule="auto"/>
        <w:ind w:left="227" w:right="367" w:firstLine="0"/>
        <w:jc w:val="both"/>
        <w:rPr>
          <w:sz w:val="21"/>
        </w:rPr>
      </w:pPr>
      <w:r>
        <w:rPr>
          <w:w w:val="95"/>
          <w:sz w:val="21"/>
        </w:rPr>
        <w:t>建设工程合同主要内容。勘察、设计合同的内容一般包括提交有关基础资料和概预算等文件的期限、质量</w:t>
      </w:r>
      <w:r>
        <w:rPr>
          <w:spacing w:val="96"/>
          <w:w w:val="95"/>
          <w:sz w:val="21"/>
        </w:rPr>
        <w:t xml:space="preserve"> </w:t>
      </w:r>
      <w:r>
        <w:rPr>
          <w:w w:val="95"/>
          <w:sz w:val="21"/>
        </w:rPr>
        <w:t>要求、费用以及其他协作条件等条款。施工合同的内容一般包括工程范围、建设工期、中间交工工程的开工和</w:t>
      </w:r>
      <w:r>
        <w:rPr>
          <w:spacing w:val="216"/>
          <w:sz w:val="21"/>
        </w:rPr>
        <w:t xml:space="preserve"> </w:t>
      </w:r>
      <w:r>
        <w:rPr>
          <w:w w:val="95"/>
          <w:sz w:val="21"/>
        </w:rPr>
        <w:t>竣工时间、工程质量、工程造价、技术资料交付时间、材料和设备供应责任、拨款和结算、竣工验收、质量保</w:t>
      </w:r>
      <w:r>
        <w:rPr>
          <w:spacing w:val="206"/>
          <w:sz w:val="21"/>
        </w:rPr>
        <w:t xml:space="preserve"> </w:t>
      </w:r>
      <w:r>
        <w:rPr>
          <w:sz w:val="21"/>
        </w:rPr>
        <w:t>修范围和质量保证期、双方相互协作等条款。</w:t>
      </w:r>
    </w:p>
    <w:p>
      <w:pPr>
        <w:pStyle w:val="ListParagraph"/>
        <w:numPr>
          <w:ilvl w:val="0"/>
          <w:numId w:val="34"/>
        </w:numPr>
        <w:tabs>
          <w:tab w:val="left" w:pos="752"/>
        </w:tabs>
        <w:spacing w:before="0" w:after="0" w:line="331" w:lineRule="auto"/>
        <w:ind w:left="227" w:right="8044" w:firstLine="0"/>
        <w:jc w:val="left"/>
        <w:rPr>
          <w:sz w:val="21"/>
        </w:rPr>
      </w:pPr>
      <w:r>
        <w:rPr>
          <w:spacing w:val="-1"/>
          <w:sz w:val="21"/>
        </w:rPr>
        <w:t>建设工程合同履行。</w:t>
      </w:r>
      <w:r>
        <w:rPr>
          <w:sz w:val="21"/>
        </w:rPr>
        <w:t>1）发包人权利和义务。</w:t>
      </w:r>
    </w:p>
    <w:p>
      <w:pPr>
        <w:pStyle w:val="BodyText"/>
        <w:spacing w:before="5"/>
      </w:pPr>
      <w:r>
        <w:t>①发包人在不妨碍承包人正常作业的情况下，可以随时对作业进度、质量进行检查。</w:t>
      </w:r>
    </w:p>
    <w:p>
      <w:pPr>
        <w:pStyle w:val="BodyText"/>
        <w:spacing w:before="103" w:line="333" w:lineRule="auto"/>
        <w:ind w:right="367"/>
      </w:pPr>
      <w:r>
        <w:rPr>
          <w:w w:val="95"/>
        </w:rPr>
        <w:t>②因发包人变更计划，提供的资料不准确，或者未按照期限提供必需的勘察、设计工作条件而造成勘察、设计</w:t>
      </w:r>
      <w:r>
        <w:rPr>
          <w:spacing w:val="206"/>
        </w:rPr>
        <w:t xml:space="preserve"> </w:t>
      </w:r>
      <w:r>
        <w:t>的返工、停工或者修改设计，发包人应当按照勘察人、设计人实际消耗的工作量增付费用。</w:t>
      </w:r>
    </w:p>
    <w:p>
      <w:pPr>
        <w:pStyle w:val="BodyText"/>
        <w:spacing w:before="4" w:line="331" w:lineRule="auto"/>
        <w:ind w:right="367"/>
      </w:pPr>
      <w:r>
        <w:rPr>
          <w:w w:val="95"/>
        </w:rPr>
        <w:t>③因施工人的原因致使建设工程质量不符合约定的，发包人有权要求施工人在合理期限内无偿修理或者返工、</w:t>
      </w:r>
      <w:r>
        <w:rPr>
          <w:spacing w:val="206"/>
        </w:rPr>
        <w:t xml:space="preserve"> </w:t>
      </w:r>
      <w:r>
        <w:t>改建。经过修理或者返工、改建后，造成逾期交付的，施工人应当承担违约责任，</w:t>
      </w:r>
    </w:p>
    <w:p>
      <w:pPr>
        <w:pStyle w:val="BodyText"/>
        <w:spacing w:before="6"/>
      </w:pPr>
      <w:r>
        <w:t>④承包人将建设工程转包、违法分包的，发包人可以解除合同。</w:t>
      </w:r>
    </w:p>
    <w:p>
      <w:pPr>
        <w:pStyle w:val="BodyText"/>
        <w:spacing w:before="103" w:line="336" w:lineRule="auto"/>
        <w:ind w:right="367"/>
        <w:jc w:val="both"/>
      </w:pPr>
      <w:r>
        <w:rPr>
          <w:w w:val="95"/>
        </w:rPr>
        <w:t>⑤建设工程竣工后，发包人应当根据施工图纸及说明书、国家颁发的施工验收规范和</w:t>
      </w:r>
      <w:r>
        <w:rPr>
          <w:spacing w:val="97"/>
        </w:rPr>
        <w:t xml:space="preserve">  </w:t>
      </w:r>
      <w:r>
        <w:rPr>
          <w:w w:val="95"/>
        </w:rPr>
        <w:t>质量检验标准及时进行验收。验收合格的，发包人应当按照约定支付价款，并接收该建设</w:t>
      </w:r>
      <w:r>
        <w:rPr>
          <w:spacing w:val="206"/>
        </w:rPr>
        <w:t xml:space="preserve"> </w:t>
      </w:r>
      <w:r>
        <w:rPr>
          <w:w w:val="95"/>
        </w:rPr>
        <w:t>工程。建设工程竣工经验收合格后，方可交付</w:t>
      </w:r>
      <w:r>
        <w:t>使用；未经验收或者验收不合格的，不得交付使用，</w:t>
      </w:r>
    </w:p>
    <w:p>
      <w:pPr>
        <w:pStyle w:val="BodyText"/>
        <w:spacing w:line="262" w:lineRule="exact"/>
      </w:pPr>
      <w:r>
        <w:t>2）承包人权利和义务。</w:t>
      </w:r>
    </w:p>
    <w:p>
      <w:pPr>
        <w:spacing w:after="0" w:line="262" w:lineRule="exact"/>
        <w:sectPr>
          <w:headerReference w:type="default" r:id="rId25"/>
          <w:pgSz w:w="11910" w:h="16840"/>
          <w:pgMar w:top="1180" w:right="540" w:bottom="280" w:left="680" w:header="993" w:footer="0" w:gutter="0"/>
          <w:pgNumType w:start="21"/>
          <w:cols w:space="708"/>
        </w:sectPr>
      </w:pPr>
    </w:p>
    <w:p>
      <w:pPr>
        <w:pStyle w:val="BodyText"/>
        <w:spacing w:before="54" w:line="331" w:lineRule="auto"/>
        <w:ind w:right="367"/>
      </w:pPr>
      <w:r>
        <w:rPr>
          <w:w w:val="95"/>
        </w:rPr>
        <w:t>①勘察、设计的质量不符合要求或者未按照期限提交勘察、设计文件拖延工期，造成发包人损失的，勘察人、</w:t>
      </w:r>
      <w:r>
        <w:rPr>
          <w:spacing w:val="206"/>
        </w:rPr>
        <w:t xml:space="preserve"> </w:t>
      </w:r>
      <w:r>
        <w:t>设计人应当继续完善勘察、设计，减收或者免收勘察、设计费并赔偿损失。</w:t>
      </w:r>
    </w:p>
    <w:p>
      <w:pPr>
        <w:pStyle w:val="BodyText"/>
        <w:spacing w:before="4" w:line="336" w:lineRule="auto"/>
        <w:ind w:right="367"/>
      </w:pPr>
      <w:r>
        <w:rPr>
          <w:w w:val="95"/>
        </w:rPr>
        <w:t>②发包人未按照约定的时间和要求提供原材料、设备、场地、资金、技术资料的，承包人可以顺延工程日期，</w:t>
      </w:r>
      <w:r>
        <w:rPr>
          <w:spacing w:val="206"/>
        </w:rPr>
        <w:t xml:space="preserve"> </w:t>
      </w:r>
      <w:r>
        <w:t>并有权要求赔偿停工、窝工等损失。</w:t>
      </w:r>
    </w:p>
    <w:p>
      <w:pPr>
        <w:pStyle w:val="BodyText"/>
        <w:spacing w:line="336" w:lineRule="auto"/>
        <w:ind w:right="367"/>
      </w:pPr>
      <w:r>
        <w:rPr>
          <w:w w:val="95"/>
        </w:rPr>
        <w:t>③因发包人的原因致使工程中途停建、缓建的，发包人应当采取措施弥补或者减少损失，赔偿承包人因此造成</w:t>
      </w:r>
      <w:r>
        <w:rPr>
          <w:spacing w:val="206"/>
        </w:rPr>
        <w:t xml:space="preserve"> </w:t>
      </w:r>
      <w:r>
        <w:t>的停工、窝工、倒运、机械设备调迁、材料和构件积压等损失和实际费用。</w:t>
      </w:r>
    </w:p>
    <w:p>
      <w:pPr>
        <w:pStyle w:val="BodyText"/>
        <w:spacing w:line="333" w:lineRule="auto"/>
        <w:ind w:right="367"/>
      </w:pPr>
      <w:r>
        <w:rPr>
          <w:w w:val="95"/>
        </w:rPr>
        <w:t>④隐蔽工程在隐蔽以前，承包人应当通知发包人检查。发包人没有及时检查的，承包人可以顺延工程日期，并</w:t>
      </w:r>
      <w:r>
        <w:rPr>
          <w:spacing w:val="206"/>
        </w:rPr>
        <w:t xml:space="preserve"> </w:t>
      </w:r>
      <w:r>
        <w:t>有权要求赔偿停工、窝工等损失。</w:t>
      </w:r>
    </w:p>
    <w:p>
      <w:pPr>
        <w:pStyle w:val="BodyText"/>
        <w:spacing w:line="331" w:lineRule="auto"/>
        <w:ind w:right="367"/>
      </w:pPr>
      <w:r>
        <w:rPr>
          <w:w w:val="95"/>
        </w:rPr>
        <w:t>⑤发包人提供的主要建筑材料、建筑构配件和设备不符合强制性标准或者不履行协助义务，致使承包人无法施</w:t>
      </w:r>
      <w:r>
        <w:rPr>
          <w:spacing w:val="206"/>
        </w:rPr>
        <w:t xml:space="preserve"> </w:t>
      </w:r>
      <w:r>
        <w:t>工，经催告后在合理期限内仍未履行相应义务的，承包人可以解除合同。</w:t>
      </w:r>
    </w:p>
    <w:p>
      <w:pPr>
        <w:pStyle w:val="BodyText"/>
      </w:pPr>
      <w:r>
        <w:rPr>
          <w:w w:val="95"/>
        </w:rPr>
        <w:t>⑥因承包人的原因致使建设工程在合理使用期限内造成人身和财产损害的，承包人应当承担损害赔偿责任。</w:t>
      </w:r>
    </w:p>
    <w:p>
      <w:pPr>
        <w:pStyle w:val="BodyText"/>
        <w:spacing w:before="103" w:line="336" w:lineRule="auto"/>
        <w:ind w:right="367"/>
        <w:jc w:val="both"/>
      </w:pPr>
      <w:r>
        <w:rPr>
          <w:w w:val="95"/>
        </w:rPr>
        <w:t>⑦发包人未按照约定支付价款的，承包人可以催告发包人在合理期限内支付价款。发</w:t>
      </w:r>
      <w:r>
        <w:rPr>
          <w:spacing w:val="98"/>
        </w:rPr>
        <w:t xml:space="preserve">  </w:t>
      </w:r>
      <w:r>
        <w:rPr>
          <w:w w:val="95"/>
        </w:rPr>
        <w:t>包人逾期不支付的，除按照建设工程的性质不宜折价、拍卖外，承包人可以与发包人协议</w:t>
      </w:r>
      <w:r>
        <w:rPr>
          <w:spacing w:val="98"/>
        </w:rPr>
        <w:t xml:space="preserve">  </w:t>
      </w:r>
      <w:r>
        <w:rPr>
          <w:w w:val="95"/>
        </w:rPr>
        <w:t>将该工程折价，也可以申请人民法院将该工程</w:t>
      </w:r>
      <w:r>
        <w:t>依法拍卖。建设工程的价款就该工程折价或者拍卖的价款优先受偿。</w:t>
      </w:r>
    </w:p>
    <w:p>
      <w:pPr>
        <w:pStyle w:val="ListParagraph"/>
        <w:numPr>
          <w:ilvl w:val="0"/>
          <w:numId w:val="34"/>
        </w:numPr>
        <w:tabs>
          <w:tab w:val="left" w:pos="752"/>
        </w:tabs>
        <w:spacing w:before="0" w:after="0" w:line="333" w:lineRule="auto"/>
        <w:ind w:left="227" w:right="367" w:firstLine="0"/>
        <w:jc w:val="both"/>
        <w:rPr>
          <w:sz w:val="21"/>
        </w:rPr>
      </w:pPr>
      <w:r>
        <w:rPr>
          <w:w w:val="95"/>
          <w:sz w:val="21"/>
        </w:rPr>
        <w:t>建设工程施工合同无效的处置。建设工程施工合同无效，但是建设工程经验收合格的，可以参照合同关于</w:t>
      </w:r>
      <w:r>
        <w:rPr>
          <w:spacing w:val="96"/>
          <w:w w:val="95"/>
          <w:sz w:val="21"/>
        </w:rPr>
        <w:t xml:space="preserve"> </w:t>
      </w:r>
      <w:r>
        <w:rPr>
          <w:w w:val="95"/>
          <w:sz w:val="21"/>
        </w:rPr>
        <w:t>工程价款的约定折价补偿承包人。建设工程施工合同无效，且建设工程经验收不合格的，按照以下情形处理：</w:t>
      </w:r>
      <w:r>
        <w:rPr>
          <w:spacing w:val="101"/>
          <w:sz w:val="21"/>
        </w:rPr>
        <w:t xml:space="preserve"> </w:t>
      </w:r>
      <w:r>
        <w:rPr>
          <w:sz w:val="21"/>
        </w:rPr>
        <w:t>1）修复后的建设工程经验收合格的，发包人可以请求承包人承担修复费用；</w:t>
      </w:r>
    </w:p>
    <w:p>
      <w:pPr>
        <w:pStyle w:val="BodyText"/>
        <w:spacing w:line="336" w:lineRule="auto"/>
        <w:ind w:right="1533"/>
      </w:pPr>
      <w:r>
        <w:rPr>
          <w:w w:val="95"/>
        </w:rPr>
        <w:t>2）修复后的建设工程经验收不合格的，承包人无权请求参照合同关于工程价款的约定折价补偿。</w:t>
      </w:r>
      <w:r>
        <w:rPr>
          <w:spacing w:val="137"/>
        </w:rPr>
        <w:t xml:space="preserve"> </w:t>
      </w:r>
      <w:r>
        <w:t>发包人对因建设工程不合格造成的损失有过错的，应当承担相应的责任。</w:t>
      </w:r>
    </w:p>
    <w:p>
      <w:pPr>
        <w:pStyle w:val="BodyText"/>
        <w:spacing w:line="265" w:lineRule="exact"/>
      </w:pPr>
      <w:r>
        <w:rPr>
          <w:spacing w:val="1"/>
          <w:w w:val="95"/>
        </w:rPr>
        <w:t xml:space="preserve">【分值】考试形式为选择题，分值为 </w:t>
      </w:r>
      <w:r>
        <w:rPr>
          <w:w w:val="95"/>
        </w:rPr>
        <w:t>1-2</w:t>
      </w:r>
      <w:r>
        <w:rPr>
          <w:spacing w:val="3"/>
          <w:w w:val="95"/>
        </w:rPr>
        <w:t xml:space="preserve"> 分。</w:t>
      </w:r>
    </w:p>
    <w:p>
      <w:pPr>
        <w:pStyle w:val="BodyText"/>
        <w:spacing w:before="100"/>
      </w:pPr>
      <w:r>
        <w:t>【记忆方法】理解记忆</w:t>
      </w:r>
    </w:p>
    <w:p>
      <w:pPr>
        <w:pStyle w:val="BodyText"/>
        <w:spacing w:before="8"/>
        <w:ind w:left="0"/>
        <w:rPr>
          <w:sz w:val="7"/>
        </w:rPr>
      </w:pPr>
      <w:r>
        <w:pict>
          <v:shape id="docshape49" o:spid="_x0000_s1069" type="#_x0000_t202" style="width:82.8pt;height:19.9pt;margin-top:8.3pt;margin-left:48.3pt;mso-height-relative:page;mso-position-horizontal-relative:page;mso-width-relative:page;mso-wrap-distance-bottom:0;mso-wrap-distance-top:0;position:absolute;z-index:-251611136" coordsize="21600,21600" filled="f" stroked="t" strokecolor="black">
            <v:textbox inset="0,0,0,0">
              <w:txbxContent>
                <w:p>
                  <w:pPr>
                    <w:spacing w:before="3" w:line="306" w:lineRule="exact"/>
                    <w:ind w:left="1" w:right="0" w:firstLine="0"/>
                    <w:jc w:val="left"/>
                    <w:rPr>
                      <w:b/>
                      <w:sz w:val="24"/>
                    </w:rPr>
                  </w:pPr>
                  <w:r>
                    <w:rPr>
                      <w:b/>
                      <w:sz w:val="24"/>
                    </w:rPr>
                    <w:t>精选习题·22</w:t>
                  </w:r>
                </w:p>
              </w:txbxContent>
            </v:textbox>
            <w10:wrap type="topAndBottom"/>
          </v:shape>
        </w:pict>
      </w:r>
    </w:p>
    <w:p>
      <w:pPr>
        <w:pStyle w:val="BodyText"/>
        <w:spacing w:before="5"/>
        <w:ind w:left="0"/>
        <w:rPr>
          <w:sz w:val="7"/>
        </w:rPr>
      </w:pPr>
    </w:p>
    <w:p>
      <w:pPr>
        <w:pStyle w:val="BodyText"/>
        <w:tabs>
          <w:tab w:val="left" w:pos="6632"/>
        </w:tabs>
        <w:spacing w:before="69" w:line="333" w:lineRule="auto"/>
        <w:ind w:left="647" w:right="3740" w:hanging="420"/>
      </w:pPr>
      <w:r>
        <w:t>【2022】根据《民法典</w:t>
      </w:r>
      <w:r>
        <w:rPr>
          <w:spacing w:val="-104"/>
        </w:rPr>
        <w:t>》</w:t>
      </w:r>
      <w:r>
        <w:t>，关于建设工程合同的说法，正确的有（</w:t>
      </w:r>
      <w:r>
        <w:tab/>
      </w:r>
      <w:r>
        <w:rPr>
          <w:spacing w:val="-106"/>
        </w:rPr>
        <w:t>）</w:t>
      </w:r>
      <w:r>
        <w:rPr>
          <w:spacing w:val="-4"/>
        </w:rPr>
        <w:t>。</w:t>
      </w:r>
      <w:r>
        <w:t>A.建设工程合同包括工程勘察、设计、施工、监理合同</w:t>
      </w:r>
    </w:p>
    <w:p>
      <w:pPr>
        <w:pStyle w:val="BodyText"/>
        <w:spacing w:before="4"/>
        <w:ind w:left="647"/>
      </w:pPr>
      <w:r>
        <w:t>B.建设工程合同是承包人进行工程建设，发包人支付价款的合同</w:t>
      </w:r>
    </w:p>
    <w:p>
      <w:pPr>
        <w:pStyle w:val="BodyText"/>
        <w:spacing w:before="103" w:line="336" w:lineRule="auto"/>
        <w:ind w:left="647" w:right="1219"/>
      </w:pPr>
      <w:r>
        <w:rPr>
          <w:w w:val="95"/>
        </w:rPr>
        <w:t>C.建设工程施工合同无效，但工程验收合格的，可参照合同关于工程价款的约定折价补偿承包人</w:t>
      </w:r>
      <w:r>
        <w:rPr>
          <w:spacing w:val="131"/>
        </w:rPr>
        <w:t xml:space="preserve"> </w:t>
      </w:r>
      <w:r>
        <w:t>D.承包人将建设工程转包的，发包人可解除合同</w:t>
      </w:r>
    </w:p>
    <w:p>
      <w:pPr>
        <w:pStyle w:val="BodyText"/>
        <w:spacing w:line="264" w:lineRule="exact"/>
        <w:ind w:left="647"/>
      </w:pPr>
      <w:r>
        <w:t>E.在不妨碍承包人正常作业的情况下，发包人可随时检查作业进度</w:t>
      </w:r>
    </w:p>
    <w:p>
      <w:pPr>
        <w:pStyle w:val="BodyText"/>
        <w:spacing w:before="105"/>
      </w:pPr>
      <w:r>
        <w:t>【答案】BCDE</w:t>
      </w:r>
    </w:p>
    <w:p>
      <w:pPr>
        <w:pStyle w:val="BodyText"/>
        <w:spacing w:before="108" w:line="331" w:lineRule="auto"/>
        <w:ind w:right="367"/>
      </w:pPr>
      <w:r>
        <w:pict>
          <v:shape id="docshape50" o:spid="_x0000_s1070" type="#_x0000_t202" style="width:82.8pt;height:19.85pt;margin-top:45.8pt;margin-left:48.3pt;mso-height-relative:page;mso-position-horizontal-relative:page;mso-width-relative:page;mso-wrap-distance-bottom:0;mso-wrap-distance-top:0;position:absolute;z-index:-251610112" coordsize="21600,21600" filled="f" stroked="t" strokecolor="black">
            <v:textbox inset="0,0,0,0">
              <w:txbxContent>
                <w:p>
                  <w:pPr>
                    <w:spacing w:before="3" w:line="305" w:lineRule="exact"/>
                    <w:ind w:left="1" w:right="0" w:firstLine="0"/>
                    <w:jc w:val="left"/>
                    <w:rPr>
                      <w:b/>
                      <w:sz w:val="24"/>
                    </w:rPr>
                  </w:pPr>
                  <w:r>
                    <w:rPr>
                      <w:b/>
                      <w:sz w:val="24"/>
                    </w:rPr>
                    <w:t>重要考点·23</w:t>
                  </w:r>
                </w:p>
              </w:txbxContent>
            </v:textbox>
            <w10:wrap type="topAndBottom"/>
          </v:shape>
        </w:pict>
      </w:r>
      <w:r>
        <w:rPr>
          <w:w w:val="95"/>
        </w:rPr>
        <w:t>【解析】选项</w:t>
      </w:r>
      <w:r>
        <w:rPr>
          <w:spacing w:val="138"/>
        </w:rPr>
        <w:t xml:space="preserve"> </w:t>
      </w:r>
      <w:r>
        <w:rPr>
          <w:w w:val="95"/>
        </w:rPr>
        <w:t>A</w:t>
      </w:r>
      <w:r>
        <w:rPr>
          <w:spacing w:val="143"/>
        </w:rPr>
        <w:t xml:space="preserve"> </w:t>
      </w:r>
      <w:r>
        <w:rPr>
          <w:w w:val="95"/>
        </w:rPr>
        <w:t>错误，建设工程合同包括工程勘察、设计、施工合同；建设工程监理合同、项目管理服务合同</w:t>
      </w:r>
      <w:r>
        <w:t>则属于委托合同。</w:t>
      </w:r>
    </w:p>
    <w:p>
      <w:pPr>
        <w:pStyle w:val="BodyText"/>
        <w:spacing w:before="8"/>
        <w:ind w:left="0"/>
        <w:rPr>
          <w:sz w:val="7"/>
        </w:rPr>
      </w:pPr>
    </w:p>
    <w:p>
      <w:pPr>
        <w:pStyle w:val="BodyText"/>
        <w:spacing w:before="69"/>
      </w:pPr>
      <w:r>
        <w:t>1.委托合同有关规定</w:t>
      </w:r>
    </w:p>
    <w:p>
      <w:pPr>
        <w:pStyle w:val="ListParagraph"/>
        <w:numPr>
          <w:ilvl w:val="0"/>
          <w:numId w:val="35"/>
        </w:numPr>
        <w:tabs>
          <w:tab w:val="left" w:pos="752"/>
        </w:tabs>
        <w:spacing w:before="103" w:after="0" w:line="240" w:lineRule="auto"/>
        <w:ind w:left="751" w:right="0" w:hanging="525"/>
        <w:jc w:val="left"/>
        <w:rPr>
          <w:sz w:val="21"/>
        </w:rPr>
      </w:pPr>
      <w:r>
        <w:rPr>
          <w:sz w:val="21"/>
        </w:rPr>
        <w:t>委托人主要权利和义务</w:t>
      </w:r>
    </w:p>
    <w:p>
      <w:pPr>
        <w:pStyle w:val="ListParagraph"/>
        <w:numPr>
          <w:ilvl w:val="0"/>
          <w:numId w:val="36"/>
        </w:numPr>
        <w:tabs>
          <w:tab w:val="left" w:pos="543"/>
        </w:tabs>
        <w:spacing w:before="106" w:after="0" w:line="336" w:lineRule="auto"/>
        <w:ind w:left="227" w:right="367" w:firstLine="0"/>
        <w:jc w:val="left"/>
        <w:rPr>
          <w:sz w:val="21"/>
        </w:rPr>
      </w:pPr>
      <w:r>
        <w:rPr>
          <w:sz w:val="21"/>
        </w:rPr>
        <w:t>委托人应当预付处理委托事务的费用。受托人为处理委托事务垫付的必要费用，委托人应当偿还该费用及其利息。</w:t>
      </w:r>
    </w:p>
    <w:p>
      <w:pPr>
        <w:pStyle w:val="ListParagraph"/>
        <w:numPr>
          <w:ilvl w:val="0"/>
          <w:numId w:val="36"/>
        </w:numPr>
        <w:tabs>
          <w:tab w:val="left" w:pos="543"/>
        </w:tabs>
        <w:spacing w:before="0" w:after="0" w:line="265" w:lineRule="exact"/>
        <w:ind w:left="542" w:right="0" w:hanging="316"/>
        <w:jc w:val="left"/>
        <w:rPr>
          <w:sz w:val="21"/>
        </w:rPr>
      </w:pPr>
      <w:r>
        <w:rPr>
          <w:w w:val="95"/>
          <w:sz w:val="21"/>
        </w:rPr>
        <w:t>有偿的委托合同，因受托人的过错给委托人造成损失的，委托人可以要求赔偿损失。无偿的委托合同，因受</w:t>
      </w:r>
    </w:p>
    <w:p>
      <w:pPr>
        <w:spacing w:after="0" w:line="265" w:lineRule="exact"/>
        <w:jc w:val="left"/>
        <w:rPr>
          <w:sz w:val="21"/>
        </w:rPr>
        <w:sectPr>
          <w:headerReference w:type="default" r:id="rId26"/>
          <w:pgSz w:w="11910" w:h="16840"/>
          <w:pgMar w:top="1180" w:right="540" w:bottom="280" w:left="680" w:header="993" w:footer="0" w:gutter="0"/>
          <w:pgNumType w:start="22"/>
          <w:cols w:space="708"/>
        </w:sectPr>
      </w:pPr>
    </w:p>
    <w:p>
      <w:pPr>
        <w:pStyle w:val="BodyText"/>
        <w:spacing w:before="54" w:line="331" w:lineRule="auto"/>
        <w:ind w:right="367"/>
      </w:pPr>
      <w:r>
        <w:rPr>
          <w:w w:val="95"/>
        </w:rPr>
        <w:t>托人的故意或者重大过失给委托人造成损失的，委托人可以要求赔偿损失。受托人超越权限给委托人造成损失</w:t>
      </w:r>
      <w:r>
        <w:rPr>
          <w:spacing w:val="206"/>
        </w:rPr>
        <w:t xml:space="preserve"> </w:t>
      </w:r>
      <w:r>
        <w:t>的，应当赔偿损失。</w:t>
      </w:r>
    </w:p>
    <w:p>
      <w:pPr>
        <w:pStyle w:val="ListParagraph"/>
        <w:numPr>
          <w:ilvl w:val="0"/>
          <w:numId w:val="36"/>
        </w:numPr>
        <w:tabs>
          <w:tab w:val="left" w:pos="543"/>
        </w:tabs>
        <w:spacing w:before="4" w:after="0" w:line="336" w:lineRule="auto"/>
        <w:ind w:left="227" w:right="367" w:firstLine="0"/>
        <w:jc w:val="left"/>
        <w:rPr>
          <w:sz w:val="21"/>
        </w:rPr>
      </w:pPr>
      <w:r>
        <w:rPr>
          <w:w w:val="95"/>
          <w:sz w:val="21"/>
        </w:rPr>
        <w:t>受托人完成委托事务的，委托人应当向其支付报酬。因不可归责于受托人的事由，委托合同解除或者委托事</w:t>
      </w:r>
      <w:r>
        <w:rPr>
          <w:spacing w:val="95"/>
          <w:w w:val="95"/>
          <w:sz w:val="21"/>
        </w:rPr>
        <w:t xml:space="preserve"> </w:t>
      </w:r>
      <w:r>
        <w:rPr>
          <w:sz w:val="21"/>
        </w:rPr>
        <w:t>务不能完成的，委托人应当向受托人支付相应的报酬。</w:t>
      </w:r>
    </w:p>
    <w:p>
      <w:pPr>
        <w:pStyle w:val="ListParagraph"/>
        <w:numPr>
          <w:ilvl w:val="0"/>
          <w:numId w:val="35"/>
        </w:numPr>
        <w:tabs>
          <w:tab w:val="left" w:pos="752"/>
        </w:tabs>
        <w:spacing w:before="0" w:after="0" w:line="265" w:lineRule="exact"/>
        <w:ind w:left="751" w:right="0" w:hanging="525"/>
        <w:jc w:val="left"/>
        <w:rPr>
          <w:sz w:val="21"/>
        </w:rPr>
      </w:pPr>
      <w:r>
        <w:rPr>
          <w:sz w:val="21"/>
        </w:rPr>
        <w:t>受托人主要权利和义务</w:t>
      </w:r>
    </w:p>
    <w:p>
      <w:pPr>
        <w:pStyle w:val="ListParagraph"/>
        <w:numPr>
          <w:ilvl w:val="0"/>
          <w:numId w:val="37"/>
        </w:numPr>
        <w:tabs>
          <w:tab w:val="left" w:pos="543"/>
        </w:tabs>
        <w:spacing w:before="108" w:after="0" w:line="331" w:lineRule="auto"/>
        <w:ind w:left="227" w:right="368" w:firstLine="0"/>
        <w:jc w:val="left"/>
        <w:rPr>
          <w:sz w:val="21"/>
        </w:rPr>
      </w:pPr>
      <w:r>
        <w:rPr>
          <w:w w:val="95"/>
          <w:sz w:val="21"/>
        </w:rPr>
        <w:t>受托人应当按照委托人的指示处理委托事务。需要变更委托人指示的，应当经委托人同意；因情况紧急，难</w:t>
      </w:r>
      <w:r>
        <w:rPr>
          <w:spacing w:val="94"/>
          <w:w w:val="95"/>
          <w:sz w:val="21"/>
        </w:rPr>
        <w:t xml:space="preserve"> </w:t>
      </w:r>
      <w:r>
        <w:rPr>
          <w:sz w:val="21"/>
        </w:rPr>
        <w:t>以和委托人取得联系的，受托人应当妥善处理委托事务，但事后应当将该情况及时报告委托人。</w:t>
      </w:r>
    </w:p>
    <w:p>
      <w:pPr>
        <w:pStyle w:val="ListParagraph"/>
        <w:numPr>
          <w:ilvl w:val="0"/>
          <w:numId w:val="37"/>
        </w:numPr>
        <w:tabs>
          <w:tab w:val="left" w:pos="543"/>
        </w:tabs>
        <w:spacing w:before="3" w:after="0" w:line="333" w:lineRule="auto"/>
        <w:ind w:left="227" w:right="367" w:firstLine="0"/>
        <w:jc w:val="both"/>
        <w:rPr>
          <w:sz w:val="21"/>
        </w:rPr>
      </w:pPr>
      <w:r>
        <w:rPr>
          <w:w w:val="95"/>
          <w:sz w:val="21"/>
        </w:rPr>
        <w:t>受托人应当亲自处理委托事务。经委托人同意，受托人可以转委托。转委托经同意的，委托人可以就委托事</w:t>
      </w:r>
      <w:r>
        <w:rPr>
          <w:spacing w:val="101"/>
          <w:sz w:val="21"/>
        </w:rPr>
        <w:t xml:space="preserve"> </w:t>
      </w:r>
      <w:r>
        <w:rPr>
          <w:w w:val="95"/>
          <w:sz w:val="21"/>
        </w:rPr>
        <w:t>务直接指示转委托的第三人，受托人仅就第三人的选任及其对第三人的指示承担责任。转委托未经同意的，受</w:t>
      </w:r>
      <w:r>
        <w:rPr>
          <w:spacing w:val="216"/>
          <w:sz w:val="21"/>
        </w:rPr>
        <w:t xml:space="preserve"> </w:t>
      </w:r>
      <w:r>
        <w:rPr>
          <w:w w:val="95"/>
          <w:sz w:val="21"/>
        </w:rPr>
        <w:t>托人应当对转委托的第三人的行为承担责任，但在紧急情况下受托人为维护委托人的利益需要转委托的除外。</w:t>
      </w:r>
      <w:r>
        <w:rPr>
          <w:spacing w:val="116"/>
          <w:sz w:val="21"/>
        </w:rPr>
        <w:t xml:space="preserve"> </w:t>
      </w:r>
      <w:r>
        <w:rPr>
          <w:w w:val="95"/>
          <w:sz w:val="21"/>
        </w:rPr>
        <w:t>3）受托人应当按照委托人的要求，报告委托事务的处理情况。委托合同终止时，受托人应当报告委托事务的结</w:t>
      </w:r>
      <w:r>
        <w:rPr>
          <w:spacing w:val="106"/>
          <w:sz w:val="21"/>
        </w:rPr>
        <w:t xml:space="preserve"> </w:t>
      </w:r>
      <w:r>
        <w:rPr>
          <w:sz w:val="21"/>
        </w:rPr>
        <w:t>果。</w:t>
      </w:r>
    </w:p>
    <w:p>
      <w:pPr>
        <w:pStyle w:val="ListParagraph"/>
        <w:numPr>
          <w:ilvl w:val="0"/>
          <w:numId w:val="38"/>
        </w:numPr>
        <w:tabs>
          <w:tab w:val="left" w:pos="543"/>
        </w:tabs>
        <w:spacing w:before="2" w:after="0" w:line="240" w:lineRule="auto"/>
        <w:ind w:left="542" w:right="0" w:hanging="316"/>
        <w:jc w:val="left"/>
        <w:rPr>
          <w:sz w:val="21"/>
        </w:rPr>
      </w:pPr>
      <w:r>
        <w:rPr>
          <w:sz w:val="21"/>
        </w:rPr>
        <w:t>受托人处理委托事务时，因不可归责于自己的事由受到损失的，可以向委托人要求赔偿损失。</w:t>
      </w:r>
    </w:p>
    <w:p>
      <w:pPr>
        <w:pStyle w:val="ListParagraph"/>
        <w:numPr>
          <w:ilvl w:val="0"/>
          <w:numId w:val="38"/>
        </w:numPr>
        <w:tabs>
          <w:tab w:val="left" w:pos="543"/>
        </w:tabs>
        <w:spacing w:before="108" w:after="0" w:line="331" w:lineRule="auto"/>
        <w:ind w:left="227" w:right="367" w:firstLine="0"/>
        <w:jc w:val="left"/>
        <w:rPr>
          <w:sz w:val="21"/>
        </w:rPr>
      </w:pPr>
      <w:r>
        <w:rPr>
          <w:w w:val="95"/>
          <w:sz w:val="21"/>
        </w:rPr>
        <w:t>委托人经受托人同意，可以在受托人之外委托第三人处理委托事务。因此给受托人造成损失的，受托人可以</w:t>
      </w:r>
      <w:r>
        <w:rPr>
          <w:spacing w:val="95"/>
          <w:w w:val="95"/>
          <w:sz w:val="21"/>
        </w:rPr>
        <w:t xml:space="preserve"> </w:t>
      </w:r>
      <w:r>
        <w:rPr>
          <w:sz w:val="21"/>
        </w:rPr>
        <w:t>向委托人要求赔偿损失。</w:t>
      </w:r>
    </w:p>
    <w:p>
      <w:pPr>
        <w:pStyle w:val="ListParagraph"/>
        <w:numPr>
          <w:ilvl w:val="0"/>
          <w:numId w:val="38"/>
        </w:numPr>
        <w:tabs>
          <w:tab w:val="left" w:pos="543"/>
        </w:tabs>
        <w:spacing w:before="4" w:after="0" w:line="240" w:lineRule="auto"/>
        <w:ind w:left="542" w:right="0" w:hanging="316"/>
        <w:jc w:val="left"/>
        <w:rPr>
          <w:sz w:val="21"/>
        </w:rPr>
      </w:pPr>
      <w:r>
        <w:rPr>
          <w:sz w:val="21"/>
        </w:rPr>
        <w:t>两个以上的受托人共同处理委托事务的，对委托人承担连带责任。</w:t>
      </w:r>
    </w:p>
    <w:p>
      <w:pPr>
        <w:pStyle w:val="BodyText"/>
        <w:spacing w:before="105"/>
      </w:pPr>
      <w:r>
        <w:rPr>
          <w:spacing w:val="1"/>
          <w:w w:val="95"/>
        </w:rPr>
        <w:t xml:space="preserve">【分值】考试形式为选择题，分值为 </w:t>
      </w:r>
      <w:r>
        <w:rPr>
          <w:w w:val="95"/>
        </w:rPr>
        <w:t>1-2</w:t>
      </w:r>
      <w:r>
        <w:rPr>
          <w:spacing w:val="3"/>
          <w:w w:val="95"/>
        </w:rPr>
        <w:t xml:space="preserve"> 分。</w:t>
      </w:r>
    </w:p>
    <w:p>
      <w:pPr>
        <w:pStyle w:val="BodyText"/>
        <w:spacing w:before="106"/>
      </w:pPr>
      <w:r>
        <w:t>【记忆方法】理解记忆</w:t>
      </w:r>
    </w:p>
    <w:p>
      <w:pPr>
        <w:pStyle w:val="BodyText"/>
        <w:spacing w:before="8"/>
        <w:ind w:left="0"/>
        <w:rPr>
          <w:sz w:val="7"/>
        </w:rPr>
      </w:pPr>
      <w:r>
        <w:pict>
          <v:shape id="docshape51" o:spid="_x0000_s1071" type="#_x0000_t202" style="width:82.8pt;height:19.9pt;margin-top:8.35pt;margin-left:48.3pt;mso-height-relative:page;mso-position-horizontal-relative:page;mso-width-relative:page;mso-wrap-distance-bottom:0;mso-wrap-distance-top:0;position:absolute;z-index:-251609088" coordsize="21600,21600" filled="f" stroked="t" strokecolor="black">
            <v:textbox inset="0,0,0,0">
              <w:txbxContent>
                <w:p>
                  <w:pPr>
                    <w:spacing w:before="3" w:line="306" w:lineRule="exact"/>
                    <w:ind w:left="1" w:right="0" w:firstLine="0"/>
                    <w:jc w:val="left"/>
                    <w:rPr>
                      <w:b/>
                      <w:sz w:val="24"/>
                    </w:rPr>
                  </w:pPr>
                  <w:r>
                    <w:rPr>
                      <w:b/>
                      <w:sz w:val="24"/>
                    </w:rPr>
                    <w:t>精选习题·23</w:t>
                  </w:r>
                </w:p>
              </w:txbxContent>
            </v:textbox>
            <w10:wrap type="topAndBottom"/>
          </v:shape>
        </w:pict>
      </w:r>
    </w:p>
    <w:p>
      <w:pPr>
        <w:pStyle w:val="BodyText"/>
        <w:spacing w:before="7"/>
        <w:ind w:left="0"/>
        <w:rPr>
          <w:sz w:val="7"/>
        </w:rPr>
      </w:pPr>
    </w:p>
    <w:p>
      <w:pPr>
        <w:pStyle w:val="BodyText"/>
        <w:tabs>
          <w:tab w:val="left" w:pos="8627"/>
        </w:tabs>
        <w:spacing w:before="70" w:line="331" w:lineRule="auto"/>
        <w:ind w:left="647" w:right="1742" w:hanging="420"/>
      </w:pPr>
      <w:r>
        <w:t>【2022】根据《民法典》合同编，关于委托合同中委托人权利义务的说法，正确的有（</w:t>
      </w:r>
      <w:r>
        <w:tab/>
      </w:r>
      <w:r>
        <w:rPr>
          <w:spacing w:val="-104"/>
        </w:rPr>
        <w:t>）</w:t>
      </w:r>
      <w:r>
        <w:rPr>
          <w:spacing w:val="-3"/>
        </w:rPr>
        <w:t>。</w:t>
      </w:r>
      <w:r>
        <w:t>A.委托人应当预付处理委托事务的费用</w:t>
      </w:r>
    </w:p>
    <w:p>
      <w:pPr>
        <w:pStyle w:val="BodyText"/>
        <w:spacing w:before="3" w:line="333" w:lineRule="auto"/>
        <w:ind w:left="647" w:right="3110"/>
      </w:pPr>
      <w:r>
        <w:rPr>
          <w:w w:val="95"/>
        </w:rPr>
        <w:t>B.对无偿委托合同，受托人过失给委托人造成损失的，委托人不应要求赔偿</w:t>
      </w:r>
      <w:r>
        <w:rPr>
          <w:spacing w:val="40"/>
          <w:w w:val="95"/>
        </w:rPr>
        <w:t xml:space="preserve"> </w:t>
      </w:r>
      <w:r>
        <w:t>C.受托人超越权限给委托人造成损失的，应当向委托人赔偿损失</w:t>
      </w:r>
    </w:p>
    <w:p>
      <w:pPr>
        <w:pStyle w:val="BodyText"/>
        <w:spacing w:before="1" w:line="336" w:lineRule="auto"/>
        <w:ind w:left="647" w:right="3530"/>
      </w:pPr>
      <w:r>
        <w:rPr>
          <w:w w:val="95"/>
        </w:rPr>
        <w:t>D.委托人不经受托人同意，可以在受托人之外委托第三人处理委托事务</w:t>
      </w:r>
      <w:r>
        <w:rPr>
          <w:spacing w:val="19"/>
          <w:w w:val="95"/>
        </w:rPr>
        <w:t xml:space="preserve"> </w:t>
      </w:r>
      <w:r>
        <w:t>E.经同意的转委托，委托人可以就委托事务直接指示转委托的第三人</w:t>
      </w:r>
    </w:p>
    <w:p>
      <w:pPr>
        <w:pStyle w:val="BodyText"/>
        <w:spacing w:line="265" w:lineRule="exact"/>
      </w:pPr>
      <w:r>
        <w:t>【答案】ACE</w:t>
      </w:r>
    </w:p>
    <w:p>
      <w:pPr>
        <w:pStyle w:val="BodyText"/>
        <w:spacing w:before="108" w:line="333" w:lineRule="auto"/>
        <w:ind w:right="367"/>
        <w:jc w:val="both"/>
      </w:pPr>
      <w:r>
        <w:pict>
          <v:shape id="docshape52" o:spid="_x0000_s1072" type="#_x0000_t202" style="width:82.8pt;height:19.9pt;margin-top:64.5pt;margin-left:48.3pt;mso-height-relative:page;mso-position-horizontal-relative:page;mso-width-relative:page;mso-wrap-distance-bottom:0;mso-wrap-distance-top:0;position:absolute;z-index:-251608064" coordsize="21600,21600" filled="f" stroked="t" strokecolor="black">
            <v:textbox inset="0,0,0,0">
              <w:txbxContent>
                <w:p>
                  <w:pPr>
                    <w:spacing w:before="3" w:line="306" w:lineRule="exact"/>
                    <w:ind w:left="1" w:right="0" w:firstLine="0"/>
                    <w:jc w:val="left"/>
                    <w:rPr>
                      <w:b/>
                      <w:sz w:val="24"/>
                    </w:rPr>
                  </w:pPr>
                  <w:r>
                    <w:rPr>
                      <w:b/>
                      <w:sz w:val="24"/>
                    </w:rPr>
                    <w:t>重要考点·24</w:t>
                  </w:r>
                </w:p>
              </w:txbxContent>
            </v:textbox>
            <w10:wrap type="topAndBottom"/>
          </v:shape>
        </w:pict>
      </w:r>
      <w:r>
        <w:rPr>
          <w:w w:val="95"/>
        </w:rPr>
        <w:t>【解析】选项</w:t>
      </w:r>
      <w:r>
        <w:rPr>
          <w:spacing w:val="138"/>
        </w:rPr>
        <w:t xml:space="preserve"> </w:t>
      </w:r>
      <w:r>
        <w:rPr>
          <w:w w:val="95"/>
        </w:rPr>
        <w:t>B</w:t>
      </w:r>
      <w:r>
        <w:rPr>
          <w:spacing w:val="143"/>
        </w:rPr>
        <w:t xml:space="preserve"> </w:t>
      </w:r>
      <w:r>
        <w:rPr>
          <w:w w:val="95"/>
        </w:rPr>
        <w:t>错误，无偿的委托合同，因受托人的故意或者重大过失给委托人造成损失的，委托人可以要求赔偿损失。受托人超越权限给委托人造成损失的，应当赔偿损失。选项</w:t>
      </w:r>
      <w:r>
        <w:rPr>
          <w:spacing w:val="138"/>
        </w:rPr>
        <w:t xml:space="preserve"> </w:t>
      </w:r>
      <w:r>
        <w:rPr>
          <w:w w:val="95"/>
        </w:rPr>
        <w:t>D</w:t>
      </w:r>
      <w:r>
        <w:rPr>
          <w:spacing w:val="143"/>
        </w:rPr>
        <w:t xml:space="preserve"> </w:t>
      </w:r>
      <w:r>
        <w:rPr>
          <w:w w:val="95"/>
        </w:rPr>
        <w:t>错误，委托人经受托人同意，可以在</w:t>
      </w:r>
      <w:r>
        <w:t>受托人之外委托第三人处理委托事务。因此给受托人造成损失的，受托人可以向委托人要求赔偿损失。</w:t>
      </w:r>
    </w:p>
    <w:p>
      <w:pPr>
        <w:pStyle w:val="BodyText"/>
        <w:spacing w:before="7"/>
        <w:ind w:left="0"/>
        <w:rPr>
          <w:sz w:val="7"/>
        </w:rPr>
      </w:pPr>
    </w:p>
    <w:p>
      <w:pPr>
        <w:pStyle w:val="BodyText"/>
        <w:spacing w:before="70"/>
      </w:pPr>
      <w:r>
        <w:t>1.生产经营单位的安全生产保障</w:t>
      </w:r>
    </w:p>
    <w:p>
      <w:pPr>
        <w:pStyle w:val="ListParagraph"/>
        <w:numPr>
          <w:ilvl w:val="0"/>
          <w:numId w:val="39"/>
        </w:numPr>
        <w:tabs>
          <w:tab w:val="left" w:pos="752"/>
        </w:tabs>
        <w:spacing w:before="103" w:after="0" w:line="333" w:lineRule="auto"/>
        <w:ind w:left="227" w:right="261" w:firstLine="0"/>
        <w:jc w:val="left"/>
        <w:rPr>
          <w:sz w:val="21"/>
        </w:rPr>
      </w:pPr>
      <w:r>
        <w:rPr>
          <w:spacing w:val="-3"/>
          <w:sz w:val="21"/>
        </w:rPr>
        <w:t>生产经营单位的主要负责人对本单位安全生产工作的职责。包括：①建立健全本单位全员安全生产责任制</w:t>
      </w:r>
      <w:r>
        <w:rPr>
          <w:sz w:val="21"/>
        </w:rPr>
        <w:t>，加强安全生产标准化建设；②组织制定并实施本单位安全生产规章制度和操作规程；③组织制定并实施本单位安全生产教育和培训计划；④保证本单位安全生产投入的有效实施；⑤组织建立并落实安全风险分级管控和隐患排查治理双重预防工作机制，督促、检查本单位的安全生产工作，及时消除生产安全事故隐患；⑥组织制定并实施本单位的生产安全事故应急救援预案；⑦及时、如实报告生产安全事故。</w:t>
      </w:r>
    </w:p>
    <w:p>
      <w:pPr>
        <w:pStyle w:val="ListParagraph"/>
        <w:numPr>
          <w:ilvl w:val="0"/>
          <w:numId w:val="39"/>
        </w:numPr>
        <w:tabs>
          <w:tab w:val="left" w:pos="752"/>
        </w:tabs>
        <w:spacing w:before="2" w:after="0" w:line="240" w:lineRule="auto"/>
        <w:ind w:left="751" w:right="0" w:hanging="525"/>
        <w:jc w:val="left"/>
        <w:rPr>
          <w:sz w:val="21"/>
        </w:rPr>
      </w:pPr>
      <w:r>
        <w:rPr>
          <w:spacing w:val="-2"/>
          <w:sz w:val="21"/>
        </w:rPr>
        <w:t>生产经营单位的安全生产管理机构及安全生产管理人员职责。矿山、金属冶炼、建筑施工、运输单位和危</w:t>
      </w:r>
    </w:p>
    <w:p>
      <w:pPr>
        <w:spacing w:after="0" w:line="240" w:lineRule="auto"/>
        <w:jc w:val="left"/>
        <w:rPr>
          <w:sz w:val="21"/>
        </w:rPr>
        <w:sectPr>
          <w:headerReference w:type="default" r:id="rId27"/>
          <w:pgSz w:w="11910" w:h="16840"/>
          <w:pgMar w:top="1180" w:right="540" w:bottom="280" w:left="680" w:header="993" w:footer="0" w:gutter="0"/>
          <w:pgNumType w:start="23"/>
          <w:cols w:space="708"/>
        </w:sectPr>
      </w:pPr>
    </w:p>
    <w:p>
      <w:pPr>
        <w:pStyle w:val="BodyText"/>
        <w:spacing w:before="54" w:line="331" w:lineRule="auto"/>
        <w:ind w:right="367"/>
        <w:jc w:val="both"/>
      </w:pPr>
      <w:r>
        <w:rPr>
          <w:w w:val="95"/>
        </w:rPr>
        <w:t>险物品的生产、经营、储存、装卸单位，应当设置安全生产管理机构或者配备专职安全生产管理人员。上述单</w:t>
      </w:r>
      <w:r>
        <w:rPr>
          <w:spacing w:val="216"/>
        </w:rPr>
        <w:t xml:space="preserve"> </w:t>
      </w:r>
      <w:r>
        <w:rPr>
          <w:spacing w:val="2"/>
          <w:w w:val="95"/>
        </w:rPr>
        <w:t xml:space="preserve">位以外的其他生产经营单位，从业人员超过 </w:t>
      </w:r>
      <w:r>
        <w:rPr>
          <w:w w:val="95"/>
        </w:rPr>
        <w:t>100 人的，应当设置安全生产管理机构或者配备专职安全生产管理</w:t>
      </w:r>
    </w:p>
    <w:p>
      <w:pPr>
        <w:pStyle w:val="BodyText"/>
        <w:spacing w:before="4"/>
        <w:jc w:val="both"/>
      </w:pPr>
      <w:r>
        <w:rPr>
          <w:spacing w:val="10"/>
          <w:w w:val="95"/>
        </w:rPr>
        <w:t xml:space="preserve">人员；从业人员在 </w:t>
      </w:r>
      <w:r>
        <w:rPr>
          <w:w w:val="95"/>
        </w:rPr>
        <w:t>100 人以下的，应当配备专职或者兼职的安全生产管理人员。</w:t>
      </w:r>
    </w:p>
    <w:p>
      <w:pPr>
        <w:pStyle w:val="BodyText"/>
        <w:spacing w:before="108" w:line="333" w:lineRule="auto"/>
        <w:ind w:right="367"/>
        <w:jc w:val="both"/>
      </w:pPr>
      <w:r>
        <w:rPr>
          <w:w w:val="95"/>
        </w:rPr>
        <w:t>生产经营单位的安全生产管理机构及安全生产管理人员履行下列职责：①组织或参与拟订本单位安全生产规章</w:t>
      </w:r>
      <w:r>
        <w:rPr>
          <w:spacing w:val="216"/>
        </w:rPr>
        <w:t xml:space="preserve"> </w:t>
      </w:r>
      <w:r>
        <w:rPr>
          <w:w w:val="95"/>
        </w:rPr>
        <w:t>制度、操作规程和生产安全事故应急救援预案；②组织或参与本单位安全生产教育和培训，如实记录安全生产</w:t>
      </w:r>
      <w:r>
        <w:rPr>
          <w:spacing w:val="216"/>
        </w:rPr>
        <w:t xml:space="preserve"> </w:t>
      </w:r>
      <w:r>
        <w:rPr>
          <w:w w:val="95"/>
        </w:rPr>
        <w:t>教育和培训情况；③组织开展危险源辨识和评估，督促落实本单位重大危险源的安全管理措施；④组织或参与</w:t>
      </w:r>
      <w:r>
        <w:rPr>
          <w:spacing w:val="216"/>
        </w:rPr>
        <w:t xml:space="preserve"> </w:t>
      </w:r>
      <w:r>
        <w:rPr>
          <w:w w:val="95"/>
        </w:rPr>
        <w:t>本单位应急救援演练；⑤检查本单位的安全生产状况，及时排查生产安全事故隐患，提出改进安全生产管理的</w:t>
      </w:r>
      <w:r>
        <w:rPr>
          <w:spacing w:val="216"/>
        </w:rPr>
        <w:t xml:space="preserve"> </w:t>
      </w:r>
      <w:r>
        <w:rPr>
          <w:w w:val="95"/>
        </w:rPr>
        <w:t>建议；⑥制止和纠正违章指挥、强令冒险作业、违反操作规程的行为；⑦督促落实本单位安全生产整改措施。</w:t>
      </w:r>
    </w:p>
    <w:p>
      <w:pPr>
        <w:pStyle w:val="BodyText"/>
        <w:spacing w:before="2"/>
      </w:pPr>
      <w:r>
        <w:rPr>
          <w:w w:val="95"/>
        </w:rPr>
        <w:t>【分值】考试形式为选择题，分值为 1-3</w:t>
      </w:r>
      <w:r>
        <w:rPr>
          <w:spacing w:val="4"/>
          <w:w w:val="95"/>
        </w:rPr>
        <w:t xml:space="preserve"> 分。</w:t>
      </w:r>
    </w:p>
    <w:p>
      <w:pPr>
        <w:pStyle w:val="BodyText"/>
        <w:spacing w:before="103"/>
      </w:pPr>
      <w:r>
        <w:t>【记忆方法】根据特点结合关键词进行掌握</w:t>
      </w:r>
    </w:p>
    <w:p>
      <w:pPr>
        <w:pStyle w:val="BodyText"/>
        <w:spacing w:before="7"/>
        <w:ind w:left="0"/>
        <w:rPr>
          <w:sz w:val="7"/>
        </w:rPr>
      </w:pPr>
      <w:r>
        <w:pict>
          <v:shape id="docshape53" o:spid="_x0000_s1073" type="#_x0000_t202" style="width:82.8pt;height:19.9pt;margin-top:8.3pt;margin-left:48.3pt;mso-height-relative:page;mso-position-horizontal-relative:page;mso-width-relative:page;mso-wrap-distance-bottom:0;mso-wrap-distance-top:0;position:absolute;z-index:-251607040" coordsize="21600,21600" filled="f" stroked="t" strokecolor="black">
            <v:textbox inset="0,0,0,0">
              <w:txbxContent>
                <w:p>
                  <w:pPr>
                    <w:spacing w:before="1"/>
                    <w:ind w:left="1" w:right="0" w:firstLine="0"/>
                    <w:jc w:val="left"/>
                    <w:rPr>
                      <w:b/>
                      <w:sz w:val="24"/>
                    </w:rPr>
                  </w:pPr>
                  <w:r>
                    <w:rPr>
                      <w:b/>
                      <w:sz w:val="24"/>
                    </w:rPr>
                    <w:t>精选习题·24</w:t>
                  </w:r>
                </w:p>
              </w:txbxContent>
            </v:textbox>
            <w10:wrap type="topAndBottom"/>
          </v:shape>
        </w:pict>
      </w:r>
    </w:p>
    <w:p>
      <w:pPr>
        <w:pStyle w:val="BodyText"/>
        <w:spacing w:before="5"/>
        <w:ind w:left="0"/>
        <w:rPr>
          <w:sz w:val="7"/>
        </w:rPr>
      </w:pPr>
    </w:p>
    <w:p>
      <w:pPr>
        <w:pStyle w:val="BodyText"/>
        <w:tabs>
          <w:tab w:val="left" w:pos="9572"/>
        </w:tabs>
        <w:spacing w:before="70" w:line="333" w:lineRule="auto"/>
        <w:ind w:left="647" w:right="800" w:hanging="420"/>
      </w:pPr>
      <w:r>
        <w:t>【2022】根据《安全生产法</w:t>
      </w:r>
      <w:r>
        <w:rPr>
          <w:spacing w:val="-104"/>
        </w:rPr>
        <w:t>》</w:t>
      </w:r>
      <w:r>
        <w:t>，生产经营单位的安全生产管理机构及安全生产管理人员的职责有（</w:t>
      </w:r>
      <w:r>
        <w:tab/>
      </w:r>
      <w:r>
        <w:rPr>
          <w:spacing w:val="-106"/>
        </w:rPr>
        <w:t>）</w:t>
      </w:r>
      <w:r>
        <w:rPr>
          <w:spacing w:val="-4"/>
        </w:rPr>
        <w:t>。</w:t>
      </w:r>
      <w:r>
        <w:t>A.建立健全并落实本单位全员安全生产责任制</w:t>
      </w:r>
    </w:p>
    <w:p>
      <w:pPr>
        <w:pStyle w:val="BodyText"/>
        <w:spacing w:before="1" w:line="336" w:lineRule="auto"/>
        <w:ind w:left="647" w:right="4999"/>
      </w:pPr>
      <w:r>
        <w:rPr>
          <w:w w:val="95"/>
        </w:rPr>
        <w:t>B.组织制定并实施本单位的生产安全事故应急救援预案</w:t>
      </w:r>
      <w:r>
        <w:rPr>
          <w:spacing w:val="1"/>
          <w:w w:val="95"/>
        </w:rPr>
        <w:t xml:space="preserve"> </w:t>
      </w:r>
      <w:r>
        <w:t>C.组织或者参与拟订本单位安全生产规章制度</w:t>
      </w:r>
    </w:p>
    <w:p>
      <w:pPr>
        <w:pStyle w:val="BodyText"/>
        <w:spacing w:line="333" w:lineRule="auto"/>
        <w:ind w:left="647" w:right="4370"/>
      </w:pPr>
      <w:r>
        <w:t>D.检查本单位的安全生产状况，及时排查生产安全事故隐患</w:t>
      </w:r>
      <w:r>
        <w:rPr>
          <w:spacing w:val="1"/>
        </w:rPr>
        <w:t xml:space="preserve"> </w:t>
      </w:r>
      <w:r>
        <w:rPr>
          <w:w w:val="95"/>
        </w:rPr>
        <w:t>E.制止和纠正违章指挥、强令冒险作业、违反操作规程的行为</w:t>
      </w:r>
    </w:p>
    <w:p>
      <w:pPr>
        <w:pStyle w:val="BodyText"/>
      </w:pPr>
      <w:r>
        <w:t>【答案】CDE</w:t>
      </w:r>
    </w:p>
    <w:p>
      <w:pPr>
        <w:pStyle w:val="BodyText"/>
        <w:spacing w:before="101" w:line="333" w:lineRule="auto"/>
        <w:ind w:right="364"/>
        <w:jc w:val="both"/>
      </w:pPr>
      <w:r>
        <w:pict>
          <v:shape id="docshape54" o:spid="_x0000_s1074" type="#_x0000_t202" style="width:82.8pt;height:19.9pt;margin-top:120.45pt;margin-left:48.3pt;mso-height-relative:page;mso-position-horizontal-relative:page;mso-width-relative:page;mso-wrap-distance-bottom:0;mso-wrap-distance-top:0;position:absolute;z-index:-251606016" coordsize="21600,21600" filled="f" stroked="t" strokecolor="black">
            <v:textbox inset="0,0,0,0">
              <w:txbxContent>
                <w:p>
                  <w:pPr>
                    <w:spacing w:before="3" w:line="306" w:lineRule="exact"/>
                    <w:ind w:left="1" w:right="0" w:firstLine="0"/>
                    <w:jc w:val="left"/>
                    <w:rPr>
                      <w:b/>
                      <w:sz w:val="24"/>
                    </w:rPr>
                  </w:pPr>
                  <w:r>
                    <w:rPr>
                      <w:b/>
                      <w:sz w:val="24"/>
                    </w:rPr>
                    <w:t>重要考点·25</w:t>
                  </w:r>
                </w:p>
              </w:txbxContent>
            </v:textbox>
            <w10:wrap type="topAndBottom"/>
          </v:shape>
        </w:pict>
      </w:r>
      <w:r>
        <w:rPr>
          <w:w w:val="95"/>
        </w:rPr>
        <w:t>【解析】生产经营单位的安全生产管理机构及安全生产管理人员履行下列职责：①组织或参与拟订本单位安全</w:t>
      </w:r>
      <w:r>
        <w:rPr>
          <w:spacing w:val="219"/>
        </w:rPr>
        <w:t xml:space="preserve"> </w:t>
      </w:r>
      <w:r>
        <w:rPr>
          <w:w w:val="95"/>
        </w:rPr>
        <w:t>生产规章制度、操作规程和生产安全事故应急救援预案：②组织或参与本单位安全生产教育和培训，如实记录</w:t>
      </w:r>
      <w:r>
        <w:rPr>
          <w:spacing w:val="219"/>
        </w:rPr>
        <w:t xml:space="preserve"> </w:t>
      </w:r>
      <w:r>
        <w:rPr>
          <w:w w:val="95"/>
        </w:rPr>
        <w:t>安全生产教育和培训情况；③组织开展危险源辨识和评估，督促落实本单位重大危险源的安全管理措施：④组</w:t>
      </w:r>
      <w:r>
        <w:rPr>
          <w:spacing w:val="219"/>
        </w:rPr>
        <w:t xml:space="preserve"> </w:t>
      </w:r>
      <w:r>
        <w:rPr>
          <w:w w:val="95"/>
        </w:rPr>
        <w:t>织或参与本单位应急救援演练：⑤检查本单位的安全生产状况，及时排查生产安全事故隐患，提出改进安全生</w:t>
      </w:r>
      <w:r>
        <w:rPr>
          <w:spacing w:val="219"/>
        </w:rPr>
        <w:t xml:space="preserve"> </w:t>
      </w:r>
      <w:r>
        <w:rPr>
          <w:w w:val="95"/>
        </w:rPr>
        <w:t>产管理的建议；③制止和纠正违章指挥、强令冒险作业、违反操作规程的行为：①督促落实本单位安全生产整</w:t>
      </w:r>
      <w:r>
        <w:rPr>
          <w:spacing w:val="209"/>
        </w:rPr>
        <w:t xml:space="preserve"> </w:t>
      </w:r>
      <w:r>
        <w:rPr>
          <w:spacing w:val="-8"/>
        </w:rPr>
        <w:t xml:space="preserve">改措施。选项 </w:t>
      </w:r>
      <w:r>
        <w:t>AB</w:t>
      </w:r>
      <w:r>
        <w:rPr>
          <w:spacing w:val="-8"/>
        </w:rPr>
        <w:t xml:space="preserve"> 属于主要负责人的职责。</w:t>
      </w:r>
    </w:p>
    <w:p>
      <w:pPr>
        <w:pStyle w:val="BodyText"/>
        <w:spacing w:before="7"/>
        <w:ind w:left="0"/>
        <w:rPr>
          <w:sz w:val="7"/>
        </w:rPr>
      </w:pPr>
    </w:p>
    <w:p>
      <w:pPr>
        <w:pStyle w:val="BodyText"/>
        <w:spacing w:before="70"/>
      </w:pPr>
      <w:r>
        <w:t>1.建设单位质量责任和义务</w:t>
      </w:r>
    </w:p>
    <w:p>
      <w:pPr>
        <w:pStyle w:val="ListParagraph"/>
        <w:numPr>
          <w:ilvl w:val="0"/>
          <w:numId w:val="40"/>
        </w:numPr>
        <w:tabs>
          <w:tab w:val="left" w:pos="752"/>
        </w:tabs>
        <w:spacing w:before="103" w:after="0" w:line="240" w:lineRule="auto"/>
        <w:ind w:left="751" w:right="0" w:hanging="525"/>
        <w:jc w:val="left"/>
        <w:rPr>
          <w:sz w:val="21"/>
        </w:rPr>
      </w:pPr>
      <w:r>
        <w:rPr>
          <w:sz w:val="21"/>
        </w:rPr>
        <w:t>工程发包。建设单位应当将工程发包给具有相应资质等级的单位。不得将建设工程肢解发包。</w:t>
      </w:r>
    </w:p>
    <w:p>
      <w:pPr>
        <w:pStyle w:val="BodyText"/>
        <w:spacing w:before="107" w:line="333" w:lineRule="auto"/>
        <w:ind w:right="367"/>
        <w:jc w:val="both"/>
      </w:pPr>
      <w:r>
        <w:rPr>
          <w:w w:val="95"/>
        </w:rPr>
        <w:t>建设单位应当依法对工程建设项目的勘察、设计、施工、监理以及与工程建设有关的重要设备、材料等的采购</w:t>
      </w:r>
      <w:r>
        <w:rPr>
          <w:spacing w:val="216"/>
        </w:rPr>
        <w:t xml:space="preserve"> </w:t>
      </w:r>
      <w:r>
        <w:rPr>
          <w:w w:val="95"/>
        </w:rPr>
        <w:t>进行招标。不得迫使承包方以低于成本的价格竞标，不得任意压缩合理工期；不得明示或者暗示设计单位或者</w:t>
      </w:r>
      <w:r>
        <w:rPr>
          <w:spacing w:val="206"/>
        </w:rPr>
        <w:t xml:space="preserve"> </w:t>
      </w:r>
      <w:r>
        <w:t>施工单位违反工程建设强制性标准，降低建设工程质量。</w:t>
      </w:r>
    </w:p>
    <w:p>
      <w:pPr>
        <w:pStyle w:val="BodyText"/>
        <w:spacing w:before="1" w:line="331" w:lineRule="auto"/>
        <w:ind w:right="367"/>
      </w:pPr>
      <w:r>
        <w:rPr>
          <w:w w:val="95"/>
        </w:rPr>
        <w:t>建设单位必须向有关的勘察、设计、施工、工程监理等单位提供与建设工程有关的原始资料。原始资料必须真</w:t>
      </w:r>
      <w:r>
        <w:rPr>
          <w:spacing w:val="206"/>
        </w:rPr>
        <w:t xml:space="preserve"> </w:t>
      </w:r>
      <w:r>
        <w:t>实、准确、齐全。</w:t>
      </w:r>
    </w:p>
    <w:p>
      <w:pPr>
        <w:pStyle w:val="ListParagraph"/>
        <w:numPr>
          <w:ilvl w:val="0"/>
          <w:numId w:val="40"/>
        </w:numPr>
        <w:tabs>
          <w:tab w:val="left" w:pos="752"/>
        </w:tabs>
        <w:spacing w:before="7" w:after="0" w:line="240" w:lineRule="auto"/>
        <w:ind w:left="751" w:right="0" w:hanging="525"/>
        <w:jc w:val="left"/>
        <w:rPr>
          <w:sz w:val="21"/>
        </w:rPr>
      </w:pPr>
      <w:r>
        <w:rPr>
          <w:sz w:val="21"/>
        </w:rPr>
        <w:t>施工图设计文件审查。施工图设计文件未经审查批准的，不得使用。</w:t>
      </w:r>
    </w:p>
    <w:p>
      <w:pPr>
        <w:pStyle w:val="ListParagraph"/>
        <w:numPr>
          <w:ilvl w:val="0"/>
          <w:numId w:val="40"/>
        </w:numPr>
        <w:tabs>
          <w:tab w:val="left" w:pos="752"/>
        </w:tabs>
        <w:spacing w:before="103" w:after="0" w:line="240" w:lineRule="auto"/>
        <w:ind w:left="751" w:right="0" w:hanging="525"/>
        <w:jc w:val="left"/>
        <w:rPr>
          <w:sz w:val="21"/>
        </w:rPr>
      </w:pPr>
      <w:r>
        <w:rPr>
          <w:sz w:val="21"/>
        </w:rPr>
        <w:t>委托工程监理。实行监理的建设工程，建设单位应当委托监理。</w:t>
      </w:r>
    </w:p>
    <w:p>
      <w:pPr>
        <w:pStyle w:val="ListParagraph"/>
        <w:numPr>
          <w:ilvl w:val="0"/>
          <w:numId w:val="40"/>
        </w:numPr>
        <w:tabs>
          <w:tab w:val="left" w:pos="752"/>
        </w:tabs>
        <w:spacing w:before="105" w:after="0" w:line="240" w:lineRule="auto"/>
        <w:ind w:left="751" w:right="0" w:hanging="525"/>
        <w:jc w:val="left"/>
        <w:rPr>
          <w:sz w:val="21"/>
        </w:rPr>
      </w:pPr>
      <w:r>
        <w:rPr>
          <w:sz w:val="21"/>
        </w:rPr>
        <w:t>工程施工阶段责任和义务。</w:t>
      </w:r>
    </w:p>
    <w:p>
      <w:pPr>
        <w:pStyle w:val="ListParagraph"/>
        <w:numPr>
          <w:ilvl w:val="0"/>
          <w:numId w:val="41"/>
        </w:numPr>
        <w:tabs>
          <w:tab w:val="left" w:pos="543"/>
        </w:tabs>
        <w:spacing w:before="108" w:after="0" w:line="240" w:lineRule="auto"/>
        <w:ind w:left="542" w:right="0" w:hanging="316"/>
        <w:jc w:val="left"/>
        <w:rPr>
          <w:sz w:val="21"/>
        </w:rPr>
      </w:pPr>
      <w:r>
        <w:rPr>
          <w:sz w:val="21"/>
        </w:rPr>
        <w:t>建设单位在领取施工许可证或者开工报告前，应当按照国家有关规定办理工程质量监督手续。</w:t>
      </w:r>
    </w:p>
    <w:p>
      <w:pPr>
        <w:pStyle w:val="ListParagraph"/>
        <w:numPr>
          <w:ilvl w:val="0"/>
          <w:numId w:val="41"/>
        </w:numPr>
        <w:tabs>
          <w:tab w:val="left" w:pos="543"/>
        </w:tabs>
        <w:spacing w:before="103" w:after="0" w:line="240" w:lineRule="auto"/>
        <w:ind w:left="542" w:right="0" w:hanging="316"/>
        <w:jc w:val="left"/>
        <w:rPr>
          <w:sz w:val="21"/>
        </w:rPr>
      </w:pPr>
      <w:r>
        <w:rPr>
          <w:w w:val="95"/>
          <w:sz w:val="21"/>
        </w:rPr>
        <w:t>按照合同约定，由建设单位采购建筑材料、建筑构配件和设备的，建设单位应当保证建筑材料、建筑构配件</w:t>
      </w:r>
    </w:p>
    <w:p>
      <w:pPr>
        <w:spacing w:after="0" w:line="240" w:lineRule="auto"/>
        <w:jc w:val="left"/>
        <w:rPr>
          <w:sz w:val="21"/>
        </w:rPr>
        <w:sectPr>
          <w:headerReference w:type="default" r:id="rId28"/>
          <w:pgSz w:w="11910" w:h="16840"/>
          <w:pgMar w:top="1180" w:right="540" w:bottom="280" w:left="680" w:header="993" w:footer="0" w:gutter="0"/>
          <w:pgNumType w:start="24"/>
          <w:cols w:space="708"/>
        </w:sectPr>
      </w:pPr>
    </w:p>
    <w:p>
      <w:pPr>
        <w:pStyle w:val="BodyText"/>
        <w:spacing w:before="54" w:line="331" w:lineRule="auto"/>
        <w:ind w:right="367"/>
      </w:pPr>
      <w:r>
        <w:rPr>
          <w:w w:val="95"/>
        </w:rPr>
        <w:t>和设备符合设计文件和合同要求。建设单位不得明示或者暗示施工单位使用不合格的建筑材料、建筑构配件和</w:t>
      </w:r>
      <w:r>
        <w:rPr>
          <w:spacing w:val="206"/>
        </w:rPr>
        <w:t xml:space="preserve"> </w:t>
      </w:r>
      <w:r>
        <w:t>设备。</w:t>
      </w:r>
    </w:p>
    <w:p>
      <w:pPr>
        <w:pStyle w:val="ListParagraph"/>
        <w:numPr>
          <w:ilvl w:val="0"/>
          <w:numId w:val="40"/>
        </w:numPr>
        <w:tabs>
          <w:tab w:val="left" w:pos="752"/>
        </w:tabs>
        <w:spacing w:before="4" w:after="0" w:line="240" w:lineRule="auto"/>
        <w:ind w:left="751" w:right="0" w:hanging="525"/>
        <w:jc w:val="left"/>
        <w:rPr>
          <w:sz w:val="21"/>
        </w:rPr>
      </w:pPr>
      <w:r>
        <w:rPr>
          <w:sz w:val="21"/>
        </w:rPr>
        <w:t>组织工程竣工验收</w:t>
      </w:r>
    </w:p>
    <w:p>
      <w:pPr>
        <w:pStyle w:val="BodyText"/>
        <w:spacing w:before="108" w:line="331" w:lineRule="auto"/>
        <w:ind w:right="367"/>
      </w:pPr>
      <w:r>
        <w:rPr>
          <w:w w:val="95"/>
        </w:rPr>
        <w:t>建设单位收到建设工程竣工报告后，应当组织设计、施工、工程监理等有关单位进行竣工验收。建设工程经验</w:t>
      </w:r>
      <w:r>
        <w:rPr>
          <w:spacing w:val="206"/>
        </w:rPr>
        <w:t xml:space="preserve"> </w:t>
      </w:r>
      <w:r>
        <w:t>收合格的，方可交付使用。</w:t>
      </w:r>
    </w:p>
    <w:p>
      <w:pPr>
        <w:pStyle w:val="BodyText"/>
        <w:spacing w:before="6"/>
      </w:pPr>
      <w:r>
        <w:t>建设工程竣工验收应当具备下列条件：</w:t>
      </w:r>
    </w:p>
    <w:p>
      <w:pPr>
        <w:pStyle w:val="ListParagraph"/>
        <w:numPr>
          <w:ilvl w:val="0"/>
          <w:numId w:val="42"/>
        </w:numPr>
        <w:tabs>
          <w:tab w:val="left" w:pos="543"/>
        </w:tabs>
        <w:spacing w:before="103" w:after="0" w:line="240" w:lineRule="auto"/>
        <w:ind w:left="542" w:right="0" w:hanging="316"/>
        <w:jc w:val="left"/>
        <w:rPr>
          <w:sz w:val="21"/>
        </w:rPr>
      </w:pPr>
      <w:r>
        <w:rPr>
          <w:sz w:val="21"/>
        </w:rPr>
        <w:t>完成建设工程设计和合同约定的各项内容；</w:t>
      </w:r>
    </w:p>
    <w:p>
      <w:pPr>
        <w:pStyle w:val="ListParagraph"/>
        <w:numPr>
          <w:ilvl w:val="0"/>
          <w:numId w:val="42"/>
        </w:numPr>
        <w:tabs>
          <w:tab w:val="left" w:pos="543"/>
        </w:tabs>
        <w:spacing w:before="105" w:after="0" w:line="240" w:lineRule="auto"/>
        <w:ind w:left="542" w:right="0" w:hanging="316"/>
        <w:jc w:val="left"/>
        <w:rPr>
          <w:sz w:val="21"/>
        </w:rPr>
      </w:pPr>
      <w:r>
        <w:rPr>
          <w:sz w:val="21"/>
        </w:rPr>
        <w:t>有完整的技术档案和施工管理资料；</w:t>
      </w:r>
    </w:p>
    <w:p>
      <w:pPr>
        <w:pStyle w:val="ListParagraph"/>
        <w:numPr>
          <w:ilvl w:val="0"/>
          <w:numId w:val="42"/>
        </w:numPr>
        <w:tabs>
          <w:tab w:val="left" w:pos="543"/>
        </w:tabs>
        <w:spacing w:before="108" w:after="0" w:line="240" w:lineRule="auto"/>
        <w:ind w:left="542" w:right="0" w:hanging="316"/>
        <w:jc w:val="left"/>
        <w:rPr>
          <w:sz w:val="21"/>
        </w:rPr>
      </w:pPr>
      <w:r>
        <w:rPr>
          <w:w w:val="95"/>
          <w:sz w:val="21"/>
        </w:rPr>
        <w:t>有工程使用的主要建筑材料、建筑构配件和设备的进场试验报告；</w:t>
      </w:r>
    </w:p>
    <w:p>
      <w:pPr>
        <w:pStyle w:val="ListParagraph"/>
        <w:numPr>
          <w:ilvl w:val="0"/>
          <w:numId w:val="42"/>
        </w:numPr>
        <w:tabs>
          <w:tab w:val="left" w:pos="543"/>
        </w:tabs>
        <w:spacing w:before="103" w:after="0" w:line="240" w:lineRule="auto"/>
        <w:ind w:left="542" w:right="0" w:hanging="316"/>
        <w:jc w:val="left"/>
        <w:rPr>
          <w:sz w:val="21"/>
        </w:rPr>
      </w:pPr>
      <w:r>
        <w:rPr>
          <w:w w:val="95"/>
          <w:sz w:val="21"/>
        </w:rPr>
        <w:t>有勘察、设计、施工、工程监理等单位分别签署的质量合格文件；</w:t>
      </w:r>
    </w:p>
    <w:p>
      <w:pPr>
        <w:pStyle w:val="ListParagraph"/>
        <w:numPr>
          <w:ilvl w:val="0"/>
          <w:numId w:val="42"/>
        </w:numPr>
        <w:tabs>
          <w:tab w:val="left" w:pos="543"/>
        </w:tabs>
        <w:spacing w:before="105" w:after="0" w:line="240" w:lineRule="auto"/>
        <w:ind w:left="542" w:right="0" w:hanging="316"/>
        <w:jc w:val="left"/>
        <w:rPr>
          <w:sz w:val="21"/>
        </w:rPr>
      </w:pPr>
      <w:r>
        <w:rPr>
          <w:sz w:val="21"/>
        </w:rPr>
        <w:t>有施工单位签署的工程保修书。</w:t>
      </w:r>
    </w:p>
    <w:p>
      <w:pPr>
        <w:pStyle w:val="BodyText"/>
        <w:spacing w:before="105"/>
      </w:pPr>
      <w:r>
        <w:rPr>
          <w:spacing w:val="1"/>
          <w:w w:val="95"/>
        </w:rPr>
        <w:t xml:space="preserve">【分值】考试形式为选择题，分值为 </w:t>
      </w:r>
      <w:r>
        <w:rPr>
          <w:w w:val="95"/>
        </w:rPr>
        <w:t>1-2</w:t>
      </w:r>
      <w:r>
        <w:rPr>
          <w:spacing w:val="3"/>
          <w:w w:val="95"/>
        </w:rPr>
        <w:t xml:space="preserve"> 分。</w:t>
      </w:r>
    </w:p>
    <w:p>
      <w:pPr>
        <w:pStyle w:val="BodyText"/>
        <w:spacing w:before="106"/>
      </w:pPr>
      <w:r>
        <w:t>【记忆方法】根据特点理解记忆</w:t>
      </w:r>
    </w:p>
    <w:p>
      <w:pPr>
        <w:pStyle w:val="BodyText"/>
        <w:spacing w:before="8"/>
        <w:ind w:left="0"/>
        <w:rPr>
          <w:sz w:val="7"/>
        </w:rPr>
      </w:pPr>
      <w:r>
        <w:pict>
          <v:shape id="docshape55" o:spid="_x0000_s1075" type="#_x0000_t202" style="width:82.8pt;height:19.9pt;margin-top:8.35pt;margin-left:48.3pt;mso-height-relative:page;mso-position-horizontal-relative:page;mso-width-relative:page;mso-wrap-distance-bottom:0;mso-wrap-distance-top:0;position:absolute;z-index:-251604992" coordsize="21600,21600" filled="f" stroked="t" strokecolor="black">
            <v:textbox inset="0,0,0,0">
              <w:txbxContent>
                <w:p>
                  <w:pPr>
                    <w:spacing w:before="3" w:line="306" w:lineRule="exact"/>
                    <w:ind w:left="1" w:right="0" w:firstLine="0"/>
                    <w:jc w:val="left"/>
                    <w:rPr>
                      <w:b/>
                      <w:sz w:val="24"/>
                    </w:rPr>
                  </w:pPr>
                  <w:r>
                    <w:rPr>
                      <w:b/>
                      <w:sz w:val="24"/>
                    </w:rPr>
                    <w:t>精选习题·25</w:t>
                  </w:r>
                </w:p>
              </w:txbxContent>
            </v:textbox>
            <w10:wrap type="topAndBottom"/>
          </v:shape>
        </w:pict>
      </w:r>
    </w:p>
    <w:p>
      <w:pPr>
        <w:pStyle w:val="BodyText"/>
        <w:spacing w:before="7"/>
        <w:ind w:left="0"/>
        <w:rPr>
          <w:sz w:val="7"/>
        </w:rPr>
      </w:pPr>
    </w:p>
    <w:p>
      <w:pPr>
        <w:pStyle w:val="BodyText"/>
        <w:tabs>
          <w:tab w:val="left" w:pos="7892"/>
        </w:tabs>
        <w:spacing w:before="70" w:line="331" w:lineRule="auto"/>
        <w:ind w:left="647" w:right="2480" w:hanging="420"/>
      </w:pPr>
      <w:r>
        <w:t>【2022】根据《建设工程质量管理条例</w:t>
      </w:r>
      <w:r>
        <w:rPr>
          <w:spacing w:val="-104"/>
        </w:rPr>
        <w:t>》</w:t>
      </w:r>
      <w:r>
        <w:t>，建设工程竣工验收应具备的条件有（</w:t>
      </w:r>
      <w:r>
        <w:tab/>
      </w:r>
      <w:r>
        <w:rPr>
          <w:spacing w:val="-106"/>
        </w:rPr>
        <w:t>）</w:t>
      </w:r>
      <w:r>
        <w:rPr>
          <w:spacing w:val="-4"/>
        </w:rPr>
        <w:t>。</w:t>
      </w:r>
      <w:r>
        <w:t>A.完成建设工程设计和合同约定的各项内容</w:t>
      </w:r>
    </w:p>
    <w:p>
      <w:pPr>
        <w:pStyle w:val="BodyText"/>
        <w:spacing w:before="3"/>
        <w:ind w:left="647"/>
      </w:pPr>
      <w:r>
        <w:t>B.有完整的技术档案和施工管理资料</w:t>
      </w:r>
    </w:p>
    <w:p>
      <w:pPr>
        <w:pStyle w:val="BodyText"/>
        <w:spacing w:before="106" w:line="333" w:lineRule="auto"/>
        <w:ind w:left="647" w:right="5839"/>
      </w:pPr>
      <w:r>
        <w:rPr>
          <w:w w:val="95"/>
        </w:rPr>
        <w:t>C.有勘察、设计单位分别签署的质量合格文件</w:t>
      </w:r>
      <w:r>
        <w:rPr>
          <w:spacing w:val="1"/>
          <w:w w:val="95"/>
        </w:rPr>
        <w:t xml:space="preserve"> </w:t>
      </w:r>
      <w:r>
        <w:t>D.有完整的监理文件资料</w:t>
      </w:r>
    </w:p>
    <w:p>
      <w:pPr>
        <w:pStyle w:val="BodyText"/>
        <w:spacing w:before="3"/>
        <w:ind w:left="647"/>
      </w:pPr>
      <w:r>
        <w:t>E.工程竣工预验收合格</w:t>
      </w:r>
    </w:p>
    <w:p>
      <w:pPr>
        <w:pStyle w:val="BodyText"/>
        <w:spacing w:before="103"/>
      </w:pPr>
      <w:r>
        <w:t>【答案】AB</w:t>
      </w:r>
    </w:p>
    <w:p>
      <w:pPr>
        <w:pStyle w:val="BodyText"/>
        <w:spacing w:before="105"/>
      </w:pPr>
      <w:r>
        <w:t>【解析】建设工程竣工验收应当具备下列条件：</w:t>
      </w:r>
    </w:p>
    <w:p>
      <w:pPr>
        <w:pStyle w:val="ListParagraph"/>
        <w:numPr>
          <w:ilvl w:val="0"/>
          <w:numId w:val="43"/>
        </w:numPr>
        <w:tabs>
          <w:tab w:val="left" w:pos="752"/>
        </w:tabs>
        <w:spacing w:before="106" w:after="0" w:line="240" w:lineRule="auto"/>
        <w:ind w:left="751" w:right="0" w:hanging="525"/>
        <w:jc w:val="left"/>
        <w:rPr>
          <w:sz w:val="21"/>
        </w:rPr>
      </w:pPr>
      <w:r>
        <w:rPr>
          <w:sz w:val="21"/>
        </w:rPr>
        <w:t>完成建设工程设计和合同约定的各项内容；</w:t>
      </w:r>
    </w:p>
    <w:p>
      <w:pPr>
        <w:pStyle w:val="ListParagraph"/>
        <w:numPr>
          <w:ilvl w:val="0"/>
          <w:numId w:val="43"/>
        </w:numPr>
        <w:tabs>
          <w:tab w:val="left" w:pos="752"/>
        </w:tabs>
        <w:spacing w:before="105" w:after="0" w:line="240" w:lineRule="auto"/>
        <w:ind w:left="751" w:right="0" w:hanging="525"/>
        <w:jc w:val="left"/>
        <w:rPr>
          <w:sz w:val="21"/>
        </w:rPr>
      </w:pPr>
      <w:r>
        <w:rPr>
          <w:sz w:val="21"/>
        </w:rPr>
        <w:t>有完整的技术档案和施工管理资料；</w:t>
      </w:r>
    </w:p>
    <w:p>
      <w:pPr>
        <w:pStyle w:val="ListParagraph"/>
        <w:numPr>
          <w:ilvl w:val="0"/>
          <w:numId w:val="43"/>
        </w:numPr>
        <w:tabs>
          <w:tab w:val="left" w:pos="752"/>
        </w:tabs>
        <w:spacing w:before="108" w:after="0" w:line="240" w:lineRule="auto"/>
        <w:ind w:left="751" w:right="0" w:hanging="525"/>
        <w:jc w:val="left"/>
        <w:rPr>
          <w:sz w:val="21"/>
        </w:rPr>
      </w:pPr>
      <w:r>
        <w:rPr>
          <w:w w:val="95"/>
          <w:sz w:val="21"/>
        </w:rPr>
        <w:t>有工程使用的主要建筑材料、建筑构配件和设备的进场试验报告；</w:t>
      </w:r>
    </w:p>
    <w:p>
      <w:pPr>
        <w:pStyle w:val="ListParagraph"/>
        <w:numPr>
          <w:ilvl w:val="0"/>
          <w:numId w:val="43"/>
        </w:numPr>
        <w:tabs>
          <w:tab w:val="left" w:pos="752"/>
        </w:tabs>
        <w:spacing w:before="103" w:after="0" w:line="240" w:lineRule="auto"/>
        <w:ind w:left="751" w:right="0" w:hanging="525"/>
        <w:jc w:val="left"/>
        <w:rPr>
          <w:sz w:val="21"/>
        </w:rPr>
      </w:pPr>
      <w:r>
        <w:rPr>
          <w:w w:val="95"/>
          <w:sz w:val="21"/>
        </w:rPr>
        <w:t>有勘察、设计、施工、工程监理等单位分别签署的质量合格文件；</w:t>
      </w:r>
    </w:p>
    <w:p>
      <w:pPr>
        <w:pStyle w:val="ListParagraph"/>
        <w:numPr>
          <w:ilvl w:val="0"/>
          <w:numId w:val="43"/>
        </w:numPr>
        <w:tabs>
          <w:tab w:val="left" w:pos="752"/>
        </w:tabs>
        <w:spacing w:before="107" w:after="0" w:line="240" w:lineRule="auto"/>
        <w:ind w:left="751" w:right="0" w:hanging="525"/>
        <w:jc w:val="left"/>
        <w:rPr>
          <w:sz w:val="21"/>
        </w:rPr>
      </w:pPr>
      <w:r>
        <w:rPr>
          <w:sz w:val="21"/>
        </w:rPr>
        <w:t>有施工单位签署的工程保修书。</w:t>
      </w:r>
    </w:p>
    <w:p>
      <w:pPr>
        <w:pStyle w:val="BodyText"/>
        <w:spacing w:before="6"/>
        <w:ind w:left="0"/>
        <w:rPr>
          <w:sz w:val="7"/>
        </w:rPr>
      </w:pPr>
      <w:r>
        <w:pict>
          <v:shape id="docshape56" o:spid="_x0000_s1076" type="#_x0000_t202" style="width:82.8pt;height:19.9pt;margin-top:8.25pt;margin-left:48.3pt;mso-height-relative:page;mso-position-horizontal-relative:page;mso-width-relative:page;mso-wrap-distance-bottom:0;mso-wrap-distance-top:0;position:absolute;z-index:-251603968" coordsize="21600,21600" filled="f" stroked="t" strokecolor="black">
            <v:textbox inset="0,0,0,0">
              <w:txbxContent>
                <w:p>
                  <w:pPr>
                    <w:spacing w:before="3" w:line="306" w:lineRule="exact"/>
                    <w:ind w:left="1" w:right="0" w:firstLine="0"/>
                    <w:jc w:val="left"/>
                    <w:rPr>
                      <w:b/>
                      <w:sz w:val="24"/>
                    </w:rPr>
                  </w:pPr>
                  <w:r>
                    <w:rPr>
                      <w:b/>
                      <w:sz w:val="24"/>
                    </w:rPr>
                    <w:t>重要考点·26</w:t>
                  </w:r>
                </w:p>
              </w:txbxContent>
            </v:textbox>
            <w10:wrap type="topAndBottom"/>
          </v:shape>
        </w:pict>
      </w:r>
    </w:p>
    <w:p>
      <w:pPr>
        <w:pStyle w:val="BodyText"/>
        <w:spacing w:before="5"/>
        <w:ind w:left="0"/>
        <w:rPr>
          <w:sz w:val="7"/>
        </w:rPr>
      </w:pPr>
    </w:p>
    <w:p>
      <w:pPr>
        <w:pStyle w:val="BodyText"/>
        <w:spacing w:before="69"/>
      </w:pPr>
      <w:r>
        <w:t>1.施工单位的质量责任和义务</w:t>
      </w:r>
    </w:p>
    <w:p>
      <w:pPr>
        <w:pStyle w:val="ListParagraph"/>
        <w:numPr>
          <w:ilvl w:val="0"/>
          <w:numId w:val="44"/>
        </w:numPr>
        <w:tabs>
          <w:tab w:val="left" w:pos="752"/>
        </w:tabs>
        <w:spacing w:before="106" w:after="0" w:line="333" w:lineRule="auto"/>
        <w:ind w:left="227" w:right="367" w:firstLine="0"/>
        <w:jc w:val="both"/>
        <w:rPr>
          <w:sz w:val="21"/>
        </w:rPr>
      </w:pPr>
      <w:r>
        <w:rPr>
          <w:w w:val="95"/>
          <w:sz w:val="21"/>
        </w:rPr>
        <w:t>工程施工质量责任和义务。施工单位对建设工程的施工质量负责。施工单位应当建立质量责任制，确定工</w:t>
      </w:r>
      <w:r>
        <w:rPr>
          <w:spacing w:val="96"/>
          <w:w w:val="95"/>
          <w:sz w:val="21"/>
        </w:rPr>
        <w:t xml:space="preserve"> </w:t>
      </w:r>
      <w:r>
        <w:rPr>
          <w:w w:val="95"/>
          <w:sz w:val="21"/>
        </w:rPr>
        <w:t>程项目的项目经理、技术负责人和施工管理负责人。施工单位还应当建立、健全教育培训制度，加强对职工的</w:t>
      </w:r>
      <w:r>
        <w:rPr>
          <w:spacing w:val="206"/>
          <w:sz w:val="21"/>
        </w:rPr>
        <w:t xml:space="preserve"> </w:t>
      </w:r>
      <w:r>
        <w:rPr>
          <w:sz w:val="21"/>
        </w:rPr>
        <w:t>教育培训；未经教育培训或者考核不合格的人员，不得上岗作业。</w:t>
      </w:r>
    </w:p>
    <w:p>
      <w:pPr>
        <w:pStyle w:val="BodyText"/>
        <w:spacing w:before="3" w:line="331" w:lineRule="auto"/>
        <w:ind w:right="367"/>
      </w:pPr>
      <w:r>
        <w:rPr>
          <w:w w:val="95"/>
        </w:rPr>
        <w:t>建设工程实行总承包的，总承包单位应当对全部建设工程质量负责；建设工程勘察、设计、施工、设备采购的</w:t>
      </w:r>
      <w:r>
        <w:rPr>
          <w:spacing w:val="206"/>
        </w:rPr>
        <w:t xml:space="preserve"> </w:t>
      </w:r>
      <w:r>
        <w:t>一项或者多项实行总承包的，总承包单位应当对其承包的建设工程或者采购的设备的质量负责。</w:t>
      </w:r>
    </w:p>
    <w:p>
      <w:pPr>
        <w:pStyle w:val="BodyText"/>
        <w:spacing w:before="4" w:line="336" w:lineRule="auto"/>
        <w:ind w:right="367"/>
      </w:pPr>
      <w:r>
        <w:rPr>
          <w:w w:val="95"/>
        </w:rPr>
        <w:t>总承包单位依法将建设工程分包给其他单位的，分包单位应当按照分包合同的约定对其分包工程的质量向总承</w:t>
      </w:r>
      <w:r>
        <w:rPr>
          <w:spacing w:val="206"/>
        </w:rPr>
        <w:t xml:space="preserve"> </w:t>
      </w:r>
      <w:r>
        <w:t>包单位负责，总承包单位与分包单位对分包工程的质量承担连带责任。</w:t>
      </w:r>
    </w:p>
    <w:p>
      <w:pPr>
        <w:pStyle w:val="BodyText"/>
        <w:spacing w:line="265" w:lineRule="exact"/>
      </w:pPr>
      <w:r>
        <w:rPr>
          <w:w w:val="95"/>
        </w:rPr>
        <w:t>施工单位必须按照工程设计图纸和施工技术标准施工，不得擅自修改工程设计，不得偷工减料。施工单位在施</w:t>
      </w:r>
    </w:p>
    <w:p>
      <w:pPr>
        <w:spacing w:after="0" w:line="265" w:lineRule="exact"/>
        <w:sectPr>
          <w:headerReference w:type="default" r:id="rId29"/>
          <w:pgSz w:w="11910" w:h="16840"/>
          <w:pgMar w:top="1180" w:right="540" w:bottom="280" w:left="680" w:header="993" w:footer="0" w:gutter="0"/>
          <w:pgNumType w:start="25"/>
          <w:cols w:space="708"/>
        </w:sectPr>
      </w:pPr>
    </w:p>
    <w:p>
      <w:pPr>
        <w:pStyle w:val="BodyText"/>
        <w:spacing w:before="54"/>
      </w:pPr>
      <w:r>
        <w:t>工过程中发现设计文件和图纸有差错的，应当及时提出意见和建议。</w:t>
      </w:r>
    </w:p>
    <w:p>
      <w:pPr>
        <w:pStyle w:val="ListParagraph"/>
        <w:numPr>
          <w:ilvl w:val="0"/>
          <w:numId w:val="44"/>
        </w:numPr>
        <w:tabs>
          <w:tab w:val="left" w:pos="752"/>
        </w:tabs>
        <w:spacing w:before="103" w:after="0" w:line="240" w:lineRule="auto"/>
        <w:ind w:left="751" w:right="0" w:hanging="525"/>
        <w:jc w:val="left"/>
        <w:rPr>
          <w:sz w:val="21"/>
        </w:rPr>
      </w:pPr>
      <w:r>
        <w:rPr>
          <w:sz w:val="21"/>
        </w:rPr>
        <w:t>质量检验</w:t>
      </w:r>
    </w:p>
    <w:p>
      <w:pPr>
        <w:pStyle w:val="BodyText"/>
        <w:spacing w:before="105" w:line="336" w:lineRule="auto"/>
        <w:ind w:right="367"/>
      </w:pPr>
      <w:r>
        <w:rPr>
          <w:w w:val="95"/>
        </w:rPr>
        <w:t>施工单位必须按照工程设计要求、施工技术标准和合同约定，对建筑材料、建筑构配件、设备和商品混凝土进</w:t>
      </w:r>
      <w:r>
        <w:rPr>
          <w:spacing w:val="206"/>
        </w:rPr>
        <w:t xml:space="preserve"> </w:t>
      </w:r>
      <w:r>
        <w:t>行检验，检验应当有书面记录和专人签字；未经检验或者检验不合格的，不得使用。</w:t>
      </w:r>
    </w:p>
    <w:p>
      <w:pPr>
        <w:pStyle w:val="BodyText"/>
        <w:spacing w:line="336" w:lineRule="auto"/>
        <w:ind w:right="367"/>
      </w:pPr>
      <w:r>
        <w:rPr>
          <w:w w:val="95"/>
        </w:rPr>
        <w:t>施工人员对涉及结构安全的试块、试件以及有关材料，应当在建设单位或者工程监理单位监督下现场取样，并</w:t>
      </w:r>
      <w:r>
        <w:rPr>
          <w:spacing w:val="206"/>
        </w:rPr>
        <w:t xml:space="preserve"> </w:t>
      </w:r>
      <w:r>
        <w:t>送具有相应资质等级的质量检测单位进行检测。</w:t>
      </w:r>
    </w:p>
    <w:p>
      <w:pPr>
        <w:pStyle w:val="BodyText"/>
        <w:spacing w:line="336" w:lineRule="auto"/>
        <w:ind w:right="367"/>
        <w:jc w:val="both"/>
      </w:pPr>
      <w:r>
        <w:rPr>
          <w:w w:val="95"/>
        </w:rPr>
        <w:t>施工单位必须建立、健全施工质量的检验制度，严格工序管理，做好隐蔽工程的质量检查和记录。隐蔽工程在</w:t>
      </w:r>
      <w:r>
        <w:rPr>
          <w:spacing w:val="216"/>
        </w:rPr>
        <w:t xml:space="preserve"> </w:t>
      </w:r>
      <w:r>
        <w:rPr>
          <w:w w:val="95"/>
        </w:rPr>
        <w:t>隐蔽前，施工单位应当通知建设单位和建设工程质量监督机构。施工单位对施工中出现质量问题的建设工程或</w:t>
      </w:r>
      <w:r>
        <w:rPr>
          <w:spacing w:val="206"/>
        </w:rPr>
        <w:t xml:space="preserve"> </w:t>
      </w:r>
      <w:r>
        <w:t>者竣工验收不合格的建设工程，应当负责返修。</w:t>
      </w:r>
    </w:p>
    <w:p>
      <w:pPr>
        <w:pStyle w:val="BodyText"/>
        <w:spacing w:line="262" w:lineRule="exact"/>
      </w:pPr>
      <w:r>
        <w:rPr>
          <w:spacing w:val="1"/>
          <w:w w:val="95"/>
        </w:rPr>
        <w:t xml:space="preserve">【分值】考试形式为选择题，分值为 </w:t>
      </w:r>
      <w:r>
        <w:rPr>
          <w:w w:val="95"/>
        </w:rPr>
        <w:t>1-2</w:t>
      </w:r>
      <w:r>
        <w:rPr>
          <w:spacing w:val="3"/>
          <w:w w:val="95"/>
        </w:rPr>
        <w:t xml:space="preserve"> 分。</w:t>
      </w:r>
    </w:p>
    <w:p>
      <w:pPr>
        <w:pStyle w:val="BodyText"/>
        <w:spacing w:before="97"/>
      </w:pPr>
      <w:r>
        <w:t>【记忆方法】根据特点理解记忆</w:t>
      </w:r>
    </w:p>
    <w:p>
      <w:pPr>
        <w:pStyle w:val="BodyText"/>
        <w:spacing w:before="8"/>
        <w:ind w:left="0"/>
        <w:rPr>
          <w:sz w:val="7"/>
        </w:rPr>
      </w:pPr>
      <w:r>
        <w:pict>
          <v:shape id="docshape57" o:spid="_x0000_s1077" type="#_x0000_t202" style="width:82.8pt;height:19.9pt;margin-top:8.3pt;margin-left:48.3pt;mso-height-relative:page;mso-position-horizontal-relative:page;mso-width-relative:page;mso-wrap-distance-bottom:0;mso-wrap-distance-top:0;position:absolute;z-index:-251602944" coordsize="21600,21600" filled="f" stroked="t" strokecolor="black">
            <v:textbox inset="0,0,0,0">
              <w:txbxContent>
                <w:p>
                  <w:pPr>
                    <w:spacing w:before="3" w:line="306" w:lineRule="exact"/>
                    <w:ind w:left="1" w:right="0" w:firstLine="0"/>
                    <w:jc w:val="left"/>
                    <w:rPr>
                      <w:b/>
                      <w:sz w:val="24"/>
                    </w:rPr>
                  </w:pPr>
                  <w:r>
                    <w:rPr>
                      <w:b/>
                      <w:sz w:val="24"/>
                    </w:rPr>
                    <w:t>精选习题·26</w:t>
                  </w:r>
                </w:p>
              </w:txbxContent>
            </v:textbox>
            <w10:wrap type="topAndBottom"/>
          </v:shape>
        </w:pict>
      </w:r>
    </w:p>
    <w:p>
      <w:pPr>
        <w:pStyle w:val="BodyText"/>
        <w:spacing w:before="5"/>
        <w:ind w:left="0"/>
        <w:rPr>
          <w:sz w:val="7"/>
        </w:rPr>
      </w:pPr>
    </w:p>
    <w:p>
      <w:pPr>
        <w:pStyle w:val="BodyText"/>
        <w:tabs>
          <w:tab w:val="left" w:pos="7472"/>
        </w:tabs>
        <w:spacing w:before="69" w:line="333" w:lineRule="auto"/>
        <w:ind w:left="647" w:right="2900" w:hanging="420"/>
      </w:pPr>
      <w:r>
        <w:t>【2022】根据《建设工程质量管理条例</w:t>
      </w:r>
      <w:r>
        <w:rPr>
          <w:spacing w:val="-104"/>
        </w:rPr>
        <w:t>》</w:t>
      </w:r>
      <w:r>
        <w:t>，施工单位的质量责任和义务是（</w:t>
      </w:r>
      <w:r>
        <w:tab/>
      </w:r>
      <w:r>
        <w:rPr>
          <w:spacing w:val="-106"/>
        </w:rPr>
        <w:t>）</w:t>
      </w:r>
      <w:r>
        <w:rPr>
          <w:spacing w:val="-4"/>
        </w:rPr>
        <w:t>。</w:t>
      </w:r>
      <w:r>
        <w:t>A.在施工图设计文件中注明工程合理使用年限</w:t>
      </w:r>
    </w:p>
    <w:p>
      <w:pPr>
        <w:pStyle w:val="BodyText"/>
        <w:spacing w:before="4" w:line="331" w:lineRule="auto"/>
        <w:ind w:left="647" w:right="6050"/>
      </w:pPr>
      <w:r>
        <w:rPr>
          <w:w w:val="95"/>
        </w:rPr>
        <w:t>B.按照国家有关规定办理工程质量监督手续</w:t>
      </w:r>
      <w:r>
        <w:t>C.组织审查和优化施工图设计文件</w:t>
      </w:r>
    </w:p>
    <w:p>
      <w:pPr>
        <w:pStyle w:val="BodyText"/>
        <w:spacing w:before="3"/>
        <w:ind w:left="647"/>
      </w:pPr>
      <w:r>
        <w:t>D.对施工过程中发现的设计文件和图纸错误及时提出意见和建议</w:t>
      </w:r>
    </w:p>
    <w:p>
      <w:pPr>
        <w:pStyle w:val="BodyText"/>
        <w:spacing w:before="106"/>
      </w:pPr>
      <w:r>
        <w:t>【答案】D</w:t>
      </w:r>
    </w:p>
    <w:p>
      <w:pPr>
        <w:pStyle w:val="BodyText"/>
        <w:spacing w:before="105"/>
      </w:pPr>
      <w:r>
        <w:rPr>
          <w:w w:val="95"/>
        </w:rPr>
        <w:t>【解析】A</w:t>
      </w:r>
      <w:r>
        <w:rPr>
          <w:spacing w:val="109"/>
        </w:rPr>
        <w:t xml:space="preserve"> </w:t>
      </w:r>
      <w:r>
        <w:rPr>
          <w:w w:val="95"/>
        </w:rPr>
        <w:t>选项属于设计单位的质量责任和义务；BC</w:t>
      </w:r>
      <w:r>
        <w:rPr>
          <w:spacing w:val="109"/>
        </w:rPr>
        <w:t xml:space="preserve"> </w:t>
      </w:r>
      <w:r>
        <w:rPr>
          <w:w w:val="95"/>
        </w:rPr>
        <w:t>选项属于建设单位的质量责任和义务。</w:t>
      </w:r>
    </w:p>
    <w:p>
      <w:pPr>
        <w:pStyle w:val="BodyText"/>
        <w:spacing w:before="8"/>
        <w:ind w:left="0"/>
        <w:rPr>
          <w:sz w:val="7"/>
        </w:rPr>
      </w:pPr>
      <w:r>
        <w:pict>
          <v:shape id="docshape58" o:spid="_x0000_s1078" type="#_x0000_t202" style="width:82.8pt;height:19.9pt;margin-top:8.35pt;margin-left:48.3pt;mso-height-relative:page;mso-position-horizontal-relative:page;mso-width-relative:page;mso-wrap-distance-bottom:0;mso-wrap-distance-top:0;position:absolute;z-index:-251601920" coordsize="21600,21600" filled="f" stroked="t" strokecolor="black">
            <v:textbox inset="0,0,0,0">
              <w:txbxContent>
                <w:p>
                  <w:pPr>
                    <w:spacing w:before="3" w:line="306" w:lineRule="exact"/>
                    <w:ind w:left="1" w:right="0" w:firstLine="0"/>
                    <w:jc w:val="left"/>
                    <w:rPr>
                      <w:b/>
                      <w:sz w:val="24"/>
                    </w:rPr>
                  </w:pPr>
                  <w:r>
                    <w:rPr>
                      <w:b/>
                      <w:sz w:val="24"/>
                    </w:rPr>
                    <w:t>重要考点·27</w:t>
                  </w:r>
                </w:p>
              </w:txbxContent>
            </v:textbox>
            <w10:wrap type="topAndBottom"/>
          </v:shape>
        </w:pict>
      </w:r>
    </w:p>
    <w:p>
      <w:pPr>
        <w:pStyle w:val="BodyText"/>
        <w:spacing w:before="7"/>
        <w:ind w:left="0"/>
        <w:rPr>
          <w:sz w:val="7"/>
        </w:rPr>
      </w:pPr>
    </w:p>
    <w:p>
      <w:pPr>
        <w:pStyle w:val="BodyText"/>
        <w:spacing w:before="70"/>
      </w:pPr>
      <w:r>
        <w:t>1.工程质量保修</w:t>
      </w:r>
    </w:p>
    <w:p>
      <w:pPr>
        <w:pStyle w:val="ListParagraph"/>
        <w:numPr>
          <w:ilvl w:val="0"/>
          <w:numId w:val="45"/>
        </w:numPr>
        <w:tabs>
          <w:tab w:val="left" w:pos="752"/>
        </w:tabs>
        <w:spacing w:before="103" w:after="0" w:line="333" w:lineRule="auto"/>
        <w:ind w:left="227" w:right="367" w:firstLine="0"/>
        <w:jc w:val="both"/>
        <w:rPr>
          <w:sz w:val="21"/>
        </w:rPr>
      </w:pPr>
      <w:r>
        <w:rPr>
          <w:sz w:val="21"/>
        </w:rPr>
        <w:t>建设工程质量保修制度。建设工程承包单位在向建设单位提交工程竣工验收报告时，应当向建设单位出</w:t>
      </w:r>
      <w:r>
        <w:rPr>
          <w:w w:val="95"/>
          <w:sz w:val="21"/>
        </w:rPr>
        <w:t>具质量保修书。质量保修书中应当明确建设工程的保修范围、保修期限和保修责任等。建设工程的保修期，自</w:t>
      </w:r>
      <w:r>
        <w:rPr>
          <w:spacing w:val="206"/>
          <w:sz w:val="21"/>
        </w:rPr>
        <w:t xml:space="preserve"> </w:t>
      </w:r>
      <w:r>
        <w:rPr>
          <w:sz w:val="21"/>
        </w:rPr>
        <w:t>竣工验收合格之日起计算。</w:t>
      </w:r>
    </w:p>
    <w:p>
      <w:pPr>
        <w:pStyle w:val="ListParagraph"/>
        <w:numPr>
          <w:ilvl w:val="0"/>
          <w:numId w:val="45"/>
        </w:numPr>
        <w:tabs>
          <w:tab w:val="left" w:pos="752"/>
        </w:tabs>
        <w:spacing w:before="1" w:after="0" w:line="240" w:lineRule="auto"/>
        <w:ind w:left="751" w:right="0" w:hanging="525"/>
        <w:jc w:val="left"/>
        <w:rPr>
          <w:sz w:val="21"/>
        </w:rPr>
      </w:pPr>
      <w:r>
        <w:rPr>
          <w:sz w:val="21"/>
        </w:rPr>
        <w:t>建设工程最低保修期限。在正常使用条件下，建设工程最低保修期限为：</w:t>
      </w:r>
    </w:p>
    <w:p>
      <w:pPr>
        <w:pStyle w:val="ListParagraph"/>
        <w:numPr>
          <w:ilvl w:val="0"/>
          <w:numId w:val="46"/>
        </w:numPr>
        <w:tabs>
          <w:tab w:val="left" w:pos="543"/>
        </w:tabs>
        <w:spacing w:before="107" w:after="0" w:line="240" w:lineRule="auto"/>
        <w:ind w:left="542" w:right="0" w:hanging="316"/>
        <w:jc w:val="left"/>
        <w:rPr>
          <w:sz w:val="21"/>
        </w:rPr>
      </w:pPr>
      <w:r>
        <w:rPr>
          <w:sz w:val="21"/>
        </w:rPr>
        <w:t>基础设施工程、房屋建筑的地基基础工程和主体结构工程，为设计文件规定的该工程合理使用年限。</w:t>
      </w:r>
    </w:p>
    <w:p>
      <w:pPr>
        <w:pStyle w:val="ListParagraph"/>
        <w:numPr>
          <w:ilvl w:val="0"/>
          <w:numId w:val="46"/>
        </w:numPr>
        <w:tabs>
          <w:tab w:val="left" w:pos="543"/>
        </w:tabs>
        <w:spacing w:before="103" w:after="0" w:line="240" w:lineRule="auto"/>
        <w:ind w:left="542" w:right="0" w:hanging="316"/>
        <w:jc w:val="left"/>
        <w:rPr>
          <w:sz w:val="21"/>
        </w:rPr>
      </w:pPr>
      <w:r>
        <w:rPr>
          <w:spacing w:val="2"/>
          <w:w w:val="95"/>
          <w:sz w:val="21"/>
        </w:rPr>
        <w:t xml:space="preserve">屋面防水工程、有防水要求的卫生间、房间和外墙面的防渗漏，为 </w:t>
      </w:r>
      <w:r>
        <w:rPr>
          <w:w w:val="95"/>
          <w:sz w:val="21"/>
        </w:rPr>
        <w:t>5</w:t>
      </w:r>
      <w:r>
        <w:rPr>
          <w:spacing w:val="24"/>
          <w:w w:val="95"/>
          <w:sz w:val="21"/>
        </w:rPr>
        <w:t xml:space="preserve"> 年。</w:t>
      </w:r>
    </w:p>
    <w:p>
      <w:pPr>
        <w:pStyle w:val="ListParagraph"/>
        <w:numPr>
          <w:ilvl w:val="0"/>
          <w:numId w:val="46"/>
        </w:numPr>
        <w:tabs>
          <w:tab w:val="left" w:pos="543"/>
        </w:tabs>
        <w:spacing w:before="108" w:after="0" w:line="240" w:lineRule="auto"/>
        <w:ind w:left="542" w:right="0" w:hanging="316"/>
        <w:jc w:val="left"/>
        <w:rPr>
          <w:sz w:val="21"/>
        </w:rPr>
      </w:pPr>
      <w:r>
        <w:rPr>
          <w:w w:val="95"/>
          <w:sz w:val="21"/>
        </w:rPr>
        <w:t>供热与供冷系统，为 2 个采暖期、供冷期。</w:t>
      </w:r>
    </w:p>
    <w:p>
      <w:pPr>
        <w:pStyle w:val="ListParagraph"/>
        <w:numPr>
          <w:ilvl w:val="0"/>
          <w:numId w:val="46"/>
        </w:numPr>
        <w:tabs>
          <w:tab w:val="left" w:pos="543"/>
        </w:tabs>
        <w:spacing w:before="103" w:after="0" w:line="333" w:lineRule="auto"/>
        <w:ind w:left="227" w:right="4684" w:firstLine="0"/>
        <w:jc w:val="left"/>
        <w:rPr>
          <w:sz w:val="21"/>
        </w:rPr>
      </w:pPr>
      <w:r>
        <w:rPr>
          <w:spacing w:val="2"/>
          <w:w w:val="95"/>
          <w:sz w:val="21"/>
        </w:rPr>
        <w:t xml:space="preserve">电气管道、给水排水管道、设备安装和装修工程，为 </w:t>
      </w:r>
      <w:r>
        <w:rPr>
          <w:w w:val="95"/>
          <w:sz w:val="21"/>
        </w:rPr>
        <w:t>2</w:t>
      </w:r>
      <w:r>
        <w:rPr>
          <w:spacing w:val="20"/>
          <w:w w:val="95"/>
          <w:sz w:val="21"/>
        </w:rPr>
        <w:t xml:space="preserve"> 年。</w:t>
      </w:r>
      <w:r>
        <w:rPr>
          <w:sz w:val="21"/>
        </w:rPr>
        <w:t>其他工程的保修期限由发包方与承包方约定。</w:t>
      </w:r>
    </w:p>
    <w:p>
      <w:pPr>
        <w:pStyle w:val="BodyText"/>
        <w:spacing w:before="3"/>
      </w:pPr>
      <w:r>
        <w:rPr>
          <w:spacing w:val="3"/>
          <w:w w:val="95"/>
        </w:rPr>
        <w:t xml:space="preserve">【分值】考试形式为选择题，分值为 </w:t>
      </w:r>
      <w:r>
        <w:rPr>
          <w:w w:val="95"/>
        </w:rPr>
        <w:t>1-2</w:t>
      </w:r>
      <w:r>
        <w:rPr>
          <w:spacing w:val="14"/>
          <w:w w:val="95"/>
        </w:rPr>
        <w:t xml:space="preserve"> 分。</w:t>
      </w:r>
    </w:p>
    <w:p>
      <w:pPr>
        <w:pStyle w:val="BodyText"/>
        <w:spacing w:before="103"/>
      </w:pPr>
      <w:r>
        <w:t>【记忆方法】根据特点理解记忆</w:t>
      </w:r>
    </w:p>
    <w:p>
      <w:pPr>
        <w:pStyle w:val="BodyText"/>
        <w:spacing w:before="9"/>
        <w:ind w:left="0"/>
        <w:rPr>
          <w:sz w:val="7"/>
        </w:rPr>
      </w:pPr>
      <w:r>
        <w:pict>
          <v:shape id="docshape59" o:spid="_x0000_s1079" type="#_x0000_t202" style="width:82.8pt;height:19.85pt;margin-top:8.35pt;margin-left:48.3pt;mso-height-relative:page;mso-position-horizontal-relative:page;mso-width-relative:page;mso-wrap-distance-bottom:0;mso-wrap-distance-top:0;position:absolute;z-index:-251600896" coordsize="21600,21600" filled="f" stroked="t" strokecolor="black">
            <v:textbox inset="0,0,0,0">
              <w:txbxContent>
                <w:p>
                  <w:pPr>
                    <w:spacing w:before="3" w:line="305" w:lineRule="exact"/>
                    <w:ind w:left="1" w:right="0" w:firstLine="0"/>
                    <w:jc w:val="left"/>
                    <w:rPr>
                      <w:b/>
                      <w:sz w:val="24"/>
                    </w:rPr>
                  </w:pPr>
                  <w:r>
                    <w:rPr>
                      <w:b/>
                      <w:sz w:val="24"/>
                    </w:rPr>
                    <w:t>精选习题·27</w:t>
                  </w:r>
                </w:p>
              </w:txbxContent>
            </v:textbox>
            <w10:wrap type="topAndBottom"/>
          </v:shape>
        </w:pict>
      </w:r>
    </w:p>
    <w:p>
      <w:pPr>
        <w:pStyle w:val="BodyText"/>
        <w:spacing w:before="8"/>
        <w:ind w:left="0"/>
        <w:rPr>
          <w:sz w:val="7"/>
        </w:rPr>
      </w:pPr>
    </w:p>
    <w:p>
      <w:pPr>
        <w:pStyle w:val="BodyText"/>
        <w:tabs>
          <w:tab w:val="left" w:pos="9152"/>
        </w:tabs>
        <w:spacing w:before="69" w:line="331" w:lineRule="auto"/>
        <w:ind w:left="647" w:right="902" w:hanging="420"/>
      </w:pPr>
      <w:r>
        <w:t>【2022】根据《建设工程质量管理条例</w:t>
      </w:r>
      <w:r>
        <w:rPr>
          <w:spacing w:val="-104"/>
        </w:rPr>
        <w:t>》</w:t>
      </w:r>
      <w:r>
        <w:t>，在正常使用条件下，装修工程的最低保修期限为（</w:t>
      </w:r>
      <w:r>
        <w:tab/>
      </w:r>
      <w:r>
        <w:rPr>
          <w:spacing w:val="-1"/>
        </w:rPr>
        <w:t>）年</w:t>
      </w:r>
      <w:r>
        <w:t>。A.2</w:t>
      </w:r>
    </w:p>
    <w:p>
      <w:pPr>
        <w:pStyle w:val="BodyText"/>
        <w:spacing w:before="4"/>
        <w:ind w:left="647"/>
      </w:pPr>
      <w:r>
        <w:t>B.3</w:t>
      </w:r>
    </w:p>
    <w:p>
      <w:pPr>
        <w:spacing w:after="0"/>
        <w:sectPr>
          <w:headerReference w:type="default" r:id="rId30"/>
          <w:pgSz w:w="11910" w:h="16840"/>
          <w:pgMar w:top="1180" w:right="540" w:bottom="280" w:left="680" w:header="993" w:footer="0" w:gutter="0"/>
          <w:pgNumType w:start="26"/>
          <w:cols w:space="708"/>
        </w:sectPr>
      </w:pPr>
    </w:p>
    <w:p>
      <w:pPr>
        <w:pStyle w:val="BodyText"/>
        <w:spacing w:before="54"/>
        <w:ind w:left="647"/>
      </w:pPr>
      <w:r>
        <w:t>C.4</w:t>
      </w:r>
    </w:p>
    <w:p>
      <w:pPr>
        <w:pStyle w:val="BodyText"/>
        <w:spacing w:before="103"/>
        <w:ind w:left="647"/>
      </w:pPr>
      <w:r>
        <w:t>D.5</w:t>
      </w:r>
    </w:p>
    <w:p>
      <w:pPr>
        <w:pStyle w:val="BodyText"/>
        <w:spacing w:before="105"/>
      </w:pPr>
      <w:r>
        <w:t>【答案】A</w:t>
      </w:r>
    </w:p>
    <w:p>
      <w:pPr>
        <w:pStyle w:val="BodyText"/>
        <w:spacing w:before="108"/>
      </w:pPr>
      <w:r>
        <w:rPr>
          <w:spacing w:val="2"/>
          <w:w w:val="95"/>
        </w:rPr>
        <w:t xml:space="preserve">【解析】电气管道、给水排水管道、设备安装和装修工程，为 </w:t>
      </w:r>
      <w:r>
        <w:rPr>
          <w:w w:val="95"/>
        </w:rPr>
        <w:t>2</w:t>
      </w:r>
      <w:r>
        <w:rPr>
          <w:spacing w:val="21"/>
          <w:w w:val="95"/>
        </w:rPr>
        <w:t xml:space="preserve"> 年。</w:t>
      </w:r>
    </w:p>
    <w:p>
      <w:pPr>
        <w:pStyle w:val="BodyText"/>
        <w:spacing w:before="6"/>
        <w:ind w:left="0"/>
        <w:rPr>
          <w:sz w:val="7"/>
        </w:rPr>
      </w:pPr>
      <w:r>
        <w:pict>
          <v:shape id="docshape60" o:spid="_x0000_s1080" type="#_x0000_t202" style="width:82.8pt;height:19.9pt;margin-top:8.2pt;margin-left:48.3pt;mso-height-relative:page;mso-position-horizontal-relative:page;mso-width-relative:page;mso-wrap-distance-bottom:0;mso-wrap-distance-top:0;position:absolute;z-index:-251599872" coordsize="21600,21600" filled="f" stroked="t" strokecolor="black">
            <v:textbox inset="0,0,0,0">
              <w:txbxContent>
                <w:p>
                  <w:pPr>
                    <w:spacing w:before="1"/>
                    <w:ind w:left="1" w:right="0" w:firstLine="0"/>
                    <w:jc w:val="left"/>
                    <w:rPr>
                      <w:b/>
                      <w:sz w:val="24"/>
                    </w:rPr>
                  </w:pPr>
                  <w:r>
                    <w:rPr>
                      <w:b/>
                      <w:sz w:val="24"/>
                    </w:rPr>
                    <w:t>重要考点·28</w:t>
                  </w:r>
                </w:p>
              </w:txbxContent>
            </v:textbox>
            <w10:wrap type="topAndBottom"/>
          </v:shape>
        </w:pict>
      </w:r>
    </w:p>
    <w:p>
      <w:pPr>
        <w:pStyle w:val="BodyText"/>
        <w:spacing w:before="5"/>
        <w:ind w:left="0"/>
        <w:rPr>
          <w:sz w:val="7"/>
        </w:rPr>
      </w:pPr>
    </w:p>
    <w:p>
      <w:pPr>
        <w:pStyle w:val="BodyText"/>
        <w:spacing w:before="70"/>
      </w:pPr>
      <w:r>
        <w:t>1.建设单位的安全责任</w:t>
      </w:r>
    </w:p>
    <w:p>
      <w:pPr>
        <w:pStyle w:val="ListParagraph"/>
        <w:numPr>
          <w:ilvl w:val="0"/>
          <w:numId w:val="47"/>
        </w:numPr>
        <w:tabs>
          <w:tab w:val="left" w:pos="752"/>
        </w:tabs>
        <w:spacing w:before="107" w:after="0" w:line="333" w:lineRule="auto"/>
        <w:ind w:left="227" w:right="273" w:firstLine="0"/>
        <w:jc w:val="left"/>
        <w:rPr>
          <w:sz w:val="21"/>
        </w:rPr>
      </w:pPr>
      <w:r>
        <w:rPr>
          <w:w w:val="95"/>
          <w:sz w:val="21"/>
        </w:rPr>
        <w:t>提供资料。建设单位应当向施工单位提供施工现场及毗邻区域内供水、排水、供电、供气、供热、通信、</w:t>
      </w:r>
      <w:r>
        <w:rPr>
          <w:spacing w:val="175"/>
          <w:sz w:val="21"/>
        </w:rPr>
        <w:t xml:space="preserve"> </w:t>
      </w:r>
      <w:r>
        <w:rPr>
          <w:sz w:val="21"/>
        </w:rPr>
        <w:t>广播电视等地下管线资料，气象和水文观测资料，相邻建筑物和构筑物、地下工程的有关资料，并保证资料的真实、准确、完整。</w:t>
      </w:r>
    </w:p>
    <w:p>
      <w:pPr>
        <w:pStyle w:val="ListParagraph"/>
        <w:numPr>
          <w:ilvl w:val="0"/>
          <w:numId w:val="47"/>
        </w:numPr>
        <w:tabs>
          <w:tab w:val="left" w:pos="752"/>
        </w:tabs>
        <w:spacing w:before="2" w:after="0" w:line="333" w:lineRule="auto"/>
        <w:ind w:left="227" w:right="367" w:firstLine="0"/>
        <w:jc w:val="both"/>
        <w:rPr>
          <w:sz w:val="21"/>
        </w:rPr>
      </w:pPr>
      <w:r>
        <w:rPr>
          <w:w w:val="95"/>
          <w:sz w:val="21"/>
        </w:rPr>
        <w:t>禁止行为。建设单位不得对勘察、设计、施工、工程监理等单位提出不符合建设工程安全生产法律、法规</w:t>
      </w:r>
      <w:r>
        <w:rPr>
          <w:spacing w:val="96"/>
          <w:w w:val="95"/>
          <w:sz w:val="21"/>
        </w:rPr>
        <w:t xml:space="preserve"> </w:t>
      </w:r>
      <w:r>
        <w:rPr>
          <w:w w:val="95"/>
          <w:sz w:val="21"/>
        </w:rPr>
        <w:t>和强制性标准规定的要求，不得压缩合同约定的工期；不得明示或者暗示施工单位购买、租赁、使用不符合安</w:t>
      </w:r>
      <w:r>
        <w:rPr>
          <w:spacing w:val="206"/>
          <w:sz w:val="21"/>
        </w:rPr>
        <w:t xml:space="preserve"> </w:t>
      </w:r>
      <w:r>
        <w:rPr>
          <w:sz w:val="21"/>
        </w:rPr>
        <w:t>全施工要求的安全防护用具、机械设备、施工机具及配件、消防设施和器材。</w:t>
      </w:r>
    </w:p>
    <w:p>
      <w:pPr>
        <w:pStyle w:val="ListParagraph"/>
        <w:numPr>
          <w:ilvl w:val="0"/>
          <w:numId w:val="47"/>
        </w:numPr>
        <w:tabs>
          <w:tab w:val="left" w:pos="752"/>
        </w:tabs>
        <w:spacing w:before="0" w:after="0" w:line="333" w:lineRule="auto"/>
        <w:ind w:left="227" w:right="367" w:firstLine="0"/>
        <w:jc w:val="left"/>
        <w:rPr>
          <w:sz w:val="21"/>
        </w:rPr>
      </w:pPr>
      <w:r>
        <w:rPr>
          <w:sz w:val="21"/>
        </w:rPr>
        <w:t>安全施工措施及其费用。建设单位在编制工程概算时，应当确定建设工程安全作业环境及安全施工措施所需费用；在申请领取施工许可证时，应当提供建设工程有关安全施工措施的资料。</w:t>
      </w:r>
    </w:p>
    <w:p>
      <w:pPr>
        <w:pStyle w:val="BodyText"/>
        <w:spacing w:before="2" w:line="331" w:lineRule="auto"/>
        <w:ind w:right="367"/>
      </w:pPr>
      <w:r>
        <w:rPr>
          <w:w w:val="95"/>
        </w:rPr>
        <w:t>依法批准开工报告的建设工程，建设单位应当自开工报告批准之日起 15</w:t>
      </w:r>
      <w:r>
        <w:rPr>
          <w:spacing w:val="96"/>
        </w:rPr>
        <w:t xml:space="preserve"> </w:t>
      </w:r>
      <w:r>
        <w:rPr>
          <w:w w:val="95"/>
        </w:rPr>
        <w:t>日内，将保证安全施工的措施报送建设</w:t>
      </w:r>
      <w:r>
        <w:t>工程所在地的县级以上地方人民政府建设行政主管部门或者其他有关部门备案。</w:t>
      </w:r>
    </w:p>
    <w:p>
      <w:pPr>
        <w:pStyle w:val="ListParagraph"/>
        <w:numPr>
          <w:ilvl w:val="0"/>
          <w:numId w:val="47"/>
        </w:numPr>
        <w:tabs>
          <w:tab w:val="left" w:pos="752"/>
        </w:tabs>
        <w:spacing w:before="3" w:after="0" w:line="333" w:lineRule="auto"/>
        <w:ind w:left="227" w:right="326" w:firstLine="0"/>
        <w:jc w:val="left"/>
        <w:rPr>
          <w:sz w:val="21"/>
        </w:rPr>
      </w:pPr>
      <w:r>
        <w:rPr>
          <w:w w:val="95"/>
          <w:sz w:val="21"/>
        </w:rPr>
        <w:t>拆除工程发包与备案。建设单位应当将拆除工程发包给具有相应资质等级的施工单位，并在拆除工程施工</w:t>
      </w:r>
      <w:r>
        <w:rPr>
          <w:spacing w:val="132"/>
          <w:sz w:val="21"/>
        </w:rPr>
        <w:t xml:space="preserve"> </w:t>
      </w:r>
      <w:r>
        <w:rPr>
          <w:w w:val="95"/>
          <w:sz w:val="21"/>
        </w:rPr>
        <w:t>15 日前，将下列资料报送建设工程所在地的县级以上地方人民政府建设行政主管部门或者其他有关部门备案：</w:t>
      </w:r>
    </w:p>
    <w:p>
      <w:pPr>
        <w:pStyle w:val="ListParagraph"/>
        <w:numPr>
          <w:ilvl w:val="0"/>
          <w:numId w:val="48"/>
        </w:numPr>
        <w:tabs>
          <w:tab w:val="left" w:pos="543"/>
        </w:tabs>
        <w:spacing w:before="1" w:after="0" w:line="240" w:lineRule="auto"/>
        <w:ind w:left="542" w:right="0" w:hanging="316"/>
        <w:jc w:val="left"/>
        <w:rPr>
          <w:sz w:val="21"/>
        </w:rPr>
      </w:pPr>
      <w:r>
        <w:rPr>
          <w:sz w:val="21"/>
        </w:rPr>
        <w:t>施工单位资质等级证明；</w:t>
      </w:r>
    </w:p>
    <w:p>
      <w:pPr>
        <w:pStyle w:val="ListParagraph"/>
        <w:numPr>
          <w:ilvl w:val="0"/>
          <w:numId w:val="48"/>
        </w:numPr>
        <w:tabs>
          <w:tab w:val="left" w:pos="543"/>
        </w:tabs>
        <w:spacing w:before="108" w:after="0" w:line="240" w:lineRule="auto"/>
        <w:ind w:left="542" w:right="0" w:hanging="316"/>
        <w:jc w:val="left"/>
        <w:rPr>
          <w:sz w:val="21"/>
        </w:rPr>
      </w:pPr>
      <w:r>
        <w:rPr>
          <w:sz w:val="21"/>
        </w:rPr>
        <w:t>拟拆除建筑物、构筑物及可能危及毗邻建筑的说明；</w:t>
      </w:r>
    </w:p>
    <w:p>
      <w:pPr>
        <w:pStyle w:val="ListParagraph"/>
        <w:numPr>
          <w:ilvl w:val="0"/>
          <w:numId w:val="48"/>
        </w:numPr>
        <w:tabs>
          <w:tab w:val="left" w:pos="543"/>
        </w:tabs>
        <w:spacing w:before="103" w:after="0" w:line="240" w:lineRule="auto"/>
        <w:ind w:left="542" w:right="0" w:hanging="316"/>
        <w:jc w:val="left"/>
        <w:rPr>
          <w:sz w:val="21"/>
        </w:rPr>
      </w:pPr>
      <w:r>
        <w:rPr>
          <w:sz w:val="21"/>
        </w:rPr>
        <w:t>拆除施工组织方案；</w:t>
      </w:r>
    </w:p>
    <w:p>
      <w:pPr>
        <w:pStyle w:val="ListParagraph"/>
        <w:numPr>
          <w:ilvl w:val="0"/>
          <w:numId w:val="48"/>
        </w:numPr>
        <w:tabs>
          <w:tab w:val="left" w:pos="543"/>
        </w:tabs>
        <w:spacing w:before="105" w:after="0" w:line="240" w:lineRule="auto"/>
        <w:ind w:left="542" w:right="0" w:hanging="316"/>
        <w:jc w:val="left"/>
        <w:rPr>
          <w:sz w:val="21"/>
        </w:rPr>
      </w:pPr>
      <w:r>
        <w:rPr>
          <w:sz w:val="21"/>
        </w:rPr>
        <w:t>堆放、清除废弃物的措施。</w:t>
      </w:r>
    </w:p>
    <w:p>
      <w:pPr>
        <w:pStyle w:val="BodyText"/>
        <w:spacing w:before="106"/>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【记忆方法】根据特点理解记忆</w:t>
      </w:r>
    </w:p>
    <w:p>
      <w:pPr>
        <w:pStyle w:val="BodyText"/>
        <w:spacing w:before="8"/>
        <w:ind w:left="0"/>
        <w:rPr>
          <w:sz w:val="7"/>
        </w:rPr>
      </w:pPr>
      <w:r>
        <w:pict>
          <v:shape id="docshape61" o:spid="_x0000_s1081" type="#_x0000_t202" style="width:82.8pt;height:19.9pt;margin-top:8.35pt;margin-left:48.3pt;mso-height-relative:page;mso-position-horizontal-relative:page;mso-width-relative:page;mso-wrap-distance-bottom:0;mso-wrap-distance-top:0;position:absolute;z-index:-251598848" coordsize="21600,21600" filled="f" stroked="t" strokecolor="black">
            <v:textbox inset="0,0,0,0">
              <w:txbxContent>
                <w:p>
                  <w:pPr>
                    <w:spacing w:before="3" w:line="306" w:lineRule="exact"/>
                    <w:ind w:left="1" w:right="0" w:firstLine="0"/>
                    <w:jc w:val="left"/>
                    <w:rPr>
                      <w:b/>
                      <w:sz w:val="24"/>
                    </w:rPr>
                  </w:pPr>
                  <w:r>
                    <w:rPr>
                      <w:b/>
                      <w:sz w:val="24"/>
                    </w:rPr>
                    <w:t>精选习题·28</w:t>
                  </w:r>
                </w:p>
              </w:txbxContent>
            </v:textbox>
            <w10:wrap type="topAndBottom"/>
          </v:shape>
        </w:pict>
      </w:r>
    </w:p>
    <w:p>
      <w:pPr>
        <w:pStyle w:val="BodyText"/>
        <w:spacing w:before="7"/>
        <w:ind w:left="0"/>
        <w:rPr>
          <w:sz w:val="7"/>
        </w:rPr>
      </w:pPr>
    </w:p>
    <w:p>
      <w:pPr>
        <w:pStyle w:val="BodyText"/>
        <w:spacing w:before="70" w:line="333" w:lineRule="auto"/>
        <w:ind w:right="367"/>
        <w:jc w:val="both"/>
      </w:pPr>
      <w:r>
        <w:rPr>
          <w:w w:val="95"/>
        </w:rPr>
        <w:t>【2022</w:t>
      </w:r>
      <w:r>
        <w:rPr>
          <w:spacing w:val="-7"/>
          <w:w w:val="95"/>
        </w:rPr>
        <w:t>】根据《建设工程安全生产管理条例》，依法批准开工报告的建设工程，建设单位应当自开工报告批准之</w:t>
      </w:r>
      <w:r>
        <w:rPr>
          <w:spacing w:val="110"/>
        </w:rPr>
        <w:t xml:space="preserve"> </w:t>
      </w:r>
      <w:r>
        <w:t>日起（</w:t>
      </w:r>
      <w:r>
        <w:rPr>
          <w:spacing w:val="201"/>
        </w:rPr>
        <w:t xml:space="preserve"> </w:t>
      </w:r>
      <w:r>
        <w:t>）日内，将保证安全施工的措施报送建设工程所在地的县级以上地方人民政府建设行政主管部门或其他有关部门备案。</w:t>
      </w:r>
    </w:p>
    <w:p>
      <w:pPr>
        <w:pStyle w:val="BodyText"/>
        <w:spacing w:line="268" w:lineRule="exact"/>
        <w:ind w:left="647"/>
      </w:pPr>
      <w:r>
        <w:t>A.5</w:t>
      </w:r>
    </w:p>
    <w:p>
      <w:pPr>
        <w:pStyle w:val="BodyText"/>
        <w:spacing w:before="105" w:line="333" w:lineRule="auto"/>
        <w:ind w:left="647" w:right="9603"/>
      </w:pPr>
      <w:r>
        <w:t>B.7</w:t>
      </w:r>
      <w:r>
        <w:rPr>
          <w:spacing w:val="1"/>
        </w:rPr>
        <w:t xml:space="preserve"> </w:t>
      </w:r>
      <w:r>
        <w:t>C.10</w:t>
      </w:r>
      <w:r>
        <w:rPr>
          <w:spacing w:val="-102"/>
        </w:rPr>
        <w:t xml:space="preserve"> </w:t>
      </w:r>
      <w:r>
        <w:t>D.15</w:t>
      </w:r>
    </w:p>
    <w:p>
      <w:pPr>
        <w:pStyle w:val="BodyText"/>
        <w:spacing w:before="4"/>
      </w:pPr>
      <w:r>
        <w:t>【答案】D</w:t>
      </w:r>
    </w:p>
    <w:p>
      <w:pPr>
        <w:pStyle w:val="BodyText"/>
        <w:spacing w:before="102" w:line="336" w:lineRule="auto"/>
        <w:ind w:right="367"/>
        <w:jc w:val="both"/>
      </w:pPr>
      <w:r>
        <w:rPr>
          <w:w w:val="95"/>
        </w:rPr>
        <w:t>【解析】本题考核的是安全施工措施及其费用。依法批准开工报告的建设工程，建设单位应当自开工报告批准</w:t>
      </w:r>
      <w:r>
        <w:rPr>
          <w:spacing w:val="216"/>
        </w:rPr>
        <w:t xml:space="preserve"> </w:t>
      </w:r>
      <w:r>
        <w:rPr>
          <w:w w:val="95"/>
        </w:rPr>
        <w:t>之日起</w:t>
      </w:r>
      <w:r>
        <w:rPr>
          <w:spacing w:val="95"/>
        </w:rPr>
        <w:t xml:space="preserve"> </w:t>
      </w:r>
      <w:r>
        <w:rPr>
          <w:w w:val="95"/>
        </w:rPr>
        <w:t>15</w:t>
      </w:r>
      <w:r>
        <w:rPr>
          <w:spacing w:val="99"/>
        </w:rPr>
        <w:t xml:space="preserve"> </w:t>
      </w:r>
      <w:r>
        <w:rPr>
          <w:w w:val="95"/>
        </w:rPr>
        <w:t>日内，将保证安全施工的措施报送建设工程所在地的县级以上，地方人民政府建设行政主管部门或者</w:t>
      </w:r>
      <w:r>
        <w:t>其他有关部门备案。</w:t>
      </w:r>
    </w:p>
    <w:p>
      <w:pPr>
        <w:spacing w:after="0" w:line="336" w:lineRule="auto"/>
        <w:jc w:val="both"/>
        <w:sectPr>
          <w:headerReference w:type="default" r:id="rId31"/>
          <w:pgSz w:w="11910" w:h="16840"/>
          <w:pgMar w:top="1180" w:right="540" w:bottom="280" w:left="680" w:header="993" w:footer="0" w:gutter="0"/>
          <w:pgNumType w:start="27"/>
          <w:cols w:space="708"/>
        </w:sectPr>
      </w:pPr>
    </w:p>
    <w:p>
      <w:pPr>
        <w:pStyle w:val="BodyText"/>
        <w:spacing w:before="4"/>
        <w:ind w:left="0"/>
        <w:rPr>
          <w:sz w:val="5"/>
        </w:rPr>
      </w:pPr>
    </w:p>
    <w:p>
      <w:pPr>
        <w:pStyle w:val="BodyText"/>
        <w:ind w:left="242"/>
        <w:rPr>
          <w:sz w:val="20"/>
        </w:rPr>
      </w:pPr>
      <w:r>
        <w:rPr>
          <w:sz w:val="20"/>
        </w:rPr>
        <w:pict>
          <v:shape id="docshape62" o:spid="_x0000_i1082" type="#_x0000_t202" style="width:82.8pt;height:19.85pt" coordsize="21600,21600" filled="f" stroked="t" strokecolor="black">
            <v:textbox inset="0,0,0,0">
              <w:txbxContent>
                <w:p>
                  <w:pPr>
                    <w:spacing w:before="3" w:line="305" w:lineRule="exact"/>
                    <w:ind w:left="1" w:right="0" w:firstLine="0"/>
                    <w:jc w:val="left"/>
                    <w:rPr>
                      <w:b/>
                      <w:sz w:val="24"/>
                    </w:rPr>
                  </w:pPr>
                  <w:r>
                    <w:rPr>
                      <w:b/>
                      <w:sz w:val="24"/>
                    </w:rPr>
                    <w:t>重要考点·29</w:t>
                  </w:r>
                </w:p>
              </w:txbxContent>
            </v:textbox>
            <w10:anchorlock/>
          </v:shape>
        </w:pict>
      </w:r>
    </w:p>
    <w:p>
      <w:pPr>
        <w:pStyle w:val="BodyText"/>
        <w:spacing w:before="100"/>
      </w:pPr>
      <w:r>
        <w:t>1.施工单位的安全责任</w:t>
      </w:r>
    </w:p>
    <w:p>
      <w:pPr>
        <w:pStyle w:val="ListParagraph"/>
        <w:numPr>
          <w:ilvl w:val="0"/>
          <w:numId w:val="49"/>
        </w:numPr>
        <w:tabs>
          <w:tab w:val="left" w:pos="752"/>
        </w:tabs>
        <w:spacing w:before="103" w:after="0" w:line="336" w:lineRule="auto"/>
        <w:ind w:left="227" w:right="367" w:firstLine="0"/>
        <w:jc w:val="both"/>
        <w:rPr>
          <w:sz w:val="21"/>
        </w:rPr>
      </w:pPr>
      <w:r>
        <w:rPr>
          <w:sz w:val="21"/>
        </w:rPr>
        <w:t>安全生产责任制度。施工单位主要负责人依法对本单位的安全生产工作全面负责。施工单位应当建立健</w:t>
      </w:r>
      <w:r>
        <w:rPr>
          <w:w w:val="95"/>
          <w:sz w:val="21"/>
        </w:rPr>
        <w:t>全安全生产责任制度，制定安全生产规章制度和操作规程，保证本单位安全生产条件所需资金的投入，对所承</w:t>
      </w:r>
      <w:r>
        <w:rPr>
          <w:spacing w:val="206"/>
          <w:sz w:val="21"/>
        </w:rPr>
        <w:t xml:space="preserve"> </w:t>
      </w:r>
      <w:r>
        <w:rPr>
          <w:sz w:val="21"/>
        </w:rPr>
        <w:t>担的建设工程进行定期和专项安全检查，并做好安全检查记录。</w:t>
      </w:r>
    </w:p>
    <w:p>
      <w:pPr>
        <w:pStyle w:val="BodyText"/>
        <w:spacing w:line="333" w:lineRule="auto"/>
        <w:ind w:right="367"/>
        <w:jc w:val="both"/>
      </w:pPr>
      <w:r>
        <w:rPr>
          <w:w w:val="95"/>
        </w:rPr>
        <w:t>施工单位的项目负责人应当由取得相应执业资格的人员担任，对建设工程项目的安全施工负责，落实安全生产</w:t>
      </w:r>
      <w:r>
        <w:rPr>
          <w:spacing w:val="216"/>
        </w:rPr>
        <w:t xml:space="preserve"> </w:t>
      </w:r>
      <w:r>
        <w:rPr>
          <w:w w:val="95"/>
        </w:rPr>
        <w:t>责任制度、安全生产规章制度和操作规程，确保安全生产费用的有效使用，并根据工程的特点组织制定安全施</w:t>
      </w:r>
      <w:r>
        <w:rPr>
          <w:spacing w:val="206"/>
        </w:rPr>
        <w:t xml:space="preserve"> </w:t>
      </w:r>
      <w:r>
        <w:t>工措施，消除安全事故隐患，及时、如实报告生产安全事故。</w:t>
      </w:r>
    </w:p>
    <w:p>
      <w:pPr>
        <w:pStyle w:val="BodyText"/>
        <w:spacing w:line="333" w:lineRule="auto"/>
        <w:ind w:right="367"/>
        <w:jc w:val="both"/>
      </w:pPr>
      <w:r>
        <w:rPr>
          <w:w w:val="95"/>
        </w:rPr>
        <w:t>建设工程实行施工总承包的，由总承包单位对施工现场的安全生产负总责。总承包单位和分包单位对分包工程</w:t>
      </w:r>
      <w:r>
        <w:rPr>
          <w:spacing w:val="216"/>
        </w:rPr>
        <w:t xml:space="preserve"> </w:t>
      </w:r>
      <w:r>
        <w:rPr>
          <w:w w:val="95"/>
        </w:rPr>
        <w:t>的安全生产承担连带责任。分包单位应当服从总承包单位的安全生产管理，如分包单位不服从管理导致生产安</w:t>
      </w:r>
      <w:r>
        <w:rPr>
          <w:spacing w:val="206"/>
        </w:rPr>
        <w:t xml:space="preserve"> </w:t>
      </w:r>
      <w:r>
        <w:t>全事故，由分包单位承担主要责任。</w:t>
      </w:r>
    </w:p>
    <w:p>
      <w:pPr>
        <w:pStyle w:val="ListParagraph"/>
        <w:numPr>
          <w:ilvl w:val="0"/>
          <w:numId w:val="49"/>
        </w:numPr>
        <w:tabs>
          <w:tab w:val="left" w:pos="752"/>
        </w:tabs>
        <w:spacing w:before="0" w:after="0" w:line="333" w:lineRule="auto"/>
        <w:ind w:left="227" w:right="367" w:firstLine="0"/>
        <w:jc w:val="left"/>
        <w:rPr>
          <w:sz w:val="21"/>
        </w:rPr>
      </w:pPr>
      <w:r>
        <w:rPr>
          <w:sz w:val="21"/>
        </w:rPr>
        <w:t>安全生产管理费用。施工单位对列入建设工程概算的安全作业环境及安全施工措施所需费用，应当用于施工安全防护用具及设施的采购和更新、安全施工措施的落实、安全生产条件的改善，不得挪作他用。</w:t>
      </w:r>
    </w:p>
    <w:p>
      <w:pPr>
        <w:pStyle w:val="ListParagraph"/>
        <w:numPr>
          <w:ilvl w:val="0"/>
          <w:numId w:val="49"/>
        </w:numPr>
        <w:tabs>
          <w:tab w:val="left" w:pos="752"/>
        </w:tabs>
        <w:spacing w:before="0" w:after="0" w:line="240" w:lineRule="auto"/>
        <w:ind w:left="751" w:right="0" w:hanging="525"/>
        <w:jc w:val="left"/>
        <w:rPr>
          <w:sz w:val="21"/>
        </w:rPr>
      </w:pPr>
      <w:r>
        <w:rPr>
          <w:sz w:val="21"/>
        </w:rPr>
        <w:t>施工现场安全生产管理。施工单位应当设立安全生产管理机构，配备专职安全生产管理人员。</w:t>
      </w:r>
    </w:p>
    <w:p>
      <w:pPr>
        <w:pStyle w:val="BodyText"/>
        <w:spacing w:before="104" w:line="331" w:lineRule="auto"/>
        <w:ind w:right="367"/>
      </w:pPr>
      <w:r>
        <w:rPr>
          <w:w w:val="95"/>
        </w:rPr>
        <w:t>专职安全生产管理人员负责对安全生产进行现场监督检查。发现安全事故隐患应当及时向项目负责人和安全生</w:t>
      </w:r>
      <w:r>
        <w:rPr>
          <w:spacing w:val="206"/>
        </w:rPr>
        <w:t xml:space="preserve"> </w:t>
      </w:r>
      <w:r>
        <w:t>产管理机构报告；对违章指挥、违章操作应当立即制止。</w:t>
      </w:r>
    </w:p>
    <w:p>
      <w:pPr>
        <w:pStyle w:val="ListParagraph"/>
        <w:numPr>
          <w:ilvl w:val="0"/>
          <w:numId w:val="49"/>
        </w:numPr>
        <w:tabs>
          <w:tab w:val="left" w:pos="752"/>
        </w:tabs>
        <w:spacing w:before="4" w:after="0" w:line="333" w:lineRule="auto"/>
        <w:ind w:left="227" w:right="367" w:firstLine="0"/>
        <w:jc w:val="left"/>
        <w:rPr>
          <w:sz w:val="21"/>
        </w:rPr>
      </w:pPr>
      <w:r>
        <w:rPr>
          <w:w w:val="95"/>
          <w:sz w:val="21"/>
        </w:rPr>
        <w:t>安全生产教育培训。施工单位的主要负责人、项目负责人、专职安全生产管理人员应当经建设行政主管部</w:t>
      </w:r>
      <w:r>
        <w:rPr>
          <w:spacing w:val="86"/>
          <w:w w:val="95"/>
          <w:sz w:val="21"/>
        </w:rPr>
        <w:t xml:space="preserve"> </w:t>
      </w:r>
      <w:r>
        <w:rPr>
          <w:sz w:val="21"/>
        </w:rPr>
        <w:t>门或者其他有关部门考核合格后方可任职。</w:t>
      </w:r>
    </w:p>
    <w:p>
      <w:pPr>
        <w:pStyle w:val="BodyText"/>
        <w:spacing w:before="1" w:line="336" w:lineRule="auto"/>
        <w:ind w:right="367"/>
      </w:pPr>
      <w:r>
        <w:rPr>
          <w:w w:val="95"/>
        </w:rPr>
        <w:t>施工单位应当建立健全安全生产教育培训制度，应当对管理人员和作业人员每年至少进行一次安全生产教育培</w:t>
      </w:r>
      <w:r>
        <w:rPr>
          <w:spacing w:val="206"/>
        </w:rPr>
        <w:t xml:space="preserve"> </w:t>
      </w:r>
      <w:r>
        <w:t>训，其教育培训情况记人个人工作档案。安全生产教育培训考核不合格的人员，不得上岗。</w:t>
      </w:r>
    </w:p>
    <w:p>
      <w:pPr>
        <w:pStyle w:val="ListParagraph"/>
        <w:numPr>
          <w:ilvl w:val="0"/>
          <w:numId w:val="49"/>
        </w:numPr>
        <w:tabs>
          <w:tab w:val="left" w:pos="752"/>
        </w:tabs>
        <w:spacing w:before="0" w:after="0" w:line="333" w:lineRule="auto"/>
        <w:ind w:left="227" w:right="368" w:firstLine="0"/>
        <w:jc w:val="both"/>
        <w:rPr>
          <w:sz w:val="21"/>
        </w:rPr>
      </w:pPr>
      <w:r>
        <w:rPr>
          <w:sz w:val="21"/>
        </w:rPr>
        <w:t>安全技术措施和专项施工方案。施工单位应当在施工组织设计中编制安全技术措施和施工现场临时用电</w:t>
      </w:r>
      <w:r>
        <w:rPr>
          <w:w w:val="95"/>
          <w:sz w:val="21"/>
        </w:rPr>
        <w:t>方案，对下列达到一定规模的危险性较大的分部分项工程编制专项施工方案，并附具安全验算结果，经施工单</w:t>
      </w:r>
      <w:r>
        <w:rPr>
          <w:spacing w:val="205"/>
          <w:sz w:val="21"/>
        </w:rPr>
        <w:t xml:space="preserve"> </w:t>
      </w:r>
      <w:r>
        <w:rPr>
          <w:sz w:val="21"/>
        </w:rPr>
        <w:t>位技术负责人、总监理工程师签字后实施，由专职安全生产管理人员进行现场监督：①基坑支护与降水工程</w:t>
      </w:r>
      <w:r>
        <w:rPr>
          <w:w w:val="95"/>
          <w:sz w:val="21"/>
        </w:rPr>
        <w:t>；②土方开挖工程；③模板工程；④起重吊装工程；⑤脚手架工程；⑥拆除、爆破工程；⑦国务院建设行政主</w:t>
      </w:r>
      <w:r>
        <w:rPr>
          <w:spacing w:val="215"/>
          <w:sz w:val="21"/>
        </w:rPr>
        <w:t xml:space="preserve"> </w:t>
      </w:r>
      <w:r>
        <w:rPr>
          <w:w w:val="95"/>
          <w:sz w:val="21"/>
        </w:rPr>
        <w:t>管部门或者其他有关部门规定的其他危险性较大的工程。上述工程中涉及深基坑、地下暗挖工程、高大模板工</w:t>
      </w:r>
      <w:r>
        <w:rPr>
          <w:spacing w:val="205"/>
          <w:sz w:val="21"/>
        </w:rPr>
        <w:t xml:space="preserve"> </w:t>
      </w:r>
      <w:r>
        <w:rPr>
          <w:sz w:val="21"/>
        </w:rPr>
        <w:t>程的专项施工方案，施工单位还应当组织专家进行论证、审查。</w:t>
      </w:r>
    </w:p>
    <w:p>
      <w:pPr>
        <w:pStyle w:val="ListParagraph"/>
        <w:numPr>
          <w:ilvl w:val="0"/>
          <w:numId w:val="49"/>
        </w:numPr>
        <w:tabs>
          <w:tab w:val="left" w:pos="752"/>
        </w:tabs>
        <w:spacing w:before="0" w:after="0" w:line="331" w:lineRule="auto"/>
        <w:ind w:left="227" w:right="367" w:firstLine="0"/>
        <w:jc w:val="left"/>
        <w:rPr>
          <w:sz w:val="21"/>
        </w:rPr>
      </w:pPr>
      <w:r>
        <w:rPr>
          <w:sz w:val="21"/>
        </w:rPr>
        <w:t>施工现场安全防护。施工单位应当向作业人员提供安全防护用具和安全防护服装，并书面告知危险岗位的操作规程和违章操作的危害。</w:t>
      </w:r>
    </w:p>
    <w:p>
      <w:pPr>
        <w:pStyle w:val="ListParagraph"/>
        <w:numPr>
          <w:ilvl w:val="0"/>
          <w:numId w:val="49"/>
        </w:numPr>
        <w:tabs>
          <w:tab w:val="left" w:pos="752"/>
        </w:tabs>
        <w:spacing w:before="4" w:after="0" w:line="333" w:lineRule="auto"/>
        <w:ind w:left="227" w:right="367" w:firstLine="0"/>
        <w:jc w:val="both"/>
        <w:rPr>
          <w:sz w:val="21"/>
        </w:rPr>
      </w:pPr>
      <w:r>
        <w:rPr>
          <w:w w:val="95"/>
          <w:sz w:val="21"/>
        </w:rPr>
        <w:t>施工现场卫生、环境与消防安全管理。施工单位应当将施工现场的办公、生活区与作业区分开设置，并保</w:t>
      </w:r>
      <w:r>
        <w:rPr>
          <w:spacing w:val="96"/>
          <w:w w:val="95"/>
          <w:sz w:val="21"/>
        </w:rPr>
        <w:t xml:space="preserve"> </w:t>
      </w:r>
      <w:r>
        <w:rPr>
          <w:w w:val="95"/>
          <w:sz w:val="21"/>
        </w:rPr>
        <w:t>持安全距离；办公、生活区的选址应当符合安全性要求。职工的膳食、饮水、休息场所等应当符合卫生标准。</w:t>
      </w:r>
      <w:r>
        <w:rPr>
          <w:spacing w:val="216"/>
          <w:sz w:val="21"/>
        </w:rPr>
        <w:t xml:space="preserve"> </w:t>
      </w:r>
      <w:r>
        <w:rPr>
          <w:w w:val="95"/>
          <w:sz w:val="21"/>
        </w:rPr>
        <w:t>施工单位不得在尚未竣工的建筑物内设置员工集体宿舍。施工现场临时搭建的建筑物应当符合安全使用要求。</w:t>
      </w:r>
    </w:p>
    <w:p>
      <w:pPr>
        <w:pStyle w:val="ListParagraph"/>
        <w:numPr>
          <w:ilvl w:val="0"/>
          <w:numId w:val="49"/>
        </w:numPr>
        <w:tabs>
          <w:tab w:val="left" w:pos="752"/>
        </w:tabs>
        <w:spacing w:before="3" w:after="0" w:line="333" w:lineRule="auto"/>
        <w:ind w:left="227" w:right="368" w:firstLine="0"/>
        <w:jc w:val="left"/>
        <w:rPr>
          <w:sz w:val="21"/>
        </w:rPr>
      </w:pPr>
      <w:r>
        <w:rPr>
          <w:w w:val="95"/>
          <w:sz w:val="21"/>
        </w:rPr>
        <w:t>施工机具设备安全管理。施工单位在使用施工起重机械和整体提升脚手架、模板等自升式架设设施前，应</w:t>
      </w:r>
      <w:r>
        <w:rPr>
          <w:spacing w:val="95"/>
          <w:w w:val="95"/>
          <w:sz w:val="21"/>
        </w:rPr>
        <w:t xml:space="preserve"> </w:t>
      </w:r>
      <w:r>
        <w:rPr>
          <w:w w:val="95"/>
          <w:sz w:val="21"/>
        </w:rPr>
        <w:t>当组织有关单位进行验收，也可以委托具有相应资质的检验检测机构进行验收；使用承租的机械设备和施工机</w:t>
      </w:r>
      <w:r>
        <w:rPr>
          <w:spacing w:val="205"/>
          <w:sz w:val="21"/>
        </w:rPr>
        <w:t xml:space="preserve"> </w:t>
      </w:r>
      <w:r>
        <w:rPr>
          <w:sz w:val="21"/>
        </w:rPr>
        <w:t>具及配件的，应由施工总承包单位、分包单位、出租单位和安装单位共同进行验收。验收合格的方可使用。</w:t>
      </w:r>
      <w:r>
        <w:rPr>
          <w:spacing w:val="1"/>
          <w:sz w:val="21"/>
        </w:rPr>
        <w:t xml:space="preserve"> </w:t>
      </w:r>
      <w:r>
        <w:rPr>
          <w:w w:val="95"/>
          <w:sz w:val="21"/>
        </w:rPr>
        <w:t>施工单位应当自施工起重机械和整体提升脚手架、模板等自升式架设设施验收合格之日起 30</w:t>
      </w:r>
      <w:r>
        <w:rPr>
          <w:spacing w:val="8"/>
          <w:w w:val="95"/>
          <w:sz w:val="21"/>
        </w:rPr>
        <w:t xml:space="preserve"> 日内，向建设行政</w:t>
      </w:r>
      <w:r>
        <w:rPr>
          <w:sz w:val="21"/>
        </w:rPr>
        <w:t>主管部门或者其他有关部门登记。</w:t>
      </w:r>
    </w:p>
    <w:p>
      <w:pPr>
        <w:pStyle w:val="ListParagraph"/>
        <w:numPr>
          <w:ilvl w:val="0"/>
          <w:numId w:val="49"/>
        </w:numPr>
        <w:tabs>
          <w:tab w:val="left" w:pos="752"/>
        </w:tabs>
        <w:spacing w:before="2" w:after="0" w:line="331" w:lineRule="auto"/>
        <w:ind w:left="227" w:right="367" w:firstLine="0"/>
        <w:jc w:val="left"/>
        <w:rPr>
          <w:sz w:val="21"/>
        </w:rPr>
      </w:pPr>
      <w:r>
        <w:rPr>
          <w:sz w:val="21"/>
        </w:rPr>
        <w:t>意外伤害保险。施工单位应当为施工现场从事危险作业的人员办理意外伤害保险。意外伤害保险费由施</w:t>
      </w:r>
      <w:r>
        <w:rPr>
          <w:w w:val="95"/>
          <w:sz w:val="21"/>
        </w:rPr>
        <w:t>工单位支付。实行施工总承包的，由总承包单位支付意外伤害保险费。意外伤害保险期限自建设工程开工之日</w:t>
      </w:r>
      <w:r>
        <w:rPr>
          <w:spacing w:val="206"/>
          <w:sz w:val="21"/>
        </w:rPr>
        <w:t xml:space="preserve"> </w:t>
      </w:r>
      <w:r>
        <w:rPr>
          <w:sz w:val="21"/>
        </w:rPr>
        <w:t>起</w:t>
      </w:r>
    </w:p>
    <w:p>
      <w:pPr>
        <w:spacing w:after="0" w:line="331" w:lineRule="auto"/>
        <w:jc w:val="left"/>
        <w:rPr>
          <w:sz w:val="21"/>
        </w:rPr>
        <w:sectPr>
          <w:headerReference w:type="default" r:id="rId32"/>
          <w:pgSz w:w="11910" w:h="16840"/>
          <w:pgMar w:top="1180" w:right="540" w:bottom="280" w:left="680" w:header="993" w:footer="0" w:gutter="0"/>
          <w:pgNumType w:start="28"/>
          <w:cols w:space="708"/>
        </w:sectPr>
      </w:pPr>
    </w:p>
    <w:p>
      <w:pPr>
        <w:pStyle w:val="BodyText"/>
        <w:spacing w:before="54"/>
      </w:pPr>
      <w:r>
        <w:t>至竣工验收合格止。</w:t>
      </w:r>
    </w:p>
    <w:p>
      <w:pPr>
        <w:pStyle w:val="BodyText"/>
        <w:spacing w:before="103"/>
      </w:pPr>
      <w:r>
        <w:rPr>
          <w:spacing w:val="1"/>
          <w:w w:val="95"/>
        </w:rPr>
        <w:t xml:space="preserve">【分值】考试形式为选择题，分值为 </w:t>
      </w:r>
      <w:r>
        <w:rPr>
          <w:w w:val="95"/>
        </w:rPr>
        <w:t>1-3</w:t>
      </w:r>
      <w:r>
        <w:rPr>
          <w:spacing w:val="3"/>
          <w:w w:val="95"/>
        </w:rPr>
        <w:t xml:space="preserve"> 分。</w:t>
      </w:r>
    </w:p>
    <w:p>
      <w:pPr>
        <w:pStyle w:val="BodyText"/>
        <w:spacing w:before="105"/>
      </w:pPr>
      <w:r>
        <w:t>【记忆方法】根据特点理解记忆</w:t>
      </w:r>
    </w:p>
    <w:p>
      <w:pPr>
        <w:pStyle w:val="BodyText"/>
        <w:spacing w:before="9"/>
        <w:ind w:left="0"/>
        <w:rPr>
          <w:sz w:val="7"/>
        </w:rPr>
      </w:pPr>
      <w:r>
        <w:pict>
          <v:shape id="docshape63" o:spid="_x0000_s1083" type="#_x0000_t202" style="width:82.8pt;height:19.9pt;margin-top:8.35pt;margin-left:48.3pt;mso-height-relative:page;mso-position-horizontal-relative:page;mso-width-relative:page;mso-wrap-distance-bottom:0;mso-wrap-distance-top:0;position:absolute;z-index:-251596800" coordsize="21600,21600" filled="f" stroked="t" strokecolor="black">
            <v:textbox inset="0,0,0,0">
              <w:txbxContent>
                <w:p>
                  <w:pPr>
                    <w:spacing w:before="3" w:line="306" w:lineRule="exact"/>
                    <w:ind w:left="1" w:right="0" w:firstLine="0"/>
                    <w:jc w:val="left"/>
                    <w:rPr>
                      <w:b/>
                      <w:sz w:val="24"/>
                    </w:rPr>
                  </w:pPr>
                  <w:r>
                    <w:rPr>
                      <w:b/>
                      <w:sz w:val="24"/>
                    </w:rPr>
                    <w:t>精选习题·29</w:t>
                  </w:r>
                </w:p>
              </w:txbxContent>
            </v:textbox>
            <w10:wrap type="topAndBottom"/>
          </v:shape>
        </w:pict>
      </w:r>
    </w:p>
    <w:p>
      <w:pPr>
        <w:pStyle w:val="BodyText"/>
        <w:spacing w:before="7"/>
        <w:ind w:left="0"/>
        <w:rPr>
          <w:sz w:val="7"/>
        </w:rPr>
      </w:pPr>
    </w:p>
    <w:p>
      <w:pPr>
        <w:pStyle w:val="BodyText"/>
        <w:tabs>
          <w:tab w:val="left" w:pos="8941"/>
        </w:tabs>
        <w:spacing w:before="70" w:line="331" w:lineRule="auto"/>
        <w:ind w:left="647" w:right="1427" w:hanging="420"/>
      </w:pPr>
      <w:r>
        <w:t>【2022】根据《建设工程安全生产管理条例</w:t>
      </w:r>
      <w:r>
        <w:rPr>
          <w:spacing w:val="-104"/>
        </w:rPr>
        <w:t>》</w:t>
      </w:r>
      <w:r>
        <w:t>，关于施工单位安全责任的说法，正确的有（</w:t>
      </w:r>
      <w:r>
        <w:tab/>
      </w:r>
      <w:r>
        <w:rPr>
          <w:spacing w:val="-104"/>
        </w:rPr>
        <w:t>）</w:t>
      </w:r>
      <w:r>
        <w:rPr>
          <w:spacing w:val="-2"/>
        </w:rPr>
        <w:t>。</w:t>
      </w:r>
      <w:r>
        <w:t>A.施工单位的项目负责人应由取得相应执业资格的人员担任</w:t>
      </w:r>
    </w:p>
    <w:p>
      <w:pPr>
        <w:pStyle w:val="BodyText"/>
        <w:spacing w:before="3" w:line="333" w:lineRule="auto"/>
        <w:ind w:left="647" w:right="3739"/>
      </w:pPr>
      <w:r>
        <w:rPr>
          <w:w w:val="95"/>
        </w:rPr>
        <w:t>B.施工单位应当设立安全生产管理机构，配备专职安全生产管理人员</w:t>
      </w:r>
      <w:r>
        <w:rPr>
          <w:spacing w:val="20"/>
          <w:w w:val="95"/>
        </w:rPr>
        <w:t xml:space="preserve"> </w:t>
      </w:r>
      <w:r>
        <w:rPr>
          <w:w w:val="95"/>
        </w:rPr>
        <w:t>C.拆除工程施工</w:t>
      </w:r>
      <w:r>
        <w:rPr>
          <w:spacing w:val="150"/>
        </w:rPr>
        <w:t xml:space="preserve"> </w:t>
      </w:r>
      <w:r>
        <w:rPr>
          <w:w w:val="95"/>
        </w:rPr>
        <w:t>10</w:t>
      </w:r>
      <w:r>
        <w:rPr>
          <w:spacing w:val="148"/>
        </w:rPr>
        <w:t xml:space="preserve"> </w:t>
      </w:r>
      <w:r>
        <w:rPr>
          <w:w w:val="95"/>
        </w:rPr>
        <w:t>日前，应将有关资料报相关行政主管部门备案</w:t>
      </w:r>
      <w:r>
        <w:t>D.对管理人员和作业人员每三年应进行一次安全生产教育培训</w:t>
      </w:r>
    </w:p>
    <w:p>
      <w:pPr>
        <w:pStyle w:val="BodyText"/>
        <w:spacing w:before="4"/>
        <w:ind w:left="647"/>
      </w:pPr>
      <w:r>
        <w:t>E.分包单位不服从管理导致生产安全事故的，应由分包单位承担主要责任</w:t>
      </w:r>
    </w:p>
    <w:p>
      <w:pPr>
        <w:pStyle w:val="BodyText"/>
        <w:spacing w:before="103"/>
      </w:pPr>
      <w:r>
        <w:t>【答案】ABE</w:t>
      </w:r>
    </w:p>
    <w:p>
      <w:pPr>
        <w:pStyle w:val="BodyText"/>
        <w:spacing w:before="105" w:line="333" w:lineRule="auto"/>
        <w:ind w:right="365"/>
        <w:jc w:val="both"/>
      </w:pPr>
      <w:r>
        <w:pict>
          <v:shape id="docshape64" o:spid="_x0000_s1084" type="#_x0000_t202" style="width:82.8pt;height:19.9pt;margin-top:83.2pt;margin-left:48.3pt;mso-height-relative:page;mso-position-horizontal-relative:page;mso-width-relative:page;mso-wrap-distance-bottom:0;mso-wrap-distance-top:0;position:absolute;z-index:-251595776" coordsize="21600,21600" filled="f" stroked="t" strokecolor="black">
            <v:textbox inset="0,0,0,0">
              <w:txbxContent>
                <w:p>
                  <w:pPr>
                    <w:spacing w:before="1"/>
                    <w:ind w:left="1" w:right="0" w:firstLine="0"/>
                    <w:jc w:val="left"/>
                    <w:rPr>
                      <w:b/>
                      <w:sz w:val="24"/>
                    </w:rPr>
                  </w:pPr>
                  <w:r>
                    <w:rPr>
                      <w:b/>
                      <w:sz w:val="24"/>
                    </w:rPr>
                    <w:t>重要考点·30</w:t>
                  </w:r>
                </w:p>
              </w:txbxContent>
            </v:textbox>
            <w10:wrap type="topAndBottom"/>
          </v:shape>
        </w:pict>
      </w:r>
      <w:r>
        <w:rPr>
          <w:w w:val="95"/>
        </w:rPr>
        <w:t>【解析】选项</w:t>
      </w:r>
      <w:r>
        <w:rPr>
          <w:spacing w:val="125"/>
        </w:rPr>
        <w:t xml:space="preserve"> </w:t>
      </w:r>
      <w:r>
        <w:rPr>
          <w:w w:val="95"/>
        </w:rPr>
        <w:t>C</w:t>
      </w:r>
      <w:r>
        <w:rPr>
          <w:spacing w:val="121"/>
        </w:rPr>
        <w:t xml:space="preserve"> </w:t>
      </w:r>
      <w:r>
        <w:rPr>
          <w:w w:val="95"/>
        </w:rPr>
        <w:t>错误，建设单位应当将拆除工程发包给具有相应资质等级的施工单位，并在拆除工程施工</w:t>
      </w:r>
      <w:r>
        <w:rPr>
          <w:spacing w:val="95"/>
        </w:rPr>
        <w:t xml:space="preserve"> </w:t>
      </w:r>
      <w:r>
        <w:rPr>
          <w:w w:val="95"/>
        </w:rPr>
        <w:t>15</w:t>
      </w:r>
      <w:r>
        <w:rPr>
          <w:spacing w:val="-97"/>
          <w:w w:val="95"/>
        </w:rPr>
        <w:t xml:space="preserve"> </w:t>
      </w:r>
      <w:r>
        <w:rPr>
          <w:w w:val="95"/>
        </w:rPr>
        <w:t>日前，将有关资料报送建设工程所在地的县级以上地方人民政府建设行政主管部门或者其他有关部门备案。选</w:t>
      </w:r>
      <w:r>
        <w:rPr>
          <w:spacing w:val="218"/>
        </w:rPr>
        <w:t xml:space="preserve"> </w:t>
      </w:r>
      <w:r>
        <w:rPr>
          <w:w w:val="95"/>
        </w:rPr>
        <w:t>项</w:t>
      </w:r>
      <w:r>
        <w:rPr>
          <w:spacing w:val="135"/>
        </w:rPr>
        <w:t xml:space="preserve"> </w:t>
      </w:r>
      <w:r>
        <w:rPr>
          <w:w w:val="95"/>
        </w:rPr>
        <w:t>D</w:t>
      </w:r>
      <w:r>
        <w:rPr>
          <w:spacing w:val="140"/>
        </w:rPr>
        <w:t xml:space="preserve"> </w:t>
      </w:r>
      <w:r>
        <w:rPr>
          <w:w w:val="95"/>
        </w:rPr>
        <w:t>错误，施工单位应当建立健全安全生产教育培训制度，应当对管理人员和作业人员每年至少进行一次安全</w:t>
      </w:r>
      <w:r>
        <w:t>生产教育培训，其教育培训情况记人个人工作档案。</w:t>
      </w:r>
    </w:p>
    <w:p>
      <w:pPr>
        <w:pStyle w:val="BodyText"/>
        <w:spacing w:before="5"/>
        <w:ind w:left="0"/>
        <w:rPr>
          <w:sz w:val="7"/>
        </w:rPr>
      </w:pPr>
    </w:p>
    <w:p>
      <w:pPr>
        <w:pStyle w:val="BodyText"/>
        <w:spacing w:before="70" w:after="55"/>
      </w:pPr>
      <w:r>
        <w:t>1.生产安全事故等级</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30"/>
        <w:gridCol w:w="1388"/>
        <w:gridCol w:w="3082"/>
        <w:gridCol w:w="1922"/>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3"/>
        </w:trPr>
        <w:tc>
          <w:tcPr>
            <w:tcW w:w="2130" w:type="dxa"/>
          </w:tcPr>
          <w:p>
            <w:pPr>
              <w:pStyle w:val="TableParagraph"/>
              <w:spacing w:before="50"/>
              <w:ind w:left="204" w:right="196"/>
              <w:jc w:val="center"/>
              <w:rPr>
                <w:sz w:val="21"/>
              </w:rPr>
            </w:pPr>
            <w:r>
              <w:rPr>
                <w:sz w:val="21"/>
              </w:rPr>
              <w:t>生产安全事故等级</w:t>
            </w:r>
          </w:p>
        </w:tc>
        <w:tc>
          <w:tcPr>
            <w:tcW w:w="1388" w:type="dxa"/>
          </w:tcPr>
          <w:p>
            <w:pPr>
              <w:pStyle w:val="TableParagraph"/>
              <w:spacing w:before="50"/>
              <w:ind w:right="263"/>
              <w:jc w:val="right"/>
              <w:rPr>
                <w:sz w:val="21"/>
              </w:rPr>
            </w:pPr>
            <w:r>
              <w:rPr>
                <w:sz w:val="21"/>
              </w:rPr>
              <w:t>死亡人数</w:t>
            </w:r>
          </w:p>
        </w:tc>
        <w:tc>
          <w:tcPr>
            <w:tcW w:w="3082" w:type="dxa"/>
          </w:tcPr>
          <w:p>
            <w:pPr>
              <w:pStyle w:val="TableParagraph"/>
              <w:spacing w:before="50"/>
              <w:ind w:left="69" w:right="61"/>
              <w:jc w:val="center"/>
              <w:rPr>
                <w:sz w:val="21"/>
              </w:rPr>
            </w:pPr>
            <w:r>
              <w:rPr>
                <w:spacing w:val="-3"/>
                <w:sz w:val="21"/>
              </w:rPr>
              <w:t>重伤（包括急性工业中毒</w:t>
            </w:r>
            <w:r>
              <w:rPr>
                <w:spacing w:val="-2"/>
                <w:sz w:val="21"/>
              </w:rPr>
              <w:t>）人数</w:t>
            </w:r>
          </w:p>
        </w:tc>
        <w:tc>
          <w:tcPr>
            <w:tcW w:w="1922" w:type="dxa"/>
          </w:tcPr>
          <w:p>
            <w:pPr>
              <w:pStyle w:val="TableParagraph"/>
              <w:spacing w:before="50"/>
              <w:ind w:left="331"/>
              <w:rPr>
                <w:sz w:val="21"/>
              </w:rPr>
            </w:pPr>
            <w:r>
              <w:rPr>
                <w:sz w:val="21"/>
              </w:rPr>
              <w:t>直接经济损失</w:t>
            </w:r>
          </w:p>
        </w:tc>
      </w:tr>
      <w:tr>
        <w:tblPrEx>
          <w:tblW w:w="0" w:type="auto"/>
          <w:tblInd w:w="124" w:type="dxa"/>
          <w:tblLayout w:type="fixed"/>
          <w:tblCellMar>
            <w:top w:w="0" w:type="dxa"/>
            <w:left w:w="0" w:type="dxa"/>
            <w:bottom w:w="0" w:type="dxa"/>
            <w:right w:w="0" w:type="dxa"/>
          </w:tblCellMar>
        </w:tblPrEx>
        <w:trPr>
          <w:trHeight w:val="375"/>
        </w:trPr>
        <w:tc>
          <w:tcPr>
            <w:tcW w:w="2130" w:type="dxa"/>
          </w:tcPr>
          <w:p>
            <w:pPr>
              <w:pStyle w:val="TableParagraph"/>
              <w:spacing w:before="52"/>
              <w:ind w:left="204" w:right="196"/>
              <w:jc w:val="center"/>
              <w:rPr>
                <w:sz w:val="21"/>
              </w:rPr>
            </w:pPr>
            <w:r>
              <w:rPr>
                <w:sz w:val="21"/>
              </w:rPr>
              <w:t>特别重大</w:t>
            </w:r>
          </w:p>
        </w:tc>
        <w:tc>
          <w:tcPr>
            <w:tcW w:w="1388" w:type="dxa"/>
          </w:tcPr>
          <w:p>
            <w:pPr>
              <w:pStyle w:val="TableParagraph"/>
              <w:spacing w:before="52"/>
              <w:ind w:right="342"/>
              <w:jc w:val="right"/>
              <w:rPr>
                <w:sz w:val="21"/>
              </w:rPr>
            </w:pPr>
            <w:r>
              <w:rPr>
                <w:w w:val="95"/>
                <w:sz w:val="21"/>
              </w:rPr>
              <w:t>≥30</w:t>
            </w:r>
            <w:r>
              <w:rPr>
                <w:spacing w:val="-18"/>
                <w:w w:val="95"/>
                <w:sz w:val="21"/>
              </w:rPr>
              <w:t xml:space="preserve"> 人</w:t>
            </w:r>
          </w:p>
        </w:tc>
        <w:tc>
          <w:tcPr>
            <w:tcW w:w="3082" w:type="dxa"/>
          </w:tcPr>
          <w:p>
            <w:pPr>
              <w:pStyle w:val="TableParagraph"/>
              <w:spacing w:before="52"/>
              <w:ind w:left="69" w:right="61"/>
              <w:jc w:val="center"/>
              <w:rPr>
                <w:sz w:val="21"/>
              </w:rPr>
            </w:pPr>
            <w:r>
              <w:rPr>
                <w:w w:val="95"/>
                <w:sz w:val="21"/>
              </w:rPr>
              <w:t>≥100</w:t>
            </w:r>
            <w:r>
              <w:rPr>
                <w:spacing w:val="-18"/>
                <w:w w:val="95"/>
                <w:sz w:val="21"/>
              </w:rPr>
              <w:t xml:space="preserve"> 人</w:t>
            </w:r>
          </w:p>
        </w:tc>
        <w:tc>
          <w:tcPr>
            <w:tcW w:w="1922" w:type="dxa"/>
          </w:tcPr>
          <w:p>
            <w:pPr>
              <w:pStyle w:val="TableParagraph"/>
              <w:spacing w:before="52"/>
              <w:ind w:left="566"/>
              <w:rPr>
                <w:sz w:val="21"/>
              </w:rPr>
            </w:pPr>
            <w:r>
              <w:rPr>
                <w:w w:val="95"/>
                <w:sz w:val="21"/>
              </w:rPr>
              <w:t>≥1</w:t>
            </w:r>
            <w:r>
              <w:rPr>
                <w:spacing w:val="-12"/>
                <w:w w:val="95"/>
                <w:sz w:val="21"/>
              </w:rPr>
              <w:t xml:space="preserve"> 亿元</w:t>
            </w:r>
          </w:p>
        </w:tc>
      </w:tr>
      <w:tr>
        <w:tblPrEx>
          <w:tblW w:w="0" w:type="auto"/>
          <w:tblInd w:w="124" w:type="dxa"/>
          <w:tblLayout w:type="fixed"/>
          <w:tblCellMar>
            <w:top w:w="0" w:type="dxa"/>
            <w:left w:w="0" w:type="dxa"/>
            <w:bottom w:w="0" w:type="dxa"/>
            <w:right w:w="0" w:type="dxa"/>
          </w:tblCellMar>
        </w:tblPrEx>
        <w:trPr>
          <w:trHeight w:val="373"/>
        </w:trPr>
        <w:tc>
          <w:tcPr>
            <w:tcW w:w="2130" w:type="dxa"/>
          </w:tcPr>
          <w:p>
            <w:pPr>
              <w:pStyle w:val="TableParagraph"/>
              <w:spacing w:before="51"/>
              <w:ind w:left="202" w:right="196"/>
              <w:jc w:val="center"/>
              <w:rPr>
                <w:sz w:val="21"/>
              </w:rPr>
            </w:pPr>
            <w:r>
              <w:rPr>
                <w:sz w:val="21"/>
              </w:rPr>
              <w:t>重大</w:t>
            </w:r>
          </w:p>
        </w:tc>
        <w:tc>
          <w:tcPr>
            <w:tcW w:w="1388" w:type="dxa"/>
          </w:tcPr>
          <w:p>
            <w:pPr>
              <w:pStyle w:val="TableParagraph"/>
              <w:spacing w:before="51"/>
              <w:ind w:right="289"/>
              <w:jc w:val="right"/>
              <w:rPr>
                <w:sz w:val="21"/>
              </w:rPr>
            </w:pPr>
            <w:r>
              <w:rPr>
                <w:w w:val="95"/>
                <w:sz w:val="21"/>
              </w:rPr>
              <w:t>10-30</w:t>
            </w:r>
            <w:r>
              <w:rPr>
                <w:spacing w:val="-16"/>
                <w:w w:val="95"/>
                <w:sz w:val="21"/>
              </w:rPr>
              <w:t xml:space="preserve"> 人</w:t>
            </w:r>
          </w:p>
        </w:tc>
        <w:tc>
          <w:tcPr>
            <w:tcW w:w="3082" w:type="dxa"/>
          </w:tcPr>
          <w:p>
            <w:pPr>
              <w:pStyle w:val="TableParagraph"/>
              <w:spacing w:before="51"/>
              <w:ind w:left="69" w:right="61"/>
              <w:jc w:val="center"/>
              <w:rPr>
                <w:sz w:val="21"/>
              </w:rPr>
            </w:pPr>
            <w:r>
              <w:rPr>
                <w:w w:val="95"/>
                <w:sz w:val="21"/>
              </w:rPr>
              <w:t>50-100</w:t>
            </w:r>
            <w:r>
              <w:rPr>
                <w:spacing w:val="-16"/>
                <w:w w:val="95"/>
                <w:sz w:val="21"/>
              </w:rPr>
              <w:t xml:space="preserve"> 人</w:t>
            </w:r>
          </w:p>
        </w:tc>
        <w:tc>
          <w:tcPr>
            <w:tcW w:w="1922" w:type="dxa"/>
          </w:tcPr>
          <w:p>
            <w:pPr>
              <w:pStyle w:val="TableParagraph"/>
              <w:spacing w:before="51"/>
              <w:ind w:right="191"/>
              <w:jc w:val="right"/>
              <w:rPr>
                <w:sz w:val="21"/>
              </w:rPr>
            </w:pPr>
            <w:r>
              <w:rPr>
                <w:w w:val="95"/>
                <w:sz w:val="21"/>
              </w:rPr>
              <w:t>5000-10000</w:t>
            </w:r>
            <w:r>
              <w:rPr>
                <w:spacing w:val="-7"/>
                <w:w w:val="95"/>
                <w:sz w:val="21"/>
              </w:rPr>
              <w:t xml:space="preserve"> 万元</w:t>
            </w:r>
          </w:p>
        </w:tc>
      </w:tr>
      <w:tr>
        <w:tblPrEx>
          <w:tblW w:w="0" w:type="auto"/>
          <w:tblInd w:w="124" w:type="dxa"/>
          <w:tblLayout w:type="fixed"/>
          <w:tblCellMar>
            <w:top w:w="0" w:type="dxa"/>
            <w:left w:w="0" w:type="dxa"/>
            <w:bottom w:w="0" w:type="dxa"/>
            <w:right w:w="0" w:type="dxa"/>
          </w:tblCellMar>
        </w:tblPrEx>
        <w:trPr>
          <w:trHeight w:val="375"/>
        </w:trPr>
        <w:tc>
          <w:tcPr>
            <w:tcW w:w="2130" w:type="dxa"/>
          </w:tcPr>
          <w:p>
            <w:pPr>
              <w:pStyle w:val="TableParagraph"/>
              <w:spacing w:before="51"/>
              <w:ind w:left="202" w:right="196"/>
              <w:jc w:val="center"/>
              <w:rPr>
                <w:sz w:val="21"/>
              </w:rPr>
            </w:pPr>
            <w:r>
              <w:rPr>
                <w:sz w:val="21"/>
              </w:rPr>
              <w:t>较大</w:t>
            </w:r>
          </w:p>
        </w:tc>
        <w:tc>
          <w:tcPr>
            <w:tcW w:w="1388" w:type="dxa"/>
          </w:tcPr>
          <w:p>
            <w:pPr>
              <w:pStyle w:val="TableParagraph"/>
              <w:spacing w:before="51"/>
              <w:ind w:right="342"/>
              <w:jc w:val="right"/>
              <w:rPr>
                <w:sz w:val="21"/>
              </w:rPr>
            </w:pPr>
            <w:r>
              <w:rPr>
                <w:sz w:val="21"/>
              </w:rPr>
              <w:t>3-10</w:t>
            </w:r>
            <w:r>
              <w:rPr>
                <w:spacing w:val="-27"/>
                <w:sz w:val="21"/>
              </w:rPr>
              <w:t xml:space="preserve"> 人</w:t>
            </w:r>
          </w:p>
        </w:tc>
        <w:tc>
          <w:tcPr>
            <w:tcW w:w="3082" w:type="dxa"/>
          </w:tcPr>
          <w:p>
            <w:pPr>
              <w:pStyle w:val="TableParagraph"/>
              <w:spacing w:before="51"/>
              <w:ind w:left="69" w:right="61"/>
              <w:jc w:val="center"/>
              <w:rPr>
                <w:sz w:val="21"/>
              </w:rPr>
            </w:pPr>
            <w:r>
              <w:rPr>
                <w:w w:val="95"/>
                <w:sz w:val="21"/>
              </w:rPr>
              <w:t>10-50</w:t>
            </w:r>
            <w:r>
              <w:rPr>
                <w:spacing w:val="-18"/>
                <w:w w:val="95"/>
                <w:sz w:val="21"/>
              </w:rPr>
              <w:t xml:space="preserve"> 人</w:t>
            </w:r>
          </w:p>
        </w:tc>
        <w:tc>
          <w:tcPr>
            <w:tcW w:w="1922" w:type="dxa"/>
          </w:tcPr>
          <w:p>
            <w:pPr>
              <w:pStyle w:val="TableParagraph"/>
              <w:spacing w:before="51"/>
              <w:ind w:right="244"/>
              <w:jc w:val="right"/>
              <w:rPr>
                <w:sz w:val="21"/>
              </w:rPr>
            </w:pPr>
            <w:r>
              <w:rPr>
                <w:w w:val="95"/>
                <w:sz w:val="21"/>
              </w:rPr>
              <w:t>1000-5000</w:t>
            </w:r>
            <w:r>
              <w:rPr>
                <w:spacing w:val="-8"/>
                <w:w w:val="95"/>
                <w:sz w:val="21"/>
              </w:rPr>
              <w:t xml:space="preserve"> 万元</w:t>
            </w:r>
          </w:p>
        </w:tc>
      </w:tr>
      <w:tr>
        <w:tblPrEx>
          <w:tblW w:w="0" w:type="auto"/>
          <w:tblInd w:w="124" w:type="dxa"/>
          <w:tblLayout w:type="fixed"/>
          <w:tblCellMar>
            <w:top w:w="0" w:type="dxa"/>
            <w:left w:w="0" w:type="dxa"/>
            <w:bottom w:w="0" w:type="dxa"/>
            <w:right w:w="0" w:type="dxa"/>
          </w:tblCellMar>
        </w:tblPrEx>
        <w:trPr>
          <w:trHeight w:val="373"/>
        </w:trPr>
        <w:tc>
          <w:tcPr>
            <w:tcW w:w="2130" w:type="dxa"/>
          </w:tcPr>
          <w:p>
            <w:pPr>
              <w:pStyle w:val="TableParagraph"/>
              <w:spacing w:before="50"/>
              <w:ind w:left="202" w:right="196"/>
              <w:jc w:val="center"/>
              <w:rPr>
                <w:sz w:val="21"/>
              </w:rPr>
            </w:pPr>
            <w:r>
              <w:rPr>
                <w:sz w:val="21"/>
              </w:rPr>
              <w:t>一般</w:t>
            </w:r>
          </w:p>
        </w:tc>
        <w:tc>
          <w:tcPr>
            <w:tcW w:w="1388" w:type="dxa"/>
          </w:tcPr>
          <w:p>
            <w:pPr>
              <w:pStyle w:val="TableParagraph"/>
              <w:spacing w:before="50"/>
              <w:ind w:left="404"/>
              <w:rPr>
                <w:sz w:val="21"/>
              </w:rPr>
            </w:pPr>
            <w:r>
              <w:rPr>
                <w:w w:val="95"/>
                <w:sz w:val="21"/>
              </w:rPr>
              <w:t>＜3</w:t>
            </w:r>
            <w:r>
              <w:rPr>
                <w:spacing w:val="-19"/>
                <w:w w:val="95"/>
                <w:sz w:val="21"/>
              </w:rPr>
              <w:t xml:space="preserve"> 人</w:t>
            </w:r>
          </w:p>
        </w:tc>
        <w:tc>
          <w:tcPr>
            <w:tcW w:w="3082" w:type="dxa"/>
          </w:tcPr>
          <w:p>
            <w:pPr>
              <w:pStyle w:val="TableParagraph"/>
              <w:spacing w:before="50"/>
              <w:ind w:left="66" w:right="61"/>
              <w:jc w:val="center"/>
              <w:rPr>
                <w:sz w:val="21"/>
              </w:rPr>
            </w:pPr>
            <w:r>
              <w:rPr>
                <w:w w:val="95"/>
                <w:sz w:val="21"/>
              </w:rPr>
              <w:t>＜10</w:t>
            </w:r>
            <w:r>
              <w:rPr>
                <w:spacing w:val="-18"/>
                <w:w w:val="95"/>
                <w:sz w:val="21"/>
              </w:rPr>
              <w:t xml:space="preserve"> 人</w:t>
            </w:r>
          </w:p>
        </w:tc>
        <w:tc>
          <w:tcPr>
            <w:tcW w:w="1922" w:type="dxa"/>
          </w:tcPr>
          <w:p>
            <w:pPr>
              <w:pStyle w:val="TableParagraph"/>
              <w:spacing w:before="50"/>
              <w:ind w:left="407"/>
              <w:rPr>
                <w:sz w:val="21"/>
              </w:rPr>
            </w:pPr>
            <w:r>
              <w:rPr>
                <w:w w:val="95"/>
                <w:sz w:val="21"/>
              </w:rPr>
              <w:t>＜1000</w:t>
            </w:r>
            <w:r>
              <w:rPr>
                <w:spacing w:val="-10"/>
                <w:w w:val="95"/>
                <w:sz w:val="21"/>
              </w:rPr>
              <w:t xml:space="preserve"> 万元</w:t>
            </w:r>
          </w:p>
        </w:tc>
      </w:tr>
    </w:tbl>
    <w:p>
      <w:pPr>
        <w:pStyle w:val="BodyText"/>
        <w:spacing w:before="53"/>
      </w:pPr>
      <w:r>
        <w:rPr>
          <w:w w:val="95"/>
        </w:rPr>
        <w:t>【分值】考试形式为选择题，分值为 1</w:t>
      </w:r>
      <w:r>
        <w:rPr>
          <w:spacing w:val="1"/>
          <w:w w:val="95"/>
        </w:rPr>
        <w:t xml:space="preserve"> 分。</w:t>
      </w:r>
    </w:p>
    <w:p>
      <w:pPr>
        <w:pStyle w:val="BodyText"/>
        <w:spacing w:before="105"/>
      </w:pPr>
      <w:r>
        <w:t>【记忆方法】根据界限（311/151/151）结合易错点进行掌握</w:t>
      </w:r>
    </w:p>
    <w:p>
      <w:pPr>
        <w:pStyle w:val="BodyText"/>
        <w:spacing w:before="8"/>
        <w:ind w:left="0"/>
        <w:rPr>
          <w:sz w:val="7"/>
        </w:rPr>
      </w:pPr>
      <w:r>
        <w:pict>
          <v:shape id="docshape65" o:spid="_x0000_s1085" type="#_x0000_t202" style="width:82.8pt;height:19.9pt;margin-top:8.35pt;margin-left:48.3pt;mso-height-relative:page;mso-position-horizontal-relative:page;mso-width-relative:page;mso-wrap-distance-bottom:0;mso-wrap-distance-top:0;position:absolute;z-index:-251594752" coordsize="21600,21600" filled="f" stroked="t" strokecolor="black">
            <v:textbox inset="0,0,0,0">
              <w:txbxContent>
                <w:p>
                  <w:pPr>
                    <w:spacing w:before="1"/>
                    <w:ind w:left="1" w:right="0" w:firstLine="0"/>
                    <w:jc w:val="left"/>
                    <w:rPr>
                      <w:b/>
                      <w:sz w:val="24"/>
                    </w:rPr>
                  </w:pPr>
                  <w:r>
                    <w:rPr>
                      <w:b/>
                      <w:sz w:val="24"/>
                    </w:rPr>
                    <w:t>精选习题·30</w:t>
                  </w:r>
                </w:p>
              </w:txbxContent>
            </v:textbox>
            <w10:wrap type="topAndBottom"/>
          </v:shape>
        </w:pict>
      </w:r>
    </w:p>
    <w:p>
      <w:pPr>
        <w:pStyle w:val="BodyText"/>
        <w:spacing w:before="5"/>
        <w:ind w:left="0"/>
        <w:rPr>
          <w:sz w:val="7"/>
        </w:rPr>
      </w:pPr>
    </w:p>
    <w:p>
      <w:pPr>
        <w:pStyle w:val="BodyText"/>
        <w:tabs>
          <w:tab w:val="left" w:pos="2535"/>
        </w:tabs>
        <w:spacing w:before="70" w:line="336" w:lineRule="auto"/>
        <w:ind w:right="368"/>
      </w:pPr>
      <w:r>
        <w:rPr>
          <w:w w:val="95"/>
        </w:rPr>
        <w:t>【2018】根据《安全生产事故报告和调查处理条例</w:t>
      </w:r>
      <w:r>
        <w:rPr>
          <w:spacing w:val="-104"/>
          <w:w w:val="95"/>
        </w:rPr>
        <w:t>》</w:t>
      </w:r>
      <w:r>
        <w:rPr>
          <w:w w:val="95"/>
        </w:rPr>
        <w:t>，某生产安全事故造成</w:t>
      </w:r>
      <w:r>
        <w:rPr>
          <w:spacing w:val="71"/>
          <w:w w:val="95"/>
        </w:rPr>
        <w:t xml:space="preserve"> </w:t>
      </w:r>
      <w:r>
        <w:rPr>
          <w:w w:val="95"/>
        </w:rPr>
        <w:t>5</w:t>
      </w:r>
      <w:r>
        <w:rPr>
          <w:spacing w:val="75"/>
          <w:w w:val="95"/>
        </w:rPr>
        <w:t xml:space="preserve"> </w:t>
      </w:r>
      <w:r>
        <w:rPr>
          <w:w w:val="95"/>
        </w:rPr>
        <w:t>人死亡，1</w:t>
      </w:r>
      <w:r>
        <w:rPr>
          <w:spacing w:val="75"/>
          <w:w w:val="95"/>
        </w:rPr>
        <w:t xml:space="preserve"> </w:t>
      </w:r>
      <w:r>
        <w:rPr>
          <w:w w:val="95"/>
        </w:rPr>
        <w:t>亿元直接经济损失，该</w:t>
      </w:r>
      <w:r>
        <w:t>生产安全事故属于（</w:t>
      </w:r>
      <w:r>
        <w:tab/>
      </w:r>
      <w:r>
        <w:rPr>
          <w:spacing w:val="-104"/>
        </w:rPr>
        <w:t>）</w:t>
      </w:r>
      <w:r>
        <w:t>。</w:t>
      </w:r>
    </w:p>
    <w:p>
      <w:pPr>
        <w:pStyle w:val="BodyText"/>
        <w:spacing w:line="336" w:lineRule="auto"/>
        <w:ind w:left="647" w:right="8570"/>
      </w:pPr>
      <w:r>
        <w:rPr>
          <w:spacing w:val="-1"/>
        </w:rPr>
        <w:t>A.特别重大事故</w:t>
      </w:r>
      <w:r>
        <w:t>B.重大事故</w:t>
      </w:r>
    </w:p>
    <w:p>
      <w:pPr>
        <w:pStyle w:val="BodyText"/>
        <w:spacing w:line="333" w:lineRule="auto"/>
        <w:ind w:left="647" w:right="8990"/>
      </w:pPr>
      <w:r>
        <w:rPr>
          <w:spacing w:val="-1"/>
        </w:rPr>
        <w:t>C.严重事故</w:t>
      </w:r>
      <w:r>
        <w:rPr>
          <w:w w:val="95"/>
        </w:rPr>
        <w:t>D.较大事故</w:t>
      </w:r>
    </w:p>
    <w:p>
      <w:pPr>
        <w:pStyle w:val="BodyText"/>
      </w:pPr>
      <w:r>
        <w:t>【答案】A</w:t>
      </w:r>
    </w:p>
    <w:p>
      <w:pPr>
        <w:pStyle w:val="BodyText"/>
        <w:spacing w:before="97"/>
      </w:pPr>
      <w:r>
        <w:rPr>
          <w:spacing w:val="-1"/>
          <w:w w:val="99"/>
        </w:rPr>
        <w:t>【解析】特别重大生产安全事故。是指造成</w:t>
      </w:r>
      <w:r>
        <w:rPr>
          <w:spacing w:val="-53"/>
        </w:rPr>
        <w:t xml:space="preserve"> </w:t>
      </w:r>
      <w:r>
        <w:rPr>
          <w:spacing w:val="1"/>
          <w:w w:val="99"/>
        </w:rPr>
        <w:t>3</w:t>
      </w:r>
      <w:r>
        <w:rPr>
          <w:w w:val="99"/>
        </w:rPr>
        <w:t>0</w:t>
      </w:r>
      <w:r>
        <w:rPr>
          <w:spacing w:val="-52"/>
        </w:rPr>
        <w:t xml:space="preserve"> </w:t>
      </w:r>
      <w:r>
        <w:rPr>
          <w:spacing w:val="-1"/>
          <w:w w:val="99"/>
        </w:rPr>
        <w:t>人及以上死亡，或者</w:t>
      </w:r>
      <w:r>
        <w:rPr>
          <w:spacing w:val="-53"/>
        </w:rPr>
        <w:t xml:space="preserve"> </w:t>
      </w:r>
      <w:r>
        <w:rPr>
          <w:spacing w:val="1"/>
          <w:w w:val="99"/>
        </w:rPr>
        <w:t>10</w:t>
      </w:r>
      <w:r>
        <w:rPr>
          <w:w w:val="99"/>
        </w:rPr>
        <w:t>0</w:t>
      </w:r>
      <w:r>
        <w:rPr>
          <w:spacing w:val="-54"/>
        </w:rPr>
        <w:t xml:space="preserve"> </w:t>
      </w:r>
      <w:r>
        <w:rPr>
          <w:spacing w:val="-1"/>
          <w:w w:val="99"/>
        </w:rPr>
        <w:t>人及以上重伤（包括急性工业中毒</w:t>
      </w:r>
      <w:r>
        <w:rPr>
          <w:spacing w:val="-104"/>
          <w:w w:val="99"/>
        </w:rPr>
        <w:t>）</w:t>
      </w:r>
      <w:r>
        <w:rPr>
          <w:w w:val="99"/>
        </w:rPr>
        <w:t>，</w:t>
      </w:r>
    </w:p>
    <w:p>
      <w:pPr>
        <w:pStyle w:val="BodyText"/>
        <w:spacing w:before="108"/>
      </w:pPr>
      <w:r>
        <w:drawing>
          <wp:anchor distT="0" distB="0" distL="0" distR="0" simplePos="0" relativeHeight="251718656" behindDoc="0" locked="0" layoutInCell="1" allowOverlap="1">
            <wp:simplePos x="0" y="0"/>
            <wp:positionH relativeFrom="page">
              <wp:posOffset>585470</wp:posOffset>
            </wp:positionH>
            <wp:positionV relativeFrom="paragraph">
              <wp:posOffset>315595</wp:posOffset>
            </wp:positionV>
            <wp:extent cx="56515" cy="30924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xmlns:r="http://schemas.openxmlformats.org/officeDocument/2006/relationships" r:embed="rId33" cstate="print"/>
                    <a:stretch>
                      <a:fillRect/>
                    </a:stretch>
                  </pic:blipFill>
                  <pic:spPr>
                    <a:xfrm>
                      <a:off x="0" y="0"/>
                      <a:ext cx="56469" cy="309562"/>
                    </a:xfrm>
                    <a:prstGeom prst="rect">
                      <a:avLst/>
                    </a:prstGeom>
                  </pic:spPr>
                </pic:pic>
              </a:graphicData>
            </a:graphic>
          </wp:anchor>
        </w:drawing>
      </w:r>
      <w:r>
        <w:rPr>
          <w:spacing w:val="3"/>
          <w:w w:val="95"/>
        </w:rPr>
        <w:t xml:space="preserve">或者 </w:t>
      </w:r>
      <w:r>
        <w:rPr>
          <w:w w:val="95"/>
        </w:rPr>
        <w:t>1 亿元及以上直接经济损失的事故。</w:t>
      </w:r>
    </w:p>
    <w:p>
      <w:pPr>
        <w:pStyle w:val="BodyText"/>
        <w:spacing w:before="5"/>
        <w:ind w:left="0"/>
        <w:rPr>
          <w:sz w:val="7"/>
        </w:rPr>
      </w:pPr>
      <w:r>
        <w:pict>
          <v:shape id="docshape66" o:spid="_x0000_s1086" type="#_x0000_t202" style="width:82.8pt;height:19.9pt;margin-top:8.2pt;margin-left:48.3pt;mso-height-relative:page;mso-position-horizontal-relative:page;mso-width-relative:page;mso-wrap-distance-bottom:0;mso-wrap-distance-top:0;position:absolute;z-index:-251593728" coordsize="21600,21600" filled="f" stroked="t" strokecolor="black">
            <v:textbox inset="0,0,0,0">
              <w:txbxContent>
                <w:p>
                  <w:pPr>
                    <w:spacing w:before="3" w:line="306" w:lineRule="exact"/>
                    <w:ind w:left="1" w:right="0" w:firstLine="0"/>
                    <w:jc w:val="left"/>
                    <w:rPr>
                      <w:b/>
                      <w:sz w:val="24"/>
                    </w:rPr>
                  </w:pPr>
                  <w:r>
                    <w:rPr>
                      <w:b/>
                      <w:sz w:val="24"/>
                    </w:rPr>
                    <w:t>重要考点·31</w:t>
                  </w:r>
                </w:p>
              </w:txbxContent>
            </v:textbox>
            <w10:wrap type="topAndBottom"/>
          </v:shape>
        </w:pict>
      </w:r>
    </w:p>
    <w:p>
      <w:pPr>
        <w:pStyle w:val="BodyText"/>
        <w:spacing w:before="164"/>
      </w:pPr>
      <w:r>
        <w:t>1.事故报告和事故调查报告</w:t>
      </w:r>
    </w:p>
    <w:p>
      <w:pPr>
        <w:spacing w:after="0"/>
        <w:sectPr>
          <w:headerReference w:type="default" r:id="rId34"/>
          <w:pgSz w:w="11910" w:h="16840"/>
          <w:pgMar w:top="1180" w:right="540" w:bottom="280" w:left="680" w:header="993" w:footer="0" w:gutter="0"/>
          <w:pgNumType w:start="29"/>
          <w:cols w:space="708"/>
        </w:sectPr>
      </w:pPr>
    </w:p>
    <w:tbl>
      <w:tblPr>
        <w:tblStyle w:val="TableNormal"/>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4261"/>
        <w:gridCol w:w="4261"/>
        <w:gridCol w:w="1678"/>
      </w:tblGrid>
      <w:tr>
        <w:tblPrEx>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371"/>
        </w:trPr>
        <w:tc>
          <w:tcPr>
            <w:tcW w:w="4261" w:type="dxa"/>
            <w:tcBorders>
              <w:left w:val="single" w:sz="4" w:space="0" w:color="000000"/>
              <w:bottom w:val="single" w:sz="4" w:space="0" w:color="000000"/>
              <w:right w:val="single" w:sz="4" w:space="0" w:color="000000"/>
            </w:tcBorders>
          </w:tcPr>
          <w:p>
            <w:pPr>
              <w:pStyle w:val="TableParagraph"/>
              <w:spacing w:before="50"/>
              <w:ind w:left="107"/>
              <w:rPr>
                <w:sz w:val="21"/>
              </w:rPr>
            </w:pPr>
            <w:r>
              <w:rPr>
                <w:sz w:val="21"/>
              </w:rPr>
              <w:t>事故报告内容</w:t>
            </w:r>
          </w:p>
        </w:tc>
        <w:tc>
          <w:tcPr>
            <w:tcW w:w="4261" w:type="dxa"/>
            <w:tcBorders>
              <w:left w:val="single" w:sz="4" w:space="0" w:color="000000"/>
              <w:bottom w:val="single" w:sz="4" w:space="0" w:color="000000"/>
              <w:right w:val="single" w:sz="4" w:space="0" w:color="000000"/>
            </w:tcBorders>
          </w:tcPr>
          <w:p>
            <w:pPr>
              <w:pStyle w:val="TableParagraph"/>
              <w:spacing w:before="50"/>
              <w:ind w:left="106"/>
              <w:rPr>
                <w:sz w:val="21"/>
              </w:rPr>
            </w:pPr>
            <w:r>
              <w:rPr>
                <w:sz w:val="21"/>
              </w:rPr>
              <w:t>事故调查报告内容</w:t>
            </w:r>
          </w:p>
        </w:tc>
        <w:tc>
          <w:tcPr>
            <w:tcW w:w="1678" w:type="dxa"/>
            <w:vMerge w:val="restart"/>
            <w:tcBorders>
              <w:top w:val="single" w:sz="6" w:space="0" w:color="000000"/>
              <w:left w:val="single" w:sz="4" w:space="0" w:color="000000"/>
              <w:bottom w:val="nil"/>
              <w:right w:val="nil"/>
            </w:tcBorders>
          </w:tcPr>
          <w:p>
            <w:pPr>
              <w:pStyle w:val="TableParagraph"/>
              <w:rPr>
                <w:rFonts w:ascii="Times New Roman"/>
                <w:sz w:val="20"/>
              </w:rPr>
            </w:pPr>
          </w:p>
        </w:tc>
      </w:tr>
      <w:tr>
        <w:tblPrEx>
          <w:tblW w:w="0" w:type="auto"/>
          <w:tblInd w:w="124" w:type="dxa"/>
          <w:tblLayout w:type="fixed"/>
          <w:tblCellMar>
            <w:top w:w="0" w:type="dxa"/>
            <w:left w:w="0" w:type="dxa"/>
            <w:bottom w:w="0" w:type="dxa"/>
            <w:right w:w="0" w:type="dxa"/>
          </w:tblCellMar>
        </w:tblPrEx>
        <w:trPr>
          <w:trHeight w:val="2621"/>
        </w:trPr>
        <w:tc>
          <w:tcPr>
            <w:tcW w:w="4261" w:type="dxa"/>
            <w:tcBorders>
              <w:top w:val="single" w:sz="4" w:space="0" w:color="000000"/>
              <w:left w:val="single" w:sz="4" w:space="0" w:color="000000"/>
              <w:bottom w:val="single" w:sz="4" w:space="0" w:color="000000"/>
              <w:right w:val="single" w:sz="4" w:space="0" w:color="000000"/>
            </w:tcBorders>
          </w:tcPr>
          <w:p>
            <w:pPr>
              <w:pStyle w:val="TableParagraph"/>
              <w:spacing w:before="6"/>
              <w:rPr>
                <w:sz w:val="18"/>
              </w:rPr>
            </w:pPr>
          </w:p>
          <w:p>
            <w:pPr>
              <w:pStyle w:val="TableParagraph"/>
              <w:numPr>
                <w:ilvl w:val="0"/>
                <w:numId w:val="50"/>
              </w:numPr>
              <w:tabs>
                <w:tab w:val="left" w:pos="424"/>
              </w:tabs>
              <w:spacing w:before="0" w:after="0" w:line="240" w:lineRule="auto"/>
              <w:ind w:left="423" w:right="0" w:hanging="317"/>
              <w:jc w:val="left"/>
              <w:rPr>
                <w:sz w:val="21"/>
              </w:rPr>
            </w:pPr>
            <w:r>
              <w:rPr>
                <w:sz w:val="21"/>
              </w:rPr>
              <w:t>事故发生单位概况；</w:t>
            </w:r>
          </w:p>
          <w:p>
            <w:pPr>
              <w:pStyle w:val="TableParagraph"/>
              <w:numPr>
                <w:ilvl w:val="0"/>
                <w:numId w:val="50"/>
              </w:numPr>
              <w:tabs>
                <w:tab w:val="left" w:pos="424"/>
              </w:tabs>
              <w:spacing w:before="106" w:after="0" w:line="240" w:lineRule="auto"/>
              <w:ind w:left="423" w:right="-15" w:hanging="317"/>
              <w:jc w:val="left"/>
              <w:rPr>
                <w:sz w:val="21"/>
              </w:rPr>
            </w:pPr>
            <w:r>
              <w:rPr>
                <w:spacing w:val="-9"/>
                <w:sz w:val="21"/>
              </w:rPr>
              <w:t>事故发生的时间、地点以及事故现场情况</w:t>
            </w:r>
            <w:r>
              <w:rPr>
                <w:sz w:val="21"/>
              </w:rPr>
              <w:t>；</w:t>
            </w:r>
          </w:p>
          <w:p>
            <w:pPr>
              <w:pStyle w:val="TableParagraph"/>
              <w:numPr>
                <w:ilvl w:val="0"/>
                <w:numId w:val="50"/>
              </w:numPr>
              <w:tabs>
                <w:tab w:val="left" w:pos="424"/>
              </w:tabs>
              <w:spacing w:before="105" w:after="0" w:line="240" w:lineRule="auto"/>
              <w:ind w:left="423" w:right="0" w:hanging="317"/>
              <w:jc w:val="left"/>
              <w:rPr>
                <w:sz w:val="21"/>
              </w:rPr>
            </w:pPr>
            <w:r>
              <w:rPr>
                <w:sz w:val="21"/>
              </w:rPr>
              <w:t>事故的简要经过；</w:t>
            </w:r>
          </w:p>
          <w:p>
            <w:pPr>
              <w:pStyle w:val="TableParagraph"/>
              <w:numPr>
                <w:ilvl w:val="0"/>
                <w:numId w:val="50"/>
              </w:numPr>
              <w:tabs>
                <w:tab w:val="left" w:pos="424"/>
              </w:tabs>
              <w:spacing w:before="105" w:after="0" w:line="333" w:lineRule="auto"/>
              <w:ind w:left="107" w:right="99" w:firstLine="0"/>
              <w:jc w:val="left"/>
              <w:rPr>
                <w:sz w:val="21"/>
              </w:rPr>
            </w:pPr>
            <w:r>
              <w:rPr>
                <w:sz w:val="21"/>
              </w:rPr>
              <w:t>事故已经造成或者可能造成的伤亡人数和初步估计的直接经济损失；</w:t>
            </w:r>
          </w:p>
          <w:p>
            <w:pPr>
              <w:pStyle w:val="TableParagraph"/>
              <w:numPr>
                <w:ilvl w:val="0"/>
                <w:numId w:val="50"/>
              </w:numPr>
              <w:tabs>
                <w:tab w:val="left" w:pos="424"/>
              </w:tabs>
              <w:spacing w:before="1" w:after="0" w:line="240" w:lineRule="auto"/>
              <w:ind w:left="423" w:right="0" w:hanging="317"/>
              <w:jc w:val="left"/>
              <w:rPr>
                <w:sz w:val="21"/>
              </w:rPr>
            </w:pPr>
            <w:r>
              <w:rPr>
                <w:sz w:val="21"/>
              </w:rPr>
              <w:t>已经采取的措施；</w:t>
            </w:r>
          </w:p>
        </w:tc>
        <w:tc>
          <w:tcPr>
            <w:tcW w:w="4261" w:type="dxa"/>
            <w:tcBorders>
              <w:top w:val="single" w:sz="4" w:space="0" w:color="000000"/>
              <w:left w:val="single" w:sz="4" w:space="0" w:color="000000"/>
              <w:bottom w:val="single" w:sz="4" w:space="0" w:color="000000"/>
              <w:right w:val="single" w:sz="4" w:space="0" w:color="000000"/>
            </w:tcBorders>
          </w:tcPr>
          <w:p>
            <w:pPr>
              <w:pStyle w:val="TableParagraph"/>
              <w:numPr>
                <w:ilvl w:val="0"/>
                <w:numId w:val="51"/>
              </w:numPr>
              <w:tabs>
                <w:tab w:val="left" w:pos="423"/>
              </w:tabs>
              <w:spacing w:before="52" w:after="0" w:line="240" w:lineRule="auto"/>
              <w:ind w:left="422" w:right="0" w:hanging="317"/>
              <w:jc w:val="left"/>
              <w:rPr>
                <w:sz w:val="21"/>
              </w:rPr>
            </w:pPr>
            <w:r>
              <w:rPr>
                <w:sz w:val="21"/>
              </w:rPr>
              <w:t>事故发生单位概况；</w:t>
            </w:r>
          </w:p>
          <w:p>
            <w:pPr>
              <w:pStyle w:val="TableParagraph"/>
              <w:numPr>
                <w:ilvl w:val="0"/>
                <w:numId w:val="51"/>
              </w:numPr>
              <w:tabs>
                <w:tab w:val="left" w:pos="423"/>
              </w:tabs>
              <w:spacing w:before="106" w:after="0" w:line="240" w:lineRule="auto"/>
              <w:ind w:left="422" w:right="0" w:hanging="317"/>
              <w:jc w:val="left"/>
              <w:rPr>
                <w:sz w:val="21"/>
              </w:rPr>
            </w:pPr>
            <w:r>
              <w:rPr>
                <w:sz w:val="21"/>
              </w:rPr>
              <w:t>事故发生经过和事故救援情况；</w:t>
            </w:r>
          </w:p>
          <w:p>
            <w:pPr>
              <w:pStyle w:val="TableParagraph"/>
              <w:numPr>
                <w:ilvl w:val="0"/>
                <w:numId w:val="51"/>
              </w:numPr>
              <w:tabs>
                <w:tab w:val="left" w:pos="423"/>
              </w:tabs>
              <w:spacing w:before="103" w:after="0" w:line="240" w:lineRule="auto"/>
              <w:ind w:left="422" w:right="0" w:hanging="317"/>
              <w:jc w:val="left"/>
              <w:rPr>
                <w:sz w:val="21"/>
              </w:rPr>
            </w:pPr>
            <w:r>
              <w:rPr>
                <w:sz w:val="21"/>
              </w:rPr>
              <w:t>事故造成的人员伤亡和直接经济损失；</w:t>
            </w:r>
          </w:p>
          <w:p>
            <w:pPr>
              <w:pStyle w:val="TableParagraph"/>
              <w:numPr>
                <w:ilvl w:val="0"/>
                <w:numId w:val="51"/>
              </w:numPr>
              <w:tabs>
                <w:tab w:val="left" w:pos="423"/>
              </w:tabs>
              <w:spacing w:before="107" w:after="0" w:line="240" w:lineRule="auto"/>
              <w:ind w:left="422" w:right="0" w:hanging="317"/>
              <w:jc w:val="left"/>
              <w:rPr>
                <w:sz w:val="21"/>
              </w:rPr>
            </w:pPr>
            <w:r>
              <w:rPr>
                <w:sz w:val="21"/>
              </w:rPr>
              <w:t>事故发生的原因和事故性质；</w:t>
            </w:r>
          </w:p>
          <w:p>
            <w:pPr>
              <w:pStyle w:val="TableParagraph"/>
              <w:numPr>
                <w:ilvl w:val="0"/>
                <w:numId w:val="51"/>
              </w:numPr>
              <w:tabs>
                <w:tab w:val="left" w:pos="423"/>
              </w:tabs>
              <w:spacing w:before="106" w:after="0" w:line="333" w:lineRule="auto"/>
              <w:ind w:left="106" w:right="97" w:firstLine="0"/>
              <w:jc w:val="left"/>
              <w:rPr>
                <w:sz w:val="21"/>
              </w:rPr>
            </w:pPr>
            <w:r>
              <w:rPr>
                <w:sz w:val="21"/>
              </w:rPr>
              <w:t>事故责任的认定以及对事故责任者的处理建议；</w:t>
            </w:r>
          </w:p>
          <w:p>
            <w:pPr>
              <w:pStyle w:val="TableParagraph"/>
              <w:numPr>
                <w:ilvl w:val="0"/>
                <w:numId w:val="51"/>
              </w:numPr>
              <w:tabs>
                <w:tab w:val="left" w:pos="423"/>
              </w:tabs>
              <w:spacing w:before="0" w:after="0" w:line="240" w:lineRule="auto"/>
              <w:ind w:left="422" w:right="0" w:hanging="317"/>
              <w:jc w:val="left"/>
              <w:rPr>
                <w:sz w:val="21"/>
              </w:rPr>
            </w:pPr>
            <w:r>
              <w:rPr>
                <w:sz w:val="21"/>
              </w:rPr>
              <w:t>事故防范和整改措施。</w:t>
            </w:r>
          </w:p>
        </w:tc>
        <w:tc>
          <w:tcPr>
            <w:tcW w:w="1678" w:type="dxa"/>
            <w:vMerge/>
            <w:tcBorders>
              <w:top w:val="nil"/>
              <w:left w:val="single" w:sz="4" w:space="0" w:color="000000"/>
              <w:bottom w:val="nil"/>
              <w:right w:val="nil"/>
            </w:tcBorders>
          </w:tcPr>
          <w:p>
            <w:pPr>
              <w:rPr>
                <w:sz w:val="2"/>
                <w:szCs w:val="2"/>
              </w:rPr>
            </w:pPr>
          </w:p>
        </w:tc>
      </w:tr>
    </w:tbl>
    <w:p>
      <w:pPr>
        <w:pStyle w:val="BodyText"/>
        <w:spacing w:before="51"/>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【记忆方法】根据特点理解记忆</w:t>
      </w:r>
    </w:p>
    <w:p>
      <w:pPr>
        <w:pStyle w:val="BodyText"/>
        <w:spacing w:before="6"/>
        <w:ind w:left="0"/>
        <w:rPr>
          <w:sz w:val="7"/>
        </w:rPr>
      </w:pPr>
      <w:r>
        <w:pict>
          <v:shape id="docshape67" o:spid="_x0000_s1087" type="#_x0000_t202" style="width:82.8pt;height:20pt;margin-top:8.25pt;margin-left:48.3pt;mso-height-relative:page;mso-position-horizontal-relative:page;mso-width-relative:page;mso-wrap-distance-bottom:0;mso-wrap-distance-top:0;position:absolute;z-index:-251592704" coordsize="21600,21600" filled="f" stroked="t" strokecolor="black">
            <v:textbox inset="0,0,0,0">
              <w:txbxContent>
                <w:p>
                  <w:pPr>
                    <w:spacing w:before="2"/>
                    <w:ind w:left="1" w:right="0" w:firstLine="0"/>
                    <w:jc w:val="left"/>
                    <w:rPr>
                      <w:b/>
                      <w:sz w:val="24"/>
                    </w:rPr>
                  </w:pPr>
                  <w:r>
                    <w:rPr>
                      <w:b/>
                      <w:sz w:val="24"/>
                    </w:rPr>
                    <w:t>精选习题·31</w:t>
                  </w:r>
                </w:p>
              </w:txbxContent>
            </v:textbox>
            <w10:wrap type="topAndBottom"/>
          </v:shape>
        </w:pict>
      </w:r>
    </w:p>
    <w:p>
      <w:pPr>
        <w:pStyle w:val="BodyText"/>
        <w:spacing w:before="4"/>
        <w:ind w:left="0"/>
        <w:rPr>
          <w:sz w:val="7"/>
        </w:rPr>
      </w:pPr>
    </w:p>
    <w:p>
      <w:pPr>
        <w:pStyle w:val="BodyText"/>
        <w:spacing w:before="70" w:line="333" w:lineRule="auto"/>
        <w:ind w:left="647" w:right="2267" w:hanging="420"/>
        <w:jc w:val="both"/>
      </w:pPr>
      <w:r>
        <w:t>【2022</w:t>
      </w:r>
      <w:r>
        <w:rPr>
          <w:spacing w:val="-6"/>
        </w:rPr>
        <w:t>】根据《生产安全事故报告和调查处理条例》，事故报告应包含的内容有</w:t>
      </w:r>
      <w:r>
        <w:t>（</w:t>
      </w:r>
      <w:r>
        <w:rPr>
          <w:spacing w:val="190"/>
        </w:rPr>
        <w:t xml:space="preserve"> </w:t>
      </w:r>
      <w:r>
        <w:rPr>
          <w:spacing w:val="-104"/>
        </w:rPr>
        <w:t>）</w:t>
      </w:r>
      <w:r>
        <w:t>。A.事故发生单位概况</w:t>
      </w:r>
    </w:p>
    <w:p>
      <w:pPr>
        <w:pStyle w:val="BodyText"/>
        <w:spacing w:before="1" w:line="333" w:lineRule="auto"/>
        <w:ind w:left="647" w:right="7730"/>
        <w:jc w:val="both"/>
      </w:pPr>
      <w:r>
        <w:rPr>
          <w:spacing w:val="-1"/>
        </w:rPr>
        <w:t>B.事故发生的时间、地点C.事故发生的原因和性质D.事故已造成的伤亡人数</w:t>
      </w:r>
      <w:r>
        <w:t>E.已经采取的措施</w:t>
      </w:r>
    </w:p>
    <w:p>
      <w:pPr>
        <w:pStyle w:val="BodyText"/>
        <w:spacing w:before="2"/>
      </w:pPr>
      <w:r>
        <w:t>【答案】ABDE</w:t>
      </w:r>
    </w:p>
    <w:p>
      <w:pPr>
        <w:pStyle w:val="BodyText"/>
        <w:spacing w:before="105"/>
      </w:pPr>
      <w:r>
        <w:rPr>
          <w:spacing w:val="-4"/>
          <w:w w:val="99"/>
        </w:rPr>
        <w:t>【解析】事故报告应当包括下列内容</w:t>
      </w:r>
      <w:r>
        <w:rPr>
          <w:spacing w:val="-118"/>
          <w:w w:val="99"/>
        </w:rPr>
        <w:t>：</w:t>
      </w:r>
      <w:r>
        <w:rPr>
          <w:spacing w:val="-1"/>
          <w:w w:val="99"/>
        </w:rPr>
        <w:t>（</w:t>
      </w:r>
      <w:r>
        <w:rPr>
          <w:spacing w:val="1"/>
          <w:w w:val="99"/>
        </w:rPr>
        <w:t>1</w:t>
      </w:r>
      <w:r>
        <w:rPr>
          <w:spacing w:val="-15"/>
          <w:w w:val="99"/>
        </w:rPr>
        <w:t>）</w:t>
      </w:r>
      <w:r>
        <w:rPr>
          <w:spacing w:val="-1"/>
          <w:w w:val="99"/>
        </w:rPr>
        <w:t>事故发生单位概况</w:t>
      </w:r>
      <w:r>
        <w:rPr>
          <w:spacing w:val="-121"/>
          <w:w w:val="99"/>
        </w:rPr>
        <w:t>；</w:t>
      </w:r>
      <w:r>
        <w:rPr>
          <w:spacing w:val="2"/>
          <w:w w:val="99"/>
        </w:rPr>
        <w:t>（</w:t>
      </w:r>
      <w:r>
        <w:rPr>
          <w:spacing w:val="1"/>
          <w:w w:val="99"/>
        </w:rPr>
        <w:t>2</w:t>
      </w:r>
      <w:r>
        <w:rPr>
          <w:spacing w:val="-17"/>
          <w:w w:val="99"/>
        </w:rPr>
        <w:t>）</w:t>
      </w:r>
      <w:r>
        <w:rPr>
          <w:spacing w:val="-3"/>
          <w:w w:val="99"/>
        </w:rPr>
        <w:t>事故发生的时间、地点以及事故现场情况；</w:t>
      </w:r>
    </w:p>
    <w:p>
      <w:pPr>
        <w:pStyle w:val="BodyText"/>
        <w:spacing w:before="105" w:line="333" w:lineRule="auto"/>
        <w:ind w:right="367"/>
      </w:pPr>
      <w:r>
        <w:pict>
          <v:shape id="docshape68" o:spid="_x0000_s1088" type="#_x0000_t202" style="width:82.8pt;height:20pt;margin-top:45.65pt;margin-left:48.3pt;mso-height-relative:page;mso-position-horizontal-relative:page;mso-width-relative:page;mso-wrap-distance-bottom:0;mso-wrap-distance-top:0;position:absolute;z-index:-251591680" coordsize="21600,21600" filled="f" stroked="t" strokecolor="black">
            <v:textbox inset="0,0,0,0">
              <w:txbxContent>
                <w:p>
                  <w:pPr>
                    <w:spacing w:before="2"/>
                    <w:ind w:left="1" w:right="0" w:firstLine="0"/>
                    <w:jc w:val="left"/>
                    <w:rPr>
                      <w:b/>
                      <w:sz w:val="24"/>
                    </w:rPr>
                  </w:pPr>
                  <w:r>
                    <w:rPr>
                      <w:b/>
                      <w:sz w:val="24"/>
                    </w:rPr>
                    <w:t>重要考点·32</w:t>
                  </w:r>
                </w:p>
              </w:txbxContent>
            </v:textbox>
            <w10:wrap type="topAndBottom"/>
          </v:shape>
        </w:pict>
      </w:r>
      <w:r>
        <w:rPr>
          <w:spacing w:val="-1"/>
          <w:w w:val="99"/>
        </w:rPr>
        <w:t>（</w:t>
      </w:r>
      <w:r>
        <w:rPr>
          <w:spacing w:val="1"/>
          <w:w w:val="99"/>
        </w:rPr>
        <w:t>3</w:t>
      </w:r>
      <w:r>
        <w:rPr>
          <w:spacing w:val="-17"/>
          <w:w w:val="99"/>
        </w:rPr>
        <w:t>）</w:t>
      </w:r>
      <w:r>
        <w:rPr>
          <w:spacing w:val="-1"/>
          <w:w w:val="99"/>
        </w:rPr>
        <w:t>事故的简要经过</w:t>
      </w:r>
      <w:r>
        <w:rPr>
          <w:spacing w:val="-123"/>
          <w:w w:val="99"/>
        </w:rPr>
        <w:t>；</w:t>
      </w:r>
      <w:r>
        <w:rPr>
          <w:spacing w:val="2"/>
          <w:w w:val="99"/>
        </w:rPr>
        <w:t>（</w:t>
      </w:r>
      <w:r>
        <w:rPr>
          <w:spacing w:val="-2"/>
          <w:w w:val="99"/>
        </w:rPr>
        <w:t>4</w:t>
      </w:r>
      <w:r>
        <w:rPr>
          <w:spacing w:val="-17"/>
          <w:w w:val="99"/>
        </w:rPr>
        <w:t>）</w:t>
      </w:r>
      <w:r>
        <w:rPr>
          <w:spacing w:val="-2"/>
          <w:w w:val="99"/>
        </w:rPr>
        <w:t>事故已经造成或者可能造成的伤亡人数</w:t>
      </w:r>
      <w:r>
        <w:rPr>
          <w:spacing w:val="-1"/>
          <w:w w:val="99"/>
        </w:rPr>
        <w:t>（包括下落不明的人数</w:t>
      </w:r>
      <w:r>
        <w:rPr>
          <w:spacing w:val="-17"/>
          <w:w w:val="99"/>
        </w:rPr>
        <w:t>）</w:t>
      </w:r>
      <w:r>
        <w:rPr>
          <w:spacing w:val="-1"/>
          <w:w w:val="99"/>
        </w:rPr>
        <w:t>和初步估计的直接</w:t>
      </w:r>
      <w:r>
        <w:rPr>
          <w:spacing w:val="-22"/>
          <w:w w:val="99"/>
        </w:rPr>
        <w:t>经济损失；</w:t>
      </w:r>
      <w:r>
        <w:rPr>
          <w:spacing w:val="-1"/>
          <w:w w:val="99"/>
        </w:rPr>
        <w:t>（</w:t>
      </w:r>
      <w:r>
        <w:rPr>
          <w:spacing w:val="1"/>
          <w:w w:val="99"/>
        </w:rPr>
        <w:t>5</w:t>
      </w:r>
      <w:r>
        <w:rPr>
          <w:spacing w:val="-1"/>
          <w:w w:val="99"/>
        </w:rPr>
        <w:t>）</w:t>
      </w:r>
      <w:r>
        <w:rPr>
          <w:spacing w:val="-14"/>
          <w:w w:val="99"/>
        </w:rPr>
        <w:t>已经采取的措施；</w:t>
      </w:r>
      <w:r>
        <w:rPr>
          <w:spacing w:val="-1"/>
          <w:w w:val="99"/>
        </w:rPr>
        <w:t>（</w:t>
      </w:r>
      <w:r>
        <w:rPr>
          <w:spacing w:val="1"/>
          <w:w w:val="99"/>
        </w:rPr>
        <w:t>6</w:t>
      </w:r>
      <w:r>
        <w:rPr>
          <w:spacing w:val="-1"/>
          <w:w w:val="99"/>
        </w:rPr>
        <w:t>）其他应当报告的情况。</w:t>
      </w:r>
    </w:p>
    <w:p>
      <w:pPr>
        <w:pStyle w:val="BodyText"/>
        <w:spacing w:before="4"/>
        <w:ind w:left="0"/>
        <w:rPr>
          <w:sz w:val="7"/>
        </w:rPr>
      </w:pPr>
    </w:p>
    <w:p>
      <w:pPr>
        <w:pStyle w:val="BodyText"/>
        <w:spacing w:before="70"/>
      </w:pPr>
      <w:r>
        <w:t>（1）招标范围和方式</w:t>
      </w:r>
    </w:p>
    <w:p>
      <w:pPr>
        <w:pStyle w:val="BodyText"/>
        <w:spacing w:before="106" w:line="333" w:lineRule="auto"/>
        <w:ind w:right="367"/>
      </w:pPr>
      <w:r>
        <w:rPr>
          <w:w w:val="95"/>
        </w:rPr>
        <w:t>按照国家有关规定需要履行项目审批、核准手续的依法必须进行招标的项目，其招标范围、招标方式、招标组</w:t>
      </w:r>
      <w:r>
        <w:rPr>
          <w:spacing w:val="206"/>
        </w:rPr>
        <w:t xml:space="preserve"> </w:t>
      </w:r>
      <w:r>
        <w:t>织形式应当报项目审批、核准部门审批、核准。</w:t>
      </w:r>
    </w:p>
    <w:p>
      <w:pPr>
        <w:pStyle w:val="ListParagraph"/>
        <w:numPr>
          <w:ilvl w:val="0"/>
          <w:numId w:val="52"/>
        </w:numPr>
        <w:tabs>
          <w:tab w:val="left" w:pos="543"/>
        </w:tabs>
        <w:spacing w:before="0" w:after="0" w:line="333" w:lineRule="auto"/>
        <w:ind w:left="227" w:right="367" w:firstLine="0"/>
        <w:jc w:val="left"/>
        <w:rPr>
          <w:sz w:val="21"/>
        </w:rPr>
      </w:pPr>
      <w:r>
        <w:rPr>
          <w:w w:val="95"/>
          <w:sz w:val="21"/>
        </w:rPr>
        <w:t>可以邀请招标的项目。国有资金占控股或者主导地位的依法必须进行招标的项目，应当公开招标；但有下列</w:t>
      </w:r>
      <w:r>
        <w:rPr>
          <w:spacing w:val="95"/>
          <w:w w:val="95"/>
          <w:sz w:val="21"/>
        </w:rPr>
        <w:t xml:space="preserve"> </w:t>
      </w:r>
      <w:r>
        <w:rPr>
          <w:sz w:val="21"/>
        </w:rPr>
        <w:t>情况之一的，可以邀请招标：</w:t>
      </w:r>
    </w:p>
    <w:p>
      <w:pPr>
        <w:pStyle w:val="BodyText"/>
        <w:spacing w:before="1"/>
      </w:pPr>
      <w:r>
        <w:t>①技术复杂、有特殊要求或者受自然环境限制，只有少量潜在投标人可供选择；</w:t>
      </w:r>
    </w:p>
    <w:p>
      <w:pPr>
        <w:pStyle w:val="BodyText"/>
        <w:spacing w:before="106"/>
      </w:pPr>
      <w:r>
        <w:t>②采用公开招标方式的费用占项目合同金额的比例过大。</w:t>
      </w:r>
    </w:p>
    <w:p>
      <w:pPr>
        <w:pStyle w:val="ListParagraph"/>
        <w:numPr>
          <w:ilvl w:val="0"/>
          <w:numId w:val="52"/>
        </w:numPr>
        <w:tabs>
          <w:tab w:val="left" w:pos="543"/>
        </w:tabs>
        <w:spacing w:before="105" w:after="0" w:line="333" w:lineRule="auto"/>
        <w:ind w:left="227" w:right="367" w:firstLine="0"/>
        <w:jc w:val="left"/>
        <w:rPr>
          <w:sz w:val="21"/>
        </w:rPr>
      </w:pPr>
      <w:r>
        <w:rPr>
          <w:w w:val="95"/>
          <w:sz w:val="21"/>
        </w:rPr>
        <w:t>可以不招标的项目。除《招标投标法》规定的可以不进行招标的特殊情况外，有下列情形之一的，可以不进</w:t>
      </w:r>
      <w:r>
        <w:rPr>
          <w:spacing w:val="95"/>
          <w:w w:val="95"/>
          <w:sz w:val="21"/>
        </w:rPr>
        <w:t xml:space="preserve"> </w:t>
      </w:r>
      <w:r>
        <w:rPr>
          <w:sz w:val="21"/>
        </w:rPr>
        <w:t>行招标：</w:t>
      </w:r>
    </w:p>
    <w:p>
      <w:pPr>
        <w:pStyle w:val="BodyText"/>
        <w:spacing w:before="1"/>
      </w:pPr>
      <w:r>
        <w:t>①需要采用不可替代的专利或者专有技术；</w:t>
      </w:r>
    </w:p>
    <w:p>
      <w:pPr>
        <w:pStyle w:val="BodyText"/>
        <w:spacing w:before="105"/>
      </w:pPr>
      <w:r>
        <w:t>②采购人依法能够自行建设、生产或者提供；</w:t>
      </w:r>
    </w:p>
    <w:p>
      <w:pPr>
        <w:pStyle w:val="BodyText"/>
        <w:spacing w:before="105"/>
      </w:pPr>
      <w:r>
        <w:rPr>
          <w:w w:val="95"/>
        </w:rPr>
        <w:t>③已通过招标方式选定的特许经营项目投资人依法能够自行建设、生产或者提供；</w:t>
      </w:r>
    </w:p>
    <w:p>
      <w:pPr>
        <w:pStyle w:val="BodyText"/>
        <w:spacing w:before="106"/>
      </w:pPr>
      <w:r>
        <w:rPr>
          <w:w w:val="95"/>
        </w:rPr>
        <w:t>④需要向原中标人采购工程、货物或者服务，否则将影响施工或者功能配套要求；</w:t>
      </w:r>
    </w:p>
    <w:p>
      <w:pPr>
        <w:pStyle w:val="BodyText"/>
        <w:spacing w:before="105"/>
      </w:pPr>
      <w:r>
        <w:t>⑤国家规定的其他特殊情形。</w:t>
      </w:r>
    </w:p>
    <w:p>
      <w:pPr>
        <w:pStyle w:val="BodyText"/>
        <w:spacing w:before="105"/>
      </w:pPr>
      <w:r>
        <w:rPr>
          <w:spacing w:val="1"/>
          <w:w w:val="95"/>
        </w:rPr>
        <w:t xml:space="preserve">【分值】考试形式为选择题，分值为 </w:t>
      </w:r>
      <w:r>
        <w:rPr>
          <w:w w:val="95"/>
        </w:rPr>
        <w:t>1-2</w:t>
      </w:r>
      <w:r>
        <w:rPr>
          <w:spacing w:val="3"/>
          <w:w w:val="95"/>
        </w:rPr>
        <w:t xml:space="preserve"> 分。</w:t>
      </w:r>
    </w:p>
    <w:p>
      <w:pPr>
        <w:spacing w:after="0"/>
        <w:sectPr>
          <w:headerReference w:type="default" r:id="rId35"/>
          <w:pgSz w:w="11910" w:h="16840"/>
          <w:pgMar w:top="1160" w:right="540" w:bottom="280" w:left="680" w:header="0" w:footer="0" w:gutter="0"/>
          <w:pgNumType w:start="30"/>
          <w:cols w:space="708"/>
        </w:sectPr>
      </w:pPr>
    </w:p>
    <w:p>
      <w:pPr>
        <w:pStyle w:val="BodyText"/>
        <w:spacing w:before="54"/>
      </w:pPr>
      <w:r>
        <w:t>【记忆方法】理解记忆</w:t>
      </w:r>
    </w:p>
    <w:p>
      <w:pPr>
        <w:pStyle w:val="BodyText"/>
        <w:spacing w:before="6"/>
        <w:ind w:left="0"/>
        <w:rPr>
          <w:sz w:val="7"/>
        </w:rPr>
      </w:pPr>
      <w:r>
        <w:pict>
          <v:shape id="docshape70" o:spid="_x0000_s1089" type="#_x0000_t202" style="width:82.8pt;height:19.9pt;margin-top:8.2pt;margin-left:48.3pt;mso-height-relative:page;mso-position-horizontal-relative:page;mso-width-relative:page;mso-wrap-distance-bottom:0;mso-wrap-distance-top:0;position:absolute;z-index:-251590656" coordsize="21600,21600" filled="f" stroked="t" strokecolor="black">
            <v:textbox inset="0,0,0,0">
              <w:txbxContent>
                <w:p>
                  <w:pPr>
                    <w:spacing w:before="3" w:line="306" w:lineRule="exact"/>
                    <w:ind w:left="1" w:right="0" w:firstLine="0"/>
                    <w:jc w:val="left"/>
                    <w:rPr>
                      <w:b/>
                      <w:sz w:val="24"/>
                    </w:rPr>
                  </w:pPr>
                  <w:r>
                    <w:rPr>
                      <w:b/>
                      <w:sz w:val="24"/>
                    </w:rPr>
                    <w:t>精选习题·32</w:t>
                  </w:r>
                </w:p>
              </w:txbxContent>
            </v:textbox>
            <w10:wrap type="topAndBottom"/>
          </v:shape>
        </w:pict>
      </w:r>
    </w:p>
    <w:p>
      <w:pPr>
        <w:pStyle w:val="BodyText"/>
        <w:spacing w:before="5"/>
        <w:ind w:left="0"/>
        <w:rPr>
          <w:sz w:val="7"/>
        </w:rPr>
      </w:pPr>
    </w:p>
    <w:p>
      <w:pPr>
        <w:pStyle w:val="BodyText"/>
        <w:spacing w:before="69" w:line="333" w:lineRule="auto"/>
        <w:ind w:left="647" w:right="3107" w:hanging="420"/>
        <w:jc w:val="both"/>
      </w:pPr>
      <w:r>
        <w:t>【2022</w:t>
      </w:r>
      <w:r>
        <w:rPr>
          <w:spacing w:val="-8"/>
        </w:rPr>
        <w:t>】根据《招标投标法实施条例》，可采用邀请招标方式的情形有</w:t>
      </w:r>
      <w:r>
        <w:t>（</w:t>
      </w:r>
      <w:r>
        <w:rPr>
          <w:spacing w:val="192"/>
        </w:rPr>
        <w:t xml:space="preserve"> </w:t>
      </w:r>
      <w:r>
        <w:rPr>
          <w:spacing w:val="-104"/>
        </w:rPr>
        <w:t>）</w:t>
      </w:r>
      <w:r>
        <w:t>。A.技术复杂，有特殊要求，潜在投标人数量较少的</w:t>
      </w:r>
    </w:p>
    <w:p>
      <w:pPr>
        <w:pStyle w:val="BodyText"/>
        <w:spacing w:before="4" w:line="333" w:lineRule="auto"/>
        <w:ind w:left="647" w:right="5419"/>
        <w:jc w:val="both"/>
      </w:pPr>
      <w:r>
        <w:rPr>
          <w:w w:val="95"/>
        </w:rPr>
        <w:t>B.受自然环境限制，只有少量潜在投标人可选择的</w:t>
      </w:r>
      <w:r>
        <w:rPr>
          <w:spacing w:val="1"/>
          <w:w w:val="95"/>
        </w:rPr>
        <w:t xml:space="preserve"> </w:t>
      </w:r>
      <w:r>
        <w:rPr>
          <w:w w:val="95"/>
        </w:rPr>
        <w:t>C.公开招标方式的费用占项目合同金额比例过大的</w:t>
      </w:r>
      <w:r>
        <w:rPr>
          <w:spacing w:val="1"/>
          <w:w w:val="95"/>
        </w:rPr>
        <w:t xml:space="preserve"> </w:t>
      </w:r>
      <w:r>
        <w:t>D.采用不可替代的专利或专有技术的</w:t>
      </w:r>
    </w:p>
    <w:p>
      <w:pPr>
        <w:pStyle w:val="BodyText"/>
        <w:spacing w:line="268" w:lineRule="exact"/>
        <w:ind w:left="647"/>
      </w:pPr>
      <w:r>
        <w:t>E.采购人依法能够自行建设的</w:t>
      </w:r>
    </w:p>
    <w:p>
      <w:pPr>
        <w:pStyle w:val="BodyText"/>
        <w:spacing w:before="105"/>
      </w:pPr>
      <w:r>
        <w:t>【答案】ABC</w:t>
      </w:r>
    </w:p>
    <w:p>
      <w:pPr>
        <w:pStyle w:val="BodyText"/>
        <w:spacing w:before="108" w:line="333" w:lineRule="auto"/>
        <w:ind w:right="367"/>
        <w:jc w:val="both"/>
      </w:pPr>
      <w:r>
        <w:pict>
          <v:shape id="docshape71" o:spid="_x0000_s1090" type="#_x0000_t202" style="width:82.8pt;height:19.9pt;margin-top:64.5pt;margin-left:48.3pt;mso-height-relative:page;mso-position-horizontal-relative:page;mso-width-relative:page;mso-wrap-distance-bottom:0;mso-wrap-distance-top:0;position:absolute;z-index:-251589632" coordsize="21600,21600" filled="f" stroked="t" strokecolor="black">
            <v:textbox inset="0,0,0,0">
              <w:txbxContent>
                <w:p>
                  <w:pPr>
                    <w:spacing w:before="3" w:line="306" w:lineRule="exact"/>
                    <w:ind w:left="1" w:right="0" w:firstLine="0"/>
                    <w:jc w:val="left"/>
                    <w:rPr>
                      <w:b/>
                      <w:sz w:val="24"/>
                    </w:rPr>
                  </w:pPr>
                  <w:r>
                    <w:rPr>
                      <w:b/>
                      <w:sz w:val="24"/>
                    </w:rPr>
                    <w:t>重要考点·33</w:t>
                  </w:r>
                </w:p>
              </w:txbxContent>
            </v:textbox>
            <w10:wrap type="topAndBottom"/>
          </v:shape>
        </w:pict>
      </w:r>
      <w:r>
        <w:rPr>
          <w:w w:val="95"/>
        </w:rPr>
        <w:t>【解析】国有资金占控股或者主导地位的依法必须进行招标的项目，应当公开招标；但有下列情形之一的，可</w:t>
      </w:r>
      <w:r>
        <w:rPr>
          <w:spacing w:val="205"/>
        </w:rPr>
        <w:t xml:space="preserve"> </w:t>
      </w:r>
      <w:r>
        <w:rPr>
          <w:spacing w:val="-19"/>
          <w:w w:val="99"/>
        </w:rPr>
        <w:t>以邀请招标：</w:t>
      </w:r>
      <w:r>
        <w:rPr>
          <w:spacing w:val="-1"/>
          <w:w w:val="99"/>
        </w:rPr>
        <w:t>（</w:t>
      </w:r>
      <w:r>
        <w:rPr>
          <w:spacing w:val="1"/>
          <w:w w:val="99"/>
        </w:rPr>
        <w:t>1</w:t>
      </w:r>
      <w:r>
        <w:rPr>
          <w:spacing w:val="2"/>
          <w:w w:val="99"/>
        </w:rPr>
        <w:t>）</w:t>
      </w:r>
      <w:r>
        <w:rPr>
          <w:spacing w:val="-5"/>
          <w:w w:val="99"/>
        </w:rPr>
        <w:t>技术复杂、有特殊要求或者受自然环境限制，只有少量潜在投标人可供选择；</w:t>
      </w:r>
      <w:r>
        <w:rPr>
          <w:spacing w:val="2"/>
          <w:w w:val="99"/>
        </w:rPr>
        <w:t>（</w:t>
      </w:r>
      <w:r>
        <w:rPr>
          <w:spacing w:val="1"/>
          <w:w w:val="99"/>
        </w:rPr>
        <w:t>2</w:t>
      </w:r>
      <w:r>
        <w:rPr>
          <w:spacing w:val="2"/>
          <w:w w:val="99"/>
        </w:rPr>
        <w:t>）</w:t>
      </w:r>
      <w:r>
        <w:rPr>
          <w:spacing w:val="-1"/>
          <w:w w:val="99"/>
        </w:rPr>
        <w:t>采用公开</w:t>
      </w:r>
      <w:r>
        <w:t>招标方式的费用占项目合同金额的比例过大。</w:t>
      </w:r>
    </w:p>
    <w:p>
      <w:pPr>
        <w:pStyle w:val="BodyText"/>
        <w:spacing w:before="5"/>
        <w:ind w:left="0"/>
        <w:rPr>
          <w:sz w:val="7"/>
        </w:rPr>
      </w:pPr>
    </w:p>
    <w:p>
      <w:pPr>
        <w:pStyle w:val="ListParagraph"/>
        <w:numPr>
          <w:ilvl w:val="0"/>
          <w:numId w:val="53"/>
        </w:numPr>
        <w:tabs>
          <w:tab w:val="left" w:pos="439"/>
        </w:tabs>
        <w:spacing w:before="69" w:after="0" w:line="240" w:lineRule="auto"/>
        <w:ind w:left="438" w:right="0" w:hanging="212"/>
        <w:jc w:val="left"/>
        <w:rPr>
          <w:sz w:val="21"/>
        </w:rPr>
      </w:pPr>
      <w:r>
        <w:rPr>
          <w:sz w:val="21"/>
        </w:rPr>
        <w:t>《招标投标法实施条例》中的时间、数字</w:t>
      </w:r>
    </w:p>
    <w:p>
      <w:pPr>
        <w:pStyle w:val="ListParagraph"/>
        <w:numPr>
          <w:ilvl w:val="0"/>
          <w:numId w:val="54"/>
        </w:numPr>
        <w:tabs>
          <w:tab w:val="left" w:pos="752"/>
        </w:tabs>
        <w:spacing w:before="106" w:after="0" w:line="240" w:lineRule="auto"/>
        <w:ind w:left="751" w:right="0" w:hanging="525"/>
        <w:jc w:val="left"/>
        <w:rPr>
          <w:sz w:val="21"/>
        </w:rPr>
      </w:pPr>
      <w:r>
        <w:rPr>
          <w:sz w:val="21"/>
        </w:rPr>
        <w:t>招标文件与资格审查</w:t>
      </w:r>
    </w:p>
    <w:p>
      <w:pPr>
        <w:pStyle w:val="ListParagraph"/>
        <w:numPr>
          <w:ilvl w:val="0"/>
          <w:numId w:val="55"/>
        </w:numPr>
        <w:tabs>
          <w:tab w:val="left" w:pos="543"/>
        </w:tabs>
        <w:spacing w:before="107" w:after="0" w:line="333" w:lineRule="auto"/>
        <w:ind w:left="227" w:right="368" w:firstLine="0"/>
        <w:jc w:val="both"/>
        <w:rPr>
          <w:sz w:val="21"/>
        </w:rPr>
      </w:pPr>
      <w:r>
        <w:rPr>
          <w:w w:val="95"/>
          <w:sz w:val="21"/>
        </w:rPr>
        <w:t>资格预审文件和招标文件的发售。招标人应当按照资格预审公告、招标公告或者投标邀请书规定的时间、地</w:t>
      </w:r>
      <w:r>
        <w:rPr>
          <w:spacing w:val="100"/>
          <w:sz w:val="21"/>
        </w:rPr>
        <w:t xml:space="preserve"> </w:t>
      </w:r>
      <w:r>
        <w:rPr>
          <w:w w:val="95"/>
          <w:sz w:val="21"/>
        </w:rPr>
        <w:t>点发售资格预审文件或者招标文件。资格预审文件或者招标文件的发售期不得少于</w:t>
      </w:r>
      <w:r>
        <w:rPr>
          <w:spacing w:val="139"/>
          <w:sz w:val="21"/>
        </w:rPr>
        <w:t xml:space="preserve"> </w:t>
      </w:r>
      <w:r>
        <w:rPr>
          <w:w w:val="95"/>
          <w:sz w:val="21"/>
        </w:rPr>
        <w:t>5</w:t>
      </w:r>
      <w:r>
        <w:rPr>
          <w:spacing w:val="145"/>
          <w:sz w:val="21"/>
        </w:rPr>
        <w:t xml:space="preserve"> </w:t>
      </w:r>
      <w:r>
        <w:rPr>
          <w:w w:val="95"/>
          <w:sz w:val="21"/>
        </w:rPr>
        <w:t>日。招标人发售资格预审</w:t>
      </w:r>
      <w:r>
        <w:rPr>
          <w:sz w:val="21"/>
        </w:rPr>
        <w:t>文件、招标文件收取的费用应当限于补偿印刷、邮寄的成本支出，不得以营利为目的。</w:t>
      </w:r>
    </w:p>
    <w:p>
      <w:pPr>
        <w:pStyle w:val="ListParagraph"/>
        <w:numPr>
          <w:ilvl w:val="0"/>
          <w:numId w:val="55"/>
        </w:numPr>
        <w:tabs>
          <w:tab w:val="left" w:pos="543"/>
        </w:tabs>
        <w:spacing w:before="0" w:after="0" w:line="336" w:lineRule="auto"/>
        <w:ind w:left="227" w:right="367" w:firstLine="0"/>
        <w:jc w:val="both"/>
        <w:rPr>
          <w:sz w:val="21"/>
        </w:rPr>
      </w:pPr>
      <w:r>
        <w:rPr>
          <w:sz w:val="21"/>
        </w:rPr>
        <w:t>资格预审文件、招标文件的澄清或修改。招标人可以对已发出的资格预审文件或者招标文件进行必要的澄</w:t>
      </w:r>
      <w:r>
        <w:rPr>
          <w:w w:val="95"/>
          <w:sz w:val="21"/>
        </w:rPr>
        <w:t>清或者修改。澄清或者修改的内容可能影响资格预审申请文件或者投标文件编制的，招标人应当在提交资格预</w:t>
      </w:r>
      <w:r>
        <w:rPr>
          <w:spacing w:val="216"/>
          <w:sz w:val="21"/>
        </w:rPr>
        <w:t xml:space="preserve"> </w:t>
      </w:r>
      <w:r>
        <w:rPr>
          <w:spacing w:val="3"/>
          <w:w w:val="95"/>
          <w:sz w:val="21"/>
        </w:rPr>
        <w:t xml:space="preserve">审申请文件截止时间至少 </w:t>
      </w:r>
      <w:r>
        <w:rPr>
          <w:w w:val="95"/>
          <w:sz w:val="21"/>
        </w:rPr>
        <w:t>3</w:t>
      </w:r>
      <w:r>
        <w:rPr>
          <w:spacing w:val="2"/>
          <w:w w:val="95"/>
          <w:sz w:val="21"/>
        </w:rPr>
        <w:t xml:space="preserve"> 日前，或者投标截止时间至少 </w:t>
      </w:r>
      <w:r>
        <w:rPr>
          <w:w w:val="95"/>
          <w:sz w:val="21"/>
        </w:rPr>
        <w:t>15 日前，以书面形式通知所有获取资格预审文件或者</w:t>
      </w:r>
      <w:r>
        <w:rPr>
          <w:sz w:val="21"/>
        </w:rPr>
        <w:t>招</w:t>
      </w:r>
    </w:p>
    <w:p>
      <w:pPr>
        <w:pStyle w:val="BodyText"/>
        <w:spacing w:line="333" w:lineRule="auto"/>
        <w:ind w:right="261"/>
      </w:pPr>
      <w:r>
        <w:rPr>
          <w:spacing w:val="-5"/>
          <w:w w:val="95"/>
        </w:rPr>
        <w:t xml:space="preserve">标文件的潜在投标人；不足 </w:t>
      </w:r>
      <w:r>
        <w:rPr>
          <w:w w:val="95"/>
        </w:rPr>
        <w:t>3</w:t>
      </w:r>
      <w:r>
        <w:rPr>
          <w:spacing w:val="22"/>
          <w:w w:val="95"/>
        </w:rPr>
        <w:t xml:space="preserve"> 日或者 </w:t>
      </w:r>
      <w:r>
        <w:rPr>
          <w:w w:val="95"/>
        </w:rPr>
        <w:t>15</w:t>
      </w:r>
      <w:r>
        <w:rPr>
          <w:spacing w:val="-7"/>
          <w:w w:val="95"/>
        </w:rPr>
        <w:t xml:space="preserve"> 日的，招标人应当顺延提交资格预审申请文件或者投标文件的截止时间。</w:t>
      </w:r>
      <w:r>
        <w:rPr>
          <w:spacing w:val="-1"/>
        </w:rPr>
        <w:t>3）资格预审文件、招标文件的质疑。潜在投标人或者其他利害关系人对资格预审文件有异议的，应当在提交资</w:t>
      </w:r>
      <w:r>
        <w:rPr>
          <w:w w:val="95"/>
        </w:rPr>
        <w:t>格预审申请文件截止时间 2 日前提出；对招标文件有异议的，应当在投标截止时间 10 日前提出。招标人应当自</w:t>
      </w:r>
    </w:p>
    <w:p>
      <w:pPr>
        <w:pStyle w:val="BodyText"/>
      </w:pPr>
      <w:r>
        <w:rPr>
          <w:w w:val="95"/>
        </w:rPr>
        <w:t>收到异议之日起</w:t>
      </w:r>
      <w:r>
        <w:rPr>
          <w:spacing w:val="101"/>
        </w:rPr>
        <w:t xml:space="preserve"> </w:t>
      </w:r>
      <w:r>
        <w:rPr>
          <w:w w:val="95"/>
        </w:rPr>
        <w:t>3</w:t>
      </w:r>
      <w:r>
        <w:rPr>
          <w:spacing w:val="106"/>
        </w:rPr>
        <w:t xml:space="preserve"> </w:t>
      </w:r>
      <w:r>
        <w:rPr>
          <w:w w:val="95"/>
        </w:rPr>
        <w:t>日内作出答复；作出答复前，应当暂停招标投标活动。</w:t>
      </w:r>
    </w:p>
    <w:p>
      <w:pPr>
        <w:pStyle w:val="BodyText"/>
        <w:spacing w:before="101" w:line="331" w:lineRule="auto"/>
        <w:ind w:right="367"/>
      </w:pPr>
      <w:r>
        <w:rPr>
          <w:w w:val="95"/>
        </w:rPr>
        <w:t>4）资格预审文件的提交。招标人应当合理确定提交资格预审申请文件的时间。依法必须进行招标的项目提交资</w:t>
      </w:r>
      <w:r>
        <w:rPr>
          <w:spacing w:val="116"/>
        </w:rPr>
        <w:t xml:space="preserve"> </w:t>
      </w:r>
      <w:r>
        <w:rPr>
          <w:spacing w:val="-2"/>
          <w:w w:val="95"/>
        </w:rPr>
        <w:t xml:space="preserve">格预审申请文件的时间，自资格预审文件停止发售之日起不得少于 </w:t>
      </w:r>
      <w:r>
        <w:rPr>
          <w:w w:val="95"/>
        </w:rPr>
        <w:t>5</w:t>
      </w:r>
      <w:r>
        <w:rPr>
          <w:spacing w:val="-14"/>
          <w:w w:val="95"/>
        </w:rPr>
        <w:t xml:space="preserve"> 日。</w:t>
      </w:r>
    </w:p>
    <w:p>
      <w:pPr>
        <w:pStyle w:val="ListParagraph"/>
        <w:numPr>
          <w:ilvl w:val="0"/>
          <w:numId w:val="54"/>
        </w:numPr>
        <w:tabs>
          <w:tab w:val="left" w:pos="752"/>
        </w:tabs>
        <w:spacing w:before="7" w:after="0" w:line="240" w:lineRule="auto"/>
        <w:ind w:left="751" w:right="0" w:hanging="525"/>
        <w:jc w:val="left"/>
        <w:rPr>
          <w:sz w:val="21"/>
        </w:rPr>
      </w:pPr>
      <w:r>
        <w:rPr>
          <w:sz w:val="21"/>
        </w:rPr>
        <w:t>招标工作的实施</w:t>
      </w:r>
    </w:p>
    <w:p>
      <w:pPr>
        <w:pStyle w:val="ListParagraph"/>
        <w:numPr>
          <w:ilvl w:val="0"/>
          <w:numId w:val="56"/>
        </w:numPr>
        <w:tabs>
          <w:tab w:val="left" w:pos="543"/>
        </w:tabs>
        <w:spacing w:before="103" w:after="0" w:line="240" w:lineRule="auto"/>
        <w:ind w:left="542" w:right="0" w:hanging="316"/>
        <w:jc w:val="left"/>
        <w:rPr>
          <w:sz w:val="21"/>
        </w:rPr>
      </w:pPr>
      <w:r>
        <w:rPr>
          <w:sz w:val="21"/>
        </w:rPr>
        <w:t>投标有效期。招标人应当在招标文件中载明投标有效期。投标有效期从提交投标文件的截止之日起算。</w:t>
      </w:r>
    </w:p>
    <w:p>
      <w:pPr>
        <w:pStyle w:val="ListParagraph"/>
        <w:numPr>
          <w:ilvl w:val="0"/>
          <w:numId w:val="56"/>
        </w:numPr>
        <w:tabs>
          <w:tab w:val="left" w:pos="547"/>
        </w:tabs>
        <w:spacing w:before="105" w:after="0" w:line="240" w:lineRule="auto"/>
        <w:ind w:left="546" w:right="0" w:hanging="320"/>
        <w:jc w:val="left"/>
        <w:rPr>
          <w:sz w:val="21"/>
        </w:rPr>
      </w:pPr>
      <w:r>
        <w:rPr>
          <w:sz w:val="21"/>
        </w:rPr>
        <w:t>投标保证金。招标人在招标文件中要求投标人提交投标保证金的，投标保证金不得超过招标项目估算价的</w:t>
      </w:r>
    </w:p>
    <w:p>
      <w:pPr>
        <w:pStyle w:val="BodyText"/>
        <w:spacing w:before="108"/>
      </w:pPr>
      <w:r>
        <w:t>2%。投标保证金有效期应当与投标有效期一致。</w:t>
      </w:r>
    </w:p>
    <w:p>
      <w:pPr>
        <w:pStyle w:val="BodyText"/>
        <w:spacing w:before="103" w:line="336" w:lineRule="auto"/>
        <w:ind w:right="367"/>
      </w:pPr>
      <w:r>
        <w:rPr>
          <w:w w:val="95"/>
        </w:rPr>
        <w:t>依法必须进行招标的项目的境内投标单位，以现金或者支票形式提交的投标保证金应当从其基本账户转出。招</w:t>
      </w:r>
      <w:r>
        <w:rPr>
          <w:spacing w:val="206"/>
        </w:rPr>
        <w:t xml:space="preserve"> </w:t>
      </w:r>
      <w:r>
        <w:t>标人不得挪用投标保证金。</w:t>
      </w:r>
    </w:p>
    <w:p>
      <w:pPr>
        <w:pStyle w:val="ListParagraph"/>
        <w:numPr>
          <w:ilvl w:val="0"/>
          <w:numId w:val="54"/>
        </w:numPr>
        <w:tabs>
          <w:tab w:val="left" w:pos="752"/>
        </w:tabs>
        <w:spacing w:before="0" w:after="0" w:line="264" w:lineRule="exact"/>
        <w:ind w:left="751" w:right="0" w:hanging="525"/>
        <w:jc w:val="left"/>
        <w:rPr>
          <w:sz w:val="21"/>
        </w:rPr>
      </w:pPr>
      <w:r>
        <w:rPr>
          <w:w w:val="95"/>
          <w:sz w:val="21"/>
        </w:rPr>
        <w:t>中标</w:t>
      </w:r>
    </w:p>
    <w:p>
      <w:pPr>
        <w:pStyle w:val="ListParagraph"/>
        <w:numPr>
          <w:ilvl w:val="0"/>
          <w:numId w:val="57"/>
        </w:numPr>
        <w:tabs>
          <w:tab w:val="left" w:pos="543"/>
        </w:tabs>
        <w:spacing w:before="105" w:after="0" w:line="336" w:lineRule="auto"/>
        <w:ind w:left="227" w:right="367" w:firstLine="0"/>
        <w:jc w:val="left"/>
        <w:rPr>
          <w:sz w:val="21"/>
        </w:rPr>
      </w:pPr>
      <w:r>
        <w:rPr>
          <w:w w:val="95"/>
          <w:sz w:val="21"/>
        </w:rPr>
        <w:t>投标保证金的退还。招标人最迟应当在书面合同签订后</w:t>
      </w:r>
      <w:r>
        <w:rPr>
          <w:spacing w:val="140"/>
          <w:sz w:val="21"/>
        </w:rPr>
        <w:t xml:space="preserve"> </w:t>
      </w:r>
      <w:r>
        <w:rPr>
          <w:w w:val="95"/>
          <w:sz w:val="21"/>
        </w:rPr>
        <w:t>5</w:t>
      </w:r>
      <w:r>
        <w:rPr>
          <w:spacing w:val="143"/>
          <w:sz w:val="21"/>
        </w:rPr>
        <w:t xml:space="preserve"> </w:t>
      </w:r>
      <w:r>
        <w:rPr>
          <w:w w:val="95"/>
          <w:sz w:val="21"/>
        </w:rPr>
        <w:t>日内向中标人和未中标的投标人退还投标保证金</w:t>
      </w:r>
      <w:r>
        <w:rPr>
          <w:sz w:val="21"/>
        </w:rPr>
        <w:t>及银行同期存款利息。</w:t>
      </w:r>
    </w:p>
    <w:p>
      <w:pPr>
        <w:pStyle w:val="ListParagraph"/>
        <w:numPr>
          <w:ilvl w:val="0"/>
          <w:numId w:val="57"/>
        </w:numPr>
        <w:tabs>
          <w:tab w:val="left" w:pos="543"/>
        </w:tabs>
        <w:spacing w:before="0" w:after="0" w:line="265" w:lineRule="exact"/>
        <w:ind w:left="542" w:right="0" w:hanging="316"/>
        <w:jc w:val="left"/>
        <w:rPr>
          <w:sz w:val="21"/>
        </w:rPr>
      </w:pPr>
      <w:r>
        <w:rPr>
          <w:w w:val="95"/>
          <w:sz w:val="21"/>
        </w:rPr>
        <w:t>履约保证金的提交。招标文件要求中标人提交履约保证金的，中标人应当按照招标文件的要求提交。履约保</w:t>
      </w:r>
    </w:p>
    <w:p>
      <w:pPr>
        <w:spacing w:after="0" w:line="265" w:lineRule="exact"/>
        <w:jc w:val="left"/>
        <w:rPr>
          <w:sz w:val="21"/>
        </w:rPr>
        <w:sectPr>
          <w:headerReference w:type="default" r:id="rId36"/>
          <w:pgSz w:w="11910" w:h="16840"/>
          <w:pgMar w:top="1180" w:right="540" w:bottom="280" w:left="680" w:header="993" w:footer="0" w:gutter="0"/>
          <w:pgNumType w:start="31"/>
          <w:cols w:space="708"/>
        </w:sectPr>
      </w:pPr>
    </w:p>
    <w:p>
      <w:pPr>
        <w:pStyle w:val="BodyText"/>
        <w:spacing w:before="54"/>
      </w:pPr>
      <w:r>
        <w:rPr>
          <w:spacing w:val="2"/>
          <w:w w:val="95"/>
        </w:rPr>
        <w:t xml:space="preserve">证金不得超过中标合同金额的 </w:t>
      </w:r>
      <w:r>
        <w:rPr>
          <w:w w:val="95"/>
        </w:rPr>
        <w:t>10%。</w:t>
      </w:r>
    </w:p>
    <w:p>
      <w:pPr>
        <w:pStyle w:val="BodyText"/>
        <w:spacing w:before="103"/>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【记忆方法】理解记忆</w:t>
      </w:r>
    </w:p>
    <w:p>
      <w:pPr>
        <w:pStyle w:val="BodyText"/>
        <w:spacing w:before="9"/>
        <w:ind w:left="0"/>
        <w:rPr>
          <w:sz w:val="7"/>
        </w:rPr>
      </w:pPr>
      <w:r>
        <w:pict>
          <v:shape id="docshape72" o:spid="_x0000_s1091" type="#_x0000_t202" style="width:82.8pt;height:19.9pt;margin-top:8.35pt;margin-left:48.3pt;mso-height-relative:page;mso-position-horizontal-relative:page;mso-width-relative:page;mso-wrap-distance-bottom:0;mso-wrap-distance-top:0;position:absolute;z-index:-251587584" coordsize="21600,21600" filled="f" stroked="t" strokecolor="black">
            <v:textbox inset="0,0,0,0">
              <w:txbxContent>
                <w:p>
                  <w:pPr>
                    <w:spacing w:before="3" w:line="306" w:lineRule="exact"/>
                    <w:ind w:left="1" w:right="0" w:firstLine="0"/>
                    <w:jc w:val="left"/>
                    <w:rPr>
                      <w:b/>
                      <w:sz w:val="24"/>
                    </w:rPr>
                  </w:pPr>
                  <w:r>
                    <w:rPr>
                      <w:b/>
                      <w:sz w:val="24"/>
                    </w:rPr>
                    <w:t>精选习题·33</w:t>
                  </w:r>
                </w:p>
              </w:txbxContent>
            </v:textbox>
            <w10:wrap type="topAndBottom"/>
          </v:shape>
        </w:pict>
      </w:r>
    </w:p>
    <w:p>
      <w:pPr>
        <w:pStyle w:val="BodyText"/>
        <w:spacing w:before="7"/>
        <w:ind w:left="0"/>
        <w:rPr>
          <w:sz w:val="7"/>
        </w:rPr>
      </w:pPr>
    </w:p>
    <w:p>
      <w:pPr>
        <w:pStyle w:val="BodyText"/>
        <w:tabs>
          <w:tab w:val="left" w:pos="1487"/>
        </w:tabs>
        <w:spacing w:before="70" w:line="331" w:lineRule="auto"/>
        <w:ind w:right="367"/>
      </w:pPr>
      <w:r>
        <w:rPr>
          <w:w w:val="95"/>
        </w:rPr>
        <w:t>【2020】根据《招标投标法实施条例</w:t>
      </w:r>
      <w:r>
        <w:rPr>
          <w:spacing w:val="-104"/>
          <w:w w:val="95"/>
        </w:rPr>
        <w:t>》</w:t>
      </w:r>
      <w:r>
        <w:rPr>
          <w:w w:val="95"/>
        </w:rPr>
        <w:t>，招标文件要求中标人提交履约保证金的，履约保证金不得超过中标合同</w:t>
      </w:r>
      <w:r>
        <w:rPr>
          <w:spacing w:val="110"/>
        </w:rPr>
        <w:t xml:space="preserve"> </w:t>
      </w:r>
      <w:r>
        <w:t>金额的（</w:t>
      </w:r>
      <w:r>
        <w:tab/>
      </w:r>
      <w:r>
        <w:rPr>
          <w:spacing w:val="-104"/>
        </w:rPr>
        <w:t>）</w:t>
      </w:r>
      <w:r>
        <w:t>。</w:t>
      </w:r>
    </w:p>
    <w:p>
      <w:pPr>
        <w:pStyle w:val="ListParagraph"/>
        <w:numPr>
          <w:ilvl w:val="1"/>
          <w:numId w:val="159"/>
        </w:numPr>
        <w:tabs>
          <w:tab w:val="left" w:pos="859"/>
        </w:tabs>
        <w:spacing w:before="3" w:after="0" w:line="333" w:lineRule="auto"/>
        <w:ind w:left="647" w:right="9512" w:firstLine="0"/>
        <w:jc w:val="left"/>
        <w:rPr>
          <w:sz w:val="21"/>
        </w:rPr>
      </w:pPr>
      <w:r>
        <w:rPr>
          <w:sz w:val="21"/>
        </w:rPr>
        <w:t>2%</w:t>
      </w:r>
      <w:r>
        <w:rPr>
          <w:spacing w:val="1"/>
          <w:sz w:val="21"/>
        </w:rPr>
        <w:t xml:space="preserve"> </w:t>
      </w:r>
      <w:r>
        <w:rPr>
          <w:sz w:val="21"/>
        </w:rPr>
        <w:t>B.5%</w:t>
      </w:r>
      <w:r>
        <w:rPr>
          <w:spacing w:val="1"/>
          <w:sz w:val="21"/>
        </w:rPr>
        <w:t xml:space="preserve"> </w:t>
      </w:r>
      <w:r>
        <w:rPr>
          <w:sz w:val="21"/>
        </w:rPr>
        <w:t>C.10%</w:t>
      </w:r>
      <w:r>
        <w:rPr>
          <w:spacing w:val="-102"/>
          <w:sz w:val="21"/>
        </w:rPr>
        <w:t xml:space="preserve"> </w:t>
      </w:r>
      <w:r>
        <w:rPr>
          <w:sz w:val="21"/>
        </w:rPr>
        <w:t>D.15%</w:t>
      </w:r>
    </w:p>
    <w:p>
      <w:pPr>
        <w:pStyle w:val="BodyText"/>
        <w:spacing w:before="2"/>
      </w:pPr>
      <w:r>
        <w:rPr>
          <w:w w:val="95"/>
        </w:rPr>
        <w:t>【答案】C</w:t>
      </w:r>
    </w:p>
    <w:p>
      <w:pPr>
        <w:pStyle w:val="BodyText"/>
        <w:spacing w:before="105" w:line="333" w:lineRule="auto"/>
        <w:ind w:right="367"/>
      </w:pPr>
      <w:r>
        <w:pict>
          <v:shape id="docshape73" o:spid="_x0000_s1092" type="#_x0000_t202" style="width:82.8pt;height:19.9pt;margin-top:45.75pt;margin-left:48.3pt;mso-height-relative:page;mso-position-horizontal-relative:page;mso-width-relative:page;mso-wrap-distance-bottom:0;mso-wrap-distance-top:0;position:absolute;z-index:-251586560" coordsize="21600,21600" filled="f" stroked="t" strokecolor="black">
            <v:textbox inset="0,0,0,0">
              <w:txbxContent>
                <w:p>
                  <w:pPr>
                    <w:spacing w:before="1"/>
                    <w:ind w:left="1" w:right="0" w:firstLine="0"/>
                    <w:jc w:val="left"/>
                    <w:rPr>
                      <w:b/>
                      <w:sz w:val="24"/>
                    </w:rPr>
                  </w:pPr>
                  <w:r>
                    <w:rPr>
                      <w:b/>
                      <w:sz w:val="24"/>
                    </w:rPr>
                    <w:t>重要考点·34</w:t>
                  </w:r>
                </w:p>
              </w:txbxContent>
            </v:textbox>
            <w10:wrap type="topAndBottom"/>
          </v:shape>
        </w:pict>
      </w:r>
      <w:r>
        <w:rPr>
          <w:w w:val="95"/>
        </w:rPr>
        <w:t>【解析】招标文件要求中标人提交履约保证金的，中标人应当按照招标文件的要求提交。履约保证金不得超过</w:t>
      </w:r>
      <w:r>
        <w:rPr>
          <w:spacing w:val="206"/>
        </w:rPr>
        <w:t xml:space="preserve"> </w:t>
      </w:r>
      <w:r>
        <w:rPr>
          <w:spacing w:val="-7"/>
        </w:rPr>
        <w:t xml:space="preserve">中标合同金额的 </w:t>
      </w:r>
      <w:r>
        <w:t>10%。</w:t>
      </w:r>
    </w:p>
    <w:p>
      <w:pPr>
        <w:pStyle w:val="BodyText"/>
        <w:spacing w:before="5"/>
        <w:ind w:left="0"/>
        <w:rPr>
          <w:sz w:val="7"/>
        </w:rPr>
      </w:pPr>
    </w:p>
    <w:p>
      <w:pPr>
        <w:pStyle w:val="BodyText"/>
        <w:spacing w:before="70" w:line="336" w:lineRule="auto"/>
        <w:ind w:right="7939"/>
      </w:pPr>
      <w:r>
        <w:pict>
          <v:shape id="docshape74" o:spid="_x0000_s1093" type="#_x0000_t202" style="width:426.85pt;height:170.3pt;margin-top:38.4pt;margin-left:39.7pt;mso-height-relative:page;mso-position-horizontal-relative:page;mso-width-relative:page;position:absolute;z-index:25172787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41"/>
                    <w:gridCol w:w="1720"/>
                    <w:gridCol w:w="1915"/>
                    <w:gridCol w:w="1959"/>
                    <w:gridCol w:w="158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4"/>
                    </w:trPr>
                    <w:tc>
                      <w:tcPr>
                        <w:tcW w:w="1341" w:type="dxa"/>
                      </w:tcPr>
                      <w:p>
                        <w:pPr>
                          <w:pStyle w:val="TableParagraph"/>
                          <w:spacing w:before="52"/>
                          <w:ind w:right="241"/>
                          <w:jc w:val="right"/>
                          <w:rPr>
                            <w:sz w:val="21"/>
                          </w:rPr>
                        </w:pPr>
                        <w:r>
                          <w:rPr>
                            <w:sz w:val="21"/>
                          </w:rPr>
                          <w:t>监理人员</w:t>
                        </w:r>
                      </w:p>
                    </w:tc>
                    <w:tc>
                      <w:tcPr>
                        <w:tcW w:w="1720" w:type="dxa"/>
                      </w:tcPr>
                      <w:p>
                        <w:pPr>
                          <w:pStyle w:val="TableParagraph"/>
                          <w:spacing w:before="52"/>
                          <w:ind w:left="99" w:right="95"/>
                          <w:jc w:val="center"/>
                          <w:rPr>
                            <w:sz w:val="21"/>
                          </w:rPr>
                        </w:pPr>
                        <w:r>
                          <w:rPr>
                            <w:sz w:val="21"/>
                          </w:rPr>
                          <w:t>总监理工程师</w:t>
                        </w:r>
                      </w:p>
                    </w:tc>
                    <w:tc>
                      <w:tcPr>
                        <w:tcW w:w="1915" w:type="dxa"/>
                      </w:tcPr>
                      <w:p>
                        <w:pPr>
                          <w:pStyle w:val="TableParagraph"/>
                          <w:spacing w:before="52"/>
                          <w:ind w:left="93" w:right="88"/>
                          <w:jc w:val="center"/>
                          <w:rPr>
                            <w:sz w:val="21"/>
                          </w:rPr>
                        </w:pPr>
                        <w:r>
                          <w:rPr>
                            <w:sz w:val="21"/>
                          </w:rPr>
                          <w:t>总监理工程师代表</w:t>
                        </w:r>
                      </w:p>
                    </w:tc>
                    <w:tc>
                      <w:tcPr>
                        <w:tcW w:w="1959" w:type="dxa"/>
                      </w:tcPr>
                      <w:p>
                        <w:pPr>
                          <w:pStyle w:val="TableParagraph"/>
                          <w:spacing w:before="52"/>
                          <w:ind w:left="117" w:right="110"/>
                          <w:jc w:val="center"/>
                          <w:rPr>
                            <w:sz w:val="21"/>
                          </w:rPr>
                        </w:pPr>
                        <w:r>
                          <w:rPr>
                            <w:sz w:val="21"/>
                          </w:rPr>
                          <w:t>专业监理工程师</w:t>
                        </w:r>
                      </w:p>
                    </w:tc>
                    <w:tc>
                      <w:tcPr>
                        <w:tcW w:w="1587" w:type="dxa"/>
                      </w:tcPr>
                      <w:p>
                        <w:pPr>
                          <w:pStyle w:val="TableParagraph"/>
                          <w:spacing w:before="52"/>
                          <w:ind w:left="140" w:right="131"/>
                          <w:jc w:val="center"/>
                          <w:rPr>
                            <w:sz w:val="21"/>
                          </w:rPr>
                        </w:pPr>
                        <w:r>
                          <w:rPr>
                            <w:sz w:val="21"/>
                          </w:rPr>
                          <w:t>监理员</w:t>
                        </w:r>
                      </w:p>
                    </w:tc>
                  </w:tr>
                  <w:tr>
                    <w:tblPrEx>
                      <w:tblW w:w="0" w:type="auto"/>
                      <w:tblInd w:w="5" w:type="dxa"/>
                      <w:tblLayout w:type="fixed"/>
                      <w:tblCellMar>
                        <w:top w:w="0" w:type="dxa"/>
                        <w:left w:w="0" w:type="dxa"/>
                        <w:bottom w:w="0" w:type="dxa"/>
                        <w:right w:w="0" w:type="dxa"/>
                      </w:tblCellMar>
                    </w:tblPrEx>
                    <w:trPr>
                      <w:trHeight w:val="1122"/>
                    </w:trPr>
                    <w:tc>
                      <w:tcPr>
                        <w:tcW w:w="1341" w:type="dxa"/>
                      </w:tcPr>
                      <w:p>
                        <w:pPr>
                          <w:pStyle w:val="TableParagraph"/>
                          <w:rPr>
                            <w:sz w:val="20"/>
                          </w:rPr>
                        </w:pPr>
                      </w:p>
                      <w:p>
                        <w:pPr>
                          <w:pStyle w:val="TableParagraph"/>
                          <w:spacing w:before="168"/>
                          <w:ind w:left="439" w:right="431"/>
                          <w:jc w:val="center"/>
                          <w:rPr>
                            <w:sz w:val="21"/>
                          </w:rPr>
                        </w:pPr>
                        <w:r>
                          <w:rPr>
                            <w:sz w:val="21"/>
                          </w:rPr>
                          <w:t>授权</w:t>
                        </w:r>
                      </w:p>
                    </w:tc>
                    <w:tc>
                      <w:tcPr>
                        <w:tcW w:w="1720" w:type="dxa"/>
                      </w:tcPr>
                      <w:p>
                        <w:pPr>
                          <w:pStyle w:val="TableParagraph"/>
                          <w:spacing w:before="6"/>
                          <w:rPr>
                            <w:sz w:val="18"/>
                          </w:rPr>
                        </w:pPr>
                      </w:p>
                      <w:p>
                        <w:pPr>
                          <w:pStyle w:val="TableParagraph"/>
                          <w:spacing w:line="333" w:lineRule="auto"/>
                          <w:ind w:left="228" w:right="113" w:hanging="104"/>
                          <w:rPr>
                            <w:sz w:val="21"/>
                          </w:rPr>
                        </w:pPr>
                        <w:r>
                          <w:rPr>
                            <w:spacing w:val="-1"/>
                            <w:sz w:val="21"/>
                          </w:rPr>
                          <w:t>监理单位法定代</w:t>
                        </w:r>
                        <w:r>
                          <w:rPr>
                            <w:sz w:val="21"/>
                          </w:rPr>
                          <w:t>表人书面任命</w:t>
                        </w:r>
                      </w:p>
                    </w:tc>
                    <w:tc>
                      <w:tcPr>
                        <w:tcW w:w="1915" w:type="dxa"/>
                      </w:tcPr>
                      <w:p>
                        <w:pPr>
                          <w:pStyle w:val="TableParagraph"/>
                          <w:spacing w:before="52" w:line="331" w:lineRule="auto"/>
                          <w:ind w:left="116" w:right="108"/>
                          <w:jc w:val="center"/>
                          <w:rPr>
                            <w:sz w:val="21"/>
                          </w:rPr>
                        </w:pPr>
                        <w:r>
                          <w:rPr>
                            <w:spacing w:val="-1"/>
                            <w:sz w:val="21"/>
                          </w:rPr>
                          <w:t>监理单位法定代表人同意，总监理工</w:t>
                        </w:r>
                      </w:p>
                      <w:p>
                        <w:pPr>
                          <w:pStyle w:val="TableParagraph"/>
                          <w:spacing w:before="4"/>
                          <w:ind w:left="95" w:right="87"/>
                          <w:jc w:val="center"/>
                          <w:rPr>
                            <w:sz w:val="21"/>
                          </w:rPr>
                        </w:pPr>
                        <w:r>
                          <w:rPr>
                            <w:sz w:val="21"/>
                          </w:rPr>
                          <w:t>程师书面授权</w:t>
                        </w:r>
                      </w:p>
                    </w:tc>
                    <w:tc>
                      <w:tcPr>
                        <w:tcW w:w="1959" w:type="dxa"/>
                      </w:tcPr>
                      <w:p>
                        <w:pPr>
                          <w:pStyle w:val="TableParagraph"/>
                          <w:rPr>
                            <w:sz w:val="20"/>
                          </w:rPr>
                        </w:pPr>
                      </w:p>
                      <w:p>
                        <w:pPr>
                          <w:pStyle w:val="TableParagraph"/>
                          <w:spacing w:before="168"/>
                          <w:ind w:left="116" w:right="111"/>
                          <w:jc w:val="center"/>
                          <w:rPr>
                            <w:sz w:val="21"/>
                          </w:rPr>
                        </w:pPr>
                        <w:r>
                          <w:rPr>
                            <w:sz w:val="21"/>
                          </w:rPr>
                          <w:t>总监理工程师授权</w:t>
                        </w:r>
                      </w:p>
                    </w:tc>
                    <w:tc>
                      <w:tcPr>
                        <w:tcW w:w="1587" w:type="dxa"/>
                      </w:tcPr>
                      <w:p>
                        <w:pPr>
                          <w:pStyle w:val="TableParagraph"/>
                          <w:rPr>
                            <w:sz w:val="20"/>
                          </w:rPr>
                        </w:pPr>
                      </w:p>
                      <w:p>
                        <w:pPr>
                          <w:pStyle w:val="TableParagraph"/>
                          <w:spacing w:before="168"/>
                          <w:ind w:left="7"/>
                          <w:jc w:val="center"/>
                          <w:rPr>
                            <w:sz w:val="21"/>
                          </w:rPr>
                        </w:pPr>
                        <w:r>
                          <w:rPr>
                            <w:w w:val="99"/>
                            <w:sz w:val="21"/>
                          </w:rPr>
                          <w:t>/</w:t>
                        </w:r>
                      </w:p>
                    </w:tc>
                  </w:tr>
                  <w:tr>
                    <w:tblPrEx>
                      <w:tblW w:w="0" w:type="auto"/>
                      <w:tblInd w:w="5" w:type="dxa"/>
                      <w:tblLayout w:type="fixed"/>
                      <w:tblCellMar>
                        <w:top w:w="0" w:type="dxa"/>
                        <w:left w:w="0" w:type="dxa"/>
                        <w:bottom w:w="0" w:type="dxa"/>
                        <w:right w:w="0" w:type="dxa"/>
                      </w:tblCellMar>
                    </w:tblPrEx>
                    <w:trPr>
                      <w:trHeight w:val="374"/>
                    </w:trPr>
                    <w:tc>
                      <w:tcPr>
                        <w:tcW w:w="1341" w:type="dxa"/>
                        <w:tcBorders>
                          <w:bottom w:val="nil"/>
                        </w:tcBorders>
                      </w:tcPr>
                      <w:p>
                        <w:pPr>
                          <w:pStyle w:val="TableParagraph"/>
                          <w:rPr>
                            <w:rFonts w:ascii="Times New Roman"/>
                            <w:sz w:val="20"/>
                          </w:rPr>
                        </w:pPr>
                      </w:p>
                    </w:tc>
                    <w:tc>
                      <w:tcPr>
                        <w:tcW w:w="1720" w:type="dxa"/>
                        <w:tcBorders>
                          <w:bottom w:val="nil"/>
                        </w:tcBorders>
                      </w:tcPr>
                      <w:p>
                        <w:pPr>
                          <w:pStyle w:val="TableParagraph"/>
                          <w:rPr>
                            <w:rFonts w:ascii="Times New Roman"/>
                            <w:sz w:val="20"/>
                          </w:rPr>
                        </w:pPr>
                      </w:p>
                    </w:tc>
                    <w:tc>
                      <w:tcPr>
                        <w:tcW w:w="1915" w:type="dxa"/>
                        <w:tcBorders>
                          <w:bottom w:val="nil"/>
                        </w:tcBorders>
                      </w:tcPr>
                      <w:p>
                        <w:pPr>
                          <w:pStyle w:val="TableParagraph"/>
                          <w:spacing w:before="52"/>
                          <w:ind w:left="95" w:right="87"/>
                          <w:jc w:val="center"/>
                          <w:rPr>
                            <w:sz w:val="21"/>
                          </w:rPr>
                        </w:pPr>
                        <w:r>
                          <w:rPr>
                            <w:sz w:val="21"/>
                          </w:rPr>
                          <w:t>①工程类执业资格</w:t>
                        </w:r>
                      </w:p>
                    </w:tc>
                    <w:tc>
                      <w:tcPr>
                        <w:tcW w:w="1959" w:type="dxa"/>
                        <w:tcBorders>
                          <w:bottom w:val="nil"/>
                        </w:tcBorders>
                      </w:tcPr>
                      <w:p>
                        <w:pPr>
                          <w:pStyle w:val="TableParagraph"/>
                          <w:spacing w:before="52"/>
                          <w:ind w:left="117" w:right="110"/>
                          <w:jc w:val="center"/>
                          <w:rPr>
                            <w:sz w:val="21"/>
                          </w:rPr>
                        </w:pPr>
                        <w:r>
                          <w:rPr>
                            <w:sz w:val="21"/>
                          </w:rPr>
                          <w:t>①工程类执业资格</w:t>
                        </w:r>
                      </w:p>
                    </w:tc>
                    <w:tc>
                      <w:tcPr>
                        <w:tcW w:w="1587" w:type="dxa"/>
                        <w:tcBorders>
                          <w:bottom w:val="nil"/>
                        </w:tcBorders>
                      </w:tcPr>
                      <w:p>
                        <w:pPr>
                          <w:pStyle w:val="TableParagraph"/>
                          <w:rPr>
                            <w:rFonts w:ascii="Times New Roman"/>
                            <w:sz w:val="20"/>
                          </w:rPr>
                        </w:pPr>
                      </w:p>
                    </w:tc>
                  </w:tr>
                  <w:tr>
                    <w:tblPrEx>
                      <w:tblW w:w="0" w:type="auto"/>
                      <w:tblInd w:w="5" w:type="dxa"/>
                      <w:tblLayout w:type="fixed"/>
                      <w:tblCellMar>
                        <w:top w:w="0" w:type="dxa"/>
                        <w:left w:w="0" w:type="dxa"/>
                        <w:bottom w:w="0" w:type="dxa"/>
                        <w:right w:w="0" w:type="dxa"/>
                      </w:tblCellMar>
                    </w:tblPrEx>
                    <w:trPr>
                      <w:trHeight w:val="374"/>
                    </w:trPr>
                    <w:tc>
                      <w:tcPr>
                        <w:tcW w:w="1341" w:type="dxa"/>
                        <w:tcBorders>
                          <w:top w:val="nil"/>
                          <w:bottom w:val="nil"/>
                        </w:tcBorders>
                      </w:tcPr>
                      <w:p>
                        <w:pPr>
                          <w:pStyle w:val="TableParagraph"/>
                          <w:rPr>
                            <w:rFonts w:ascii="Times New Roman"/>
                            <w:sz w:val="20"/>
                          </w:rPr>
                        </w:pPr>
                      </w:p>
                    </w:tc>
                    <w:tc>
                      <w:tcPr>
                        <w:tcW w:w="1720" w:type="dxa"/>
                        <w:tcBorders>
                          <w:top w:val="nil"/>
                          <w:bottom w:val="nil"/>
                        </w:tcBorders>
                      </w:tcPr>
                      <w:p>
                        <w:pPr>
                          <w:pStyle w:val="TableParagraph"/>
                          <w:rPr>
                            <w:rFonts w:ascii="Times New Roman"/>
                            <w:sz w:val="20"/>
                          </w:rPr>
                        </w:pPr>
                      </w:p>
                    </w:tc>
                    <w:tc>
                      <w:tcPr>
                        <w:tcW w:w="1915" w:type="dxa"/>
                        <w:tcBorders>
                          <w:top w:val="nil"/>
                          <w:bottom w:val="nil"/>
                        </w:tcBorders>
                      </w:tcPr>
                      <w:p>
                        <w:pPr>
                          <w:pStyle w:val="TableParagraph"/>
                          <w:spacing w:before="52"/>
                          <w:ind w:left="93" w:right="88"/>
                          <w:jc w:val="center"/>
                          <w:rPr>
                            <w:sz w:val="21"/>
                          </w:rPr>
                        </w:pPr>
                        <w:r>
                          <w:rPr>
                            <w:sz w:val="21"/>
                          </w:rPr>
                          <w:t>或②中级及以上职</w:t>
                        </w:r>
                      </w:p>
                    </w:tc>
                    <w:tc>
                      <w:tcPr>
                        <w:tcW w:w="1959" w:type="dxa"/>
                        <w:tcBorders>
                          <w:top w:val="nil"/>
                          <w:bottom w:val="nil"/>
                        </w:tcBorders>
                      </w:tcPr>
                      <w:p>
                        <w:pPr>
                          <w:pStyle w:val="TableParagraph"/>
                          <w:spacing w:before="52"/>
                          <w:ind w:left="116" w:right="111"/>
                          <w:jc w:val="center"/>
                          <w:rPr>
                            <w:sz w:val="21"/>
                          </w:rPr>
                        </w:pPr>
                        <w:r>
                          <w:rPr>
                            <w:sz w:val="21"/>
                          </w:rPr>
                          <w:t>或②中级及以上职</w:t>
                        </w:r>
                      </w:p>
                    </w:tc>
                    <w:tc>
                      <w:tcPr>
                        <w:tcW w:w="1587" w:type="dxa"/>
                        <w:tcBorders>
                          <w:top w:val="nil"/>
                          <w:bottom w:val="nil"/>
                        </w:tcBorders>
                      </w:tcPr>
                      <w:p>
                        <w:pPr>
                          <w:pStyle w:val="TableParagraph"/>
                          <w:spacing w:before="52"/>
                          <w:ind w:left="140" w:right="136"/>
                          <w:jc w:val="center"/>
                          <w:rPr>
                            <w:sz w:val="21"/>
                          </w:rPr>
                        </w:pPr>
                        <w:r>
                          <w:rPr>
                            <w:sz w:val="21"/>
                          </w:rPr>
                          <w:t>中专及以上学</w:t>
                        </w:r>
                      </w:p>
                    </w:tc>
                  </w:tr>
                  <w:tr>
                    <w:tblPrEx>
                      <w:tblW w:w="0" w:type="auto"/>
                      <w:tblInd w:w="5" w:type="dxa"/>
                      <w:tblLayout w:type="fixed"/>
                      <w:tblCellMar>
                        <w:top w:w="0" w:type="dxa"/>
                        <w:left w:w="0" w:type="dxa"/>
                        <w:bottom w:w="0" w:type="dxa"/>
                        <w:right w:w="0" w:type="dxa"/>
                      </w:tblCellMar>
                    </w:tblPrEx>
                    <w:trPr>
                      <w:trHeight w:val="374"/>
                    </w:trPr>
                    <w:tc>
                      <w:tcPr>
                        <w:tcW w:w="1341" w:type="dxa"/>
                        <w:tcBorders>
                          <w:top w:val="nil"/>
                          <w:bottom w:val="nil"/>
                        </w:tcBorders>
                      </w:tcPr>
                      <w:p>
                        <w:pPr>
                          <w:pStyle w:val="TableParagraph"/>
                          <w:spacing w:before="52"/>
                          <w:ind w:right="188"/>
                          <w:jc w:val="right"/>
                          <w:rPr>
                            <w:sz w:val="21"/>
                          </w:rPr>
                        </w:pPr>
                        <w:r>
                          <w:rPr>
                            <w:sz w:val="21"/>
                          </w:rPr>
                          <w:t>资格/条件</w:t>
                        </w:r>
                      </w:p>
                    </w:tc>
                    <w:tc>
                      <w:tcPr>
                        <w:tcW w:w="1720" w:type="dxa"/>
                        <w:tcBorders>
                          <w:top w:val="nil"/>
                          <w:bottom w:val="nil"/>
                        </w:tcBorders>
                      </w:tcPr>
                      <w:p>
                        <w:pPr>
                          <w:pStyle w:val="TableParagraph"/>
                          <w:spacing w:before="52"/>
                          <w:ind w:left="104" w:right="95"/>
                          <w:jc w:val="center"/>
                          <w:rPr>
                            <w:sz w:val="21"/>
                          </w:rPr>
                        </w:pPr>
                        <w:r>
                          <w:rPr>
                            <w:sz w:val="21"/>
                          </w:rPr>
                          <w:t>注册监理工程师</w:t>
                        </w:r>
                      </w:p>
                    </w:tc>
                    <w:tc>
                      <w:tcPr>
                        <w:tcW w:w="1915" w:type="dxa"/>
                        <w:tcBorders>
                          <w:top w:val="nil"/>
                          <w:bottom w:val="nil"/>
                        </w:tcBorders>
                      </w:tcPr>
                      <w:p>
                        <w:pPr>
                          <w:pStyle w:val="TableParagraph"/>
                          <w:spacing w:before="52"/>
                          <w:ind w:left="93" w:right="88"/>
                          <w:jc w:val="center"/>
                          <w:rPr>
                            <w:sz w:val="21"/>
                          </w:rPr>
                        </w:pPr>
                        <w:r>
                          <w:rPr>
                            <w:w w:val="95"/>
                            <w:sz w:val="21"/>
                          </w:rPr>
                          <w:t>称、3</w:t>
                        </w:r>
                        <w:r>
                          <w:rPr>
                            <w:spacing w:val="-5"/>
                            <w:w w:val="95"/>
                            <w:sz w:val="21"/>
                          </w:rPr>
                          <w:t xml:space="preserve"> 年及以上工</w:t>
                        </w:r>
                      </w:p>
                    </w:tc>
                    <w:tc>
                      <w:tcPr>
                        <w:tcW w:w="1959" w:type="dxa"/>
                        <w:tcBorders>
                          <w:top w:val="nil"/>
                          <w:bottom w:val="nil"/>
                        </w:tcBorders>
                      </w:tcPr>
                      <w:p>
                        <w:pPr>
                          <w:pStyle w:val="TableParagraph"/>
                          <w:spacing w:before="52"/>
                          <w:ind w:left="116" w:right="111"/>
                          <w:jc w:val="center"/>
                          <w:rPr>
                            <w:sz w:val="21"/>
                          </w:rPr>
                        </w:pPr>
                        <w:r>
                          <w:rPr>
                            <w:spacing w:val="-47"/>
                            <w:w w:val="95"/>
                            <w:sz w:val="21"/>
                          </w:rPr>
                          <w:t>称、</w:t>
                        </w:r>
                        <w:r>
                          <w:rPr>
                            <w:w w:val="95"/>
                            <w:sz w:val="21"/>
                          </w:rPr>
                          <w:t>2</w:t>
                        </w:r>
                        <w:r>
                          <w:rPr>
                            <w:spacing w:val="-4"/>
                            <w:w w:val="95"/>
                            <w:sz w:val="21"/>
                          </w:rPr>
                          <w:t xml:space="preserve"> 年及以上工程</w:t>
                        </w:r>
                      </w:p>
                    </w:tc>
                    <w:tc>
                      <w:tcPr>
                        <w:tcW w:w="1587" w:type="dxa"/>
                        <w:tcBorders>
                          <w:top w:val="nil"/>
                          <w:bottom w:val="nil"/>
                        </w:tcBorders>
                      </w:tcPr>
                      <w:p>
                        <w:pPr>
                          <w:pStyle w:val="TableParagraph"/>
                          <w:spacing w:before="52"/>
                          <w:ind w:left="140" w:right="136"/>
                          <w:jc w:val="center"/>
                          <w:rPr>
                            <w:sz w:val="21"/>
                          </w:rPr>
                        </w:pPr>
                        <w:r>
                          <w:rPr>
                            <w:sz w:val="21"/>
                          </w:rPr>
                          <w:t>历并经过监理</w:t>
                        </w:r>
                      </w:p>
                    </w:tc>
                  </w:tr>
                  <w:tr>
                    <w:tblPrEx>
                      <w:tblW w:w="0" w:type="auto"/>
                      <w:tblInd w:w="5" w:type="dxa"/>
                      <w:tblLayout w:type="fixed"/>
                      <w:tblCellMar>
                        <w:top w:w="0" w:type="dxa"/>
                        <w:left w:w="0" w:type="dxa"/>
                        <w:bottom w:w="0" w:type="dxa"/>
                        <w:right w:w="0" w:type="dxa"/>
                      </w:tblCellMar>
                    </w:tblPrEx>
                    <w:trPr>
                      <w:trHeight w:val="374"/>
                    </w:trPr>
                    <w:tc>
                      <w:tcPr>
                        <w:tcW w:w="1341" w:type="dxa"/>
                        <w:tcBorders>
                          <w:top w:val="nil"/>
                          <w:bottom w:val="nil"/>
                        </w:tcBorders>
                      </w:tcPr>
                      <w:p>
                        <w:pPr>
                          <w:pStyle w:val="TableParagraph"/>
                          <w:rPr>
                            <w:rFonts w:ascii="Times New Roman"/>
                            <w:sz w:val="20"/>
                          </w:rPr>
                        </w:pPr>
                      </w:p>
                    </w:tc>
                    <w:tc>
                      <w:tcPr>
                        <w:tcW w:w="1720" w:type="dxa"/>
                        <w:tcBorders>
                          <w:top w:val="nil"/>
                          <w:bottom w:val="nil"/>
                        </w:tcBorders>
                      </w:tcPr>
                      <w:p>
                        <w:pPr>
                          <w:pStyle w:val="TableParagraph"/>
                          <w:rPr>
                            <w:rFonts w:ascii="Times New Roman"/>
                            <w:sz w:val="20"/>
                          </w:rPr>
                        </w:pPr>
                      </w:p>
                    </w:tc>
                    <w:tc>
                      <w:tcPr>
                        <w:tcW w:w="1915" w:type="dxa"/>
                        <w:tcBorders>
                          <w:top w:val="nil"/>
                          <w:bottom w:val="nil"/>
                        </w:tcBorders>
                      </w:tcPr>
                      <w:p>
                        <w:pPr>
                          <w:pStyle w:val="TableParagraph"/>
                          <w:spacing w:before="52"/>
                          <w:ind w:left="93" w:right="88"/>
                          <w:jc w:val="center"/>
                          <w:rPr>
                            <w:sz w:val="21"/>
                          </w:rPr>
                        </w:pPr>
                        <w:r>
                          <w:rPr>
                            <w:sz w:val="21"/>
                          </w:rPr>
                          <w:t>程实践经验并经监</w:t>
                        </w:r>
                      </w:p>
                    </w:tc>
                    <w:tc>
                      <w:tcPr>
                        <w:tcW w:w="1959" w:type="dxa"/>
                        <w:tcBorders>
                          <w:top w:val="nil"/>
                          <w:bottom w:val="nil"/>
                        </w:tcBorders>
                      </w:tcPr>
                      <w:p>
                        <w:pPr>
                          <w:pStyle w:val="TableParagraph"/>
                          <w:spacing w:before="52"/>
                          <w:ind w:left="116" w:right="111"/>
                          <w:jc w:val="center"/>
                          <w:rPr>
                            <w:sz w:val="21"/>
                          </w:rPr>
                        </w:pPr>
                        <w:r>
                          <w:rPr>
                            <w:sz w:val="21"/>
                          </w:rPr>
                          <w:t>实践经验并经监理</w:t>
                        </w:r>
                      </w:p>
                    </w:tc>
                    <w:tc>
                      <w:tcPr>
                        <w:tcW w:w="1587" w:type="dxa"/>
                        <w:tcBorders>
                          <w:top w:val="nil"/>
                          <w:bottom w:val="nil"/>
                        </w:tcBorders>
                      </w:tcPr>
                      <w:p>
                        <w:pPr>
                          <w:pStyle w:val="TableParagraph"/>
                          <w:spacing w:before="52"/>
                          <w:ind w:left="140" w:right="134"/>
                          <w:jc w:val="center"/>
                          <w:rPr>
                            <w:sz w:val="21"/>
                          </w:rPr>
                        </w:pPr>
                        <w:r>
                          <w:rPr>
                            <w:sz w:val="21"/>
                          </w:rPr>
                          <w:t>业务培训</w:t>
                        </w:r>
                      </w:p>
                    </w:tc>
                  </w:tr>
                  <w:tr>
                    <w:tblPrEx>
                      <w:tblW w:w="0" w:type="auto"/>
                      <w:tblInd w:w="5" w:type="dxa"/>
                      <w:tblLayout w:type="fixed"/>
                      <w:tblCellMar>
                        <w:top w:w="0" w:type="dxa"/>
                        <w:left w:w="0" w:type="dxa"/>
                        <w:bottom w:w="0" w:type="dxa"/>
                        <w:right w:w="0" w:type="dxa"/>
                      </w:tblCellMar>
                    </w:tblPrEx>
                    <w:trPr>
                      <w:trHeight w:val="374"/>
                    </w:trPr>
                    <w:tc>
                      <w:tcPr>
                        <w:tcW w:w="1341" w:type="dxa"/>
                        <w:tcBorders>
                          <w:top w:val="nil"/>
                        </w:tcBorders>
                      </w:tcPr>
                      <w:p>
                        <w:pPr>
                          <w:pStyle w:val="TableParagraph"/>
                          <w:rPr>
                            <w:rFonts w:ascii="Times New Roman"/>
                            <w:sz w:val="20"/>
                          </w:rPr>
                        </w:pPr>
                      </w:p>
                    </w:tc>
                    <w:tc>
                      <w:tcPr>
                        <w:tcW w:w="1720" w:type="dxa"/>
                        <w:tcBorders>
                          <w:top w:val="nil"/>
                        </w:tcBorders>
                      </w:tcPr>
                      <w:p>
                        <w:pPr>
                          <w:pStyle w:val="TableParagraph"/>
                          <w:rPr>
                            <w:rFonts w:ascii="Times New Roman"/>
                            <w:sz w:val="20"/>
                          </w:rPr>
                        </w:pPr>
                      </w:p>
                    </w:tc>
                    <w:tc>
                      <w:tcPr>
                        <w:tcW w:w="1915" w:type="dxa"/>
                        <w:tcBorders>
                          <w:top w:val="nil"/>
                        </w:tcBorders>
                      </w:tcPr>
                      <w:p>
                        <w:pPr>
                          <w:pStyle w:val="TableParagraph"/>
                          <w:spacing w:before="52"/>
                          <w:ind w:left="93" w:right="88"/>
                          <w:jc w:val="center"/>
                          <w:rPr>
                            <w:sz w:val="21"/>
                          </w:rPr>
                        </w:pPr>
                        <w:r>
                          <w:rPr>
                            <w:sz w:val="21"/>
                          </w:rPr>
                          <w:t>理业务培训</w:t>
                        </w:r>
                      </w:p>
                    </w:tc>
                    <w:tc>
                      <w:tcPr>
                        <w:tcW w:w="1959" w:type="dxa"/>
                        <w:tcBorders>
                          <w:top w:val="nil"/>
                        </w:tcBorders>
                      </w:tcPr>
                      <w:p>
                        <w:pPr>
                          <w:pStyle w:val="TableParagraph"/>
                          <w:spacing w:before="52"/>
                          <w:ind w:left="116" w:right="111"/>
                          <w:jc w:val="center"/>
                          <w:rPr>
                            <w:sz w:val="21"/>
                          </w:rPr>
                        </w:pPr>
                        <w:r>
                          <w:rPr>
                            <w:sz w:val="21"/>
                          </w:rPr>
                          <w:t>业务培训</w:t>
                        </w:r>
                      </w:p>
                    </w:tc>
                    <w:tc>
                      <w:tcPr>
                        <w:tcW w:w="1587" w:type="dxa"/>
                        <w:tcBorders>
                          <w:top w:val="nil"/>
                        </w:tcBorders>
                      </w:tcPr>
                      <w:p>
                        <w:pPr>
                          <w:pStyle w:val="TableParagraph"/>
                          <w:rPr>
                            <w:rFonts w:ascii="Times New Roman"/>
                            <w:sz w:val="20"/>
                          </w:rPr>
                        </w:pPr>
                      </w:p>
                    </w:tc>
                  </w:tr>
                </w:tbl>
                <w:p>
                  <w:pPr>
                    <w:pStyle w:val="BodyText"/>
                    <w:ind w:left="0"/>
                  </w:pPr>
                </w:p>
              </w:txbxContent>
            </v:textbox>
          </v:shape>
        </w:pict>
      </w:r>
      <w:r>
        <w:rPr>
          <w:spacing w:val="-1"/>
        </w:rPr>
        <w:t>一、项目监理机构及其设施</w:t>
      </w:r>
      <w:r>
        <w:t>1.项目监理机构的人员</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25"/>
        </w:rPr>
      </w:pPr>
    </w:p>
    <w:p>
      <w:pPr>
        <w:pStyle w:val="ListParagraph"/>
        <w:numPr>
          <w:ilvl w:val="0"/>
          <w:numId w:val="53"/>
        </w:numPr>
        <w:tabs>
          <w:tab w:val="left" w:pos="439"/>
        </w:tabs>
        <w:spacing w:before="0" w:after="0" w:line="240" w:lineRule="auto"/>
        <w:ind w:left="438" w:right="0" w:hanging="212"/>
        <w:jc w:val="left"/>
        <w:rPr>
          <w:sz w:val="21"/>
        </w:rPr>
      </w:pPr>
      <w:r>
        <w:rPr>
          <w:sz w:val="21"/>
        </w:rPr>
        <w:t>监理设施</w:t>
      </w:r>
    </w:p>
    <w:p>
      <w:pPr>
        <w:pStyle w:val="ListParagraph"/>
        <w:numPr>
          <w:ilvl w:val="0"/>
          <w:numId w:val="58"/>
        </w:numPr>
        <w:tabs>
          <w:tab w:val="left" w:pos="752"/>
        </w:tabs>
        <w:spacing w:before="106" w:after="0" w:line="240" w:lineRule="auto"/>
        <w:ind w:left="751" w:right="0" w:hanging="525"/>
        <w:jc w:val="left"/>
        <w:rPr>
          <w:sz w:val="21"/>
        </w:rPr>
      </w:pPr>
      <w:r>
        <w:rPr>
          <w:sz w:val="21"/>
        </w:rPr>
        <w:t>建设单位应按照建设工程监理合同的约定，提供监理工作需要的办公、交通、通信、生活等设施。</w:t>
      </w:r>
    </w:p>
    <w:p>
      <w:pPr>
        <w:pStyle w:val="ListParagraph"/>
        <w:numPr>
          <w:ilvl w:val="0"/>
          <w:numId w:val="58"/>
        </w:numPr>
        <w:tabs>
          <w:tab w:val="left" w:pos="752"/>
        </w:tabs>
        <w:spacing w:before="105" w:after="0" w:line="240" w:lineRule="auto"/>
        <w:ind w:left="751" w:right="0" w:hanging="525"/>
        <w:jc w:val="left"/>
        <w:rPr>
          <w:sz w:val="21"/>
        </w:rPr>
      </w:pPr>
      <w:r>
        <w:rPr>
          <w:spacing w:val="-5"/>
          <w:w w:val="95"/>
          <w:sz w:val="21"/>
        </w:rPr>
        <w:t>项目监理机构宜妥善使用和保管建设单位提供的设施，并应按建设工程监理合同约定的时间移交建设单位。</w:t>
      </w:r>
    </w:p>
    <w:p>
      <w:pPr>
        <w:pStyle w:val="ListParagraph"/>
        <w:numPr>
          <w:ilvl w:val="0"/>
          <w:numId w:val="58"/>
        </w:numPr>
        <w:tabs>
          <w:tab w:val="left" w:pos="752"/>
        </w:tabs>
        <w:spacing w:before="105" w:after="0" w:line="240" w:lineRule="auto"/>
        <w:ind w:left="751" w:right="0" w:hanging="525"/>
        <w:jc w:val="left"/>
        <w:rPr>
          <w:sz w:val="21"/>
        </w:rPr>
      </w:pPr>
      <w:r>
        <w:rPr>
          <w:sz w:val="21"/>
        </w:rPr>
        <w:t>工程监理单位宜按建设工程监理合同约定，配备满足监理工作需要的检测设备和工器具。</w:t>
      </w:r>
    </w:p>
    <w:p>
      <w:pPr>
        <w:pStyle w:val="BodyText"/>
        <w:spacing w:before="106"/>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【记忆方法】对比记忆</w:t>
      </w:r>
    </w:p>
    <w:p>
      <w:pPr>
        <w:pStyle w:val="BodyText"/>
        <w:spacing w:before="7"/>
        <w:ind w:left="0"/>
        <w:rPr>
          <w:sz w:val="7"/>
        </w:rPr>
      </w:pPr>
      <w:r>
        <w:pict>
          <v:shape id="docshape75" o:spid="_x0000_s1094" type="#_x0000_t202" style="width:82.8pt;height:19.95pt;margin-top:8.3pt;margin-left:48.3pt;mso-height-relative:page;mso-position-horizontal-relative:page;mso-width-relative:page;mso-wrap-distance-bottom:0;mso-wrap-distance-top:0;position:absolute;z-index:-251585536" coordsize="21600,21600" filled="f" stroked="t" strokecolor="black">
            <v:textbox inset="0,0,0,0">
              <w:txbxContent>
                <w:p>
                  <w:pPr>
                    <w:spacing w:before="1"/>
                    <w:ind w:left="1" w:right="0" w:firstLine="0"/>
                    <w:jc w:val="left"/>
                    <w:rPr>
                      <w:b/>
                      <w:sz w:val="24"/>
                    </w:rPr>
                  </w:pPr>
                  <w:r>
                    <w:rPr>
                      <w:b/>
                      <w:sz w:val="24"/>
                    </w:rPr>
                    <w:t>精选习题·34</w:t>
                  </w:r>
                </w:p>
              </w:txbxContent>
            </v:textbox>
            <w10:wrap type="topAndBottom"/>
          </v:shape>
        </w:pict>
      </w:r>
    </w:p>
    <w:p>
      <w:pPr>
        <w:pStyle w:val="BodyText"/>
        <w:spacing w:before="5"/>
        <w:ind w:left="0"/>
        <w:rPr>
          <w:sz w:val="7"/>
        </w:rPr>
      </w:pPr>
    </w:p>
    <w:p>
      <w:pPr>
        <w:pStyle w:val="BodyText"/>
        <w:tabs>
          <w:tab w:val="left" w:pos="7681"/>
        </w:tabs>
        <w:spacing w:before="69" w:line="333" w:lineRule="auto"/>
        <w:ind w:left="647" w:right="2687" w:hanging="420"/>
      </w:pPr>
      <w:r>
        <w:t>【2022】根据《建设工程监理规范</w:t>
      </w:r>
      <w:r>
        <w:rPr>
          <w:spacing w:val="-104"/>
        </w:rPr>
        <w:t>》</w:t>
      </w:r>
      <w:r>
        <w:t>，关于工程监理人员的说法，正确的有（</w:t>
      </w:r>
      <w:r>
        <w:tab/>
      </w:r>
      <w:r>
        <w:rPr>
          <w:spacing w:val="-104"/>
        </w:rPr>
        <w:t>）</w:t>
      </w:r>
      <w:r>
        <w:rPr>
          <w:spacing w:val="-2"/>
        </w:rPr>
        <w:t>。</w:t>
      </w:r>
      <w:r>
        <w:t>A.总监理工程师应由注册监理工程师担任</w:t>
      </w:r>
    </w:p>
    <w:p>
      <w:pPr>
        <w:pStyle w:val="ListParagraph"/>
        <w:numPr>
          <w:ilvl w:val="1"/>
          <w:numId w:val="159"/>
        </w:numPr>
        <w:tabs>
          <w:tab w:val="left" w:pos="859"/>
        </w:tabs>
        <w:spacing w:before="1" w:after="0" w:line="240" w:lineRule="auto"/>
        <w:ind w:left="858" w:right="0" w:hanging="212"/>
        <w:jc w:val="left"/>
        <w:rPr>
          <w:sz w:val="21"/>
        </w:rPr>
      </w:pPr>
      <w:r>
        <w:rPr>
          <w:sz w:val="21"/>
        </w:rPr>
        <w:t>总监理工程师应由工程监理单位法定代表人书面任命</w:t>
      </w:r>
    </w:p>
    <w:p>
      <w:pPr>
        <w:pStyle w:val="ListParagraph"/>
        <w:numPr>
          <w:ilvl w:val="1"/>
          <w:numId w:val="159"/>
        </w:numPr>
        <w:tabs>
          <w:tab w:val="left" w:pos="859"/>
        </w:tabs>
        <w:spacing w:before="106" w:after="0" w:line="240" w:lineRule="auto"/>
        <w:ind w:left="858" w:right="0" w:hanging="212"/>
        <w:jc w:val="left"/>
        <w:rPr>
          <w:sz w:val="21"/>
        </w:rPr>
      </w:pPr>
      <w:r>
        <w:rPr>
          <w:w w:val="95"/>
          <w:sz w:val="21"/>
        </w:rPr>
        <w:t>总监理工程师代表可由具有中级专业技术职称、3</w:t>
      </w:r>
      <w:r>
        <w:rPr>
          <w:spacing w:val="108"/>
          <w:sz w:val="21"/>
        </w:rPr>
        <w:t xml:space="preserve">  </w:t>
      </w:r>
      <w:r>
        <w:rPr>
          <w:w w:val="95"/>
          <w:sz w:val="21"/>
        </w:rPr>
        <w:t>年及以上工程实践经验并经监理业务培训的人员担任</w:t>
      </w:r>
    </w:p>
    <w:p>
      <w:pPr>
        <w:spacing w:after="0" w:line="240" w:lineRule="auto"/>
        <w:jc w:val="left"/>
        <w:rPr>
          <w:sz w:val="21"/>
        </w:rPr>
        <w:sectPr>
          <w:headerReference w:type="default" r:id="rId37"/>
          <w:pgSz w:w="11910" w:h="16840"/>
          <w:pgMar w:top="1180" w:right="540" w:bottom="280" w:left="680" w:header="993" w:footer="0" w:gutter="0"/>
          <w:pgNumType w:start="32"/>
          <w:cols w:space="708"/>
        </w:sectPr>
      </w:pPr>
    </w:p>
    <w:p>
      <w:pPr>
        <w:pStyle w:val="ListParagraph"/>
        <w:numPr>
          <w:ilvl w:val="1"/>
          <w:numId w:val="57"/>
        </w:numPr>
        <w:tabs>
          <w:tab w:val="left" w:pos="859"/>
        </w:tabs>
        <w:spacing w:before="54" w:after="0" w:line="331" w:lineRule="auto"/>
        <w:ind w:left="647" w:right="2320" w:firstLine="0"/>
        <w:jc w:val="left"/>
        <w:rPr>
          <w:sz w:val="21"/>
        </w:rPr>
      </w:pPr>
      <w:r>
        <w:rPr>
          <w:w w:val="95"/>
          <w:sz w:val="21"/>
        </w:rPr>
        <w:t>专业监理工程师可由具有中级专业技术职称、2</w:t>
      </w:r>
      <w:r>
        <w:rPr>
          <w:spacing w:val="196"/>
          <w:sz w:val="21"/>
        </w:rPr>
        <w:t xml:space="preserve"> </w:t>
      </w:r>
      <w:r>
        <w:rPr>
          <w:w w:val="95"/>
          <w:sz w:val="21"/>
        </w:rPr>
        <w:t>年及以上工程实践经验的人员担任</w:t>
      </w:r>
      <w:r>
        <w:rPr>
          <w:sz w:val="21"/>
        </w:rPr>
        <w:t>E.监理员可由其具有初级专业技术职称并经监理业务培训的人员担任</w:t>
      </w:r>
    </w:p>
    <w:p>
      <w:pPr>
        <w:pStyle w:val="BodyText"/>
        <w:spacing w:before="4"/>
      </w:pPr>
      <w:r>
        <w:t>【答案】ABC</w:t>
      </w:r>
    </w:p>
    <w:p>
      <w:pPr>
        <w:pStyle w:val="BodyText"/>
        <w:spacing w:before="108" w:line="333" w:lineRule="auto"/>
        <w:ind w:right="367"/>
        <w:jc w:val="both"/>
      </w:pPr>
      <w:r>
        <w:pict>
          <v:shape id="docshape76" o:spid="_x0000_s1095" type="#_x0000_t202" style="width:82.8pt;height:19.9pt;margin-top:83.2pt;margin-left:48.3pt;mso-height-relative:page;mso-position-horizontal-relative:page;mso-width-relative:page;mso-wrap-distance-bottom:0;mso-wrap-distance-top:0;position:absolute;z-index:-251583488" coordsize="21600,21600" filled="f" stroked="t" strokecolor="black">
            <v:textbox inset="0,0,0,0">
              <w:txbxContent>
                <w:p>
                  <w:pPr>
                    <w:spacing w:before="1"/>
                    <w:ind w:left="1" w:right="0" w:firstLine="0"/>
                    <w:jc w:val="left"/>
                    <w:rPr>
                      <w:b/>
                      <w:sz w:val="24"/>
                    </w:rPr>
                  </w:pPr>
                  <w:r>
                    <w:rPr>
                      <w:b/>
                      <w:sz w:val="24"/>
                    </w:rPr>
                    <w:t>重要考点·35</w:t>
                  </w:r>
                </w:p>
              </w:txbxContent>
            </v:textbox>
            <w10:wrap type="topAndBottom"/>
          </v:shape>
        </w:pict>
      </w:r>
      <w:r>
        <w:rPr>
          <w:w w:val="95"/>
        </w:rPr>
        <w:t>【解析】选项</w:t>
      </w:r>
      <w:r>
        <w:rPr>
          <w:spacing w:val="138"/>
        </w:rPr>
        <w:t xml:space="preserve"> </w:t>
      </w:r>
      <w:r>
        <w:rPr>
          <w:w w:val="95"/>
        </w:rPr>
        <w:t>D</w:t>
      </w:r>
      <w:r>
        <w:rPr>
          <w:spacing w:val="143"/>
        </w:rPr>
        <w:t xml:space="preserve"> </w:t>
      </w:r>
      <w:r>
        <w:rPr>
          <w:w w:val="95"/>
        </w:rPr>
        <w:t>错误，专业监理工程师可以由具有工程类注册执业资格的人员（如：注册监理工程师、注册造价工程师、注册建造师、注册工程师、注册建筑师等）担任，也可由具有中级及以上专业技术职称、2</w:t>
      </w:r>
      <w:r>
        <w:rPr>
          <w:spacing w:val="134"/>
        </w:rPr>
        <w:t xml:space="preserve">  </w:t>
      </w:r>
      <w:r>
        <w:rPr>
          <w:w w:val="95"/>
        </w:rPr>
        <w:t>年及以上工程实践经验并经监理业务培训的人员担任。选项</w:t>
      </w:r>
      <w:r>
        <w:rPr>
          <w:spacing w:val="152"/>
        </w:rPr>
        <w:t xml:space="preserve"> </w:t>
      </w:r>
      <w:r>
        <w:rPr>
          <w:w w:val="95"/>
        </w:rPr>
        <w:t>E</w:t>
      </w:r>
      <w:r>
        <w:rPr>
          <w:spacing w:val="133"/>
        </w:rPr>
        <w:t xml:space="preserve"> </w:t>
      </w:r>
      <w:r>
        <w:rPr>
          <w:w w:val="95"/>
        </w:rPr>
        <w:t>错误，监理员需要有中专及以上学历，并经过监理业务</w:t>
      </w:r>
      <w:r>
        <w:t>培训。</w:t>
      </w:r>
    </w:p>
    <w:p>
      <w:pPr>
        <w:pStyle w:val="BodyText"/>
        <w:spacing w:before="5"/>
        <w:ind w:left="0"/>
        <w:rPr>
          <w:sz w:val="7"/>
        </w:rPr>
      </w:pPr>
    </w:p>
    <w:p>
      <w:pPr>
        <w:pStyle w:val="BodyText"/>
        <w:spacing w:before="70" w:line="336" w:lineRule="auto"/>
        <w:ind w:right="7939"/>
      </w:pPr>
      <w:r>
        <w:pict>
          <v:shape id="docshape77" o:spid="_x0000_s1096" type="#_x0000_t202" style="width:426.85pt;height:153.15pt;margin-top:38.4pt;margin-left:39.7pt;mso-height-relative:page;mso-position-horizontal-relative:page;mso-width-relative:page;position:absolute;z-index:25173196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553"/>
                    <w:gridCol w:w="2682"/>
                    <w:gridCol w:w="428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4"/>
                    </w:trPr>
                    <w:tc>
                      <w:tcPr>
                        <w:tcW w:w="1553" w:type="dxa"/>
                      </w:tcPr>
                      <w:p>
                        <w:pPr>
                          <w:pStyle w:val="TableParagraph"/>
                          <w:spacing w:before="52"/>
                          <w:ind w:left="107"/>
                          <w:rPr>
                            <w:sz w:val="21"/>
                          </w:rPr>
                        </w:pPr>
                        <w:r>
                          <w:rPr>
                            <w:sz w:val="21"/>
                          </w:rPr>
                          <w:t>企业</w:t>
                        </w:r>
                      </w:p>
                    </w:tc>
                    <w:tc>
                      <w:tcPr>
                        <w:tcW w:w="2682" w:type="dxa"/>
                      </w:tcPr>
                      <w:p>
                        <w:pPr>
                          <w:pStyle w:val="TableParagraph"/>
                          <w:spacing w:before="52"/>
                          <w:ind w:left="107"/>
                          <w:rPr>
                            <w:sz w:val="21"/>
                          </w:rPr>
                        </w:pPr>
                        <w:r>
                          <w:rPr>
                            <w:sz w:val="21"/>
                          </w:rPr>
                          <w:t>有限责任公司</w:t>
                        </w:r>
                      </w:p>
                    </w:tc>
                    <w:tc>
                      <w:tcPr>
                        <w:tcW w:w="4287" w:type="dxa"/>
                      </w:tcPr>
                      <w:p>
                        <w:pPr>
                          <w:pStyle w:val="TableParagraph"/>
                          <w:spacing w:before="52"/>
                          <w:ind w:left="106"/>
                          <w:rPr>
                            <w:sz w:val="21"/>
                          </w:rPr>
                        </w:pPr>
                        <w:r>
                          <w:rPr>
                            <w:sz w:val="21"/>
                          </w:rPr>
                          <w:t>股份有限公司</w:t>
                        </w:r>
                      </w:p>
                    </w:tc>
                  </w:tr>
                  <w:tr>
                    <w:tblPrEx>
                      <w:tblW w:w="0" w:type="auto"/>
                      <w:tblInd w:w="5" w:type="dxa"/>
                      <w:tblLayout w:type="fixed"/>
                      <w:tblCellMar>
                        <w:top w:w="0" w:type="dxa"/>
                        <w:left w:w="0" w:type="dxa"/>
                        <w:bottom w:w="0" w:type="dxa"/>
                        <w:right w:w="0" w:type="dxa"/>
                      </w:tblCellMar>
                    </w:tblPrEx>
                    <w:trPr>
                      <w:trHeight w:val="749"/>
                    </w:trPr>
                    <w:tc>
                      <w:tcPr>
                        <w:tcW w:w="1553" w:type="dxa"/>
                      </w:tcPr>
                      <w:p>
                        <w:pPr>
                          <w:pStyle w:val="TableParagraph"/>
                          <w:spacing w:before="52"/>
                          <w:ind w:left="107"/>
                          <w:rPr>
                            <w:sz w:val="21"/>
                          </w:rPr>
                        </w:pPr>
                        <w:r>
                          <w:rPr>
                            <w:sz w:val="21"/>
                          </w:rPr>
                          <w:t>人数</w:t>
                        </w:r>
                      </w:p>
                    </w:tc>
                    <w:tc>
                      <w:tcPr>
                        <w:tcW w:w="2682" w:type="dxa"/>
                      </w:tcPr>
                      <w:p>
                        <w:pPr>
                          <w:pStyle w:val="TableParagraph"/>
                          <w:spacing w:before="52"/>
                          <w:ind w:left="107"/>
                          <w:rPr>
                            <w:sz w:val="21"/>
                          </w:rPr>
                        </w:pPr>
                        <w:r>
                          <w:rPr>
                            <w:sz w:val="21"/>
                          </w:rPr>
                          <w:t>股东符合法定人数</w:t>
                        </w:r>
                      </w:p>
                      <w:p>
                        <w:pPr>
                          <w:pStyle w:val="TableParagraph"/>
                          <w:spacing w:before="103"/>
                          <w:ind w:left="107"/>
                          <w:rPr>
                            <w:sz w:val="21"/>
                          </w:rPr>
                        </w:pPr>
                        <w:r>
                          <w:rPr>
                            <w:w w:val="95"/>
                            <w:sz w:val="21"/>
                          </w:rPr>
                          <w:t>（50</w:t>
                        </w:r>
                        <w:r>
                          <w:rPr>
                            <w:spacing w:val="-6"/>
                            <w:w w:val="95"/>
                            <w:sz w:val="21"/>
                          </w:rPr>
                          <w:t xml:space="preserve"> 个以下</w:t>
                        </w:r>
                        <w:r>
                          <w:rPr>
                            <w:w w:val="95"/>
                            <w:sz w:val="21"/>
                          </w:rPr>
                          <w:t>）</w:t>
                        </w:r>
                      </w:p>
                    </w:tc>
                    <w:tc>
                      <w:tcPr>
                        <w:tcW w:w="4287" w:type="dxa"/>
                      </w:tcPr>
                      <w:p>
                        <w:pPr>
                          <w:pStyle w:val="TableParagraph"/>
                          <w:spacing w:before="52"/>
                          <w:ind w:left="106"/>
                          <w:rPr>
                            <w:sz w:val="21"/>
                          </w:rPr>
                        </w:pPr>
                        <w:r>
                          <w:rPr>
                            <w:sz w:val="21"/>
                          </w:rPr>
                          <w:t>发起人符合法定人数</w:t>
                        </w:r>
                      </w:p>
                      <w:p>
                        <w:pPr>
                          <w:pStyle w:val="TableParagraph"/>
                          <w:spacing w:before="103"/>
                          <w:ind w:left="106"/>
                          <w:rPr>
                            <w:sz w:val="21"/>
                          </w:rPr>
                        </w:pPr>
                        <w:r>
                          <w:rPr>
                            <w:w w:val="95"/>
                            <w:sz w:val="21"/>
                          </w:rPr>
                          <w:t>（2-200</w:t>
                        </w:r>
                        <w:r>
                          <w:rPr>
                            <w:spacing w:val="-13"/>
                            <w:w w:val="95"/>
                            <w:sz w:val="21"/>
                          </w:rPr>
                          <w:t xml:space="preserve"> 人</w:t>
                        </w:r>
                        <w:r>
                          <w:rPr>
                            <w:w w:val="95"/>
                            <w:sz w:val="21"/>
                          </w:rPr>
                          <w:t>）</w:t>
                        </w:r>
                      </w:p>
                    </w:tc>
                  </w:tr>
                  <w:tr>
                    <w:tblPrEx>
                      <w:tblW w:w="0" w:type="auto"/>
                      <w:tblInd w:w="5" w:type="dxa"/>
                      <w:tblLayout w:type="fixed"/>
                      <w:tblCellMar>
                        <w:top w:w="0" w:type="dxa"/>
                        <w:left w:w="0" w:type="dxa"/>
                        <w:bottom w:w="0" w:type="dxa"/>
                        <w:right w:w="0" w:type="dxa"/>
                      </w:tblCellMar>
                    </w:tblPrEx>
                    <w:trPr>
                      <w:trHeight w:val="748"/>
                    </w:trPr>
                    <w:tc>
                      <w:tcPr>
                        <w:tcW w:w="1553" w:type="dxa"/>
                      </w:tcPr>
                      <w:p>
                        <w:pPr>
                          <w:pStyle w:val="TableParagraph"/>
                          <w:spacing w:before="51"/>
                          <w:ind w:left="107"/>
                          <w:rPr>
                            <w:sz w:val="21"/>
                          </w:rPr>
                        </w:pPr>
                        <w:r>
                          <w:rPr>
                            <w:sz w:val="21"/>
                          </w:rPr>
                          <w:t>资本</w:t>
                        </w:r>
                      </w:p>
                    </w:tc>
                    <w:tc>
                      <w:tcPr>
                        <w:tcW w:w="2682" w:type="dxa"/>
                      </w:tcPr>
                      <w:p>
                        <w:pPr>
                          <w:pStyle w:val="TableParagraph"/>
                          <w:spacing w:before="51"/>
                          <w:ind w:left="107"/>
                          <w:rPr>
                            <w:sz w:val="21"/>
                          </w:rPr>
                        </w:pPr>
                        <w:r>
                          <w:rPr>
                            <w:spacing w:val="14"/>
                            <w:w w:val="95"/>
                            <w:sz w:val="21"/>
                          </w:rPr>
                          <w:t>股东出资达到法定资本最</w:t>
                        </w:r>
                      </w:p>
                      <w:p>
                        <w:pPr>
                          <w:pStyle w:val="TableParagraph"/>
                          <w:spacing w:before="106"/>
                          <w:ind w:left="107"/>
                          <w:rPr>
                            <w:sz w:val="21"/>
                          </w:rPr>
                        </w:pPr>
                        <w:r>
                          <w:rPr>
                            <w:sz w:val="21"/>
                          </w:rPr>
                          <w:t>低限额</w:t>
                        </w:r>
                      </w:p>
                    </w:tc>
                    <w:tc>
                      <w:tcPr>
                        <w:tcW w:w="4287" w:type="dxa"/>
                      </w:tcPr>
                      <w:p>
                        <w:pPr>
                          <w:pStyle w:val="TableParagraph"/>
                          <w:spacing w:before="51"/>
                          <w:ind w:left="106"/>
                          <w:rPr>
                            <w:sz w:val="21"/>
                          </w:rPr>
                        </w:pPr>
                        <w:r>
                          <w:rPr>
                            <w:sz w:val="21"/>
                          </w:rPr>
                          <w:t>全体发起人认购的股本总额或募集的实体股</w:t>
                        </w:r>
                      </w:p>
                      <w:p>
                        <w:pPr>
                          <w:pStyle w:val="TableParagraph"/>
                          <w:spacing w:before="106"/>
                          <w:ind w:left="106"/>
                          <w:rPr>
                            <w:sz w:val="21"/>
                          </w:rPr>
                        </w:pPr>
                        <w:r>
                          <w:rPr>
                            <w:sz w:val="21"/>
                          </w:rPr>
                          <w:t>本总额符合规定</w:t>
                        </w:r>
                      </w:p>
                    </w:tc>
                  </w:tr>
                  <w:tr>
                    <w:tblPrEx>
                      <w:tblW w:w="0" w:type="auto"/>
                      <w:tblInd w:w="5" w:type="dxa"/>
                      <w:tblLayout w:type="fixed"/>
                      <w:tblCellMar>
                        <w:top w:w="0" w:type="dxa"/>
                        <w:left w:w="0" w:type="dxa"/>
                        <w:bottom w:w="0" w:type="dxa"/>
                        <w:right w:w="0" w:type="dxa"/>
                      </w:tblCellMar>
                    </w:tblPrEx>
                    <w:trPr>
                      <w:trHeight w:val="373"/>
                    </w:trPr>
                    <w:tc>
                      <w:tcPr>
                        <w:tcW w:w="1553" w:type="dxa"/>
                      </w:tcPr>
                      <w:p>
                        <w:pPr>
                          <w:pStyle w:val="TableParagraph"/>
                          <w:spacing w:before="51"/>
                          <w:ind w:left="107"/>
                          <w:rPr>
                            <w:sz w:val="21"/>
                          </w:rPr>
                        </w:pPr>
                        <w:r>
                          <w:rPr>
                            <w:sz w:val="21"/>
                          </w:rPr>
                          <w:t>规定</w:t>
                        </w:r>
                      </w:p>
                    </w:tc>
                    <w:tc>
                      <w:tcPr>
                        <w:tcW w:w="2682" w:type="dxa"/>
                      </w:tcPr>
                      <w:p>
                        <w:pPr>
                          <w:pStyle w:val="TableParagraph"/>
                          <w:spacing w:before="51"/>
                          <w:ind w:left="107"/>
                          <w:rPr>
                            <w:sz w:val="21"/>
                          </w:rPr>
                        </w:pPr>
                        <w:r>
                          <w:rPr>
                            <w:sz w:val="21"/>
                          </w:rPr>
                          <w:t>——</w:t>
                        </w:r>
                      </w:p>
                    </w:tc>
                    <w:tc>
                      <w:tcPr>
                        <w:tcW w:w="4287" w:type="dxa"/>
                      </w:tcPr>
                      <w:p>
                        <w:pPr>
                          <w:pStyle w:val="TableParagraph"/>
                          <w:spacing w:before="51"/>
                          <w:ind w:left="106"/>
                          <w:rPr>
                            <w:sz w:val="21"/>
                          </w:rPr>
                        </w:pPr>
                        <w:r>
                          <w:rPr>
                            <w:sz w:val="21"/>
                          </w:rPr>
                          <w:t>股份发行、筹办事项符合法律规定</w:t>
                        </w:r>
                      </w:p>
                    </w:tc>
                  </w:tr>
                  <w:tr>
                    <w:tblPrEx>
                      <w:tblW w:w="0" w:type="auto"/>
                      <w:tblInd w:w="5" w:type="dxa"/>
                      <w:tblLayout w:type="fixed"/>
                      <w:tblCellMar>
                        <w:top w:w="0" w:type="dxa"/>
                        <w:left w:w="0" w:type="dxa"/>
                        <w:bottom w:w="0" w:type="dxa"/>
                        <w:right w:w="0" w:type="dxa"/>
                      </w:tblCellMar>
                    </w:tblPrEx>
                    <w:trPr>
                      <w:trHeight w:val="374"/>
                    </w:trPr>
                    <w:tc>
                      <w:tcPr>
                        <w:tcW w:w="1553" w:type="dxa"/>
                      </w:tcPr>
                      <w:p>
                        <w:pPr>
                          <w:pStyle w:val="TableParagraph"/>
                          <w:spacing w:before="51"/>
                          <w:ind w:left="107"/>
                          <w:rPr>
                            <w:sz w:val="21"/>
                          </w:rPr>
                        </w:pPr>
                        <w:r>
                          <w:rPr>
                            <w:sz w:val="21"/>
                          </w:rPr>
                          <w:t>章程</w:t>
                        </w:r>
                      </w:p>
                    </w:tc>
                    <w:tc>
                      <w:tcPr>
                        <w:tcW w:w="2682" w:type="dxa"/>
                      </w:tcPr>
                      <w:p>
                        <w:pPr>
                          <w:pStyle w:val="TableParagraph"/>
                          <w:spacing w:before="51"/>
                          <w:ind w:left="107"/>
                          <w:rPr>
                            <w:sz w:val="21"/>
                          </w:rPr>
                        </w:pPr>
                        <w:r>
                          <w:rPr>
                            <w:sz w:val="21"/>
                          </w:rPr>
                          <w:t>股东共同制定公司章程</w:t>
                        </w:r>
                      </w:p>
                    </w:tc>
                    <w:tc>
                      <w:tcPr>
                        <w:tcW w:w="4287" w:type="dxa"/>
                      </w:tcPr>
                      <w:p>
                        <w:pPr>
                          <w:pStyle w:val="TableParagraph"/>
                          <w:spacing w:before="51"/>
                          <w:ind w:left="106"/>
                          <w:rPr>
                            <w:sz w:val="21"/>
                          </w:rPr>
                        </w:pPr>
                        <w:r>
                          <w:rPr>
                            <w:sz w:val="21"/>
                          </w:rPr>
                          <w:t>发起人制订公司章程</w:t>
                        </w:r>
                      </w:p>
                    </w:tc>
                  </w:tr>
                  <w:tr>
                    <w:tblPrEx>
                      <w:tblW w:w="0" w:type="auto"/>
                      <w:tblInd w:w="5" w:type="dxa"/>
                      <w:tblLayout w:type="fixed"/>
                      <w:tblCellMar>
                        <w:top w:w="0" w:type="dxa"/>
                        <w:left w:w="0" w:type="dxa"/>
                        <w:bottom w:w="0" w:type="dxa"/>
                        <w:right w:w="0" w:type="dxa"/>
                      </w:tblCellMar>
                    </w:tblPrEx>
                    <w:trPr>
                      <w:trHeight w:val="375"/>
                    </w:trPr>
                    <w:tc>
                      <w:tcPr>
                        <w:tcW w:w="1553" w:type="dxa"/>
                      </w:tcPr>
                      <w:p>
                        <w:pPr>
                          <w:pStyle w:val="TableParagraph"/>
                          <w:spacing w:before="51"/>
                          <w:ind w:left="107"/>
                          <w:rPr>
                            <w:sz w:val="21"/>
                          </w:rPr>
                        </w:pPr>
                        <w:r>
                          <w:rPr>
                            <w:sz w:val="21"/>
                          </w:rPr>
                          <w:t>名称住所</w:t>
                        </w:r>
                      </w:p>
                    </w:tc>
                    <w:tc>
                      <w:tcPr>
                        <w:tcW w:w="6969" w:type="dxa"/>
                        <w:gridSpan w:val="2"/>
                      </w:tcPr>
                      <w:p>
                        <w:pPr>
                          <w:pStyle w:val="TableParagraph"/>
                          <w:spacing w:before="51"/>
                          <w:ind w:left="107"/>
                          <w:rPr>
                            <w:sz w:val="21"/>
                          </w:rPr>
                        </w:pPr>
                        <w:r>
                          <w:rPr>
                            <w:sz w:val="21"/>
                          </w:rPr>
                          <w:t>有公司名称、住所，建立符合要求的组织机构</w:t>
                        </w:r>
                      </w:p>
                    </w:tc>
                  </w:tr>
                </w:tbl>
                <w:p>
                  <w:pPr>
                    <w:pStyle w:val="BodyText"/>
                    <w:ind w:left="0"/>
                  </w:pPr>
                </w:p>
              </w:txbxContent>
            </v:textbox>
          </v:shape>
        </w:pict>
      </w:r>
      <w:r>
        <w:rPr>
          <w:spacing w:val="-1"/>
        </w:rPr>
        <w:t>一、工程监理企业组织形式</w:t>
      </w:r>
      <w:r>
        <w:t>1.公司设立条件</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18"/>
        </w:rPr>
      </w:pPr>
    </w:p>
    <w:p>
      <w:pPr>
        <w:pStyle w:val="BodyText"/>
        <w:spacing w:before="1" w:after="55"/>
      </w:pPr>
      <w:r>
        <w:rPr>
          <w:w w:val="95"/>
        </w:rPr>
        <w:t>2.公司组织机构</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00"/>
        <w:gridCol w:w="3503"/>
        <w:gridCol w:w="3219"/>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5"/>
        </w:trPr>
        <w:tc>
          <w:tcPr>
            <w:tcW w:w="1800" w:type="dxa"/>
          </w:tcPr>
          <w:p>
            <w:pPr>
              <w:pStyle w:val="TableParagraph"/>
              <w:spacing w:before="52"/>
              <w:ind w:left="107"/>
              <w:rPr>
                <w:sz w:val="21"/>
              </w:rPr>
            </w:pPr>
            <w:r>
              <w:rPr>
                <w:sz w:val="21"/>
              </w:rPr>
              <w:t>企业</w:t>
            </w:r>
          </w:p>
        </w:tc>
        <w:tc>
          <w:tcPr>
            <w:tcW w:w="3503" w:type="dxa"/>
          </w:tcPr>
          <w:p>
            <w:pPr>
              <w:pStyle w:val="TableParagraph"/>
              <w:spacing w:before="52"/>
              <w:ind w:left="107"/>
              <w:rPr>
                <w:sz w:val="21"/>
              </w:rPr>
            </w:pPr>
            <w:r>
              <w:rPr>
                <w:sz w:val="21"/>
              </w:rPr>
              <w:t>有限责任公司</w:t>
            </w:r>
          </w:p>
        </w:tc>
        <w:tc>
          <w:tcPr>
            <w:tcW w:w="3219" w:type="dxa"/>
          </w:tcPr>
          <w:p>
            <w:pPr>
              <w:pStyle w:val="TableParagraph"/>
              <w:spacing w:before="52"/>
              <w:ind w:left="106"/>
              <w:rPr>
                <w:sz w:val="21"/>
              </w:rPr>
            </w:pPr>
            <w:r>
              <w:rPr>
                <w:sz w:val="21"/>
              </w:rPr>
              <w:t>股份有限公司</w:t>
            </w:r>
          </w:p>
        </w:tc>
      </w:tr>
      <w:tr>
        <w:tblPrEx>
          <w:tblW w:w="0" w:type="auto"/>
          <w:tblInd w:w="124" w:type="dxa"/>
          <w:tblLayout w:type="fixed"/>
          <w:tblCellMar>
            <w:top w:w="0" w:type="dxa"/>
            <w:left w:w="0" w:type="dxa"/>
            <w:bottom w:w="0" w:type="dxa"/>
            <w:right w:w="0" w:type="dxa"/>
          </w:tblCellMar>
        </w:tblPrEx>
        <w:trPr>
          <w:trHeight w:val="373"/>
        </w:trPr>
        <w:tc>
          <w:tcPr>
            <w:tcW w:w="1800" w:type="dxa"/>
          </w:tcPr>
          <w:p>
            <w:pPr>
              <w:pStyle w:val="TableParagraph"/>
              <w:spacing w:before="51"/>
              <w:ind w:left="107"/>
              <w:rPr>
                <w:sz w:val="21"/>
              </w:rPr>
            </w:pPr>
            <w:r>
              <w:rPr>
                <w:sz w:val="21"/>
              </w:rPr>
              <w:t>股东会/股东大会</w:t>
            </w:r>
          </w:p>
        </w:tc>
        <w:tc>
          <w:tcPr>
            <w:tcW w:w="6722" w:type="dxa"/>
            <w:gridSpan w:val="2"/>
          </w:tcPr>
          <w:p>
            <w:pPr>
              <w:pStyle w:val="TableParagraph"/>
              <w:spacing w:before="51"/>
              <w:ind w:left="107"/>
              <w:rPr>
                <w:sz w:val="21"/>
              </w:rPr>
            </w:pPr>
            <w:r>
              <w:rPr>
                <w:sz w:val="21"/>
              </w:rPr>
              <w:t>由全体股东组成，是公司的权力机构</w:t>
            </w:r>
          </w:p>
        </w:tc>
      </w:tr>
      <w:tr>
        <w:tblPrEx>
          <w:tblW w:w="0" w:type="auto"/>
          <w:tblInd w:w="124" w:type="dxa"/>
          <w:tblLayout w:type="fixed"/>
          <w:tblCellMar>
            <w:top w:w="0" w:type="dxa"/>
            <w:left w:w="0" w:type="dxa"/>
            <w:bottom w:w="0" w:type="dxa"/>
            <w:right w:w="0" w:type="dxa"/>
          </w:tblCellMar>
        </w:tblPrEx>
        <w:trPr>
          <w:trHeight w:val="1122"/>
        </w:trPr>
        <w:tc>
          <w:tcPr>
            <w:tcW w:w="1800" w:type="dxa"/>
          </w:tcPr>
          <w:p>
            <w:pPr>
              <w:pStyle w:val="TableParagraph"/>
              <w:rPr>
                <w:sz w:val="20"/>
              </w:rPr>
            </w:pPr>
          </w:p>
          <w:p>
            <w:pPr>
              <w:pStyle w:val="TableParagraph"/>
              <w:spacing w:before="169"/>
              <w:ind w:left="107"/>
              <w:rPr>
                <w:sz w:val="21"/>
              </w:rPr>
            </w:pPr>
            <w:r>
              <w:rPr>
                <w:sz w:val="21"/>
              </w:rPr>
              <w:t>董事会</w:t>
            </w:r>
          </w:p>
        </w:tc>
        <w:tc>
          <w:tcPr>
            <w:tcW w:w="3503" w:type="dxa"/>
          </w:tcPr>
          <w:p>
            <w:pPr>
              <w:pStyle w:val="TableParagraph"/>
              <w:spacing w:before="51"/>
              <w:ind w:left="107"/>
              <w:rPr>
                <w:sz w:val="21"/>
              </w:rPr>
            </w:pPr>
            <w:r>
              <w:rPr>
                <w:spacing w:val="-10"/>
                <w:w w:val="95"/>
                <w:sz w:val="21"/>
              </w:rPr>
              <w:t xml:space="preserve">成员 </w:t>
            </w:r>
            <w:r>
              <w:rPr>
                <w:w w:val="95"/>
                <w:sz w:val="21"/>
              </w:rPr>
              <w:t>3-13</w:t>
            </w:r>
            <w:r>
              <w:rPr>
                <w:spacing w:val="-11"/>
                <w:w w:val="95"/>
                <w:sz w:val="21"/>
              </w:rPr>
              <w:t xml:space="preserve"> 人；</w:t>
            </w:r>
          </w:p>
          <w:p>
            <w:pPr>
              <w:pStyle w:val="TableParagraph"/>
              <w:spacing w:before="5" w:line="370" w:lineRule="atLeast"/>
              <w:ind w:left="107" w:right="97"/>
              <w:rPr>
                <w:sz w:val="21"/>
              </w:rPr>
            </w:pPr>
            <w:r>
              <w:rPr>
                <w:spacing w:val="-5"/>
                <w:w w:val="95"/>
                <w:sz w:val="21"/>
              </w:rPr>
              <w:t>股东人数较少或规模较小可不设，只</w:t>
            </w:r>
            <w:r>
              <w:rPr>
                <w:spacing w:val="-24"/>
                <w:w w:val="95"/>
                <w:sz w:val="21"/>
              </w:rPr>
              <w:t xml:space="preserve">设 </w:t>
            </w:r>
            <w:r>
              <w:rPr>
                <w:w w:val="95"/>
                <w:sz w:val="21"/>
              </w:rPr>
              <w:t>1</w:t>
            </w:r>
            <w:r>
              <w:rPr>
                <w:spacing w:val="-9"/>
                <w:w w:val="95"/>
                <w:sz w:val="21"/>
              </w:rPr>
              <w:t xml:space="preserve"> 名执行董事</w:t>
            </w:r>
          </w:p>
        </w:tc>
        <w:tc>
          <w:tcPr>
            <w:tcW w:w="3219" w:type="dxa"/>
          </w:tcPr>
          <w:p>
            <w:pPr>
              <w:pStyle w:val="TableParagraph"/>
              <w:spacing w:before="51"/>
              <w:ind w:left="106"/>
              <w:rPr>
                <w:sz w:val="21"/>
              </w:rPr>
            </w:pPr>
            <w:r>
              <w:rPr>
                <w:spacing w:val="-9"/>
                <w:w w:val="95"/>
                <w:sz w:val="21"/>
              </w:rPr>
              <w:t xml:space="preserve">成员 </w:t>
            </w:r>
            <w:r>
              <w:rPr>
                <w:w w:val="95"/>
                <w:sz w:val="21"/>
              </w:rPr>
              <w:t>5-19</w:t>
            </w:r>
            <w:r>
              <w:rPr>
                <w:spacing w:val="-11"/>
                <w:w w:val="95"/>
                <w:sz w:val="21"/>
              </w:rPr>
              <w:t xml:space="preserve"> 人；</w:t>
            </w:r>
          </w:p>
          <w:p>
            <w:pPr>
              <w:pStyle w:val="TableParagraph"/>
              <w:spacing w:before="5" w:line="370" w:lineRule="atLeast"/>
              <w:ind w:left="106" w:right="97"/>
              <w:rPr>
                <w:sz w:val="21"/>
              </w:rPr>
            </w:pPr>
            <w:r>
              <w:rPr>
                <w:w w:val="95"/>
                <w:sz w:val="21"/>
              </w:rPr>
              <w:t>上市公司需设独立董事和董事会</w:t>
            </w:r>
            <w:r>
              <w:rPr>
                <w:spacing w:val="1"/>
                <w:w w:val="95"/>
                <w:sz w:val="21"/>
              </w:rPr>
              <w:t xml:space="preserve"> </w:t>
            </w:r>
            <w:r>
              <w:rPr>
                <w:sz w:val="21"/>
              </w:rPr>
              <w:t>秘书</w:t>
            </w:r>
          </w:p>
        </w:tc>
      </w:tr>
      <w:tr>
        <w:tblPrEx>
          <w:tblW w:w="0" w:type="auto"/>
          <w:tblInd w:w="124" w:type="dxa"/>
          <w:tblLayout w:type="fixed"/>
          <w:tblCellMar>
            <w:top w:w="0" w:type="dxa"/>
            <w:left w:w="0" w:type="dxa"/>
            <w:bottom w:w="0" w:type="dxa"/>
            <w:right w:w="0" w:type="dxa"/>
          </w:tblCellMar>
        </w:tblPrEx>
        <w:trPr>
          <w:trHeight w:val="375"/>
        </w:trPr>
        <w:tc>
          <w:tcPr>
            <w:tcW w:w="1800" w:type="dxa"/>
            <w:vMerge w:val="restart"/>
          </w:tcPr>
          <w:p>
            <w:pPr>
              <w:pStyle w:val="TableParagraph"/>
              <w:spacing w:before="12"/>
              <w:rPr>
                <w:sz w:val="18"/>
              </w:rPr>
            </w:pPr>
          </w:p>
          <w:p>
            <w:pPr>
              <w:pStyle w:val="TableParagraph"/>
              <w:ind w:left="107"/>
              <w:rPr>
                <w:sz w:val="21"/>
              </w:rPr>
            </w:pPr>
            <w:r>
              <w:rPr>
                <w:sz w:val="21"/>
              </w:rPr>
              <w:t>经理</w:t>
            </w:r>
          </w:p>
        </w:tc>
        <w:tc>
          <w:tcPr>
            <w:tcW w:w="6722" w:type="dxa"/>
            <w:gridSpan w:val="2"/>
          </w:tcPr>
          <w:p>
            <w:pPr>
              <w:pStyle w:val="TableParagraph"/>
              <w:spacing w:before="51"/>
              <w:ind w:left="107"/>
              <w:rPr>
                <w:sz w:val="21"/>
              </w:rPr>
            </w:pPr>
            <w:r>
              <w:rPr>
                <w:sz w:val="21"/>
              </w:rPr>
              <w:t>由董事会决定聘任或解聘</w:t>
            </w:r>
          </w:p>
        </w:tc>
      </w:tr>
      <w:tr>
        <w:tblPrEx>
          <w:tblW w:w="0" w:type="auto"/>
          <w:tblInd w:w="124" w:type="dxa"/>
          <w:tblLayout w:type="fixed"/>
          <w:tblCellMar>
            <w:top w:w="0" w:type="dxa"/>
            <w:left w:w="0" w:type="dxa"/>
            <w:bottom w:w="0" w:type="dxa"/>
            <w:right w:w="0" w:type="dxa"/>
          </w:tblCellMar>
        </w:tblPrEx>
        <w:trPr>
          <w:trHeight w:val="374"/>
        </w:trPr>
        <w:tc>
          <w:tcPr>
            <w:tcW w:w="1800" w:type="dxa"/>
            <w:vMerge/>
            <w:tcBorders>
              <w:top w:val="nil"/>
            </w:tcBorders>
          </w:tcPr>
          <w:p>
            <w:pPr>
              <w:rPr>
                <w:sz w:val="2"/>
                <w:szCs w:val="2"/>
              </w:rPr>
            </w:pPr>
          </w:p>
        </w:tc>
        <w:tc>
          <w:tcPr>
            <w:tcW w:w="3503" w:type="dxa"/>
          </w:tcPr>
          <w:p>
            <w:pPr>
              <w:pStyle w:val="TableParagraph"/>
              <w:spacing w:before="50"/>
              <w:ind w:left="107"/>
              <w:rPr>
                <w:sz w:val="21"/>
              </w:rPr>
            </w:pPr>
            <w:r>
              <w:rPr>
                <w:sz w:val="21"/>
              </w:rPr>
              <w:t>可由执行董事兼任</w:t>
            </w:r>
          </w:p>
        </w:tc>
        <w:tc>
          <w:tcPr>
            <w:tcW w:w="3219" w:type="dxa"/>
          </w:tcPr>
          <w:p>
            <w:pPr>
              <w:pStyle w:val="TableParagraph"/>
              <w:spacing w:before="50"/>
              <w:ind w:left="106"/>
              <w:rPr>
                <w:sz w:val="21"/>
              </w:rPr>
            </w:pPr>
            <w:r>
              <w:rPr>
                <w:sz w:val="21"/>
              </w:rPr>
              <w:t>可由董事会成员兼任</w:t>
            </w:r>
          </w:p>
        </w:tc>
      </w:tr>
      <w:tr>
        <w:tblPrEx>
          <w:tblW w:w="0" w:type="auto"/>
          <w:tblInd w:w="124" w:type="dxa"/>
          <w:tblLayout w:type="fixed"/>
          <w:tblCellMar>
            <w:top w:w="0" w:type="dxa"/>
            <w:left w:w="0" w:type="dxa"/>
            <w:bottom w:w="0" w:type="dxa"/>
            <w:right w:w="0" w:type="dxa"/>
          </w:tblCellMar>
        </w:tblPrEx>
        <w:trPr>
          <w:trHeight w:val="1122"/>
        </w:trPr>
        <w:tc>
          <w:tcPr>
            <w:tcW w:w="1800" w:type="dxa"/>
          </w:tcPr>
          <w:p>
            <w:pPr>
              <w:pStyle w:val="TableParagraph"/>
              <w:rPr>
                <w:sz w:val="20"/>
              </w:rPr>
            </w:pPr>
          </w:p>
          <w:p>
            <w:pPr>
              <w:pStyle w:val="TableParagraph"/>
              <w:spacing w:before="170"/>
              <w:ind w:left="107"/>
              <w:rPr>
                <w:sz w:val="21"/>
              </w:rPr>
            </w:pPr>
            <w:r>
              <w:rPr>
                <w:sz w:val="21"/>
              </w:rPr>
              <w:t>监事会</w:t>
            </w:r>
          </w:p>
        </w:tc>
        <w:tc>
          <w:tcPr>
            <w:tcW w:w="3503" w:type="dxa"/>
          </w:tcPr>
          <w:p>
            <w:pPr>
              <w:pStyle w:val="TableParagraph"/>
              <w:spacing w:before="52"/>
              <w:ind w:left="107"/>
              <w:rPr>
                <w:sz w:val="21"/>
              </w:rPr>
            </w:pPr>
            <w:r>
              <w:rPr>
                <w:spacing w:val="-5"/>
                <w:w w:val="95"/>
                <w:sz w:val="21"/>
              </w:rPr>
              <w:t xml:space="preserve">成员不少于 </w:t>
            </w:r>
            <w:r>
              <w:rPr>
                <w:w w:val="95"/>
                <w:sz w:val="21"/>
              </w:rPr>
              <w:t>3</w:t>
            </w:r>
            <w:r>
              <w:rPr>
                <w:spacing w:val="-9"/>
                <w:w w:val="95"/>
                <w:sz w:val="21"/>
              </w:rPr>
              <w:t xml:space="preserve"> 人；</w:t>
            </w:r>
          </w:p>
          <w:p>
            <w:pPr>
              <w:pStyle w:val="TableParagraph"/>
              <w:spacing w:before="5" w:line="370" w:lineRule="atLeast"/>
              <w:ind w:left="107" w:right="97"/>
              <w:rPr>
                <w:sz w:val="21"/>
              </w:rPr>
            </w:pPr>
            <w:r>
              <w:rPr>
                <w:spacing w:val="-6"/>
                <w:w w:val="95"/>
                <w:sz w:val="21"/>
              </w:rPr>
              <w:t>股东人数较少规模较小可不设，只设</w:t>
            </w:r>
            <w:r>
              <w:rPr>
                <w:w w:val="95"/>
                <w:sz w:val="21"/>
              </w:rPr>
              <w:t>1-2</w:t>
            </w:r>
            <w:r>
              <w:rPr>
                <w:spacing w:val="-12"/>
                <w:w w:val="95"/>
                <w:sz w:val="21"/>
              </w:rPr>
              <w:t xml:space="preserve"> 名监事</w:t>
            </w:r>
          </w:p>
        </w:tc>
        <w:tc>
          <w:tcPr>
            <w:tcW w:w="3219" w:type="dxa"/>
          </w:tcPr>
          <w:p>
            <w:pPr>
              <w:pStyle w:val="TableParagraph"/>
              <w:rPr>
                <w:sz w:val="20"/>
              </w:rPr>
            </w:pPr>
          </w:p>
          <w:p>
            <w:pPr>
              <w:pStyle w:val="TableParagraph"/>
              <w:spacing w:before="170"/>
              <w:ind w:left="106"/>
              <w:rPr>
                <w:sz w:val="21"/>
              </w:rPr>
            </w:pPr>
            <w:r>
              <w:rPr>
                <w:spacing w:val="-5"/>
                <w:w w:val="95"/>
                <w:sz w:val="21"/>
              </w:rPr>
              <w:t xml:space="preserve">成员不少于 </w:t>
            </w:r>
            <w:r>
              <w:rPr>
                <w:w w:val="95"/>
                <w:sz w:val="21"/>
              </w:rPr>
              <w:t>3</w:t>
            </w:r>
            <w:r>
              <w:rPr>
                <w:spacing w:val="-16"/>
                <w:w w:val="95"/>
                <w:sz w:val="21"/>
              </w:rPr>
              <w:t xml:space="preserve"> 人</w:t>
            </w:r>
          </w:p>
        </w:tc>
      </w:tr>
    </w:tbl>
    <w:p>
      <w:pPr>
        <w:pStyle w:val="BodyText"/>
        <w:spacing w:before="55"/>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【记忆方法】对比记忆</w:t>
      </w:r>
    </w:p>
    <w:p>
      <w:pPr>
        <w:pStyle w:val="BodyText"/>
        <w:spacing w:before="7"/>
        <w:ind w:left="0"/>
        <w:rPr>
          <w:sz w:val="7"/>
        </w:rPr>
      </w:pPr>
      <w:r>
        <w:pict>
          <v:shape id="docshape78" o:spid="_x0000_s1097" type="#_x0000_t202" style="width:82.8pt;height:19.95pt;margin-top:8.3pt;margin-left:48.3pt;mso-height-relative:page;mso-position-horizontal-relative:page;mso-width-relative:page;mso-wrap-distance-bottom:0;mso-wrap-distance-top:0;position:absolute;z-index:-251582464" coordsize="21600,21600" filled="f" stroked="t" strokecolor="black">
            <v:textbox inset="0,0,0,0">
              <w:txbxContent>
                <w:p>
                  <w:pPr>
                    <w:spacing w:before="2"/>
                    <w:ind w:left="1" w:right="0" w:firstLine="0"/>
                    <w:jc w:val="left"/>
                    <w:rPr>
                      <w:b/>
                      <w:sz w:val="24"/>
                    </w:rPr>
                  </w:pPr>
                  <w:r>
                    <w:rPr>
                      <w:b/>
                      <w:sz w:val="24"/>
                    </w:rPr>
                    <w:t>精选习题·35</w:t>
                  </w:r>
                </w:p>
              </w:txbxContent>
            </v:textbox>
            <w10:wrap type="topAndBottom"/>
          </v:shape>
        </w:pict>
      </w:r>
    </w:p>
    <w:p>
      <w:pPr>
        <w:pStyle w:val="BodyText"/>
        <w:spacing w:before="5"/>
        <w:ind w:left="0"/>
        <w:rPr>
          <w:sz w:val="7"/>
        </w:rPr>
      </w:pPr>
    </w:p>
    <w:p>
      <w:pPr>
        <w:pStyle w:val="BodyText"/>
        <w:tabs>
          <w:tab w:val="left" w:pos="5055"/>
        </w:tabs>
        <w:spacing w:before="70" w:line="333" w:lineRule="auto"/>
        <w:ind w:left="647" w:right="5313" w:hanging="420"/>
      </w:pPr>
      <w:r>
        <w:t>【2022】关于有限责任公司的说法，正确的是（</w:t>
      </w:r>
      <w:r>
        <w:tab/>
      </w:r>
      <w:r>
        <w:rPr>
          <w:spacing w:val="-104"/>
        </w:rPr>
        <w:t>）</w:t>
      </w:r>
      <w:r>
        <w:rPr>
          <w:spacing w:val="-2"/>
        </w:rPr>
        <w:t>。</w:t>
      </w:r>
      <w:r>
        <w:rPr>
          <w:w w:val="95"/>
        </w:rPr>
        <w:t>A.公司应由</w:t>
      </w:r>
      <w:r>
        <w:rPr>
          <w:spacing w:val="-42"/>
          <w:w w:val="95"/>
        </w:rPr>
        <w:t xml:space="preserve"> </w:t>
      </w:r>
      <w:r>
        <w:rPr>
          <w:w w:val="95"/>
        </w:rPr>
        <w:t>50</w:t>
      </w:r>
      <w:r>
        <w:rPr>
          <w:spacing w:val="-43"/>
          <w:w w:val="95"/>
        </w:rPr>
        <w:t xml:space="preserve"> </w:t>
      </w:r>
      <w:r>
        <w:rPr>
          <w:w w:val="95"/>
        </w:rPr>
        <w:t>个股东出资设立</w:t>
      </w:r>
    </w:p>
    <w:p>
      <w:pPr>
        <w:pStyle w:val="BodyText"/>
        <w:spacing w:line="333" w:lineRule="auto"/>
        <w:ind w:left="647" w:right="7100"/>
      </w:pPr>
      <w:r>
        <w:rPr>
          <w:w w:val="95"/>
        </w:rPr>
        <w:t>B</w:t>
      </w:r>
      <w:r>
        <w:rPr>
          <w:spacing w:val="2"/>
          <w:w w:val="95"/>
        </w:rPr>
        <w:t xml:space="preserve">.公司董事会成员为 </w:t>
      </w:r>
      <w:r>
        <w:rPr>
          <w:w w:val="95"/>
        </w:rPr>
        <w:t>3～13</w:t>
      </w:r>
      <w:r>
        <w:rPr>
          <w:spacing w:val="9"/>
          <w:w w:val="95"/>
        </w:rPr>
        <w:t xml:space="preserve"> 人</w:t>
      </w:r>
      <w:r>
        <w:rPr>
          <w:spacing w:val="-1"/>
        </w:rPr>
        <w:t>C.公司经理由董事长聘任或解聘</w:t>
      </w:r>
      <w:r>
        <w:rPr>
          <w:w w:val="95"/>
        </w:rPr>
        <w:t>D.公司监事会成员不得少于 5</w:t>
      </w:r>
      <w:r>
        <w:rPr>
          <w:spacing w:val="-1"/>
          <w:w w:val="95"/>
        </w:rPr>
        <w:t xml:space="preserve"> 人</w:t>
      </w:r>
    </w:p>
    <w:p>
      <w:pPr>
        <w:spacing w:after="0" w:line="333" w:lineRule="auto"/>
        <w:sectPr>
          <w:headerReference w:type="default" r:id="rId38"/>
          <w:pgSz w:w="11910" w:h="16840"/>
          <w:pgMar w:top="1180" w:right="540" w:bottom="280" w:left="680" w:header="993" w:footer="0" w:gutter="0"/>
          <w:pgNumType w:start="33"/>
          <w:cols w:space="708"/>
        </w:sectPr>
      </w:pPr>
    </w:p>
    <w:p>
      <w:pPr>
        <w:pStyle w:val="BodyText"/>
        <w:spacing w:before="54"/>
      </w:pPr>
      <w:r>
        <w:t>【答案】B</w:t>
      </w:r>
    </w:p>
    <w:p>
      <w:pPr>
        <w:pStyle w:val="BodyText"/>
        <w:spacing w:before="103" w:line="333" w:lineRule="auto"/>
        <w:ind w:right="367"/>
      </w:pPr>
      <w:r>
        <w:pict>
          <v:shape id="docshape79" o:spid="_x0000_s1098" type="#_x0000_t202" style="width:82.8pt;height:19.9pt;margin-top:45.65pt;margin-left:48.3pt;mso-height-relative:page;mso-position-horizontal-relative:page;mso-width-relative:page;mso-wrap-distance-bottom:0;mso-wrap-distance-top:0;position:absolute;z-index:-251581440" coordsize="21600,21600" filled="f" stroked="t" strokecolor="black">
            <v:textbox inset="0,0,0,0">
              <w:txbxContent>
                <w:p>
                  <w:pPr>
                    <w:spacing w:before="3" w:line="306" w:lineRule="exact"/>
                    <w:ind w:left="1" w:right="0" w:firstLine="0"/>
                    <w:jc w:val="left"/>
                    <w:rPr>
                      <w:b/>
                      <w:sz w:val="24"/>
                    </w:rPr>
                  </w:pPr>
                  <w:r>
                    <w:rPr>
                      <w:b/>
                      <w:sz w:val="24"/>
                    </w:rPr>
                    <w:t>重要考点·36</w:t>
                  </w:r>
                </w:p>
              </w:txbxContent>
            </v:textbox>
            <w10:wrap type="topAndBottom"/>
          </v:shape>
        </w:pict>
      </w:r>
      <w:r>
        <w:rPr>
          <w:spacing w:val="1"/>
          <w:w w:val="95"/>
        </w:rPr>
        <w:t xml:space="preserve">【解析】选项 </w:t>
      </w:r>
      <w:r>
        <w:rPr>
          <w:w w:val="95"/>
        </w:rPr>
        <w:t>A</w:t>
      </w:r>
      <w:r>
        <w:rPr>
          <w:spacing w:val="1"/>
          <w:w w:val="95"/>
        </w:rPr>
        <w:t xml:space="preserve"> 错误，有限责任公司由 </w:t>
      </w:r>
      <w:r>
        <w:rPr>
          <w:w w:val="95"/>
        </w:rPr>
        <w:t>50</w:t>
      </w:r>
      <w:r>
        <w:rPr>
          <w:spacing w:val="1"/>
          <w:w w:val="95"/>
        </w:rPr>
        <w:t xml:space="preserve"> 个以下股东出资设立。选项 </w:t>
      </w:r>
      <w:r>
        <w:rPr>
          <w:w w:val="95"/>
        </w:rPr>
        <w:t>C 错误，有限责任公司可以设经理，由董</w:t>
      </w:r>
      <w:r>
        <w:rPr>
          <w:spacing w:val="-3"/>
          <w:w w:val="95"/>
        </w:rPr>
        <w:t xml:space="preserve">事会决定聘任或者解聘。选项 </w:t>
      </w:r>
      <w:r>
        <w:rPr>
          <w:w w:val="95"/>
        </w:rPr>
        <w:t>D</w:t>
      </w:r>
      <w:r>
        <w:rPr>
          <w:spacing w:val="-9"/>
          <w:w w:val="95"/>
        </w:rPr>
        <w:t xml:space="preserve"> 错误，有限责任公司设监事会，其成员不得少于 </w:t>
      </w:r>
      <w:r>
        <w:rPr>
          <w:w w:val="95"/>
        </w:rPr>
        <w:t>3</w:t>
      </w:r>
      <w:r>
        <w:rPr>
          <w:spacing w:val="-14"/>
          <w:w w:val="95"/>
        </w:rPr>
        <w:t xml:space="preserve"> 人。</w:t>
      </w:r>
    </w:p>
    <w:p>
      <w:pPr>
        <w:pStyle w:val="BodyText"/>
        <w:spacing w:before="7"/>
        <w:ind w:left="0"/>
        <w:rPr>
          <w:sz w:val="7"/>
        </w:rPr>
      </w:pPr>
    </w:p>
    <w:p>
      <w:pPr>
        <w:pStyle w:val="BodyText"/>
        <w:spacing w:before="70"/>
      </w:pPr>
      <w:r>
        <w:t>一、工程监理企业经营活动准则</w:t>
      </w:r>
    </w:p>
    <w:p>
      <w:pPr>
        <w:pStyle w:val="BodyText"/>
        <w:spacing w:before="103"/>
      </w:pPr>
      <w:r>
        <w:t>（一）守法</w:t>
      </w:r>
    </w:p>
    <w:p>
      <w:pPr>
        <w:pStyle w:val="BodyText"/>
        <w:spacing w:before="105"/>
      </w:pPr>
      <w:r>
        <w:t>守法，即遵守法律法规。对于工程监理企业而言，守法就是要依法经营，主要体现在以下几方面：</w:t>
      </w:r>
    </w:p>
    <w:p>
      <w:pPr>
        <w:pStyle w:val="ListParagraph"/>
        <w:numPr>
          <w:ilvl w:val="0"/>
          <w:numId w:val="59"/>
        </w:numPr>
        <w:tabs>
          <w:tab w:val="left" w:pos="752"/>
        </w:tabs>
        <w:spacing w:before="105" w:after="0" w:line="333" w:lineRule="auto"/>
        <w:ind w:left="227" w:right="367" w:firstLine="0"/>
        <w:jc w:val="left"/>
        <w:rPr>
          <w:sz w:val="21"/>
        </w:rPr>
      </w:pPr>
      <w:r>
        <w:rPr>
          <w:sz w:val="21"/>
        </w:rPr>
        <w:t>自觉遵守相关法律法规及行业自律公约和诚信守则，在核定的资质等级和业务范围内从事监理活动，不得超越资质或挂靠承揽业务。</w:t>
      </w:r>
    </w:p>
    <w:p>
      <w:pPr>
        <w:pStyle w:val="ListParagraph"/>
        <w:numPr>
          <w:ilvl w:val="0"/>
          <w:numId w:val="59"/>
        </w:numPr>
        <w:tabs>
          <w:tab w:val="left" w:pos="752"/>
        </w:tabs>
        <w:spacing w:before="3" w:after="0" w:line="331" w:lineRule="auto"/>
        <w:ind w:left="227" w:right="367" w:firstLine="0"/>
        <w:jc w:val="left"/>
        <w:rPr>
          <w:sz w:val="21"/>
        </w:rPr>
      </w:pPr>
      <w:r>
        <w:rPr>
          <w:w w:val="95"/>
          <w:sz w:val="21"/>
        </w:rPr>
        <w:t>不伪造、涂改、出租、出借、转让、出卖《资质等级证书》及从业人员执业资格证书，不出租、出借企业</w:t>
      </w:r>
      <w:r>
        <w:rPr>
          <w:spacing w:val="86"/>
          <w:w w:val="95"/>
          <w:sz w:val="21"/>
        </w:rPr>
        <w:t xml:space="preserve"> </w:t>
      </w:r>
      <w:r>
        <w:rPr>
          <w:sz w:val="21"/>
        </w:rPr>
        <w:t>相关资信证明，不转让监理业务。</w:t>
      </w:r>
    </w:p>
    <w:p>
      <w:pPr>
        <w:pStyle w:val="ListParagraph"/>
        <w:numPr>
          <w:ilvl w:val="0"/>
          <w:numId w:val="59"/>
        </w:numPr>
        <w:tabs>
          <w:tab w:val="left" w:pos="752"/>
        </w:tabs>
        <w:spacing w:before="4" w:after="0" w:line="333" w:lineRule="auto"/>
        <w:ind w:left="227" w:right="367" w:firstLine="0"/>
        <w:jc w:val="left"/>
        <w:rPr>
          <w:sz w:val="21"/>
        </w:rPr>
      </w:pPr>
      <w:r>
        <w:rPr>
          <w:w w:val="95"/>
          <w:sz w:val="21"/>
        </w:rPr>
        <w:t>在监理投标活动中，坚持诚实信用原则，不弄虚作假，不串标、不围标，不低于成本价参与竞争。公平竞</w:t>
      </w:r>
      <w:r>
        <w:rPr>
          <w:spacing w:val="86"/>
          <w:w w:val="95"/>
          <w:sz w:val="21"/>
        </w:rPr>
        <w:t xml:space="preserve"> </w:t>
      </w:r>
      <w:r>
        <w:rPr>
          <w:sz w:val="21"/>
        </w:rPr>
        <w:t>争，不扰乱市场秩序。</w:t>
      </w:r>
    </w:p>
    <w:p>
      <w:pPr>
        <w:pStyle w:val="ListParagraph"/>
        <w:numPr>
          <w:ilvl w:val="0"/>
          <w:numId w:val="59"/>
        </w:numPr>
        <w:tabs>
          <w:tab w:val="left" w:pos="752"/>
        </w:tabs>
        <w:spacing w:before="1" w:after="0" w:line="336" w:lineRule="auto"/>
        <w:ind w:left="227" w:right="367" w:firstLine="0"/>
        <w:jc w:val="left"/>
        <w:rPr>
          <w:sz w:val="21"/>
        </w:rPr>
      </w:pPr>
      <w:r>
        <w:rPr>
          <w:w w:val="95"/>
          <w:sz w:val="21"/>
        </w:rPr>
        <w:t>依法依规签订建设工程监理合同，不签订有损国家、集体或他人利益的虚假合同或附加条款。严格按照建</w:t>
      </w:r>
      <w:r>
        <w:rPr>
          <w:spacing w:val="86"/>
          <w:w w:val="95"/>
          <w:sz w:val="21"/>
        </w:rPr>
        <w:t xml:space="preserve"> </w:t>
      </w:r>
      <w:r>
        <w:rPr>
          <w:sz w:val="21"/>
        </w:rPr>
        <w:t>设工程监理合同约定履行义务。</w:t>
      </w:r>
    </w:p>
    <w:p>
      <w:pPr>
        <w:pStyle w:val="ListParagraph"/>
        <w:numPr>
          <w:ilvl w:val="0"/>
          <w:numId w:val="59"/>
        </w:numPr>
        <w:tabs>
          <w:tab w:val="left" w:pos="752"/>
        </w:tabs>
        <w:spacing w:before="0" w:after="0" w:line="265" w:lineRule="exact"/>
        <w:ind w:left="751" w:right="0" w:hanging="525"/>
        <w:jc w:val="left"/>
        <w:rPr>
          <w:sz w:val="21"/>
        </w:rPr>
      </w:pPr>
      <w:r>
        <w:rPr>
          <w:sz w:val="21"/>
        </w:rPr>
        <w:t>不与被监理工程的施工及材料、构配件和设备供应单位有隶属关系或其他利害关系，不谋取非法利益。</w:t>
      </w:r>
    </w:p>
    <w:p>
      <w:pPr>
        <w:pStyle w:val="ListParagraph"/>
        <w:numPr>
          <w:ilvl w:val="0"/>
          <w:numId w:val="59"/>
        </w:numPr>
        <w:tabs>
          <w:tab w:val="left" w:pos="752"/>
        </w:tabs>
        <w:spacing w:before="105" w:after="0" w:line="333" w:lineRule="auto"/>
        <w:ind w:left="227" w:right="367" w:firstLine="0"/>
        <w:jc w:val="left"/>
        <w:rPr>
          <w:sz w:val="21"/>
        </w:rPr>
      </w:pPr>
      <w:r>
        <w:rPr>
          <w:w w:val="95"/>
          <w:sz w:val="21"/>
        </w:rPr>
        <w:t>在异地承接监理业务，自觉遵守工程所在地有关规定，主动向工程所在地建设主管部门备案登记，接受其</w:t>
      </w:r>
      <w:r>
        <w:rPr>
          <w:spacing w:val="86"/>
          <w:w w:val="95"/>
          <w:sz w:val="21"/>
        </w:rPr>
        <w:t xml:space="preserve"> </w:t>
      </w:r>
      <w:r>
        <w:rPr>
          <w:sz w:val="21"/>
        </w:rPr>
        <w:t>指导和监督管理。</w:t>
      </w:r>
    </w:p>
    <w:p>
      <w:pPr>
        <w:pStyle w:val="BodyText"/>
        <w:spacing w:before="1"/>
      </w:pPr>
      <w:r>
        <w:rPr>
          <w:w w:val="95"/>
        </w:rPr>
        <w:t>（二）诚信</w:t>
      </w:r>
    </w:p>
    <w:p>
      <w:pPr>
        <w:pStyle w:val="BodyText"/>
        <w:spacing w:before="108" w:line="331" w:lineRule="auto"/>
        <w:ind w:right="367"/>
      </w:pPr>
      <w:r>
        <w:rPr>
          <w:w w:val="95"/>
        </w:rPr>
        <w:t>诚信，即诚实守信。诚信原则的主要作用在于指导当事人以善意的心态、诚信的态度行使民事权利，承担民事</w:t>
      </w:r>
      <w:r>
        <w:rPr>
          <w:spacing w:val="206"/>
        </w:rPr>
        <w:t xml:space="preserve"> </w:t>
      </w:r>
      <w:r>
        <w:t>义务，正确地从事民事活动。</w:t>
      </w:r>
    </w:p>
    <w:p>
      <w:pPr>
        <w:pStyle w:val="BodyText"/>
        <w:spacing w:before="4"/>
      </w:pPr>
      <w:r>
        <w:t>工程监理企业诚信行为主要体现在以下几方面：</w:t>
      </w:r>
    </w:p>
    <w:p>
      <w:pPr>
        <w:pStyle w:val="ListParagraph"/>
        <w:numPr>
          <w:ilvl w:val="0"/>
          <w:numId w:val="60"/>
        </w:numPr>
        <w:tabs>
          <w:tab w:val="left" w:pos="752"/>
        </w:tabs>
        <w:spacing w:before="105" w:after="0" w:line="333" w:lineRule="auto"/>
        <w:ind w:left="227" w:right="367" w:firstLine="0"/>
        <w:jc w:val="left"/>
        <w:rPr>
          <w:sz w:val="21"/>
        </w:rPr>
      </w:pPr>
      <w:r>
        <w:rPr>
          <w:w w:val="95"/>
          <w:sz w:val="21"/>
        </w:rPr>
        <w:t>建立诚信建设制度，激励诚信，惩戒失信。定期进行诚信建设制度实施情况检查考核，及时处理不诚信和</w:t>
      </w:r>
      <w:r>
        <w:rPr>
          <w:spacing w:val="86"/>
          <w:w w:val="95"/>
          <w:sz w:val="21"/>
        </w:rPr>
        <w:t xml:space="preserve"> </w:t>
      </w:r>
      <w:r>
        <w:rPr>
          <w:sz w:val="21"/>
        </w:rPr>
        <w:t>履职不到位人员。</w:t>
      </w:r>
    </w:p>
    <w:p>
      <w:pPr>
        <w:pStyle w:val="ListParagraph"/>
        <w:numPr>
          <w:ilvl w:val="0"/>
          <w:numId w:val="60"/>
        </w:numPr>
        <w:tabs>
          <w:tab w:val="left" w:pos="753"/>
        </w:tabs>
        <w:spacing w:before="3" w:after="0" w:line="331" w:lineRule="auto"/>
        <w:ind w:left="227" w:right="364" w:firstLine="0"/>
        <w:jc w:val="left"/>
        <w:rPr>
          <w:sz w:val="21"/>
        </w:rPr>
      </w:pPr>
      <w:r>
        <w:rPr>
          <w:spacing w:val="-10"/>
          <w:w w:val="95"/>
          <w:sz w:val="21"/>
        </w:rPr>
        <w:t>依据相关法律法规、《建设工程监理规范》及合同约定，组建监理机构和派遣监理人员，配备必要的设备</w:t>
      </w:r>
      <w:r>
        <w:rPr>
          <w:spacing w:val="184"/>
          <w:sz w:val="21"/>
        </w:rPr>
        <w:t xml:space="preserve"> </w:t>
      </w:r>
      <w:r>
        <w:rPr>
          <w:sz w:val="21"/>
        </w:rPr>
        <w:t>设施，开展工程监理工作。</w:t>
      </w:r>
    </w:p>
    <w:p>
      <w:pPr>
        <w:pStyle w:val="ListParagraph"/>
        <w:numPr>
          <w:ilvl w:val="0"/>
          <w:numId w:val="60"/>
        </w:numPr>
        <w:tabs>
          <w:tab w:val="left" w:pos="752"/>
        </w:tabs>
        <w:spacing w:before="6" w:after="0" w:line="331" w:lineRule="auto"/>
        <w:ind w:left="227" w:right="367" w:firstLine="0"/>
        <w:jc w:val="left"/>
        <w:rPr>
          <w:sz w:val="21"/>
        </w:rPr>
      </w:pPr>
      <w:r>
        <w:rPr>
          <w:w w:val="95"/>
          <w:sz w:val="21"/>
        </w:rPr>
        <w:t>不弄虚作假、降低工程质量，不将不合格的建设工程、建筑材料、建筑构配件和设备按照合格签字，不以</w:t>
      </w:r>
      <w:r>
        <w:rPr>
          <w:spacing w:val="86"/>
          <w:w w:val="95"/>
          <w:sz w:val="21"/>
        </w:rPr>
        <w:t xml:space="preserve"> </w:t>
      </w:r>
      <w:r>
        <w:rPr>
          <w:sz w:val="21"/>
        </w:rPr>
        <w:t>索、拿、卡、要等手段向建设单位、施工单位谋取不当利益，不以虚假行为损害工程建设各方合法权益。</w:t>
      </w:r>
    </w:p>
    <w:p>
      <w:pPr>
        <w:pStyle w:val="ListParagraph"/>
        <w:numPr>
          <w:ilvl w:val="0"/>
          <w:numId w:val="60"/>
        </w:numPr>
        <w:tabs>
          <w:tab w:val="left" w:pos="752"/>
        </w:tabs>
        <w:spacing w:before="4" w:after="0" w:line="240" w:lineRule="auto"/>
        <w:ind w:left="751" w:right="0" w:hanging="525"/>
        <w:jc w:val="left"/>
        <w:rPr>
          <w:sz w:val="21"/>
        </w:rPr>
      </w:pPr>
      <w:r>
        <w:rPr>
          <w:w w:val="95"/>
          <w:sz w:val="21"/>
        </w:rPr>
        <w:t>按规定进行检查和验证，按标准进行工程验收，确保工程监理全过程各项资料的真实性、时效性和完整性。</w:t>
      </w:r>
    </w:p>
    <w:p>
      <w:pPr>
        <w:pStyle w:val="ListParagraph"/>
        <w:numPr>
          <w:ilvl w:val="0"/>
          <w:numId w:val="60"/>
        </w:numPr>
        <w:tabs>
          <w:tab w:val="left" w:pos="752"/>
        </w:tabs>
        <w:spacing w:before="108" w:after="0" w:line="331" w:lineRule="auto"/>
        <w:ind w:left="227" w:right="261" w:firstLine="0"/>
        <w:jc w:val="left"/>
        <w:rPr>
          <w:sz w:val="21"/>
        </w:rPr>
      </w:pPr>
      <w:r>
        <w:rPr>
          <w:spacing w:val="-1"/>
          <w:sz w:val="21"/>
        </w:rPr>
        <w:t>加强内部管理，建立企业内部信用管理责任制度，开展廉洁执业教育，及时检查和评估企业信用实施情况</w:t>
      </w:r>
      <w:r>
        <w:rPr>
          <w:sz w:val="21"/>
        </w:rPr>
        <w:t>，健全服务质量考评体系和信用评价体系，不断提高企业信用管理水平。</w:t>
      </w:r>
    </w:p>
    <w:p>
      <w:pPr>
        <w:pStyle w:val="ListParagraph"/>
        <w:numPr>
          <w:ilvl w:val="0"/>
          <w:numId w:val="60"/>
        </w:numPr>
        <w:tabs>
          <w:tab w:val="left" w:pos="752"/>
        </w:tabs>
        <w:spacing w:before="6" w:after="0" w:line="240" w:lineRule="auto"/>
        <w:ind w:left="751" w:right="0" w:hanging="525"/>
        <w:jc w:val="left"/>
        <w:rPr>
          <w:sz w:val="21"/>
        </w:rPr>
      </w:pPr>
      <w:r>
        <w:rPr>
          <w:sz w:val="21"/>
        </w:rPr>
        <w:t>履行保密义务，不泄露商业秘密及保密工程的相关情况。</w:t>
      </w:r>
    </w:p>
    <w:p>
      <w:pPr>
        <w:pStyle w:val="ListParagraph"/>
        <w:numPr>
          <w:ilvl w:val="0"/>
          <w:numId w:val="60"/>
        </w:numPr>
        <w:tabs>
          <w:tab w:val="left" w:pos="752"/>
        </w:tabs>
        <w:spacing w:before="103" w:after="0" w:line="240" w:lineRule="auto"/>
        <w:ind w:left="751" w:right="0" w:hanging="525"/>
        <w:jc w:val="left"/>
        <w:rPr>
          <w:sz w:val="21"/>
        </w:rPr>
      </w:pPr>
      <w:r>
        <w:rPr>
          <w:sz w:val="21"/>
        </w:rPr>
        <w:t>不用虚假资料申报各类奖项、荣誉，不参与非法社团组织的各类评奖等活动。</w:t>
      </w:r>
    </w:p>
    <w:p>
      <w:pPr>
        <w:pStyle w:val="ListParagraph"/>
        <w:numPr>
          <w:ilvl w:val="0"/>
          <w:numId w:val="60"/>
        </w:numPr>
        <w:tabs>
          <w:tab w:val="left" w:pos="752"/>
        </w:tabs>
        <w:spacing w:before="105" w:after="0" w:line="240" w:lineRule="auto"/>
        <w:ind w:left="751" w:right="0" w:hanging="525"/>
        <w:jc w:val="left"/>
        <w:rPr>
          <w:sz w:val="21"/>
        </w:rPr>
      </w:pPr>
      <w:r>
        <w:rPr>
          <w:sz w:val="21"/>
        </w:rPr>
        <w:t>积极承担社会责任，践行社会公德，确保监理服务质量，维护国家和公众利益。</w:t>
      </w:r>
    </w:p>
    <w:p>
      <w:pPr>
        <w:pStyle w:val="ListParagraph"/>
        <w:numPr>
          <w:ilvl w:val="0"/>
          <w:numId w:val="60"/>
        </w:numPr>
        <w:tabs>
          <w:tab w:val="left" w:pos="752"/>
        </w:tabs>
        <w:spacing w:before="108" w:after="0" w:line="240" w:lineRule="auto"/>
        <w:ind w:left="751" w:right="0" w:hanging="525"/>
        <w:jc w:val="left"/>
        <w:rPr>
          <w:sz w:val="21"/>
        </w:rPr>
      </w:pPr>
      <w:r>
        <w:rPr>
          <w:sz w:val="21"/>
        </w:rPr>
        <w:t>自觉践行自律公约，接受政府主管部门对监理工作的监督检查。</w:t>
      </w:r>
    </w:p>
    <w:p>
      <w:pPr>
        <w:pStyle w:val="BodyText"/>
        <w:spacing w:before="103"/>
      </w:pPr>
      <w:r>
        <w:t>（三）公平</w:t>
      </w:r>
    </w:p>
    <w:p>
      <w:pPr>
        <w:pStyle w:val="BodyText"/>
        <w:spacing w:before="108" w:line="331" w:lineRule="auto"/>
        <w:ind w:right="367"/>
      </w:pPr>
      <w:r>
        <w:rPr>
          <w:w w:val="95"/>
        </w:rPr>
        <w:t>公平是指工程监理企业在监理活动中既要维护建设单位利益，又不能损害施工单位合法权益，并依据合同公平</w:t>
      </w:r>
      <w:r>
        <w:rPr>
          <w:spacing w:val="206"/>
        </w:rPr>
        <w:t xml:space="preserve"> </w:t>
      </w:r>
      <w:r>
        <w:t>合理地处理建设单位与施工单位之间争议。</w:t>
      </w:r>
    </w:p>
    <w:p>
      <w:pPr>
        <w:spacing w:after="0" w:line="331" w:lineRule="auto"/>
        <w:sectPr>
          <w:headerReference w:type="default" r:id="rId39"/>
          <w:pgSz w:w="11910" w:h="16840"/>
          <w:pgMar w:top="1180" w:right="540" w:bottom="280" w:left="680" w:header="993" w:footer="0" w:gutter="0"/>
          <w:pgNumType w:start="34"/>
          <w:cols w:space="708"/>
        </w:sectPr>
      </w:pPr>
    </w:p>
    <w:p>
      <w:pPr>
        <w:pStyle w:val="BodyText"/>
        <w:spacing w:before="54"/>
      </w:pPr>
      <w:r>
        <w:t>工程监理企业要做到公平，必须做到以下几点：</w:t>
      </w:r>
    </w:p>
    <w:p>
      <w:pPr>
        <w:pStyle w:val="ListParagraph"/>
        <w:numPr>
          <w:ilvl w:val="0"/>
          <w:numId w:val="61"/>
        </w:numPr>
        <w:tabs>
          <w:tab w:val="left" w:pos="752"/>
        </w:tabs>
        <w:spacing w:before="103" w:after="0" w:line="240" w:lineRule="auto"/>
        <w:ind w:left="751" w:right="0" w:hanging="525"/>
        <w:jc w:val="left"/>
        <w:rPr>
          <w:sz w:val="21"/>
        </w:rPr>
      </w:pPr>
      <w:r>
        <w:rPr>
          <w:sz w:val="21"/>
        </w:rPr>
        <w:t>要具有良好的职业道德；</w:t>
      </w:r>
    </w:p>
    <w:p>
      <w:pPr>
        <w:pStyle w:val="ListParagraph"/>
        <w:numPr>
          <w:ilvl w:val="0"/>
          <w:numId w:val="61"/>
        </w:numPr>
        <w:tabs>
          <w:tab w:val="left" w:pos="752"/>
        </w:tabs>
        <w:spacing w:before="105" w:after="0" w:line="240" w:lineRule="auto"/>
        <w:ind w:left="751" w:right="0" w:hanging="525"/>
        <w:jc w:val="left"/>
        <w:rPr>
          <w:sz w:val="21"/>
        </w:rPr>
      </w:pPr>
      <w:r>
        <w:rPr>
          <w:sz w:val="21"/>
        </w:rPr>
        <w:t>要坚持实事求是；</w:t>
      </w:r>
    </w:p>
    <w:p>
      <w:pPr>
        <w:pStyle w:val="ListParagraph"/>
        <w:numPr>
          <w:ilvl w:val="0"/>
          <w:numId w:val="61"/>
        </w:numPr>
        <w:tabs>
          <w:tab w:val="left" w:pos="752"/>
        </w:tabs>
        <w:spacing w:before="108" w:after="0" w:line="240" w:lineRule="auto"/>
        <w:ind w:left="751" w:right="0" w:hanging="525"/>
        <w:jc w:val="left"/>
        <w:rPr>
          <w:sz w:val="21"/>
        </w:rPr>
      </w:pPr>
      <w:r>
        <w:rPr>
          <w:sz w:val="21"/>
        </w:rPr>
        <w:t>要熟悉建设工程合同有关条款；</w:t>
      </w:r>
    </w:p>
    <w:p>
      <w:pPr>
        <w:pStyle w:val="ListParagraph"/>
        <w:numPr>
          <w:ilvl w:val="0"/>
          <w:numId w:val="61"/>
        </w:numPr>
        <w:tabs>
          <w:tab w:val="left" w:pos="752"/>
        </w:tabs>
        <w:spacing w:before="103" w:after="0" w:line="240" w:lineRule="auto"/>
        <w:ind w:left="751" w:right="0" w:hanging="525"/>
        <w:jc w:val="left"/>
        <w:rPr>
          <w:sz w:val="21"/>
        </w:rPr>
      </w:pPr>
      <w:r>
        <w:rPr>
          <w:sz w:val="21"/>
        </w:rPr>
        <w:t>要提高专业技术能力；</w:t>
      </w:r>
    </w:p>
    <w:p>
      <w:pPr>
        <w:pStyle w:val="ListParagraph"/>
        <w:numPr>
          <w:ilvl w:val="0"/>
          <w:numId w:val="61"/>
        </w:numPr>
        <w:tabs>
          <w:tab w:val="left" w:pos="752"/>
        </w:tabs>
        <w:spacing w:before="108" w:after="0" w:line="240" w:lineRule="auto"/>
        <w:ind w:left="751" w:right="0" w:hanging="525"/>
        <w:jc w:val="left"/>
        <w:rPr>
          <w:sz w:val="21"/>
        </w:rPr>
      </w:pPr>
      <w:r>
        <w:rPr>
          <w:sz w:val="21"/>
        </w:rPr>
        <w:t>要提高综合分析判断问题的能力。</w:t>
      </w:r>
    </w:p>
    <w:p>
      <w:pPr>
        <w:pStyle w:val="BodyText"/>
        <w:spacing w:before="103"/>
      </w:pPr>
      <w:r>
        <w:t>（四）科学</w:t>
      </w:r>
    </w:p>
    <w:p>
      <w:pPr>
        <w:pStyle w:val="BodyText"/>
        <w:spacing w:before="105" w:line="336" w:lineRule="auto"/>
        <w:ind w:right="6467"/>
      </w:pPr>
      <w:r>
        <w:rPr>
          <w:w w:val="95"/>
        </w:rPr>
        <w:t>实施科学化管理主要体现在以下几个方面：</w:t>
      </w:r>
      <w:r>
        <w:rPr>
          <w:spacing w:val="1"/>
          <w:w w:val="95"/>
        </w:rPr>
        <w:t xml:space="preserve"> </w:t>
      </w:r>
      <w:r>
        <w:t>1.科学的方案</w:t>
      </w:r>
    </w:p>
    <w:p>
      <w:pPr>
        <w:pStyle w:val="BodyText"/>
        <w:spacing w:line="333" w:lineRule="auto"/>
        <w:ind w:right="5419"/>
      </w:pPr>
      <w:r>
        <w:rPr>
          <w:w w:val="95"/>
        </w:rPr>
        <w:t>建设工程监理方案主要是指监理规划和监理实施细则。</w:t>
      </w:r>
      <w:r>
        <w:rPr>
          <w:spacing w:val="1"/>
          <w:w w:val="95"/>
        </w:rPr>
        <w:t xml:space="preserve"> </w:t>
      </w:r>
      <w:r>
        <w:t>2.科学的手段</w:t>
      </w:r>
    </w:p>
    <w:p>
      <w:pPr>
        <w:pStyle w:val="BodyText"/>
        <w:spacing w:line="333" w:lineRule="auto"/>
        <w:ind w:right="4159"/>
      </w:pPr>
      <w:r>
        <w:rPr>
          <w:w w:val="95"/>
        </w:rPr>
        <w:t>实施建设工程监理，必须借助于先进的科学仪器才能做好监理工作。</w:t>
      </w:r>
      <w:r>
        <w:rPr>
          <w:spacing w:val="10"/>
          <w:w w:val="95"/>
        </w:rPr>
        <w:t xml:space="preserve"> </w:t>
      </w:r>
      <w:r>
        <w:t>3.科学的方法</w:t>
      </w:r>
    </w:p>
    <w:p>
      <w:pPr>
        <w:pStyle w:val="BodyText"/>
        <w:spacing w:line="333" w:lineRule="auto"/>
        <w:ind w:right="367"/>
        <w:jc w:val="both"/>
      </w:pPr>
      <w:r>
        <w:rPr>
          <w:w w:val="95"/>
        </w:rPr>
        <w:t>监理工作的科学方法主要体现在监理人员在掌握大量、确凿的有关监理对象及其外部环境实际情况的基础上，</w:t>
      </w:r>
      <w:r>
        <w:rPr>
          <w:spacing w:val="216"/>
        </w:rPr>
        <w:t xml:space="preserve"> </w:t>
      </w:r>
      <w:r>
        <w:rPr>
          <w:w w:val="95"/>
        </w:rPr>
        <w:t>适时、妥帖、高效地处理有关问题，解决问题要用事实说话、用书面文字说话、用数据说话；要开发、利用计</w:t>
      </w:r>
      <w:r>
        <w:rPr>
          <w:spacing w:val="206"/>
        </w:rPr>
        <w:t xml:space="preserve"> </w:t>
      </w:r>
      <w:r>
        <w:t>算机信息平台和软件辅助建设工程监理。</w:t>
      </w:r>
    </w:p>
    <w:p>
      <w:pPr>
        <w:pStyle w:val="BodyText"/>
        <w:spacing w:line="268" w:lineRule="exact"/>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【记忆方法】根据各自特点进行掌握</w:t>
      </w:r>
    </w:p>
    <w:p>
      <w:pPr>
        <w:pStyle w:val="BodyText"/>
        <w:spacing w:before="8"/>
        <w:ind w:left="0"/>
        <w:rPr>
          <w:sz w:val="7"/>
        </w:rPr>
      </w:pPr>
      <w:r>
        <w:pict>
          <v:shape id="docshape80" o:spid="_x0000_s1099" type="#_x0000_t202" style="width:82.8pt;height:19.9pt;margin-top:8.35pt;margin-left:48.3pt;mso-height-relative:page;mso-position-horizontal-relative:page;mso-width-relative:page;mso-wrap-distance-bottom:0;mso-wrap-distance-top:0;position:absolute;z-index:-251580416" coordsize="21600,21600" filled="f" stroked="t" strokecolor="black">
            <v:textbox inset="0,0,0,0">
              <w:txbxContent>
                <w:p>
                  <w:pPr>
                    <w:spacing w:before="3" w:line="306" w:lineRule="exact"/>
                    <w:ind w:left="1" w:right="0" w:firstLine="0"/>
                    <w:jc w:val="left"/>
                    <w:rPr>
                      <w:b/>
                      <w:sz w:val="24"/>
                    </w:rPr>
                  </w:pPr>
                  <w:r>
                    <w:rPr>
                      <w:b/>
                      <w:sz w:val="24"/>
                    </w:rPr>
                    <w:t>精选习题·36</w:t>
                  </w:r>
                </w:p>
              </w:txbxContent>
            </v:textbox>
            <w10:wrap type="topAndBottom"/>
          </v:shape>
        </w:pict>
      </w:r>
    </w:p>
    <w:p>
      <w:pPr>
        <w:pStyle w:val="BodyText"/>
        <w:spacing w:before="7"/>
        <w:ind w:left="0"/>
        <w:rPr>
          <w:sz w:val="7"/>
        </w:rPr>
      </w:pPr>
    </w:p>
    <w:p>
      <w:pPr>
        <w:pStyle w:val="BodyText"/>
        <w:tabs>
          <w:tab w:val="left" w:pos="5895"/>
        </w:tabs>
        <w:spacing w:before="70" w:line="331" w:lineRule="auto"/>
        <w:ind w:left="647" w:right="4473" w:hanging="420"/>
      </w:pPr>
      <w:r>
        <w:t>【2022】关于工程监理企业诚信行为的说法，正确的有（</w:t>
      </w:r>
      <w:r>
        <w:tab/>
      </w:r>
      <w:r>
        <w:rPr>
          <w:spacing w:val="-104"/>
        </w:rPr>
        <w:t>）</w:t>
      </w:r>
      <w:r>
        <w:rPr>
          <w:spacing w:val="-2"/>
        </w:rPr>
        <w:t>。</w:t>
      </w:r>
      <w:r>
        <w:t>A.依法依规签订建设工程监理合同</w:t>
      </w:r>
    </w:p>
    <w:p>
      <w:pPr>
        <w:pStyle w:val="ListParagraph"/>
        <w:numPr>
          <w:ilvl w:val="0"/>
          <w:numId w:val="62"/>
        </w:numPr>
        <w:tabs>
          <w:tab w:val="left" w:pos="859"/>
        </w:tabs>
        <w:spacing w:before="3" w:after="0" w:line="240" w:lineRule="auto"/>
        <w:ind w:left="858" w:right="0" w:hanging="212"/>
        <w:jc w:val="left"/>
        <w:rPr>
          <w:sz w:val="21"/>
        </w:rPr>
      </w:pPr>
      <w:r>
        <w:rPr>
          <w:sz w:val="21"/>
        </w:rPr>
        <w:t>不以虚假行为损害工程建设各方合法权益</w:t>
      </w:r>
    </w:p>
    <w:p>
      <w:pPr>
        <w:pStyle w:val="ListParagraph"/>
        <w:numPr>
          <w:ilvl w:val="0"/>
          <w:numId w:val="62"/>
        </w:numPr>
        <w:tabs>
          <w:tab w:val="left" w:pos="859"/>
        </w:tabs>
        <w:spacing w:before="106" w:after="0" w:line="240" w:lineRule="auto"/>
        <w:ind w:left="858" w:right="0" w:hanging="212"/>
        <w:jc w:val="left"/>
        <w:rPr>
          <w:sz w:val="21"/>
        </w:rPr>
      </w:pPr>
      <w:r>
        <w:rPr>
          <w:sz w:val="21"/>
        </w:rPr>
        <w:t>按规定进行检查和验证，按标准进行工程验收</w:t>
      </w:r>
    </w:p>
    <w:p>
      <w:pPr>
        <w:pStyle w:val="ListParagraph"/>
        <w:numPr>
          <w:ilvl w:val="0"/>
          <w:numId w:val="62"/>
        </w:numPr>
        <w:tabs>
          <w:tab w:val="left" w:pos="859"/>
        </w:tabs>
        <w:spacing w:before="105" w:after="0" w:line="336" w:lineRule="auto"/>
        <w:ind w:left="647" w:right="4999" w:firstLine="0"/>
        <w:jc w:val="left"/>
        <w:rPr>
          <w:sz w:val="21"/>
        </w:rPr>
      </w:pPr>
      <w:r>
        <w:rPr>
          <w:w w:val="95"/>
          <w:sz w:val="21"/>
        </w:rPr>
        <w:t>履行保密义务，不泄露商业秘密及保密工程相关情况</w:t>
      </w:r>
      <w:r>
        <w:rPr>
          <w:spacing w:val="1"/>
          <w:w w:val="95"/>
          <w:sz w:val="21"/>
        </w:rPr>
        <w:t xml:space="preserve"> </w:t>
      </w:r>
      <w:r>
        <w:rPr>
          <w:sz w:val="21"/>
        </w:rPr>
        <w:t>E.编制切实可行的监理规划和监理实施细则</w:t>
      </w:r>
    </w:p>
    <w:p>
      <w:pPr>
        <w:pStyle w:val="BodyText"/>
        <w:spacing w:line="265" w:lineRule="exact"/>
      </w:pPr>
      <w:r>
        <w:t>【答案】BCD</w:t>
      </w:r>
    </w:p>
    <w:p>
      <w:pPr>
        <w:pStyle w:val="BodyText"/>
        <w:spacing w:before="108"/>
      </w:pPr>
      <w:r>
        <w:rPr>
          <w:spacing w:val="-2"/>
          <w:w w:val="95"/>
        </w:rPr>
        <w:t xml:space="preserve">【解析】选项 </w:t>
      </w:r>
      <w:r>
        <w:rPr>
          <w:w w:val="95"/>
        </w:rPr>
        <w:t>A</w:t>
      </w:r>
      <w:r>
        <w:rPr>
          <w:spacing w:val="-5"/>
          <w:w w:val="95"/>
        </w:rPr>
        <w:t xml:space="preserve"> 属于守法，选项 </w:t>
      </w:r>
      <w:r>
        <w:rPr>
          <w:w w:val="95"/>
        </w:rPr>
        <w:t>E</w:t>
      </w:r>
      <w:r>
        <w:rPr>
          <w:spacing w:val="-4"/>
          <w:w w:val="95"/>
        </w:rPr>
        <w:t xml:space="preserve"> 属于科学。</w:t>
      </w:r>
    </w:p>
    <w:p>
      <w:pPr>
        <w:pStyle w:val="BodyText"/>
        <w:spacing w:before="5"/>
        <w:ind w:left="0"/>
        <w:rPr>
          <w:sz w:val="7"/>
        </w:rPr>
      </w:pPr>
      <w:r>
        <w:pict>
          <v:shape id="docshape81" o:spid="_x0000_s1100" type="#_x0000_t202" style="width:82.8pt;height:19.9pt;margin-top:8.2pt;margin-left:48.3pt;mso-height-relative:page;mso-position-horizontal-relative:page;mso-width-relative:page;mso-wrap-distance-bottom:0;mso-wrap-distance-top:0;position:absolute;z-index:-251579392" coordsize="21600,21600" filled="f" stroked="t" strokecolor="black">
            <v:textbox inset="0,0,0,0">
              <w:txbxContent>
                <w:p>
                  <w:pPr>
                    <w:spacing w:before="3" w:line="306" w:lineRule="exact"/>
                    <w:ind w:left="1" w:right="0" w:firstLine="0"/>
                    <w:jc w:val="left"/>
                    <w:rPr>
                      <w:b/>
                      <w:sz w:val="24"/>
                    </w:rPr>
                  </w:pPr>
                  <w:r>
                    <w:rPr>
                      <w:b/>
                      <w:sz w:val="24"/>
                    </w:rPr>
                    <w:t>重要考点·37</w:t>
                  </w:r>
                </w:p>
              </w:txbxContent>
            </v:textbox>
            <w10:wrap type="topAndBottom"/>
          </v:shape>
        </w:pict>
      </w:r>
    </w:p>
    <w:p>
      <w:pPr>
        <w:pStyle w:val="BodyText"/>
        <w:spacing w:before="5"/>
        <w:ind w:left="0"/>
        <w:rPr>
          <w:sz w:val="7"/>
        </w:rPr>
      </w:pPr>
    </w:p>
    <w:p>
      <w:pPr>
        <w:pStyle w:val="BodyText"/>
        <w:spacing w:before="69"/>
      </w:pPr>
      <w:r>
        <w:rPr>
          <w:w w:val="95"/>
        </w:rPr>
        <w:t>1.监理工程师资格考试科目及报考条件</w:t>
      </w:r>
    </w:p>
    <w:p>
      <w:pPr>
        <w:pStyle w:val="ListParagraph"/>
        <w:numPr>
          <w:ilvl w:val="0"/>
          <w:numId w:val="63"/>
        </w:numPr>
        <w:tabs>
          <w:tab w:val="left" w:pos="752"/>
        </w:tabs>
        <w:spacing w:before="106" w:after="0" w:line="240" w:lineRule="auto"/>
        <w:ind w:left="751" w:right="0" w:hanging="525"/>
        <w:jc w:val="left"/>
        <w:rPr>
          <w:sz w:val="21"/>
        </w:rPr>
      </w:pPr>
      <w:r>
        <w:rPr>
          <w:w w:val="95"/>
          <w:sz w:val="21"/>
        </w:rPr>
        <w:t>监理工程师资格考试科目</w:t>
      </w:r>
    </w:p>
    <w:p>
      <w:pPr>
        <w:pStyle w:val="BodyText"/>
        <w:spacing w:before="107" w:line="331" w:lineRule="auto"/>
        <w:ind w:right="367"/>
      </w:pPr>
      <w:r>
        <w:rPr>
          <w:spacing w:val="4"/>
          <w:w w:val="95"/>
        </w:rPr>
        <w:t xml:space="preserve">监理工程师职业资格考试成绩实行 </w:t>
      </w:r>
      <w:r>
        <w:rPr>
          <w:w w:val="95"/>
        </w:rPr>
        <w:t>4</w:t>
      </w:r>
      <w:r>
        <w:rPr>
          <w:spacing w:val="2"/>
          <w:w w:val="95"/>
        </w:rPr>
        <w:t xml:space="preserve"> 年为一个周期的滚动管理办法，在连续的 </w:t>
      </w:r>
      <w:r>
        <w:rPr>
          <w:w w:val="95"/>
        </w:rPr>
        <w:t>4 个考试年度内通过全部考试科</w:t>
      </w:r>
      <w:r>
        <w:t>目，方可取得监理工程师职业资格证书。</w:t>
      </w:r>
    </w:p>
    <w:p>
      <w:pPr>
        <w:pStyle w:val="BodyText"/>
        <w:spacing w:before="7" w:line="331" w:lineRule="auto"/>
        <w:ind w:right="367"/>
      </w:pPr>
      <w:r>
        <w:rPr>
          <w:w w:val="95"/>
        </w:rPr>
        <w:t>已取得监理工程师一种专业职业格证书的人员，报名参加其他专业科目考试的，可免考基础科目。免考基础科</w:t>
      </w:r>
      <w:r>
        <w:rPr>
          <w:spacing w:val="216"/>
        </w:rPr>
        <w:t xml:space="preserve"> </w:t>
      </w:r>
      <w:r>
        <w:rPr>
          <w:spacing w:val="-2"/>
          <w:w w:val="95"/>
        </w:rPr>
        <w:t xml:space="preserve">目和增加专业类别的人员，专业科目成绩按照 </w:t>
      </w:r>
      <w:r>
        <w:rPr>
          <w:w w:val="95"/>
        </w:rPr>
        <w:t>2</w:t>
      </w:r>
      <w:r>
        <w:rPr>
          <w:spacing w:val="-7"/>
          <w:w w:val="95"/>
        </w:rPr>
        <w:t xml:space="preserve"> 年为一个周期滚动管理。</w:t>
      </w:r>
    </w:p>
    <w:p>
      <w:pPr>
        <w:pStyle w:val="ListParagraph"/>
        <w:numPr>
          <w:ilvl w:val="0"/>
          <w:numId w:val="63"/>
        </w:numPr>
        <w:tabs>
          <w:tab w:val="left" w:pos="752"/>
        </w:tabs>
        <w:spacing w:before="3" w:after="55" w:line="240" w:lineRule="auto"/>
        <w:ind w:left="751" w:right="0" w:hanging="525"/>
        <w:jc w:val="left"/>
        <w:rPr>
          <w:sz w:val="21"/>
        </w:rPr>
      </w:pPr>
      <w:r>
        <w:rPr>
          <w:sz w:val="21"/>
        </w:rPr>
        <w:t>监理工程师职业资格报考条件</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114"/>
        <w:gridCol w:w="3861"/>
        <w:gridCol w:w="3463"/>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0"/>
        </w:trPr>
        <w:tc>
          <w:tcPr>
            <w:tcW w:w="3114" w:type="dxa"/>
          </w:tcPr>
          <w:p>
            <w:pPr>
              <w:pStyle w:val="TableParagraph"/>
              <w:spacing w:before="67"/>
              <w:ind w:left="1114" w:right="1108"/>
              <w:jc w:val="center"/>
              <w:rPr>
                <w:sz w:val="21"/>
              </w:rPr>
            </w:pPr>
            <w:r>
              <w:rPr>
                <w:sz w:val="21"/>
              </w:rPr>
              <w:t>专业</w:t>
            </w:r>
          </w:p>
        </w:tc>
        <w:tc>
          <w:tcPr>
            <w:tcW w:w="3861" w:type="dxa"/>
          </w:tcPr>
          <w:p>
            <w:pPr>
              <w:pStyle w:val="TableParagraph"/>
              <w:spacing w:before="67"/>
              <w:ind w:left="753" w:right="748"/>
              <w:jc w:val="center"/>
              <w:rPr>
                <w:sz w:val="21"/>
              </w:rPr>
            </w:pPr>
            <w:r>
              <w:rPr>
                <w:sz w:val="21"/>
              </w:rPr>
              <w:t>学历</w:t>
            </w:r>
          </w:p>
        </w:tc>
        <w:tc>
          <w:tcPr>
            <w:tcW w:w="3463" w:type="dxa"/>
          </w:tcPr>
          <w:p>
            <w:pPr>
              <w:pStyle w:val="TableParagraph"/>
              <w:spacing w:before="67"/>
              <w:ind w:left="868" w:right="864"/>
              <w:jc w:val="center"/>
              <w:rPr>
                <w:sz w:val="21"/>
              </w:rPr>
            </w:pPr>
            <w:r>
              <w:rPr>
                <w:sz w:val="21"/>
              </w:rPr>
              <w:t>从事工程业务年限</w:t>
            </w:r>
          </w:p>
        </w:tc>
      </w:tr>
      <w:tr>
        <w:tblPrEx>
          <w:tblW w:w="0" w:type="auto"/>
          <w:tblInd w:w="124" w:type="dxa"/>
          <w:tblLayout w:type="fixed"/>
          <w:tblCellMar>
            <w:top w:w="0" w:type="dxa"/>
            <w:left w:w="0" w:type="dxa"/>
            <w:bottom w:w="0" w:type="dxa"/>
            <w:right w:w="0" w:type="dxa"/>
          </w:tblCellMar>
        </w:tblPrEx>
        <w:trPr>
          <w:trHeight w:val="387"/>
        </w:trPr>
        <w:tc>
          <w:tcPr>
            <w:tcW w:w="3114" w:type="dxa"/>
          </w:tcPr>
          <w:p>
            <w:pPr>
              <w:pStyle w:val="TableParagraph"/>
              <w:spacing w:before="65"/>
              <w:ind w:left="1116" w:right="1108"/>
              <w:jc w:val="center"/>
              <w:rPr>
                <w:sz w:val="21"/>
              </w:rPr>
            </w:pPr>
            <w:r>
              <w:rPr>
                <w:sz w:val="21"/>
              </w:rPr>
              <w:t>工程大类</w:t>
            </w:r>
          </w:p>
        </w:tc>
        <w:tc>
          <w:tcPr>
            <w:tcW w:w="3861" w:type="dxa"/>
          </w:tcPr>
          <w:p>
            <w:pPr>
              <w:pStyle w:val="TableParagraph"/>
              <w:spacing w:before="65"/>
              <w:ind w:left="753" w:right="748"/>
              <w:jc w:val="center"/>
              <w:rPr>
                <w:sz w:val="21"/>
              </w:rPr>
            </w:pPr>
            <w:r>
              <w:rPr>
                <w:sz w:val="21"/>
              </w:rPr>
              <w:t>大专（或高等职业教育）</w:t>
            </w:r>
          </w:p>
        </w:tc>
        <w:tc>
          <w:tcPr>
            <w:tcW w:w="3463" w:type="dxa"/>
          </w:tcPr>
          <w:p>
            <w:pPr>
              <w:pStyle w:val="TableParagraph"/>
              <w:spacing w:before="65"/>
              <w:ind w:left="868" w:right="862"/>
              <w:jc w:val="center"/>
              <w:rPr>
                <w:sz w:val="21"/>
              </w:rPr>
            </w:pPr>
            <w:r>
              <w:rPr>
                <w:w w:val="95"/>
                <w:sz w:val="21"/>
              </w:rPr>
              <w:t>4</w:t>
            </w:r>
            <w:r>
              <w:rPr>
                <w:spacing w:val="-22"/>
                <w:w w:val="95"/>
                <w:sz w:val="21"/>
              </w:rPr>
              <w:t xml:space="preserve"> 年</w:t>
            </w:r>
          </w:p>
        </w:tc>
      </w:tr>
    </w:tbl>
    <w:p>
      <w:pPr>
        <w:spacing w:after="0"/>
        <w:jc w:val="center"/>
        <w:rPr>
          <w:sz w:val="21"/>
        </w:rPr>
        <w:sectPr>
          <w:headerReference w:type="default" r:id="rId40"/>
          <w:pgSz w:w="11910" w:h="16840"/>
          <w:pgMar w:top="1180" w:right="540" w:bottom="280" w:left="680" w:header="993" w:footer="0" w:gutter="0"/>
          <w:pgNumType w:start="35"/>
          <w:cols w:space="708"/>
        </w:sectPr>
      </w:pPr>
    </w:p>
    <w:tbl>
      <w:tblPr>
        <w:tblStyle w:val="TableNormal"/>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3114"/>
        <w:gridCol w:w="3861"/>
        <w:gridCol w:w="3463"/>
      </w:tblGrid>
      <w:tr>
        <w:tblPrEx>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386"/>
        </w:trPr>
        <w:tc>
          <w:tcPr>
            <w:tcW w:w="3114" w:type="dxa"/>
            <w:tcBorders>
              <w:left w:val="single" w:sz="4" w:space="0" w:color="000000"/>
              <w:bottom w:val="single" w:sz="4" w:space="0" w:color="000000"/>
              <w:right w:val="single" w:sz="4" w:space="0" w:color="000000"/>
            </w:tcBorders>
          </w:tcPr>
          <w:p>
            <w:pPr>
              <w:pStyle w:val="TableParagraph"/>
              <w:spacing w:before="65"/>
              <w:ind w:left="191"/>
              <w:rPr>
                <w:sz w:val="21"/>
              </w:rPr>
            </w:pPr>
            <w:r>
              <w:rPr>
                <w:sz w:val="21"/>
              </w:rPr>
              <w:t>工学、管理科学与工程类专业</w:t>
            </w:r>
          </w:p>
        </w:tc>
        <w:tc>
          <w:tcPr>
            <w:tcW w:w="3861" w:type="dxa"/>
            <w:tcBorders>
              <w:left w:val="single" w:sz="4" w:space="0" w:color="000000"/>
              <w:bottom w:val="single" w:sz="4" w:space="0" w:color="000000"/>
              <w:right w:val="single" w:sz="4" w:space="0" w:color="000000"/>
            </w:tcBorders>
          </w:tcPr>
          <w:p>
            <w:pPr>
              <w:pStyle w:val="TableParagraph"/>
              <w:spacing w:before="65"/>
              <w:ind w:left="753" w:right="748"/>
              <w:jc w:val="center"/>
              <w:rPr>
                <w:sz w:val="21"/>
              </w:rPr>
            </w:pPr>
            <w:r>
              <w:rPr>
                <w:sz w:val="21"/>
              </w:rPr>
              <w:t>本科</w:t>
            </w:r>
          </w:p>
        </w:tc>
        <w:tc>
          <w:tcPr>
            <w:tcW w:w="3463" w:type="dxa"/>
            <w:tcBorders>
              <w:left w:val="single" w:sz="4" w:space="0" w:color="000000"/>
              <w:bottom w:val="single" w:sz="4" w:space="0" w:color="000000"/>
              <w:right w:val="single" w:sz="4" w:space="0" w:color="000000"/>
            </w:tcBorders>
          </w:tcPr>
          <w:p>
            <w:pPr>
              <w:pStyle w:val="TableParagraph"/>
              <w:spacing w:before="65"/>
              <w:ind w:right="1538"/>
              <w:jc w:val="right"/>
              <w:rPr>
                <w:sz w:val="21"/>
              </w:rPr>
            </w:pPr>
            <w:r>
              <w:rPr>
                <w:w w:val="95"/>
                <w:sz w:val="21"/>
              </w:rPr>
              <w:t>3</w:t>
            </w:r>
            <w:r>
              <w:rPr>
                <w:spacing w:val="-22"/>
                <w:w w:val="95"/>
                <w:sz w:val="21"/>
              </w:rPr>
              <w:t xml:space="preserve"> 年</w:t>
            </w:r>
          </w:p>
        </w:tc>
      </w:tr>
      <w:tr>
        <w:tblPrEx>
          <w:tblW w:w="0" w:type="auto"/>
          <w:tblInd w:w="124" w:type="dxa"/>
          <w:tblLayout w:type="fixed"/>
          <w:tblCellMar>
            <w:top w:w="0" w:type="dxa"/>
            <w:left w:w="0" w:type="dxa"/>
            <w:bottom w:w="0" w:type="dxa"/>
            <w:right w:w="0" w:type="dxa"/>
          </w:tblCellMar>
        </w:tblPrEx>
        <w:trPr>
          <w:trHeight w:val="390"/>
        </w:trPr>
        <w:tc>
          <w:tcPr>
            <w:tcW w:w="311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9"/>
              <w:rPr>
                <w:sz w:val="20"/>
              </w:rPr>
            </w:pPr>
          </w:p>
          <w:p>
            <w:pPr>
              <w:pStyle w:val="TableParagraph"/>
              <w:ind w:left="107"/>
              <w:rPr>
                <w:sz w:val="21"/>
              </w:rPr>
            </w:pPr>
            <w:r>
              <w:rPr>
                <w:spacing w:val="-1"/>
                <w:sz w:val="21"/>
              </w:rPr>
              <w:t>工学、管理科学与工程一级学科</w:t>
            </w:r>
          </w:p>
        </w:tc>
        <w:tc>
          <w:tcPr>
            <w:tcW w:w="3861" w:type="dxa"/>
            <w:tcBorders>
              <w:top w:val="single" w:sz="4" w:space="0" w:color="000000"/>
              <w:left w:val="single" w:sz="4" w:space="0" w:color="000000"/>
              <w:bottom w:val="single" w:sz="4" w:space="0" w:color="000000"/>
              <w:right w:val="single" w:sz="4" w:space="0" w:color="000000"/>
            </w:tcBorders>
          </w:tcPr>
          <w:p>
            <w:pPr>
              <w:pStyle w:val="TableParagraph"/>
              <w:spacing w:before="66"/>
              <w:ind w:left="753" w:right="748"/>
              <w:jc w:val="center"/>
              <w:rPr>
                <w:sz w:val="21"/>
              </w:rPr>
            </w:pPr>
            <w:r>
              <w:rPr>
                <w:sz w:val="21"/>
              </w:rPr>
              <w:t>硕士</w:t>
            </w:r>
          </w:p>
        </w:tc>
        <w:tc>
          <w:tcPr>
            <w:tcW w:w="3463" w:type="dxa"/>
            <w:tcBorders>
              <w:top w:val="single" w:sz="4" w:space="0" w:color="000000"/>
              <w:left w:val="single" w:sz="4" w:space="0" w:color="000000"/>
              <w:bottom w:val="single" w:sz="4" w:space="0" w:color="000000"/>
              <w:right w:val="single" w:sz="4" w:space="0" w:color="000000"/>
            </w:tcBorders>
          </w:tcPr>
          <w:p>
            <w:pPr>
              <w:pStyle w:val="TableParagraph"/>
              <w:spacing w:before="66"/>
              <w:ind w:right="1538"/>
              <w:jc w:val="right"/>
              <w:rPr>
                <w:sz w:val="21"/>
              </w:rPr>
            </w:pPr>
            <w:r>
              <w:rPr>
                <w:w w:val="95"/>
                <w:sz w:val="21"/>
              </w:rPr>
              <w:t>2</w:t>
            </w:r>
            <w:r>
              <w:rPr>
                <w:spacing w:val="-22"/>
                <w:w w:val="95"/>
                <w:sz w:val="21"/>
              </w:rPr>
              <w:t xml:space="preserve"> 年</w:t>
            </w:r>
          </w:p>
        </w:tc>
      </w:tr>
      <w:tr>
        <w:tblPrEx>
          <w:tblW w:w="0" w:type="auto"/>
          <w:tblInd w:w="124" w:type="dxa"/>
          <w:tblLayout w:type="fixed"/>
          <w:tblCellMar>
            <w:top w:w="0" w:type="dxa"/>
            <w:left w:w="0" w:type="dxa"/>
            <w:bottom w:w="0" w:type="dxa"/>
            <w:right w:w="0" w:type="dxa"/>
          </w:tblCellMar>
        </w:tblPrEx>
        <w:trPr>
          <w:trHeight w:val="389"/>
        </w:trPr>
        <w:tc>
          <w:tcPr>
            <w:tcW w:w="3114" w:type="dxa"/>
            <w:vMerge/>
            <w:tcBorders>
              <w:top w:val="nil"/>
              <w:left w:val="single" w:sz="4" w:space="0" w:color="000000"/>
              <w:bottom w:val="single" w:sz="4" w:space="0" w:color="000000"/>
              <w:right w:val="single" w:sz="4" w:space="0" w:color="000000"/>
            </w:tcBorders>
          </w:tcPr>
          <w:p>
            <w:pPr>
              <w:rPr>
                <w:sz w:val="2"/>
                <w:szCs w:val="2"/>
              </w:rPr>
            </w:pPr>
          </w:p>
        </w:tc>
        <w:tc>
          <w:tcPr>
            <w:tcW w:w="3861" w:type="dxa"/>
            <w:tcBorders>
              <w:top w:val="single" w:sz="4" w:space="0" w:color="000000"/>
              <w:left w:val="single" w:sz="4" w:space="0" w:color="000000"/>
              <w:bottom w:val="single" w:sz="4" w:space="0" w:color="000000"/>
              <w:right w:val="single" w:sz="4" w:space="0" w:color="000000"/>
            </w:tcBorders>
          </w:tcPr>
          <w:p>
            <w:pPr>
              <w:pStyle w:val="TableParagraph"/>
              <w:spacing w:before="67"/>
              <w:ind w:left="753" w:right="748"/>
              <w:jc w:val="center"/>
              <w:rPr>
                <w:sz w:val="21"/>
              </w:rPr>
            </w:pPr>
            <w:r>
              <w:rPr>
                <w:sz w:val="21"/>
              </w:rPr>
              <w:t>博士</w:t>
            </w:r>
          </w:p>
        </w:tc>
        <w:tc>
          <w:tcPr>
            <w:tcW w:w="3463" w:type="dxa"/>
            <w:tcBorders>
              <w:top w:val="single" w:sz="4" w:space="0" w:color="000000"/>
              <w:left w:val="single" w:sz="4" w:space="0" w:color="000000"/>
              <w:bottom w:val="single" w:sz="4" w:space="0" w:color="000000"/>
              <w:right w:val="single" w:sz="4" w:space="0" w:color="000000"/>
            </w:tcBorders>
          </w:tcPr>
          <w:p>
            <w:pPr>
              <w:pStyle w:val="TableParagraph"/>
              <w:spacing w:before="67"/>
              <w:ind w:right="1538"/>
              <w:jc w:val="right"/>
              <w:rPr>
                <w:sz w:val="21"/>
              </w:rPr>
            </w:pPr>
            <w:r>
              <w:rPr>
                <w:w w:val="95"/>
                <w:sz w:val="21"/>
              </w:rPr>
              <w:t>0</w:t>
            </w:r>
            <w:r>
              <w:rPr>
                <w:spacing w:val="-22"/>
                <w:w w:val="95"/>
                <w:sz w:val="21"/>
              </w:rPr>
              <w:t xml:space="preserve"> 年</w:t>
            </w:r>
          </w:p>
        </w:tc>
      </w:tr>
    </w:tbl>
    <w:p>
      <w:pPr>
        <w:pStyle w:val="BodyText"/>
        <w:spacing w:before="51"/>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【记忆方法】理解记忆</w:t>
      </w:r>
    </w:p>
    <w:p>
      <w:pPr>
        <w:pStyle w:val="BodyText"/>
        <w:spacing w:before="7"/>
        <w:ind w:left="0"/>
        <w:rPr>
          <w:sz w:val="7"/>
        </w:rPr>
      </w:pPr>
      <w:r>
        <w:pict>
          <v:shape id="docshape82" o:spid="_x0000_s1101" type="#_x0000_t202" style="width:82.8pt;height:19.95pt;margin-top:8.3pt;margin-left:48.3pt;mso-height-relative:page;mso-position-horizontal-relative:page;mso-width-relative:page;mso-wrap-distance-bottom:0;mso-wrap-distance-top:0;position:absolute;z-index:-251577344" coordsize="21600,21600" filled="f" stroked="t" strokecolor="black">
            <v:textbox inset="0,0,0,0">
              <w:txbxContent>
                <w:p>
                  <w:pPr>
                    <w:spacing w:before="1"/>
                    <w:ind w:left="1" w:right="0" w:firstLine="0"/>
                    <w:jc w:val="left"/>
                    <w:rPr>
                      <w:b/>
                      <w:sz w:val="24"/>
                    </w:rPr>
                  </w:pPr>
                  <w:r>
                    <w:rPr>
                      <w:b/>
                      <w:sz w:val="24"/>
                    </w:rPr>
                    <w:t>精选习题·37</w:t>
                  </w:r>
                </w:p>
              </w:txbxContent>
            </v:textbox>
            <w10:wrap type="topAndBottom"/>
          </v:shape>
        </w:pict>
      </w:r>
    </w:p>
    <w:p>
      <w:pPr>
        <w:pStyle w:val="BodyText"/>
        <w:spacing w:before="5"/>
        <w:ind w:left="0"/>
        <w:rPr>
          <w:sz w:val="7"/>
        </w:rPr>
      </w:pPr>
    </w:p>
    <w:p>
      <w:pPr>
        <w:pStyle w:val="BodyText"/>
        <w:tabs>
          <w:tab w:val="left" w:pos="8447"/>
        </w:tabs>
        <w:spacing w:before="69" w:line="333" w:lineRule="auto"/>
        <w:ind w:right="367"/>
      </w:pPr>
      <w:r>
        <w:rPr>
          <w:spacing w:val="-1"/>
        </w:rPr>
        <w:t>【2020</w:t>
      </w:r>
      <w:r>
        <w:t>】根据《监理工程师职业资格制度规定</w:t>
      </w:r>
      <w:r>
        <w:rPr>
          <w:spacing w:val="-104"/>
        </w:rPr>
        <w:t>》</w:t>
      </w:r>
      <w:r>
        <w:t>，监理工程师职业资格考试成绩实行（</w:t>
      </w:r>
      <w:r>
        <w:tab/>
      </w:r>
      <w:r>
        <w:rPr>
          <w:spacing w:val="-3"/>
        </w:rPr>
        <w:t>）为一个</w:t>
      </w:r>
      <w:r>
        <w:rPr>
          <w:spacing w:val="-2"/>
        </w:rPr>
        <w:t>周期的滚动</w:t>
      </w:r>
      <w:r>
        <w:t>管理办法。</w:t>
      </w:r>
    </w:p>
    <w:p>
      <w:pPr>
        <w:pStyle w:val="BodyText"/>
        <w:spacing w:before="1"/>
        <w:ind w:left="647"/>
      </w:pPr>
      <w:r>
        <w:rPr>
          <w:w w:val="95"/>
        </w:rPr>
        <w:t>A.1</w:t>
      </w:r>
      <w:r>
        <w:rPr>
          <w:spacing w:val="-12"/>
          <w:w w:val="95"/>
        </w:rPr>
        <w:t xml:space="preserve"> 年</w:t>
      </w:r>
    </w:p>
    <w:p>
      <w:pPr>
        <w:pStyle w:val="BodyText"/>
        <w:spacing w:before="106"/>
        <w:ind w:left="647"/>
      </w:pPr>
      <w:r>
        <w:rPr>
          <w:w w:val="95"/>
        </w:rPr>
        <w:t>B.2</w:t>
      </w:r>
      <w:r>
        <w:rPr>
          <w:spacing w:val="-12"/>
          <w:w w:val="95"/>
        </w:rPr>
        <w:t xml:space="preserve"> 年</w:t>
      </w:r>
    </w:p>
    <w:p>
      <w:pPr>
        <w:pStyle w:val="BodyText"/>
        <w:spacing w:before="105"/>
        <w:ind w:left="647"/>
      </w:pPr>
      <w:r>
        <w:rPr>
          <w:w w:val="95"/>
        </w:rPr>
        <w:t>C.3</w:t>
      </w:r>
      <w:r>
        <w:rPr>
          <w:spacing w:val="-12"/>
          <w:w w:val="95"/>
        </w:rPr>
        <w:t xml:space="preserve"> 年</w:t>
      </w:r>
    </w:p>
    <w:p>
      <w:pPr>
        <w:pStyle w:val="BodyText"/>
        <w:spacing w:before="105"/>
        <w:ind w:left="647"/>
      </w:pPr>
      <w:r>
        <w:rPr>
          <w:w w:val="95"/>
        </w:rPr>
        <w:t>D.4</w:t>
      </w:r>
      <w:r>
        <w:rPr>
          <w:spacing w:val="-12"/>
          <w:w w:val="95"/>
        </w:rPr>
        <w:t xml:space="preserve"> 年</w:t>
      </w:r>
    </w:p>
    <w:p>
      <w:pPr>
        <w:pStyle w:val="BodyText"/>
        <w:spacing w:before="106"/>
      </w:pPr>
      <w:r>
        <w:t>【答案】D</w:t>
      </w:r>
    </w:p>
    <w:p>
      <w:pPr>
        <w:pStyle w:val="BodyText"/>
        <w:spacing w:before="105"/>
      </w:pPr>
      <w:r>
        <w:rPr>
          <w:spacing w:val="4"/>
          <w:w w:val="95"/>
        </w:rPr>
        <w:t xml:space="preserve">【解析】监理工程师职业资格考试成绩实行 </w:t>
      </w:r>
      <w:r>
        <w:rPr>
          <w:w w:val="95"/>
        </w:rPr>
        <w:t>4</w:t>
      </w:r>
      <w:r>
        <w:rPr>
          <w:spacing w:val="2"/>
          <w:w w:val="95"/>
        </w:rPr>
        <w:t xml:space="preserve"> 年为一个周期的滚动管理办法。</w:t>
      </w:r>
    </w:p>
    <w:p>
      <w:pPr>
        <w:pStyle w:val="BodyText"/>
        <w:spacing w:before="7"/>
        <w:ind w:left="0"/>
        <w:rPr>
          <w:sz w:val="7"/>
        </w:rPr>
      </w:pPr>
      <w:r>
        <w:pict>
          <v:shape id="docshape83" o:spid="_x0000_s1102" type="#_x0000_t202" style="width:82.8pt;height:19.95pt;margin-top:8.25pt;margin-left:48.3pt;mso-height-relative:page;mso-position-horizontal-relative:page;mso-width-relative:page;mso-wrap-distance-bottom:0;mso-wrap-distance-top:0;position:absolute;z-index:-251576320" coordsize="21600,21600" filled="f" stroked="t" strokecolor="black">
            <v:textbox inset="0,0,0,0">
              <w:txbxContent>
                <w:p>
                  <w:pPr>
                    <w:spacing w:before="2"/>
                    <w:ind w:left="1" w:right="0" w:firstLine="0"/>
                    <w:jc w:val="left"/>
                    <w:rPr>
                      <w:b/>
                      <w:sz w:val="24"/>
                    </w:rPr>
                  </w:pPr>
                  <w:r>
                    <w:rPr>
                      <w:b/>
                      <w:sz w:val="24"/>
                    </w:rPr>
                    <w:t>重要考点·38</w:t>
                  </w:r>
                </w:p>
              </w:txbxContent>
            </v:textbox>
            <w10:wrap type="topAndBottom"/>
          </v:shape>
        </w:pict>
      </w:r>
    </w:p>
    <w:p>
      <w:pPr>
        <w:pStyle w:val="BodyText"/>
        <w:spacing w:before="5"/>
        <w:ind w:left="0"/>
        <w:rPr>
          <w:sz w:val="7"/>
        </w:rPr>
      </w:pPr>
    </w:p>
    <w:p>
      <w:pPr>
        <w:pStyle w:val="BodyText"/>
        <w:spacing w:before="70"/>
      </w:pPr>
      <w:r>
        <w:t>（一）建设工程监理招标方式</w:t>
      </w:r>
    </w:p>
    <w:p>
      <w:pPr>
        <w:pStyle w:val="BodyText"/>
        <w:spacing w:before="105" w:line="333" w:lineRule="auto"/>
        <w:ind w:right="367"/>
        <w:jc w:val="both"/>
      </w:pPr>
      <w:r>
        <w:pict>
          <v:shape id="docshape84" o:spid="_x0000_s1103" type="#_x0000_t202" style="width:426.85pt;height:283.2pt;margin-top:58.8pt;margin-left:39.7pt;mso-height-relative:page;mso-position-horizontal-relative:page;mso-width-relative:page;position:absolute;z-index:25173811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58"/>
                    <w:gridCol w:w="3671"/>
                    <w:gridCol w:w="379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3"/>
                    </w:trPr>
                    <w:tc>
                      <w:tcPr>
                        <w:tcW w:w="1058" w:type="dxa"/>
                      </w:tcPr>
                      <w:p>
                        <w:pPr>
                          <w:pStyle w:val="TableParagraph"/>
                          <w:rPr>
                            <w:rFonts w:ascii="Times New Roman"/>
                            <w:sz w:val="20"/>
                          </w:rPr>
                        </w:pPr>
                      </w:p>
                    </w:tc>
                    <w:tc>
                      <w:tcPr>
                        <w:tcW w:w="3671" w:type="dxa"/>
                      </w:tcPr>
                      <w:p>
                        <w:pPr>
                          <w:pStyle w:val="TableParagraph"/>
                          <w:spacing w:before="51"/>
                          <w:ind w:left="108"/>
                          <w:rPr>
                            <w:sz w:val="21"/>
                          </w:rPr>
                        </w:pPr>
                        <w:r>
                          <w:rPr>
                            <w:sz w:val="21"/>
                          </w:rPr>
                          <w:t>公开招标</w:t>
                        </w:r>
                      </w:p>
                    </w:tc>
                    <w:tc>
                      <w:tcPr>
                        <w:tcW w:w="3793" w:type="dxa"/>
                      </w:tcPr>
                      <w:p>
                        <w:pPr>
                          <w:pStyle w:val="TableParagraph"/>
                          <w:spacing w:before="51"/>
                          <w:ind w:left="106"/>
                          <w:rPr>
                            <w:sz w:val="21"/>
                          </w:rPr>
                        </w:pPr>
                        <w:r>
                          <w:rPr>
                            <w:sz w:val="21"/>
                          </w:rPr>
                          <w:t>邀请招标</w:t>
                        </w:r>
                      </w:p>
                    </w:tc>
                  </w:tr>
                  <w:tr>
                    <w:tblPrEx>
                      <w:tblW w:w="0" w:type="auto"/>
                      <w:tblInd w:w="5" w:type="dxa"/>
                      <w:tblLayout w:type="fixed"/>
                      <w:tblCellMar>
                        <w:top w:w="0" w:type="dxa"/>
                        <w:left w:w="0" w:type="dxa"/>
                        <w:bottom w:w="0" w:type="dxa"/>
                        <w:right w:w="0" w:type="dxa"/>
                      </w:tblCellMar>
                    </w:tblPrEx>
                    <w:trPr>
                      <w:trHeight w:val="1122"/>
                    </w:trPr>
                    <w:tc>
                      <w:tcPr>
                        <w:tcW w:w="1058" w:type="dxa"/>
                      </w:tcPr>
                      <w:p>
                        <w:pPr>
                          <w:pStyle w:val="TableParagraph"/>
                          <w:rPr>
                            <w:sz w:val="20"/>
                          </w:rPr>
                        </w:pPr>
                      </w:p>
                      <w:p>
                        <w:pPr>
                          <w:pStyle w:val="TableParagraph"/>
                          <w:spacing w:before="169"/>
                          <w:ind w:left="107"/>
                          <w:rPr>
                            <w:sz w:val="21"/>
                          </w:rPr>
                        </w:pPr>
                        <w:r>
                          <w:rPr>
                            <w:sz w:val="21"/>
                          </w:rPr>
                          <w:t>含义</w:t>
                        </w:r>
                      </w:p>
                    </w:tc>
                    <w:tc>
                      <w:tcPr>
                        <w:tcW w:w="3671" w:type="dxa"/>
                      </w:tcPr>
                      <w:p>
                        <w:pPr>
                          <w:pStyle w:val="TableParagraph"/>
                          <w:numPr>
                            <w:ilvl w:val="0"/>
                            <w:numId w:val="64"/>
                          </w:numPr>
                          <w:tabs>
                            <w:tab w:val="left" w:pos="633"/>
                          </w:tabs>
                          <w:spacing w:before="51" w:after="0" w:line="333" w:lineRule="auto"/>
                          <w:ind w:left="108" w:right="96" w:firstLine="0"/>
                          <w:jc w:val="left"/>
                          <w:rPr>
                            <w:sz w:val="21"/>
                          </w:rPr>
                        </w:pPr>
                        <w:r>
                          <w:rPr>
                            <w:w w:val="95"/>
                            <w:sz w:val="21"/>
                          </w:rPr>
                          <w:t>发布招标公告、邀请不特定监理</w:t>
                        </w:r>
                        <w:r>
                          <w:rPr>
                            <w:sz w:val="21"/>
                          </w:rPr>
                          <w:t>单位参加投标；</w:t>
                        </w:r>
                      </w:p>
                      <w:p>
                        <w:pPr>
                          <w:pStyle w:val="TableParagraph"/>
                          <w:numPr>
                            <w:ilvl w:val="0"/>
                            <w:numId w:val="64"/>
                          </w:numPr>
                          <w:tabs>
                            <w:tab w:val="left" w:pos="633"/>
                          </w:tabs>
                          <w:spacing w:before="1" w:after="0" w:line="240" w:lineRule="auto"/>
                          <w:ind w:left="632" w:right="0" w:hanging="525"/>
                          <w:jc w:val="left"/>
                          <w:rPr>
                            <w:sz w:val="21"/>
                          </w:rPr>
                        </w:pPr>
                        <w:r>
                          <w:rPr>
                            <w:sz w:val="21"/>
                          </w:rPr>
                          <w:t>属于非限制性竞争招标。</w:t>
                        </w:r>
                      </w:p>
                    </w:tc>
                    <w:tc>
                      <w:tcPr>
                        <w:tcW w:w="3793" w:type="dxa"/>
                      </w:tcPr>
                      <w:p>
                        <w:pPr>
                          <w:pStyle w:val="TableParagraph"/>
                          <w:numPr>
                            <w:ilvl w:val="0"/>
                            <w:numId w:val="65"/>
                          </w:numPr>
                          <w:tabs>
                            <w:tab w:val="left" w:pos="634"/>
                          </w:tabs>
                          <w:spacing w:before="51" w:after="0" w:line="333" w:lineRule="auto"/>
                          <w:ind w:left="106" w:right="97" w:firstLine="0"/>
                          <w:jc w:val="left"/>
                          <w:rPr>
                            <w:sz w:val="21"/>
                          </w:rPr>
                        </w:pPr>
                        <w:r>
                          <w:rPr>
                            <w:spacing w:val="-3"/>
                            <w:w w:val="95"/>
                            <w:sz w:val="21"/>
                          </w:rPr>
                          <w:t xml:space="preserve">发出投标邀请书、邀请 </w:t>
                        </w:r>
                        <w:r>
                          <w:rPr>
                            <w:w w:val="95"/>
                            <w:sz w:val="21"/>
                          </w:rPr>
                          <w:t>3</w:t>
                        </w:r>
                        <w:r>
                          <w:rPr>
                            <w:spacing w:val="-7"/>
                            <w:w w:val="95"/>
                            <w:sz w:val="21"/>
                          </w:rPr>
                          <w:t xml:space="preserve"> 个以上</w:t>
                        </w:r>
                        <w:r>
                          <w:rPr>
                            <w:sz w:val="21"/>
                          </w:rPr>
                          <w:t>特定监理单位参加投标；</w:t>
                        </w:r>
                      </w:p>
                      <w:p>
                        <w:pPr>
                          <w:pStyle w:val="TableParagraph"/>
                          <w:numPr>
                            <w:ilvl w:val="0"/>
                            <w:numId w:val="65"/>
                          </w:numPr>
                          <w:tabs>
                            <w:tab w:val="left" w:pos="634"/>
                          </w:tabs>
                          <w:spacing w:before="1" w:after="0" w:line="240" w:lineRule="auto"/>
                          <w:ind w:left="633" w:right="0" w:hanging="528"/>
                          <w:jc w:val="left"/>
                          <w:rPr>
                            <w:sz w:val="21"/>
                          </w:rPr>
                        </w:pPr>
                        <w:r>
                          <w:rPr>
                            <w:sz w:val="21"/>
                          </w:rPr>
                          <w:t>属于有限竞争招标。</w:t>
                        </w:r>
                      </w:p>
                    </w:tc>
                  </w:tr>
                  <w:tr>
                    <w:tblPrEx>
                      <w:tblW w:w="0" w:type="auto"/>
                      <w:tblInd w:w="5" w:type="dxa"/>
                      <w:tblLayout w:type="fixed"/>
                      <w:tblCellMar>
                        <w:top w:w="0" w:type="dxa"/>
                        <w:left w:w="0" w:type="dxa"/>
                        <w:bottom w:w="0" w:type="dxa"/>
                        <w:right w:w="0" w:type="dxa"/>
                      </w:tblCellMar>
                    </w:tblPrEx>
                    <w:trPr>
                      <w:trHeight w:val="2996"/>
                    </w:trPr>
                    <w:tc>
                      <w:tcPr>
                        <w:tcW w:w="1058"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3"/>
                          <w:rPr>
                            <w:sz w:val="26"/>
                          </w:rPr>
                        </w:pPr>
                      </w:p>
                      <w:p>
                        <w:pPr>
                          <w:pStyle w:val="TableParagraph"/>
                          <w:ind w:left="107"/>
                          <w:rPr>
                            <w:sz w:val="21"/>
                          </w:rPr>
                        </w:pPr>
                        <w:r>
                          <w:rPr>
                            <w:sz w:val="21"/>
                          </w:rPr>
                          <w:t>优点</w:t>
                        </w:r>
                      </w:p>
                    </w:tc>
                    <w:tc>
                      <w:tcPr>
                        <w:tcW w:w="3671" w:type="dxa"/>
                      </w:tcPr>
                      <w:p>
                        <w:pPr>
                          <w:pStyle w:val="TableParagraph"/>
                          <w:numPr>
                            <w:ilvl w:val="0"/>
                            <w:numId w:val="66"/>
                          </w:numPr>
                          <w:tabs>
                            <w:tab w:val="left" w:pos="633"/>
                          </w:tabs>
                          <w:spacing w:before="51" w:after="0" w:line="333" w:lineRule="auto"/>
                          <w:ind w:left="108" w:right="96" w:firstLine="0"/>
                          <w:jc w:val="both"/>
                          <w:rPr>
                            <w:sz w:val="21"/>
                          </w:rPr>
                        </w:pPr>
                        <w:r>
                          <w:rPr>
                            <w:w w:val="95"/>
                            <w:sz w:val="21"/>
                          </w:rPr>
                          <w:t>充分体现招标信息公开性、招标程序规范性、投标竞争公平性，有助</w:t>
                        </w:r>
                        <w:r>
                          <w:rPr>
                            <w:spacing w:val="1"/>
                            <w:w w:val="95"/>
                            <w:sz w:val="21"/>
                          </w:rPr>
                          <w:t xml:space="preserve"> </w:t>
                        </w:r>
                        <w:r>
                          <w:rPr>
                            <w:sz w:val="21"/>
                          </w:rPr>
                          <w:t>于打破垄断，实现公平竞争；</w:t>
                        </w:r>
                      </w:p>
                      <w:p>
                        <w:pPr>
                          <w:pStyle w:val="TableParagraph"/>
                          <w:numPr>
                            <w:ilvl w:val="0"/>
                            <w:numId w:val="66"/>
                          </w:numPr>
                          <w:tabs>
                            <w:tab w:val="left" w:pos="633"/>
                          </w:tabs>
                          <w:spacing w:before="1" w:after="0" w:line="333" w:lineRule="auto"/>
                          <w:ind w:left="108" w:right="96" w:firstLine="0"/>
                          <w:jc w:val="both"/>
                          <w:rPr>
                            <w:sz w:val="21"/>
                          </w:rPr>
                        </w:pPr>
                        <w:r>
                          <w:rPr>
                            <w:w w:val="95"/>
                            <w:sz w:val="21"/>
                          </w:rPr>
                          <w:t>建设单位有较大的选择范围，可在众多投标人中选择经验丰富、信誉</w:t>
                        </w:r>
                        <w:r>
                          <w:rPr>
                            <w:spacing w:val="1"/>
                            <w:w w:val="95"/>
                            <w:sz w:val="21"/>
                          </w:rPr>
                          <w:t xml:space="preserve"> </w:t>
                        </w:r>
                        <w:r>
                          <w:rPr>
                            <w:sz w:val="21"/>
                          </w:rPr>
                          <w:t>良好、价格合理的工程监理单位；</w:t>
                        </w:r>
                      </w:p>
                      <w:p>
                        <w:pPr>
                          <w:pStyle w:val="TableParagraph"/>
                          <w:numPr>
                            <w:ilvl w:val="0"/>
                            <w:numId w:val="66"/>
                          </w:numPr>
                          <w:tabs>
                            <w:tab w:val="left" w:pos="633"/>
                          </w:tabs>
                          <w:spacing w:before="1" w:after="0" w:line="240" w:lineRule="auto"/>
                          <w:ind w:left="632" w:right="0" w:hanging="525"/>
                          <w:jc w:val="left"/>
                          <w:rPr>
                            <w:sz w:val="21"/>
                          </w:rPr>
                        </w:pPr>
                        <w:r>
                          <w:rPr>
                            <w:sz w:val="21"/>
                          </w:rPr>
                          <w:t>能够大大降低串标、围标、抬标</w:t>
                        </w:r>
                      </w:p>
                      <w:p>
                        <w:pPr>
                          <w:pStyle w:val="TableParagraph"/>
                          <w:spacing w:before="106"/>
                          <w:ind w:left="108"/>
                          <w:rPr>
                            <w:sz w:val="21"/>
                          </w:rPr>
                        </w:pPr>
                        <w:r>
                          <w:rPr>
                            <w:sz w:val="21"/>
                          </w:rPr>
                          <w:t>和其他不正当交易的可能性。</w:t>
                        </w:r>
                      </w:p>
                    </w:tc>
                    <w:tc>
                      <w:tcPr>
                        <w:tcW w:w="3793" w:type="dxa"/>
                      </w:tcPr>
                      <w:p>
                        <w:pPr>
                          <w:pStyle w:val="TableParagraph"/>
                          <w:rPr>
                            <w:sz w:val="20"/>
                          </w:rPr>
                        </w:pPr>
                      </w:p>
                      <w:p>
                        <w:pPr>
                          <w:pStyle w:val="TableParagraph"/>
                          <w:numPr>
                            <w:ilvl w:val="0"/>
                            <w:numId w:val="67"/>
                          </w:numPr>
                          <w:tabs>
                            <w:tab w:val="left" w:pos="634"/>
                          </w:tabs>
                          <w:spacing w:before="169" w:after="0" w:line="333" w:lineRule="auto"/>
                          <w:ind w:left="106" w:right="97" w:firstLine="0"/>
                          <w:jc w:val="both"/>
                          <w:rPr>
                            <w:sz w:val="21"/>
                          </w:rPr>
                        </w:pPr>
                        <w:r>
                          <w:rPr>
                            <w:sz w:val="21"/>
                          </w:rPr>
                          <w:t>建设单位不需要发布招标公告，</w:t>
                        </w:r>
                        <w:r>
                          <w:rPr>
                            <w:spacing w:val="1"/>
                            <w:sz w:val="21"/>
                          </w:rPr>
                          <w:t xml:space="preserve"> </w:t>
                        </w:r>
                        <w:r>
                          <w:rPr>
                            <w:w w:val="95"/>
                            <w:sz w:val="21"/>
                          </w:rPr>
                          <w:t>也不进行资格预审（但可组织必要的资格审查</w:t>
                        </w:r>
                        <w:r>
                          <w:rPr>
                            <w:spacing w:val="-77"/>
                            <w:w w:val="95"/>
                            <w:sz w:val="21"/>
                          </w:rPr>
                          <w:t>）</w:t>
                        </w:r>
                        <w:r>
                          <w:rPr>
                            <w:spacing w:val="-9"/>
                            <w:w w:val="95"/>
                            <w:sz w:val="21"/>
                          </w:rPr>
                          <w:t>，使招标程序得到简化；既可节</w:t>
                        </w:r>
                        <w:r>
                          <w:rPr>
                            <w:sz w:val="21"/>
                          </w:rPr>
                          <w:t>约招标费用，又可缩短招标时间。</w:t>
                        </w:r>
                      </w:p>
                      <w:p>
                        <w:pPr>
                          <w:pStyle w:val="TableParagraph"/>
                          <w:numPr>
                            <w:ilvl w:val="0"/>
                            <w:numId w:val="67"/>
                          </w:numPr>
                          <w:tabs>
                            <w:tab w:val="left" w:pos="634"/>
                          </w:tabs>
                          <w:spacing w:before="2" w:after="0" w:line="333" w:lineRule="auto"/>
                          <w:ind w:left="106" w:right="97" w:firstLine="0"/>
                          <w:jc w:val="left"/>
                          <w:rPr>
                            <w:sz w:val="21"/>
                          </w:rPr>
                        </w:pPr>
                        <w:r>
                          <w:rPr>
                            <w:sz w:val="21"/>
                          </w:rPr>
                          <w:t>能够邀请到有经验和资信可靠的工程监理单位。</w:t>
                        </w:r>
                      </w:p>
                    </w:tc>
                  </w:tr>
                  <w:tr>
                    <w:tblPrEx>
                      <w:tblW w:w="0" w:type="auto"/>
                      <w:tblInd w:w="5" w:type="dxa"/>
                      <w:tblLayout w:type="fixed"/>
                      <w:tblCellMar>
                        <w:top w:w="0" w:type="dxa"/>
                        <w:left w:w="0" w:type="dxa"/>
                        <w:bottom w:w="0" w:type="dxa"/>
                        <w:right w:w="0" w:type="dxa"/>
                      </w:tblCellMar>
                    </w:tblPrEx>
                    <w:trPr>
                      <w:trHeight w:val="1123"/>
                    </w:trPr>
                    <w:tc>
                      <w:tcPr>
                        <w:tcW w:w="1058" w:type="dxa"/>
                      </w:tcPr>
                      <w:p>
                        <w:pPr>
                          <w:pStyle w:val="TableParagraph"/>
                          <w:rPr>
                            <w:sz w:val="20"/>
                          </w:rPr>
                        </w:pPr>
                      </w:p>
                      <w:p>
                        <w:pPr>
                          <w:pStyle w:val="TableParagraph"/>
                          <w:spacing w:before="168"/>
                          <w:ind w:left="107"/>
                          <w:rPr>
                            <w:sz w:val="21"/>
                          </w:rPr>
                        </w:pPr>
                        <w:r>
                          <w:rPr>
                            <w:sz w:val="21"/>
                          </w:rPr>
                          <w:t>缺点</w:t>
                        </w:r>
                      </w:p>
                    </w:tc>
                    <w:tc>
                      <w:tcPr>
                        <w:tcW w:w="3671" w:type="dxa"/>
                      </w:tcPr>
                      <w:p>
                        <w:pPr>
                          <w:pStyle w:val="TableParagraph"/>
                          <w:numPr>
                            <w:ilvl w:val="0"/>
                            <w:numId w:val="68"/>
                          </w:numPr>
                          <w:tabs>
                            <w:tab w:val="left" w:pos="633"/>
                          </w:tabs>
                          <w:spacing w:before="50" w:after="0" w:line="333" w:lineRule="auto"/>
                          <w:ind w:left="108" w:right="96" w:firstLine="0"/>
                          <w:jc w:val="left"/>
                          <w:rPr>
                            <w:sz w:val="21"/>
                          </w:rPr>
                        </w:pPr>
                        <w:r>
                          <w:rPr>
                            <w:w w:val="95"/>
                            <w:sz w:val="21"/>
                          </w:rPr>
                          <w:t>准备招标、资格预审和评标的工</w:t>
                        </w:r>
                        <w:r>
                          <w:rPr>
                            <w:sz w:val="21"/>
                          </w:rPr>
                          <w:t>作量大；</w:t>
                        </w:r>
                      </w:p>
                      <w:p>
                        <w:pPr>
                          <w:pStyle w:val="TableParagraph"/>
                          <w:numPr>
                            <w:ilvl w:val="0"/>
                            <w:numId w:val="68"/>
                          </w:numPr>
                          <w:tabs>
                            <w:tab w:val="left" w:pos="633"/>
                          </w:tabs>
                          <w:spacing w:before="1" w:after="0" w:line="240" w:lineRule="auto"/>
                          <w:ind w:left="632" w:right="0" w:hanging="525"/>
                          <w:jc w:val="left"/>
                          <w:rPr>
                            <w:sz w:val="21"/>
                          </w:rPr>
                        </w:pPr>
                        <w:r>
                          <w:rPr>
                            <w:w w:val="95"/>
                            <w:sz w:val="21"/>
                          </w:rPr>
                          <w:t>招标时间长，招标费用较高。</w:t>
                        </w:r>
                      </w:p>
                    </w:tc>
                    <w:tc>
                      <w:tcPr>
                        <w:tcW w:w="3793" w:type="dxa"/>
                      </w:tcPr>
                      <w:p>
                        <w:pPr>
                          <w:pStyle w:val="TableParagraph"/>
                          <w:spacing w:before="50" w:line="333" w:lineRule="auto"/>
                          <w:ind w:left="106" w:right="97"/>
                          <w:rPr>
                            <w:sz w:val="21"/>
                          </w:rPr>
                        </w:pPr>
                        <w:r>
                          <w:rPr>
                            <w:w w:val="95"/>
                            <w:sz w:val="21"/>
                          </w:rPr>
                          <w:t>限制了竞争范围，可能会失去技术和报价方面有竞争力的投标者，失去理想中</w:t>
                        </w:r>
                      </w:p>
                      <w:p>
                        <w:pPr>
                          <w:pStyle w:val="TableParagraph"/>
                          <w:spacing w:before="1"/>
                          <w:ind w:left="106"/>
                          <w:rPr>
                            <w:sz w:val="21"/>
                          </w:rPr>
                        </w:pPr>
                        <w:r>
                          <w:rPr>
                            <w:sz w:val="21"/>
                          </w:rPr>
                          <w:t>标人，达不到预期竞争效果。</w:t>
                        </w:r>
                      </w:p>
                    </w:tc>
                  </w:tr>
                </w:tbl>
                <w:p>
                  <w:pPr>
                    <w:pStyle w:val="BodyText"/>
                    <w:ind w:left="0"/>
                  </w:pPr>
                </w:p>
              </w:txbxContent>
            </v:textbox>
          </v:shape>
        </w:pict>
      </w:r>
      <w:r>
        <w:rPr>
          <w:w w:val="95"/>
        </w:rPr>
        <w:t>建设工程监理招标可分为公开招标和邀请招标两种方式。建设单位应根据法律法规、工程项目特点、工程监理</w:t>
      </w:r>
      <w:r>
        <w:rPr>
          <w:spacing w:val="216"/>
        </w:rPr>
        <w:t xml:space="preserve"> </w:t>
      </w:r>
      <w:r>
        <w:rPr>
          <w:w w:val="95"/>
        </w:rPr>
        <w:t>单位的选择空间及工程实施的急迫程度等因素合理选择招标方式；并按规定程序向招投标监督管理部门办理相</w:t>
      </w:r>
      <w:r>
        <w:rPr>
          <w:spacing w:val="206"/>
        </w:rPr>
        <w:t xml:space="preserve"> </w:t>
      </w:r>
      <w:r>
        <w:t>关招标投标手续，接受相应的监督管理。</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22"/>
        </w:rPr>
      </w:pPr>
    </w:p>
    <w:p>
      <w:pPr>
        <w:pStyle w:val="BodyText"/>
      </w:pPr>
      <w:r>
        <w:rPr>
          <w:spacing w:val="1"/>
          <w:w w:val="95"/>
        </w:rPr>
        <w:t xml:space="preserve">【分值】考试形式为选择题，分值为 </w:t>
      </w:r>
      <w:r>
        <w:rPr>
          <w:w w:val="95"/>
        </w:rPr>
        <w:t>1-3</w:t>
      </w:r>
      <w:r>
        <w:rPr>
          <w:spacing w:val="3"/>
          <w:w w:val="95"/>
        </w:rPr>
        <w:t xml:space="preserve"> 分。</w:t>
      </w:r>
    </w:p>
    <w:p>
      <w:pPr>
        <w:pStyle w:val="BodyText"/>
        <w:spacing w:before="106"/>
      </w:pPr>
      <w:r>
        <w:t>【记忆方法】对比记忆</w:t>
      </w:r>
    </w:p>
    <w:p>
      <w:pPr>
        <w:spacing w:after="0"/>
        <w:sectPr>
          <w:headerReference w:type="default" r:id="rId41"/>
          <w:pgSz w:w="11910" w:h="16840"/>
          <w:pgMar w:top="1160" w:right="540" w:bottom="280" w:left="680" w:header="0" w:footer="0" w:gutter="0"/>
          <w:pgNumType w:start="36"/>
          <w:cols w:space="708"/>
        </w:sectPr>
      </w:pPr>
    </w:p>
    <w:p>
      <w:pPr>
        <w:pStyle w:val="BodyText"/>
        <w:spacing w:line="20" w:lineRule="exact"/>
        <w:rPr>
          <w:sz w:val="2"/>
        </w:rPr>
      </w:pPr>
      <w:r>
        <w:rPr>
          <w:sz w:val="2"/>
        </w:rPr>
        <w:pict>
          <v:group id="docshapegroup85" o:spid="_x0000_i1104" style="width:504.6pt;height:0.75pt" coordsize="10092,15">
            <v:rect id="docshape86" o:spid="_x0000_s1105" style="width:10092;height:15;position:absolute" coordsize="21600,21600" filled="t" fillcolor="black" stroked="f"/>
            <w10:anchorlock/>
          </v:group>
        </w:pict>
      </w:r>
    </w:p>
    <w:p>
      <w:pPr>
        <w:pStyle w:val="BodyText"/>
        <w:spacing w:before="12"/>
        <w:ind w:left="0"/>
        <w:rPr>
          <w:sz w:val="4"/>
        </w:rPr>
      </w:pPr>
    </w:p>
    <w:p>
      <w:pPr>
        <w:pStyle w:val="BodyText"/>
        <w:ind w:left="242"/>
        <w:rPr>
          <w:sz w:val="20"/>
        </w:rPr>
      </w:pPr>
      <w:r>
        <w:rPr>
          <w:sz w:val="20"/>
        </w:rPr>
        <w:pict>
          <v:shape id="docshape87" o:spid="_x0000_i1106" type="#_x0000_t202" style="width:82.8pt;height:19.85pt" coordsize="21600,21600" filled="f" stroked="t" strokecolor="black">
            <v:textbox inset="0,0,0,0">
              <w:txbxContent>
                <w:p>
                  <w:pPr>
                    <w:spacing w:before="3" w:line="305" w:lineRule="exact"/>
                    <w:ind w:left="1" w:right="0" w:firstLine="0"/>
                    <w:jc w:val="left"/>
                    <w:rPr>
                      <w:b/>
                      <w:sz w:val="24"/>
                    </w:rPr>
                  </w:pPr>
                  <w:r>
                    <w:rPr>
                      <w:b/>
                      <w:sz w:val="24"/>
                    </w:rPr>
                    <w:t>精选习题·38</w:t>
                  </w:r>
                </w:p>
              </w:txbxContent>
            </v:textbox>
            <w10:anchorlock/>
          </v:shape>
        </w:pict>
      </w:r>
    </w:p>
    <w:p>
      <w:pPr>
        <w:pStyle w:val="BodyText"/>
        <w:tabs>
          <w:tab w:val="left" w:pos="6107"/>
        </w:tabs>
        <w:spacing w:before="99" w:line="331" w:lineRule="auto"/>
        <w:ind w:left="647" w:right="4262" w:hanging="420"/>
      </w:pPr>
      <w:r>
        <w:t>【2022】建设单位选择工程监理招标方式应考虑的因素有（</w:t>
      </w:r>
      <w:r>
        <w:tab/>
      </w:r>
      <w:r>
        <w:rPr>
          <w:spacing w:val="-104"/>
        </w:rPr>
        <w:t>）</w:t>
      </w:r>
      <w:r>
        <w:rPr>
          <w:spacing w:val="-3"/>
        </w:rPr>
        <w:t>。</w:t>
      </w:r>
      <w:r>
        <w:t>A.建设工程法律法规规定</w:t>
      </w:r>
    </w:p>
    <w:p>
      <w:pPr>
        <w:pStyle w:val="BodyText"/>
        <w:spacing w:before="4"/>
        <w:ind w:left="647"/>
      </w:pPr>
      <w:r>
        <w:t>B.工程项目特点</w:t>
      </w:r>
    </w:p>
    <w:p>
      <w:pPr>
        <w:pStyle w:val="BodyText"/>
        <w:spacing w:before="108" w:line="333" w:lineRule="auto"/>
        <w:ind w:left="647" w:right="7519"/>
        <w:jc w:val="both"/>
      </w:pPr>
      <w:r>
        <w:rPr>
          <w:spacing w:val="-1"/>
        </w:rPr>
        <w:t>C.工程监理单位的选择空间D.工程监理服务的难易程度E.工程项目实施的急迫程度</w:t>
      </w:r>
    </w:p>
    <w:p>
      <w:pPr>
        <w:pStyle w:val="BodyText"/>
        <w:spacing w:line="268" w:lineRule="exact"/>
      </w:pPr>
      <w:r>
        <w:t>【答案】ABCE</w:t>
      </w:r>
    </w:p>
    <w:p>
      <w:pPr>
        <w:pStyle w:val="BodyText"/>
        <w:spacing w:before="105" w:line="336" w:lineRule="auto"/>
        <w:ind w:right="367"/>
      </w:pPr>
      <w:r>
        <w:pict>
          <v:shape id="docshape88" o:spid="_x0000_s1107" type="#_x0000_t202" style="width:82.8pt;height:19.9pt;margin-top:45.75pt;margin-left:48.3pt;mso-height-relative:page;mso-position-horizontal-relative:page;mso-width-relative:page;mso-wrap-distance-bottom:0;mso-wrap-distance-top:0;position:absolute;z-index:-251575296" coordsize="21600,21600" filled="f" stroked="t" strokecolor="black">
            <v:textbox inset="0,0,0,0">
              <w:txbxContent>
                <w:p>
                  <w:pPr>
                    <w:spacing w:before="1"/>
                    <w:ind w:left="1" w:right="0" w:firstLine="0"/>
                    <w:jc w:val="left"/>
                    <w:rPr>
                      <w:b/>
                      <w:sz w:val="24"/>
                    </w:rPr>
                  </w:pPr>
                  <w:r>
                    <w:rPr>
                      <w:b/>
                      <w:sz w:val="24"/>
                    </w:rPr>
                    <w:t>重要考点·39</w:t>
                  </w:r>
                </w:p>
              </w:txbxContent>
            </v:textbox>
            <w10:wrap type="topAndBottom"/>
          </v:shape>
        </w:pict>
      </w:r>
      <w:r>
        <w:rPr>
          <w:w w:val="95"/>
        </w:rPr>
        <w:t>【解析】建设单位应根据法律法规、工程项目特点、工程监理单位的选择空间及工程实施的急迫程度等因素合</w:t>
      </w:r>
      <w:r>
        <w:rPr>
          <w:spacing w:val="206"/>
        </w:rPr>
        <w:t xml:space="preserve"> </w:t>
      </w:r>
      <w:r>
        <w:t>理选择招标方式。</w:t>
      </w:r>
    </w:p>
    <w:p>
      <w:pPr>
        <w:pStyle w:val="BodyText"/>
        <w:spacing w:before="5"/>
        <w:ind w:left="0"/>
        <w:rPr>
          <w:sz w:val="7"/>
        </w:rPr>
      </w:pPr>
    </w:p>
    <w:p>
      <w:pPr>
        <w:pStyle w:val="BodyText"/>
        <w:spacing w:before="70" w:after="55"/>
      </w:pPr>
      <w:r>
        <w:t>（一）建设工程监理招标程序</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029"/>
        <w:gridCol w:w="6493"/>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871"/>
        </w:trPr>
        <w:tc>
          <w:tcPr>
            <w:tcW w:w="2029" w:type="dxa"/>
          </w:tcPr>
          <w:p>
            <w:pPr>
              <w:pStyle w:val="TableParagraph"/>
              <w:rPr>
                <w:sz w:val="20"/>
              </w:rPr>
            </w:pPr>
          </w:p>
          <w:p>
            <w:pPr>
              <w:pStyle w:val="TableParagraph"/>
              <w:rPr>
                <w:sz w:val="20"/>
              </w:rPr>
            </w:pPr>
          </w:p>
          <w:p>
            <w:pPr>
              <w:pStyle w:val="TableParagraph"/>
              <w:spacing w:before="4"/>
              <w:rPr>
                <w:sz w:val="22"/>
              </w:rPr>
            </w:pPr>
          </w:p>
          <w:p>
            <w:pPr>
              <w:pStyle w:val="TableParagraph"/>
              <w:ind w:left="107"/>
              <w:rPr>
                <w:sz w:val="21"/>
              </w:rPr>
            </w:pPr>
            <w:r>
              <w:rPr>
                <w:sz w:val="21"/>
              </w:rPr>
              <w:t>1.招标准备</w:t>
            </w:r>
          </w:p>
        </w:tc>
        <w:tc>
          <w:tcPr>
            <w:tcW w:w="6493" w:type="dxa"/>
          </w:tcPr>
          <w:p>
            <w:pPr>
              <w:pStyle w:val="TableParagraph"/>
              <w:spacing w:before="50"/>
              <w:ind w:left="106"/>
              <w:rPr>
                <w:sz w:val="21"/>
              </w:rPr>
            </w:pPr>
            <w:r>
              <w:rPr>
                <w:sz w:val="21"/>
              </w:rPr>
              <w:t>①确定招标组织。</w:t>
            </w:r>
          </w:p>
          <w:p>
            <w:pPr>
              <w:pStyle w:val="TableParagraph"/>
              <w:spacing w:before="105" w:line="333" w:lineRule="auto"/>
              <w:ind w:left="106" w:right="73"/>
              <w:rPr>
                <w:sz w:val="21"/>
              </w:rPr>
            </w:pPr>
            <w:r>
              <w:rPr>
                <w:w w:val="95"/>
                <w:sz w:val="21"/>
              </w:rPr>
              <w:t>②明确招标范围和内容。综合考虑工程特点、建设规模、复杂程度、</w:t>
            </w:r>
            <w:r>
              <w:rPr>
                <w:spacing w:val="20"/>
                <w:w w:val="95"/>
                <w:sz w:val="21"/>
              </w:rPr>
              <w:t xml:space="preserve"> </w:t>
            </w:r>
            <w:r>
              <w:rPr>
                <w:w w:val="95"/>
                <w:sz w:val="21"/>
              </w:rPr>
              <w:t>建设单位自身管理水平等因素，明确建设工程监理招标范围和内容。</w:t>
            </w:r>
          </w:p>
          <w:p>
            <w:pPr>
              <w:pStyle w:val="TableParagraph"/>
              <w:spacing w:before="1"/>
              <w:ind w:left="106"/>
              <w:rPr>
                <w:sz w:val="21"/>
              </w:rPr>
            </w:pPr>
            <w:r>
              <w:rPr>
                <w:w w:val="95"/>
                <w:sz w:val="21"/>
              </w:rPr>
              <w:t>③编制招标方案。包括：划分监理标段、选择招标方式、选定合同类</w:t>
            </w:r>
          </w:p>
          <w:p>
            <w:pPr>
              <w:pStyle w:val="TableParagraph"/>
              <w:spacing w:before="105"/>
              <w:ind w:left="106"/>
              <w:rPr>
                <w:sz w:val="21"/>
              </w:rPr>
            </w:pPr>
            <w:r>
              <w:rPr>
                <w:sz w:val="21"/>
              </w:rPr>
              <w:t>型及计价方式、确定投标人资格条件、安排招标工作进度等。</w:t>
            </w:r>
          </w:p>
        </w:tc>
      </w:tr>
      <w:tr>
        <w:tblPrEx>
          <w:tblW w:w="0" w:type="auto"/>
          <w:tblInd w:w="124" w:type="dxa"/>
          <w:tblLayout w:type="fixed"/>
          <w:tblCellMar>
            <w:top w:w="0" w:type="dxa"/>
            <w:left w:w="0" w:type="dxa"/>
            <w:bottom w:w="0" w:type="dxa"/>
            <w:right w:w="0" w:type="dxa"/>
          </w:tblCellMar>
        </w:tblPrEx>
        <w:trPr>
          <w:trHeight w:val="1122"/>
        </w:trPr>
        <w:tc>
          <w:tcPr>
            <w:tcW w:w="2029" w:type="dxa"/>
          </w:tcPr>
          <w:p>
            <w:pPr>
              <w:pStyle w:val="TableParagraph"/>
              <w:spacing w:before="6"/>
              <w:rPr>
                <w:sz w:val="18"/>
              </w:rPr>
            </w:pPr>
          </w:p>
          <w:p>
            <w:pPr>
              <w:pStyle w:val="TableParagraph"/>
              <w:spacing w:line="333" w:lineRule="auto"/>
              <w:ind w:left="107" w:right="99"/>
              <w:rPr>
                <w:sz w:val="21"/>
              </w:rPr>
            </w:pPr>
            <w:r>
              <w:rPr>
                <w:sz w:val="21"/>
              </w:rPr>
              <w:t>2</w:t>
            </w:r>
            <w:r>
              <w:rPr>
                <w:spacing w:val="13"/>
                <w:sz w:val="21"/>
              </w:rPr>
              <w:t>.发招标公告或投</w:t>
            </w:r>
            <w:r>
              <w:rPr>
                <w:sz w:val="21"/>
              </w:rPr>
              <w:t>标邀请书</w:t>
            </w:r>
          </w:p>
        </w:tc>
        <w:tc>
          <w:tcPr>
            <w:tcW w:w="6493" w:type="dxa"/>
          </w:tcPr>
          <w:p>
            <w:pPr>
              <w:pStyle w:val="TableParagraph"/>
              <w:spacing w:before="52" w:line="331" w:lineRule="auto"/>
              <w:ind w:left="106" w:right="-15"/>
              <w:rPr>
                <w:sz w:val="21"/>
              </w:rPr>
            </w:pPr>
            <w:r>
              <w:rPr>
                <w:w w:val="95"/>
                <w:sz w:val="21"/>
              </w:rPr>
              <w:t>应当载明：建设单位名称和地址；招标项目的性质；招标项目的数量；</w:t>
            </w:r>
            <w:r>
              <w:rPr>
                <w:spacing w:val="1"/>
                <w:w w:val="95"/>
                <w:sz w:val="21"/>
              </w:rPr>
              <w:t xml:space="preserve"> </w:t>
            </w:r>
            <w:r>
              <w:rPr>
                <w:sz w:val="21"/>
              </w:rPr>
              <w:t>招标项目的实施地点；招标项目的实施时间；获取招标文件的办法等</w:t>
            </w:r>
          </w:p>
          <w:p>
            <w:pPr>
              <w:pStyle w:val="TableParagraph"/>
              <w:spacing w:before="4"/>
              <w:ind w:left="106"/>
              <w:rPr>
                <w:sz w:val="21"/>
              </w:rPr>
            </w:pPr>
            <w:r>
              <w:rPr>
                <w:sz w:val="21"/>
              </w:rPr>
              <w:t>内容。</w:t>
            </w:r>
          </w:p>
        </w:tc>
      </w:tr>
      <w:tr>
        <w:tblPrEx>
          <w:tblW w:w="0" w:type="auto"/>
          <w:tblInd w:w="124" w:type="dxa"/>
          <w:tblLayout w:type="fixed"/>
          <w:tblCellMar>
            <w:top w:w="0" w:type="dxa"/>
            <w:left w:w="0" w:type="dxa"/>
            <w:bottom w:w="0" w:type="dxa"/>
            <w:right w:w="0" w:type="dxa"/>
          </w:tblCellMar>
        </w:tblPrEx>
        <w:trPr>
          <w:trHeight w:val="1122"/>
        </w:trPr>
        <w:tc>
          <w:tcPr>
            <w:tcW w:w="2029" w:type="dxa"/>
          </w:tcPr>
          <w:p>
            <w:pPr>
              <w:pStyle w:val="TableParagraph"/>
              <w:rPr>
                <w:sz w:val="20"/>
              </w:rPr>
            </w:pPr>
          </w:p>
          <w:p>
            <w:pPr>
              <w:pStyle w:val="TableParagraph"/>
              <w:spacing w:before="170"/>
              <w:ind w:left="107"/>
              <w:rPr>
                <w:sz w:val="21"/>
              </w:rPr>
            </w:pPr>
            <w:r>
              <w:rPr>
                <w:sz w:val="21"/>
              </w:rPr>
              <w:t>3.组织资格审查</w:t>
            </w:r>
          </w:p>
        </w:tc>
        <w:tc>
          <w:tcPr>
            <w:tcW w:w="6493" w:type="dxa"/>
          </w:tcPr>
          <w:p>
            <w:pPr>
              <w:pStyle w:val="TableParagraph"/>
              <w:spacing w:before="52" w:line="333" w:lineRule="auto"/>
              <w:ind w:left="106" w:right="97"/>
              <w:rPr>
                <w:sz w:val="21"/>
              </w:rPr>
            </w:pPr>
            <w:r>
              <w:rPr>
                <w:w w:val="95"/>
                <w:sz w:val="21"/>
              </w:rPr>
              <w:t>分为资格预审和资格后审。资格预审的目的是为了排除不合格的投标</w:t>
            </w:r>
            <w:r>
              <w:rPr>
                <w:spacing w:val="1"/>
                <w:w w:val="95"/>
                <w:sz w:val="21"/>
              </w:rPr>
              <w:t xml:space="preserve"> </w:t>
            </w:r>
            <w:r>
              <w:rPr>
                <w:w w:val="95"/>
                <w:sz w:val="21"/>
              </w:rPr>
              <w:t>人。降低招标人的招标成本，提高招标工作效率。工程监理资质审查</w:t>
            </w:r>
          </w:p>
          <w:p>
            <w:pPr>
              <w:pStyle w:val="TableParagraph"/>
              <w:spacing w:before="1"/>
              <w:ind w:left="106"/>
              <w:rPr>
                <w:sz w:val="21"/>
              </w:rPr>
            </w:pPr>
            <w:r>
              <w:rPr>
                <w:sz w:val="21"/>
              </w:rPr>
              <w:t>大多采用资格预审的方式进行。</w:t>
            </w:r>
          </w:p>
        </w:tc>
      </w:tr>
      <w:tr>
        <w:tblPrEx>
          <w:tblW w:w="0" w:type="auto"/>
          <w:tblInd w:w="124" w:type="dxa"/>
          <w:tblLayout w:type="fixed"/>
          <w:tblCellMar>
            <w:top w:w="0" w:type="dxa"/>
            <w:left w:w="0" w:type="dxa"/>
            <w:bottom w:w="0" w:type="dxa"/>
            <w:right w:w="0" w:type="dxa"/>
          </w:tblCellMar>
        </w:tblPrEx>
        <w:trPr>
          <w:trHeight w:val="749"/>
        </w:trPr>
        <w:tc>
          <w:tcPr>
            <w:tcW w:w="2029" w:type="dxa"/>
          </w:tcPr>
          <w:p>
            <w:pPr>
              <w:pStyle w:val="TableParagraph"/>
              <w:spacing w:before="51"/>
              <w:ind w:left="107"/>
              <w:rPr>
                <w:sz w:val="21"/>
              </w:rPr>
            </w:pPr>
            <w:r>
              <w:rPr>
                <w:sz w:val="21"/>
              </w:rPr>
              <w:t>4</w:t>
            </w:r>
            <w:r>
              <w:rPr>
                <w:spacing w:val="13"/>
                <w:sz w:val="21"/>
              </w:rPr>
              <w:t>.编制和发售招标</w:t>
            </w:r>
          </w:p>
          <w:p>
            <w:pPr>
              <w:pStyle w:val="TableParagraph"/>
              <w:spacing w:before="106"/>
              <w:ind w:left="107"/>
              <w:rPr>
                <w:sz w:val="21"/>
              </w:rPr>
            </w:pPr>
            <w:r>
              <w:rPr>
                <w:sz w:val="21"/>
              </w:rPr>
              <w:t>文件</w:t>
            </w:r>
          </w:p>
        </w:tc>
        <w:tc>
          <w:tcPr>
            <w:tcW w:w="6493" w:type="dxa"/>
          </w:tcPr>
          <w:p>
            <w:pPr>
              <w:pStyle w:val="TableParagraph"/>
              <w:spacing w:before="51"/>
              <w:ind w:left="106" w:right="-15"/>
              <w:rPr>
                <w:sz w:val="21"/>
              </w:rPr>
            </w:pPr>
            <w:r>
              <w:rPr>
                <w:w w:val="95"/>
                <w:sz w:val="21"/>
              </w:rPr>
              <w:t>招标文件组成内容：招标公告或投标邀请书；投标人须知；评标办法；</w:t>
            </w:r>
          </w:p>
          <w:p>
            <w:pPr>
              <w:pStyle w:val="TableParagraph"/>
              <w:spacing w:before="106"/>
              <w:ind w:left="106"/>
              <w:rPr>
                <w:sz w:val="21"/>
              </w:rPr>
            </w:pPr>
            <w:r>
              <w:rPr>
                <w:sz w:val="21"/>
              </w:rPr>
              <w:t>合同条款及格式；委托人要求；投标文件格式。</w:t>
            </w:r>
          </w:p>
        </w:tc>
      </w:tr>
      <w:tr>
        <w:tblPrEx>
          <w:tblW w:w="0" w:type="auto"/>
          <w:tblInd w:w="124" w:type="dxa"/>
          <w:tblLayout w:type="fixed"/>
          <w:tblCellMar>
            <w:top w:w="0" w:type="dxa"/>
            <w:left w:w="0" w:type="dxa"/>
            <w:bottom w:w="0" w:type="dxa"/>
            <w:right w:w="0" w:type="dxa"/>
          </w:tblCellMar>
        </w:tblPrEx>
        <w:trPr>
          <w:trHeight w:val="748"/>
        </w:trPr>
        <w:tc>
          <w:tcPr>
            <w:tcW w:w="2029" w:type="dxa"/>
          </w:tcPr>
          <w:p>
            <w:pPr>
              <w:pStyle w:val="TableParagraph"/>
              <w:spacing w:before="7"/>
              <w:rPr>
                <w:sz w:val="18"/>
              </w:rPr>
            </w:pPr>
          </w:p>
          <w:p>
            <w:pPr>
              <w:pStyle w:val="TableParagraph"/>
              <w:ind w:left="107"/>
              <w:rPr>
                <w:sz w:val="21"/>
              </w:rPr>
            </w:pPr>
            <w:r>
              <w:rPr>
                <w:sz w:val="21"/>
              </w:rPr>
              <w:t>5.组织现场踏勘</w:t>
            </w:r>
          </w:p>
        </w:tc>
        <w:tc>
          <w:tcPr>
            <w:tcW w:w="6493" w:type="dxa"/>
          </w:tcPr>
          <w:p>
            <w:pPr>
              <w:pStyle w:val="TableParagraph"/>
              <w:spacing w:before="51"/>
              <w:ind w:left="106"/>
              <w:rPr>
                <w:sz w:val="21"/>
              </w:rPr>
            </w:pPr>
            <w:r>
              <w:rPr>
                <w:sz w:val="21"/>
              </w:rPr>
              <w:t>招标人不得组织单个或者部分潜在投标人踏勘项目现场。潜在投标人</w:t>
            </w:r>
          </w:p>
          <w:p>
            <w:pPr>
              <w:pStyle w:val="TableParagraph"/>
              <w:spacing w:before="105"/>
              <w:ind w:left="106"/>
              <w:rPr>
                <w:sz w:val="21"/>
              </w:rPr>
            </w:pPr>
            <w:r>
              <w:rPr>
                <w:sz w:val="21"/>
              </w:rPr>
              <w:t>自行负责据此做出的判断和投标决策。</w:t>
            </w:r>
          </w:p>
        </w:tc>
      </w:tr>
      <w:tr>
        <w:tblPrEx>
          <w:tblW w:w="0" w:type="auto"/>
          <w:tblInd w:w="124" w:type="dxa"/>
          <w:tblLayout w:type="fixed"/>
          <w:tblCellMar>
            <w:top w:w="0" w:type="dxa"/>
            <w:left w:w="0" w:type="dxa"/>
            <w:bottom w:w="0" w:type="dxa"/>
            <w:right w:w="0" w:type="dxa"/>
          </w:tblCellMar>
        </w:tblPrEx>
        <w:trPr>
          <w:trHeight w:val="748"/>
        </w:trPr>
        <w:tc>
          <w:tcPr>
            <w:tcW w:w="2029" w:type="dxa"/>
          </w:tcPr>
          <w:p>
            <w:pPr>
              <w:pStyle w:val="TableParagraph"/>
              <w:spacing w:before="7"/>
              <w:rPr>
                <w:sz w:val="18"/>
              </w:rPr>
            </w:pPr>
          </w:p>
          <w:p>
            <w:pPr>
              <w:pStyle w:val="TableParagraph"/>
              <w:ind w:left="107"/>
              <w:rPr>
                <w:sz w:val="21"/>
              </w:rPr>
            </w:pPr>
            <w:r>
              <w:rPr>
                <w:sz w:val="21"/>
              </w:rPr>
              <w:t>6.召开投标预备会</w:t>
            </w:r>
          </w:p>
        </w:tc>
        <w:tc>
          <w:tcPr>
            <w:tcW w:w="6493" w:type="dxa"/>
          </w:tcPr>
          <w:p>
            <w:pPr>
              <w:pStyle w:val="TableParagraph"/>
              <w:spacing w:before="50"/>
              <w:ind w:left="106"/>
              <w:rPr>
                <w:sz w:val="21"/>
              </w:rPr>
            </w:pPr>
            <w:r>
              <w:rPr>
                <w:sz w:val="21"/>
              </w:rPr>
              <w:t>澄清、解答潜在投标人在阅读招标文件和现场踏勘后提出的疑问，招</w:t>
            </w:r>
          </w:p>
          <w:p>
            <w:pPr>
              <w:pStyle w:val="TableParagraph"/>
              <w:spacing w:before="106"/>
              <w:ind w:left="106"/>
              <w:rPr>
                <w:sz w:val="21"/>
              </w:rPr>
            </w:pPr>
            <w:r>
              <w:rPr>
                <w:sz w:val="21"/>
              </w:rPr>
              <w:t>标文件的书面澄清、解答属于招标文件的组成部分。</w:t>
            </w:r>
          </w:p>
        </w:tc>
      </w:tr>
      <w:tr>
        <w:tblPrEx>
          <w:tblW w:w="0" w:type="auto"/>
          <w:tblInd w:w="124" w:type="dxa"/>
          <w:tblLayout w:type="fixed"/>
          <w:tblCellMar>
            <w:top w:w="0" w:type="dxa"/>
            <w:left w:w="0" w:type="dxa"/>
            <w:bottom w:w="0" w:type="dxa"/>
            <w:right w:w="0" w:type="dxa"/>
          </w:tblCellMar>
        </w:tblPrEx>
        <w:trPr>
          <w:trHeight w:val="2621"/>
        </w:trPr>
        <w:tc>
          <w:tcPr>
            <w:tcW w:w="2029" w:type="dxa"/>
          </w:tcPr>
          <w:p>
            <w:pPr>
              <w:pStyle w:val="TableParagraph"/>
              <w:rPr>
                <w:sz w:val="20"/>
              </w:rPr>
            </w:pPr>
          </w:p>
          <w:p>
            <w:pPr>
              <w:pStyle w:val="TableParagraph"/>
              <w:rPr>
                <w:sz w:val="20"/>
              </w:rPr>
            </w:pPr>
          </w:p>
          <w:p>
            <w:pPr>
              <w:pStyle w:val="TableParagraph"/>
              <w:rPr>
                <w:sz w:val="20"/>
              </w:rPr>
            </w:pPr>
          </w:p>
          <w:p>
            <w:pPr>
              <w:pStyle w:val="TableParagraph"/>
              <w:spacing w:before="12"/>
              <w:rPr>
                <w:sz w:val="16"/>
              </w:rPr>
            </w:pPr>
          </w:p>
          <w:p>
            <w:pPr>
              <w:pStyle w:val="TableParagraph"/>
              <w:spacing w:line="333" w:lineRule="auto"/>
              <w:ind w:left="107" w:right="99"/>
              <w:rPr>
                <w:sz w:val="21"/>
              </w:rPr>
            </w:pPr>
            <w:r>
              <w:rPr>
                <w:sz w:val="21"/>
              </w:rPr>
              <w:t>7</w:t>
            </w:r>
            <w:r>
              <w:rPr>
                <w:spacing w:val="13"/>
                <w:sz w:val="21"/>
              </w:rPr>
              <w:t>.编制和递交投标</w:t>
            </w:r>
            <w:r>
              <w:rPr>
                <w:sz w:val="21"/>
              </w:rPr>
              <w:t>文件</w:t>
            </w:r>
          </w:p>
        </w:tc>
        <w:tc>
          <w:tcPr>
            <w:tcW w:w="6493" w:type="dxa"/>
          </w:tcPr>
          <w:p>
            <w:pPr>
              <w:pStyle w:val="TableParagraph"/>
              <w:spacing w:before="50" w:line="333" w:lineRule="auto"/>
              <w:ind w:left="106" w:right="73"/>
              <w:jc w:val="both"/>
              <w:rPr>
                <w:sz w:val="21"/>
              </w:rPr>
            </w:pPr>
            <w:r>
              <w:rPr>
                <w:w w:val="95"/>
                <w:sz w:val="21"/>
              </w:rPr>
              <w:t>投标人应按照招标文件的要求编制投标文件，对招标文件提出的实质</w:t>
            </w:r>
            <w:r>
              <w:rPr>
                <w:spacing w:val="20"/>
                <w:w w:val="95"/>
                <w:sz w:val="21"/>
              </w:rPr>
              <w:t xml:space="preserve"> </w:t>
            </w:r>
            <w:r>
              <w:rPr>
                <w:w w:val="95"/>
                <w:sz w:val="21"/>
              </w:rPr>
              <w:t>性要求和条件作出实质性响应，并按照招标文件规定的时间、地点、</w:t>
            </w:r>
            <w:r>
              <w:rPr>
                <w:spacing w:val="10"/>
                <w:w w:val="95"/>
                <w:sz w:val="21"/>
              </w:rPr>
              <w:t xml:space="preserve"> </w:t>
            </w:r>
            <w:r>
              <w:rPr>
                <w:sz w:val="21"/>
              </w:rPr>
              <w:t>方式递交投标文件。</w:t>
            </w:r>
          </w:p>
          <w:p>
            <w:pPr>
              <w:pStyle w:val="TableParagraph"/>
              <w:spacing w:before="1" w:line="333" w:lineRule="auto"/>
              <w:ind w:left="106" w:right="-15"/>
              <w:jc w:val="both"/>
              <w:rPr>
                <w:sz w:val="21"/>
              </w:rPr>
            </w:pPr>
            <w:r>
              <w:rPr>
                <w:spacing w:val="-11"/>
                <w:w w:val="99"/>
                <w:sz w:val="21"/>
              </w:rPr>
              <w:t>根据《标准监理招标文件》，投标文件应包括下列内容：</w:t>
            </w:r>
            <w:r>
              <w:rPr>
                <w:spacing w:val="2"/>
                <w:w w:val="99"/>
                <w:sz w:val="21"/>
              </w:rPr>
              <w:t>（</w:t>
            </w:r>
            <w:r>
              <w:rPr>
                <w:spacing w:val="3"/>
                <w:w w:val="99"/>
                <w:sz w:val="21"/>
              </w:rPr>
              <w:t>1</w:t>
            </w:r>
            <w:r>
              <w:rPr>
                <w:spacing w:val="4"/>
                <w:w w:val="99"/>
                <w:sz w:val="21"/>
              </w:rPr>
              <w:t>）</w:t>
            </w:r>
            <w:r>
              <w:rPr>
                <w:spacing w:val="2"/>
                <w:w w:val="99"/>
                <w:sz w:val="21"/>
              </w:rPr>
              <w:t>投标函</w:t>
            </w:r>
            <w:r>
              <w:rPr>
                <w:spacing w:val="-17"/>
                <w:w w:val="99"/>
                <w:sz w:val="21"/>
              </w:rPr>
              <w:t>及投标函附录；</w:t>
            </w:r>
            <w:r>
              <w:rPr>
                <w:spacing w:val="-1"/>
                <w:w w:val="99"/>
                <w:sz w:val="21"/>
              </w:rPr>
              <w:t>（</w:t>
            </w:r>
            <w:r>
              <w:rPr>
                <w:spacing w:val="1"/>
                <w:w w:val="99"/>
                <w:sz w:val="21"/>
              </w:rPr>
              <w:t>2</w:t>
            </w:r>
            <w:r>
              <w:rPr>
                <w:spacing w:val="-5"/>
                <w:w w:val="99"/>
                <w:sz w:val="21"/>
              </w:rPr>
              <w:t>）</w:t>
            </w:r>
            <w:r>
              <w:rPr>
                <w:spacing w:val="-8"/>
                <w:w w:val="99"/>
                <w:sz w:val="21"/>
              </w:rPr>
              <w:t>法定代表人身份证明或授权委托书；</w:t>
            </w:r>
            <w:r>
              <w:rPr>
                <w:spacing w:val="-1"/>
                <w:w w:val="99"/>
                <w:sz w:val="21"/>
              </w:rPr>
              <w:t>（</w:t>
            </w:r>
            <w:r>
              <w:rPr>
                <w:spacing w:val="1"/>
                <w:w w:val="99"/>
                <w:sz w:val="21"/>
              </w:rPr>
              <w:t>3</w:t>
            </w:r>
            <w:r>
              <w:rPr>
                <w:spacing w:val="-5"/>
                <w:w w:val="99"/>
                <w:sz w:val="21"/>
              </w:rPr>
              <w:t>）</w:t>
            </w:r>
            <w:r>
              <w:rPr>
                <w:w w:val="99"/>
                <w:sz w:val="21"/>
              </w:rPr>
              <w:t>联合体</w:t>
            </w:r>
            <w:r>
              <w:rPr>
                <w:spacing w:val="-23"/>
                <w:w w:val="99"/>
                <w:sz w:val="21"/>
              </w:rPr>
              <w:t>协议书；</w:t>
            </w:r>
            <w:r>
              <w:rPr>
                <w:spacing w:val="2"/>
                <w:w w:val="99"/>
                <w:sz w:val="21"/>
              </w:rPr>
              <w:t>（</w:t>
            </w:r>
            <w:r>
              <w:rPr>
                <w:spacing w:val="3"/>
                <w:w w:val="99"/>
                <w:sz w:val="21"/>
              </w:rPr>
              <w:t>4</w:t>
            </w:r>
            <w:r>
              <w:rPr>
                <w:spacing w:val="4"/>
                <w:w w:val="99"/>
                <w:sz w:val="21"/>
              </w:rPr>
              <w:t>）</w:t>
            </w:r>
            <w:r>
              <w:rPr>
                <w:spacing w:val="-16"/>
                <w:w w:val="99"/>
                <w:sz w:val="21"/>
              </w:rPr>
              <w:t>投标保证金；</w:t>
            </w:r>
            <w:r>
              <w:rPr>
                <w:spacing w:val="4"/>
                <w:w w:val="99"/>
                <w:sz w:val="21"/>
              </w:rPr>
              <w:t>（</w:t>
            </w:r>
            <w:r>
              <w:rPr>
                <w:spacing w:val="3"/>
                <w:w w:val="99"/>
                <w:sz w:val="21"/>
              </w:rPr>
              <w:t>5</w:t>
            </w:r>
            <w:r>
              <w:rPr>
                <w:spacing w:val="4"/>
                <w:w w:val="99"/>
                <w:sz w:val="21"/>
              </w:rPr>
              <w:t>）</w:t>
            </w:r>
            <w:r>
              <w:rPr>
                <w:spacing w:val="-14"/>
                <w:w w:val="99"/>
                <w:sz w:val="21"/>
              </w:rPr>
              <w:t>监理报酬清单；</w:t>
            </w:r>
            <w:r>
              <w:rPr>
                <w:spacing w:val="4"/>
                <w:w w:val="99"/>
                <w:sz w:val="21"/>
              </w:rPr>
              <w:t>（</w:t>
            </w:r>
            <w:r>
              <w:rPr>
                <w:spacing w:val="3"/>
                <w:w w:val="99"/>
                <w:sz w:val="21"/>
              </w:rPr>
              <w:t>6</w:t>
            </w:r>
            <w:r>
              <w:rPr>
                <w:spacing w:val="4"/>
                <w:w w:val="99"/>
                <w:sz w:val="21"/>
              </w:rPr>
              <w:t>）</w:t>
            </w:r>
            <w:r>
              <w:rPr>
                <w:spacing w:val="1"/>
                <w:w w:val="99"/>
                <w:sz w:val="21"/>
              </w:rPr>
              <w:t>资格审查资料；</w:t>
            </w:r>
          </w:p>
          <w:p>
            <w:pPr>
              <w:pStyle w:val="TableParagraph"/>
              <w:spacing w:before="1"/>
              <w:ind w:left="106"/>
              <w:rPr>
                <w:sz w:val="21"/>
              </w:rPr>
            </w:pPr>
            <w:r>
              <w:rPr>
                <w:spacing w:val="2"/>
                <w:w w:val="99"/>
                <w:sz w:val="21"/>
              </w:rPr>
              <w:t>（</w:t>
            </w:r>
            <w:r>
              <w:rPr>
                <w:spacing w:val="1"/>
                <w:w w:val="99"/>
                <w:sz w:val="21"/>
              </w:rPr>
              <w:t>7</w:t>
            </w:r>
            <w:r>
              <w:rPr>
                <w:spacing w:val="-1"/>
                <w:w w:val="99"/>
                <w:sz w:val="21"/>
              </w:rPr>
              <w:t>）</w:t>
            </w:r>
            <w:r>
              <w:rPr>
                <w:spacing w:val="-22"/>
                <w:w w:val="99"/>
                <w:sz w:val="21"/>
              </w:rPr>
              <w:t>监理大纲；</w:t>
            </w:r>
            <w:r>
              <w:rPr>
                <w:spacing w:val="-1"/>
                <w:w w:val="99"/>
                <w:sz w:val="21"/>
              </w:rPr>
              <w:t>（</w:t>
            </w:r>
            <w:r>
              <w:rPr>
                <w:spacing w:val="1"/>
                <w:w w:val="99"/>
                <w:sz w:val="21"/>
              </w:rPr>
              <w:t>8</w:t>
            </w:r>
            <w:r>
              <w:rPr>
                <w:spacing w:val="-1"/>
                <w:w w:val="99"/>
                <w:sz w:val="21"/>
              </w:rPr>
              <w:t>）投标人须知前附表规定的其他资料。</w:t>
            </w:r>
          </w:p>
        </w:tc>
      </w:tr>
      <w:tr>
        <w:tblPrEx>
          <w:tblW w:w="0" w:type="auto"/>
          <w:tblInd w:w="124" w:type="dxa"/>
          <w:tblLayout w:type="fixed"/>
          <w:tblCellMar>
            <w:top w:w="0" w:type="dxa"/>
            <w:left w:w="0" w:type="dxa"/>
            <w:bottom w:w="0" w:type="dxa"/>
            <w:right w:w="0" w:type="dxa"/>
          </w:tblCellMar>
        </w:tblPrEx>
        <w:trPr>
          <w:trHeight w:val="372"/>
        </w:trPr>
        <w:tc>
          <w:tcPr>
            <w:tcW w:w="2029" w:type="dxa"/>
          </w:tcPr>
          <w:p>
            <w:pPr>
              <w:pStyle w:val="TableParagraph"/>
              <w:spacing w:before="52"/>
              <w:ind w:left="107"/>
              <w:rPr>
                <w:sz w:val="21"/>
              </w:rPr>
            </w:pPr>
            <w:r>
              <w:rPr>
                <w:sz w:val="21"/>
              </w:rPr>
              <w:t>8</w:t>
            </w:r>
            <w:r>
              <w:rPr>
                <w:spacing w:val="-10"/>
                <w:sz w:val="21"/>
              </w:rPr>
              <w:t>.开标、评标和定标</w:t>
            </w:r>
          </w:p>
        </w:tc>
        <w:tc>
          <w:tcPr>
            <w:tcW w:w="6493" w:type="dxa"/>
          </w:tcPr>
          <w:p>
            <w:pPr>
              <w:pStyle w:val="TableParagraph"/>
              <w:spacing w:before="52"/>
              <w:ind w:left="106"/>
              <w:rPr>
                <w:sz w:val="21"/>
              </w:rPr>
            </w:pPr>
            <w:r>
              <w:rPr>
                <w:sz w:val="21"/>
              </w:rPr>
              <w:t>评标委员会应当熟悉、掌握招标项目的主要特点和需求，认真阅读、</w:t>
            </w:r>
          </w:p>
        </w:tc>
      </w:tr>
    </w:tbl>
    <w:p>
      <w:pPr>
        <w:spacing w:after="0"/>
        <w:rPr>
          <w:sz w:val="21"/>
        </w:rPr>
        <w:sectPr>
          <w:headerReference w:type="default" r:id="rId42"/>
          <w:pgSz w:w="11910" w:h="16840"/>
          <w:pgMar w:top="1160" w:right="540" w:bottom="280" w:left="680" w:header="0" w:footer="0" w:gutter="0"/>
          <w:pgNumType w:start="37"/>
          <w:cols w:space="708"/>
        </w:sectPr>
      </w:pPr>
    </w:p>
    <w:tbl>
      <w:tblPr>
        <w:tblStyle w:val="TableNormal"/>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2029"/>
        <w:gridCol w:w="6493"/>
        <w:gridCol w:w="1678"/>
      </w:tblGrid>
      <w:tr>
        <w:tblPrEx>
          <w:tblW w:w="0" w:type="auto"/>
          <w:tblInd w:w="1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1120"/>
        </w:trPr>
        <w:tc>
          <w:tcPr>
            <w:tcW w:w="202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6493" w:type="dxa"/>
            <w:tcBorders>
              <w:left w:val="single" w:sz="4" w:space="0" w:color="000000"/>
              <w:bottom w:val="single" w:sz="4" w:space="0" w:color="000000"/>
              <w:right w:val="single" w:sz="4" w:space="0" w:color="000000"/>
            </w:tcBorders>
          </w:tcPr>
          <w:p>
            <w:pPr>
              <w:pStyle w:val="TableParagraph"/>
              <w:spacing w:before="50"/>
              <w:ind w:left="106"/>
              <w:rPr>
                <w:sz w:val="21"/>
              </w:rPr>
            </w:pPr>
            <w:r>
              <w:rPr>
                <w:sz w:val="21"/>
              </w:rPr>
              <w:t>研究招标文件及其评标办法，按招标文件规定的评标办法进行评标，</w:t>
            </w:r>
          </w:p>
          <w:p>
            <w:pPr>
              <w:pStyle w:val="TableParagraph"/>
              <w:spacing w:before="5" w:line="370" w:lineRule="atLeast"/>
              <w:ind w:left="106" w:right="97"/>
              <w:rPr>
                <w:sz w:val="21"/>
              </w:rPr>
            </w:pPr>
            <w:r>
              <w:rPr>
                <w:w w:val="95"/>
                <w:sz w:val="21"/>
              </w:rPr>
              <w:t>编写评标报告，并向招标人推荐中标候选人，或经招标人授权直接确</w:t>
            </w:r>
            <w:r>
              <w:rPr>
                <w:spacing w:val="1"/>
                <w:w w:val="95"/>
                <w:sz w:val="21"/>
              </w:rPr>
              <w:t xml:space="preserve"> </w:t>
            </w:r>
            <w:r>
              <w:rPr>
                <w:sz w:val="21"/>
              </w:rPr>
              <w:t>定中标人。</w:t>
            </w:r>
          </w:p>
        </w:tc>
        <w:tc>
          <w:tcPr>
            <w:tcW w:w="1678" w:type="dxa"/>
            <w:vMerge w:val="restart"/>
            <w:tcBorders>
              <w:top w:val="single" w:sz="6" w:space="0" w:color="000000"/>
              <w:left w:val="single" w:sz="4" w:space="0" w:color="000000"/>
              <w:bottom w:val="nil"/>
              <w:right w:val="nil"/>
            </w:tcBorders>
          </w:tcPr>
          <w:p>
            <w:pPr>
              <w:pStyle w:val="TableParagraph"/>
              <w:rPr>
                <w:rFonts w:ascii="Times New Roman"/>
                <w:sz w:val="20"/>
              </w:rPr>
            </w:pPr>
          </w:p>
        </w:tc>
      </w:tr>
      <w:tr>
        <w:tblPrEx>
          <w:tblW w:w="0" w:type="auto"/>
          <w:tblInd w:w="124" w:type="dxa"/>
          <w:tblLayout w:type="fixed"/>
          <w:tblCellMar>
            <w:top w:w="0" w:type="dxa"/>
            <w:left w:w="0" w:type="dxa"/>
            <w:bottom w:w="0" w:type="dxa"/>
            <w:right w:w="0" w:type="dxa"/>
          </w:tblCellMar>
        </w:tblPrEx>
        <w:trPr>
          <w:trHeight w:val="375"/>
        </w:trPr>
        <w:tc>
          <w:tcPr>
            <w:tcW w:w="852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2"/>
              <w:ind w:left="107"/>
              <w:rPr>
                <w:sz w:val="21"/>
              </w:rPr>
            </w:pPr>
            <w:r>
              <w:rPr>
                <w:sz w:val="21"/>
              </w:rPr>
              <w:t>9.签订监理合同</w:t>
            </w:r>
          </w:p>
        </w:tc>
        <w:tc>
          <w:tcPr>
            <w:tcW w:w="1678" w:type="dxa"/>
            <w:vMerge/>
            <w:tcBorders>
              <w:top w:val="nil"/>
              <w:left w:val="single" w:sz="4" w:space="0" w:color="000000"/>
              <w:bottom w:val="nil"/>
              <w:right w:val="nil"/>
            </w:tcBorders>
          </w:tcPr>
          <w:p>
            <w:pPr>
              <w:rPr>
                <w:sz w:val="2"/>
                <w:szCs w:val="2"/>
              </w:rPr>
            </w:pPr>
          </w:p>
        </w:tc>
      </w:tr>
    </w:tbl>
    <w:p>
      <w:pPr>
        <w:pStyle w:val="BodyText"/>
        <w:spacing w:before="50"/>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【记忆方法】理解记忆</w:t>
      </w:r>
    </w:p>
    <w:p>
      <w:pPr>
        <w:pStyle w:val="BodyText"/>
        <w:spacing w:before="7"/>
        <w:ind w:left="0"/>
        <w:rPr>
          <w:sz w:val="7"/>
        </w:rPr>
      </w:pPr>
      <w:r>
        <w:pict>
          <v:shape id="docshape89" o:spid="_x0000_s1108" type="#_x0000_t202" style="width:82.8pt;height:19.95pt;margin-top:8.3pt;margin-left:48.3pt;mso-height-relative:page;mso-position-horizontal-relative:page;mso-width-relative:page;mso-wrap-distance-bottom:0;mso-wrap-distance-top:0;position:absolute;z-index:-251574272" coordsize="21600,21600" filled="f" stroked="t" strokecolor="black">
            <v:textbox inset="0,0,0,0">
              <w:txbxContent>
                <w:p>
                  <w:pPr>
                    <w:spacing w:before="2"/>
                    <w:ind w:left="1" w:right="0" w:firstLine="0"/>
                    <w:jc w:val="left"/>
                    <w:rPr>
                      <w:b/>
                      <w:sz w:val="24"/>
                    </w:rPr>
                  </w:pPr>
                  <w:r>
                    <w:rPr>
                      <w:b/>
                      <w:sz w:val="24"/>
                    </w:rPr>
                    <w:t>精选习题·39</w:t>
                  </w:r>
                </w:p>
              </w:txbxContent>
            </v:textbox>
            <w10:wrap type="topAndBottom"/>
          </v:shape>
        </w:pict>
      </w:r>
    </w:p>
    <w:p>
      <w:pPr>
        <w:pStyle w:val="BodyText"/>
        <w:spacing w:before="5"/>
        <w:ind w:left="0"/>
        <w:rPr>
          <w:sz w:val="7"/>
        </w:rPr>
      </w:pPr>
    </w:p>
    <w:p>
      <w:pPr>
        <w:pStyle w:val="BodyText"/>
        <w:tabs>
          <w:tab w:val="left" w:pos="4847"/>
        </w:tabs>
        <w:spacing w:before="70" w:line="333" w:lineRule="auto"/>
        <w:ind w:left="647" w:right="5522" w:hanging="420"/>
      </w:pPr>
      <w:r>
        <w:t>【2022】工程监理招标方案应包含的内容有（</w:t>
      </w:r>
      <w:r>
        <w:tab/>
      </w:r>
      <w:r>
        <w:rPr>
          <w:spacing w:val="-104"/>
        </w:rPr>
        <w:t>）</w:t>
      </w:r>
      <w:r>
        <w:rPr>
          <w:spacing w:val="-3"/>
        </w:rPr>
        <w:t>。</w:t>
      </w:r>
      <w:r>
        <w:t>A.招标方式</w:t>
      </w:r>
    </w:p>
    <w:p>
      <w:pPr>
        <w:pStyle w:val="BodyText"/>
        <w:spacing w:line="333" w:lineRule="auto"/>
        <w:ind w:left="647" w:right="8570"/>
      </w:pPr>
      <w:r>
        <w:rPr>
          <w:spacing w:val="-1"/>
        </w:rPr>
        <w:t>B.监理标段划分</w:t>
      </w:r>
      <w:r>
        <w:t>C.投标人须知</w:t>
      </w:r>
      <w:r>
        <w:rPr>
          <w:spacing w:val="1"/>
        </w:rPr>
        <w:t xml:space="preserve"> </w:t>
      </w:r>
      <w:r>
        <w:rPr>
          <w:spacing w:val="-1"/>
        </w:rPr>
        <w:t>D.评标专家名单E.招标工作进度</w:t>
      </w:r>
    </w:p>
    <w:p>
      <w:pPr>
        <w:pStyle w:val="BodyText"/>
        <w:spacing w:before="2"/>
      </w:pPr>
      <w:r>
        <w:t>【答案】ABE</w:t>
      </w:r>
    </w:p>
    <w:p>
      <w:pPr>
        <w:pStyle w:val="BodyText"/>
        <w:spacing w:before="105" w:line="333" w:lineRule="auto"/>
        <w:ind w:right="261"/>
      </w:pPr>
      <w:r>
        <w:pict>
          <v:shape id="docshape90" o:spid="_x0000_s1109" type="#_x0000_t202" style="width:82.8pt;height:20pt;margin-top:45.65pt;margin-left:48.3pt;mso-height-relative:page;mso-position-horizontal-relative:page;mso-width-relative:page;mso-wrap-distance-bottom:0;mso-wrap-distance-top:0;position:absolute;z-index:-251573248" coordsize="21600,21600" filled="f" stroked="t" strokecolor="black">
            <v:textbox inset="0,0,0,0">
              <w:txbxContent>
                <w:p>
                  <w:pPr>
                    <w:spacing w:before="2"/>
                    <w:ind w:left="1" w:right="0" w:firstLine="0"/>
                    <w:jc w:val="left"/>
                    <w:rPr>
                      <w:b/>
                      <w:sz w:val="24"/>
                    </w:rPr>
                  </w:pPr>
                  <w:r>
                    <w:rPr>
                      <w:b/>
                      <w:sz w:val="24"/>
                    </w:rPr>
                    <w:t>重要考点·40</w:t>
                  </w:r>
                </w:p>
              </w:txbxContent>
            </v:textbox>
            <w10:wrap type="topAndBottom"/>
          </v:shape>
        </w:pict>
      </w:r>
      <w:r>
        <w:rPr>
          <w:w w:val="95"/>
        </w:rPr>
        <w:t>【解析】编制招标方案包括：划分监理标段、选择招标方式、选定合同类型及计价方式、确定投标人资格条件、</w:t>
      </w:r>
      <w:r>
        <w:rPr>
          <w:spacing w:val="112"/>
        </w:rPr>
        <w:t xml:space="preserve"> </w:t>
      </w:r>
      <w:r>
        <w:t>安排招标工作进度等。</w:t>
      </w:r>
    </w:p>
    <w:p>
      <w:pPr>
        <w:pStyle w:val="BodyText"/>
        <w:spacing w:before="4"/>
        <w:ind w:left="0"/>
        <w:rPr>
          <w:sz w:val="7"/>
        </w:rPr>
      </w:pPr>
    </w:p>
    <w:p>
      <w:pPr>
        <w:pStyle w:val="BodyText"/>
        <w:spacing w:before="70"/>
      </w:pPr>
      <w:r>
        <w:t>一、建设工程监理评标内容和方法</w:t>
      </w:r>
    </w:p>
    <w:p>
      <w:pPr>
        <w:pStyle w:val="BodyText"/>
        <w:spacing w:before="106" w:line="333" w:lineRule="auto"/>
        <w:ind w:right="367"/>
        <w:jc w:val="both"/>
      </w:pPr>
      <w:r>
        <w:rPr>
          <w:spacing w:val="-5"/>
          <w:w w:val="95"/>
        </w:rPr>
        <w:t>建设工程监理招标属于服务类招标，其标的是无形的“监理服务”，因此，建设单位在选择工程监理单位最重要</w:t>
      </w:r>
      <w:r>
        <w:rPr>
          <w:spacing w:val="143"/>
        </w:rPr>
        <w:t xml:space="preserve"> </w:t>
      </w:r>
      <w:r>
        <w:rPr>
          <w:spacing w:val="-10"/>
          <w:w w:val="95"/>
        </w:rPr>
        <w:t>的原则是“基于能力的选择”，而不应将“服务报价”作为主要的考虑因素。有时甚至不考虑建设工程监理服务</w:t>
      </w:r>
      <w:r>
        <w:rPr>
          <w:spacing w:val="130"/>
        </w:rPr>
        <w:t xml:space="preserve"> </w:t>
      </w:r>
      <w:r>
        <w:t>报价，只考虑工程监理单位的服务能力。</w:t>
      </w:r>
    </w:p>
    <w:p>
      <w:pPr>
        <w:pStyle w:val="BodyText"/>
        <w:spacing w:before="1"/>
      </w:pPr>
      <w:r>
        <w:t>（一）建设工程监理评标内容</w:t>
      </w:r>
    </w:p>
    <w:p>
      <w:pPr>
        <w:pStyle w:val="BodyText"/>
        <w:spacing w:before="105" w:after="54"/>
      </w:pPr>
      <w:r>
        <w:t>工程监理评标办法中，通常将下列要素作为评标内容：</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051"/>
        <w:gridCol w:w="7255"/>
      </w:tblGrid>
      <w:tr>
        <w:tblPrEx>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764"/>
        </w:trPr>
        <w:tc>
          <w:tcPr>
            <w:tcW w:w="3051" w:type="dxa"/>
          </w:tcPr>
          <w:p>
            <w:pPr>
              <w:pStyle w:val="TableParagraph"/>
              <w:spacing w:before="9"/>
              <w:rPr>
                <w:sz w:val="19"/>
              </w:rPr>
            </w:pPr>
          </w:p>
          <w:p>
            <w:pPr>
              <w:pStyle w:val="TableParagraph"/>
              <w:spacing w:before="1"/>
              <w:ind w:left="107"/>
              <w:rPr>
                <w:sz w:val="21"/>
              </w:rPr>
            </w:pPr>
            <w:r>
              <w:rPr>
                <w:sz w:val="21"/>
              </w:rPr>
              <w:t>（1）监理单位的基本素质</w:t>
            </w:r>
          </w:p>
        </w:tc>
        <w:tc>
          <w:tcPr>
            <w:tcW w:w="7255" w:type="dxa"/>
          </w:tcPr>
          <w:p>
            <w:pPr>
              <w:pStyle w:val="TableParagraph"/>
              <w:spacing w:before="66"/>
              <w:ind w:left="107"/>
              <w:rPr>
                <w:sz w:val="21"/>
              </w:rPr>
            </w:pPr>
            <w:r>
              <w:rPr>
                <w:spacing w:val="-3"/>
                <w:sz w:val="21"/>
              </w:rPr>
              <w:t>包括：工程监理单位资质、技术及服务能力、社会信誉和企业诚信度，类似工</w:t>
            </w:r>
          </w:p>
          <w:p>
            <w:pPr>
              <w:pStyle w:val="TableParagraph"/>
              <w:spacing w:before="105"/>
              <w:ind w:left="107"/>
              <w:rPr>
                <w:sz w:val="21"/>
              </w:rPr>
            </w:pPr>
            <w:r>
              <w:rPr>
                <w:sz w:val="21"/>
              </w:rPr>
              <w:t>程业绩和经验。</w:t>
            </w:r>
          </w:p>
        </w:tc>
      </w:tr>
      <w:tr>
        <w:tblPrEx>
          <w:tblW w:w="0" w:type="auto"/>
          <w:tblInd w:w="124" w:type="dxa"/>
          <w:tblLayout w:type="fixed"/>
          <w:tblCellMar>
            <w:top w:w="0" w:type="dxa"/>
            <w:left w:w="0" w:type="dxa"/>
            <w:bottom w:w="0" w:type="dxa"/>
            <w:right w:w="0" w:type="dxa"/>
          </w:tblCellMar>
        </w:tblPrEx>
        <w:trPr>
          <w:trHeight w:val="1137"/>
        </w:trPr>
        <w:tc>
          <w:tcPr>
            <w:tcW w:w="3051" w:type="dxa"/>
          </w:tcPr>
          <w:p>
            <w:pPr>
              <w:pStyle w:val="TableParagraph"/>
              <w:rPr>
                <w:sz w:val="20"/>
              </w:rPr>
            </w:pPr>
          </w:p>
          <w:p>
            <w:pPr>
              <w:pStyle w:val="TableParagraph"/>
              <w:spacing w:before="6"/>
              <w:rPr>
                <w:sz w:val="14"/>
              </w:rPr>
            </w:pPr>
          </w:p>
          <w:p>
            <w:pPr>
              <w:pStyle w:val="TableParagraph"/>
              <w:ind w:left="107"/>
              <w:rPr>
                <w:sz w:val="21"/>
              </w:rPr>
            </w:pPr>
            <w:r>
              <w:rPr>
                <w:sz w:val="21"/>
              </w:rPr>
              <w:t>（2）工程监理人员配备</w:t>
            </w:r>
          </w:p>
        </w:tc>
        <w:tc>
          <w:tcPr>
            <w:tcW w:w="7255" w:type="dxa"/>
          </w:tcPr>
          <w:p>
            <w:pPr>
              <w:pStyle w:val="TableParagraph"/>
              <w:spacing w:before="67"/>
              <w:ind w:left="107" w:right="-15"/>
              <w:rPr>
                <w:sz w:val="21"/>
              </w:rPr>
            </w:pPr>
            <w:r>
              <w:rPr>
                <w:w w:val="95"/>
                <w:sz w:val="21"/>
              </w:rPr>
              <w:t>包括：组织形式；总监的资格及能力；监理人员数量、专业；整体力量投入；</w:t>
            </w:r>
          </w:p>
          <w:p>
            <w:pPr>
              <w:pStyle w:val="TableParagraph"/>
              <w:spacing w:before="5" w:line="370" w:lineRule="atLeast"/>
              <w:ind w:left="107" w:right="96"/>
              <w:rPr>
                <w:sz w:val="21"/>
              </w:rPr>
            </w:pPr>
            <w:r>
              <w:rPr>
                <w:w w:val="95"/>
                <w:sz w:val="21"/>
              </w:rPr>
              <w:t>监理人员年龄结构；监理人员进退场计划等。其中，总监的综合能力和业绩是</w:t>
            </w:r>
            <w:r>
              <w:rPr>
                <w:spacing w:val="1"/>
                <w:w w:val="95"/>
                <w:sz w:val="21"/>
              </w:rPr>
              <w:t xml:space="preserve"> </w:t>
            </w:r>
            <w:r>
              <w:rPr>
                <w:sz w:val="21"/>
              </w:rPr>
              <w:t>评标需要考虑的重要内容。</w:t>
            </w:r>
          </w:p>
        </w:tc>
      </w:tr>
      <w:tr>
        <w:tblPrEx>
          <w:tblW w:w="0" w:type="auto"/>
          <w:tblInd w:w="124" w:type="dxa"/>
          <w:tblLayout w:type="fixed"/>
          <w:tblCellMar>
            <w:top w:w="0" w:type="dxa"/>
            <w:left w:w="0" w:type="dxa"/>
            <w:bottom w:w="0" w:type="dxa"/>
            <w:right w:w="0" w:type="dxa"/>
          </w:tblCellMar>
        </w:tblPrEx>
        <w:trPr>
          <w:trHeight w:val="391"/>
        </w:trPr>
        <w:tc>
          <w:tcPr>
            <w:tcW w:w="3051" w:type="dxa"/>
          </w:tcPr>
          <w:p>
            <w:pPr>
              <w:pStyle w:val="TableParagraph"/>
              <w:spacing w:before="66"/>
              <w:ind w:left="107"/>
              <w:rPr>
                <w:sz w:val="21"/>
              </w:rPr>
            </w:pPr>
            <w:r>
              <w:rPr>
                <w:sz w:val="21"/>
              </w:rPr>
              <w:t>（3）监理大纲</w:t>
            </w:r>
          </w:p>
        </w:tc>
        <w:tc>
          <w:tcPr>
            <w:tcW w:w="7255" w:type="dxa"/>
          </w:tcPr>
          <w:p>
            <w:pPr>
              <w:pStyle w:val="TableParagraph"/>
              <w:spacing w:before="66"/>
              <w:ind w:left="107"/>
              <w:rPr>
                <w:sz w:val="21"/>
              </w:rPr>
            </w:pPr>
            <w:r>
              <w:rPr>
                <w:sz w:val="21"/>
              </w:rPr>
              <w:t>评标时重点评审建设工程监理大纲的：①全面性；②针对性；③科学性</w:t>
            </w:r>
          </w:p>
        </w:tc>
      </w:tr>
      <w:tr>
        <w:tblPrEx>
          <w:tblW w:w="0" w:type="auto"/>
          <w:tblInd w:w="124" w:type="dxa"/>
          <w:tblLayout w:type="fixed"/>
          <w:tblCellMar>
            <w:top w:w="0" w:type="dxa"/>
            <w:left w:w="0" w:type="dxa"/>
            <w:bottom w:w="0" w:type="dxa"/>
            <w:right w:w="0" w:type="dxa"/>
          </w:tblCellMar>
        </w:tblPrEx>
        <w:trPr>
          <w:trHeight w:val="763"/>
        </w:trPr>
        <w:tc>
          <w:tcPr>
            <w:tcW w:w="3051" w:type="dxa"/>
          </w:tcPr>
          <w:p>
            <w:pPr>
              <w:pStyle w:val="TableParagraph"/>
              <w:spacing w:before="66"/>
              <w:ind w:left="107"/>
              <w:rPr>
                <w:sz w:val="21"/>
              </w:rPr>
            </w:pPr>
            <w:r>
              <w:rPr>
                <w:sz w:val="21"/>
              </w:rPr>
              <w:t>（4）试验检测仪器设备及其应</w:t>
            </w:r>
          </w:p>
          <w:p>
            <w:pPr>
              <w:pStyle w:val="TableParagraph"/>
              <w:spacing w:before="105"/>
              <w:ind w:left="107"/>
              <w:rPr>
                <w:sz w:val="21"/>
              </w:rPr>
            </w:pPr>
            <w:r>
              <w:rPr>
                <w:sz w:val="21"/>
              </w:rPr>
              <w:t>用能力</w:t>
            </w:r>
          </w:p>
        </w:tc>
        <w:tc>
          <w:tcPr>
            <w:tcW w:w="7255" w:type="dxa"/>
          </w:tcPr>
          <w:p>
            <w:pPr>
              <w:pStyle w:val="TableParagraph"/>
              <w:spacing w:before="66"/>
              <w:ind w:left="107"/>
              <w:rPr>
                <w:sz w:val="21"/>
              </w:rPr>
            </w:pPr>
            <w:r>
              <w:rPr>
                <w:spacing w:val="-4"/>
                <w:sz w:val="21"/>
              </w:rPr>
              <w:t>重点评审投标人在投标文件中所列的设备、仪器、工具等能否满足建设工程监</w:t>
            </w:r>
          </w:p>
          <w:p>
            <w:pPr>
              <w:pStyle w:val="TableParagraph"/>
              <w:spacing w:before="105"/>
              <w:ind w:left="107"/>
              <w:rPr>
                <w:sz w:val="21"/>
              </w:rPr>
            </w:pPr>
            <w:r>
              <w:rPr>
                <w:sz w:val="21"/>
              </w:rPr>
              <w:t>理要求。</w:t>
            </w:r>
          </w:p>
        </w:tc>
      </w:tr>
      <w:tr>
        <w:tblPrEx>
          <w:tblW w:w="0" w:type="auto"/>
          <w:tblInd w:w="124" w:type="dxa"/>
          <w:tblLayout w:type="fixed"/>
          <w:tblCellMar>
            <w:top w:w="0" w:type="dxa"/>
            <w:left w:w="0" w:type="dxa"/>
            <w:bottom w:w="0" w:type="dxa"/>
            <w:right w:w="0" w:type="dxa"/>
          </w:tblCellMar>
        </w:tblPrEx>
        <w:trPr>
          <w:trHeight w:val="763"/>
        </w:trPr>
        <w:tc>
          <w:tcPr>
            <w:tcW w:w="3051" w:type="dxa"/>
          </w:tcPr>
          <w:p>
            <w:pPr>
              <w:pStyle w:val="TableParagraph"/>
              <w:spacing w:before="8"/>
              <w:rPr>
                <w:sz w:val="19"/>
              </w:rPr>
            </w:pPr>
          </w:p>
          <w:p>
            <w:pPr>
              <w:pStyle w:val="TableParagraph"/>
              <w:spacing w:before="1"/>
              <w:ind w:left="107"/>
              <w:rPr>
                <w:sz w:val="21"/>
              </w:rPr>
            </w:pPr>
            <w:r>
              <w:rPr>
                <w:sz w:val="21"/>
              </w:rPr>
              <w:t>（5）监理费用报价</w:t>
            </w:r>
          </w:p>
        </w:tc>
        <w:tc>
          <w:tcPr>
            <w:tcW w:w="7255" w:type="dxa"/>
          </w:tcPr>
          <w:p>
            <w:pPr>
              <w:pStyle w:val="TableParagraph"/>
              <w:spacing w:before="67"/>
              <w:ind w:left="107"/>
              <w:rPr>
                <w:sz w:val="21"/>
              </w:rPr>
            </w:pPr>
            <w:r>
              <w:rPr>
                <w:spacing w:val="-3"/>
                <w:sz w:val="21"/>
              </w:rPr>
              <w:t>重点评审监理费用报价水平和构成是否合理、完整，分析说明是否明确，监理</w:t>
            </w:r>
          </w:p>
          <w:p>
            <w:pPr>
              <w:pStyle w:val="TableParagraph"/>
              <w:spacing w:before="106"/>
              <w:ind w:left="107"/>
              <w:rPr>
                <w:sz w:val="21"/>
              </w:rPr>
            </w:pPr>
            <w:r>
              <w:rPr>
                <w:sz w:val="21"/>
              </w:rPr>
              <w:t>服务费用的调整条件和办法是否符合招标文件要求。</w:t>
            </w:r>
          </w:p>
        </w:tc>
      </w:tr>
    </w:tbl>
    <w:p>
      <w:pPr>
        <w:pStyle w:val="BodyText"/>
        <w:spacing w:before="54"/>
      </w:pPr>
      <w:r>
        <w:rPr>
          <w:spacing w:val="1"/>
          <w:w w:val="95"/>
        </w:rPr>
        <w:t xml:space="preserve">【分值】考试形式为选择题，分值为 </w:t>
      </w:r>
      <w:r>
        <w:rPr>
          <w:w w:val="95"/>
        </w:rPr>
        <w:t>1-2</w:t>
      </w:r>
      <w:r>
        <w:rPr>
          <w:spacing w:val="3"/>
          <w:w w:val="95"/>
        </w:rPr>
        <w:t xml:space="preserve"> 分。</w:t>
      </w:r>
    </w:p>
    <w:p>
      <w:pPr>
        <w:pStyle w:val="BodyText"/>
        <w:spacing w:before="106"/>
      </w:pPr>
      <w:r>
        <w:t>【记忆方法】理解记忆</w:t>
      </w:r>
    </w:p>
    <w:p>
      <w:pPr>
        <w:pStyle w:val="BodyText"/>
        <w:spacing w:before="6"/>
        <w:ind w:left="0"/>
        <w:rPr>
          <w:sz w:val="7"/>
        </w:rPr>
      </w:pPr>
      <w:r>
        <w:pict>
          <v:shape id="docshape91" o:spid="_x0000_s1110" type="#_x0000_t202" style="width:82.8pt;height:20pt;margin-top:8.2pt;margin-left:48.3pt;mso-height-relative:page;mso-position-horizontal-relative:page;mso-width-relative:page;mso-wrap-distance-bottom:0;mso-wrap-distance-top:0;position:absolute;z-index:-251572224" coordsize="21600,21600" filled="f" stroked="t" strokecolor="black">
            <v:textbox inset="0,0,0,0">
              <w:txbxContent>
                <w:p>
                  <w:pPr>
                    <w:spacing w:before="2"/>
                    <w:ind w:left="1" w:right="0" w:firstLine="0"/>
                    <w:jc w:val="left"/>
                    <w:rPr>
                      <w:b/>
                      <w:sz w:val="24"/>
                    </w:rPr>
                  </w:pPr>
                  <w:r>
                    <w:rPr>
                      <w:b/>
                      <w:sz w:val="24"/>
                    </w:rPr>
                    <w:t>精选习题·40</w:t>
                  </w:r>
                </w:p>
              </w:txbxContent>
            </v:textbox>
            <w10:wrap type="topAndBottom"/>
          </v:shape>
        </w:pict>
      </w:r>
    </w:p>
    <w:p>
      <w:pPr>
        <w:spacing w:after="0"/>
        <w:rPr>
          <w:sz w:val="7"/>
        </w:rPr>
        <w:sectPr>
          <w:headerReference w:type="default" r:id="rId43"/>
          <w:pgSz w:w="11910" w:h="16840"/>
          <w:pgMar w:top="1160" w:right="540" w:bottom="280" w:left="680" w:header="0" w:footer="0" w:gutter="0"/>
          <w:pgNumType w:start="38"/>
          <w:cols w:space="708"/>
        </w:sectPr>
      </w:pPr>
    </w:p>
    <w:p>
      <w:pPr>
        <w:pStyle w:val="BodyText"/>
        <w:spacing w:before="54" w:line="331" w:lineRule="auto"/>
        <w:ind w:left="647" w:right="2373" w:hanging="420"/>
        <w:jc w:val="both"/>
      </w:pPr>
      <w:r>
        <w:t>【2022】建设单位通过招标方式选择工程监理单位时，应遵循的最重要原则是（</w:t>
      </w:r>
      <w:r>
        <w:rPr>
          <w:spacing w:val="191"/>
        </w:rPr>
        <w:t xml:space="preserve"> </w:t>
      </w:r>
      <w:r>
        <w:rPr>
          <w:spacing w:val="-104"/>
        </w:rPr>
        <w:t>）</w:t>
      </w:r>
      <w:r>
        <w:t>。A.基于能力的选择</w:t>
      </w:r>
    </w:p>
    <w:p>
      <w:pPr>
        <w:pStyle w:val="BodyText"/>
        <w:spacing w:before="4" w:line="333" w:lineRule="auto"/>
        <w:ind w:left="647" w:right="7939"/>
        <w:jc w:val="both"/>
      </w:pPr>
      <w:r>
        <w:rPr>
          <w:spacing w:val="-1"/>
        </w:rPr>
        <w:t>B.基于资质等级的比较C.基于附加服务的比较D.基于服务报价的选择</w:t>
      </w:r>
    </w:p>
    <w:p>
      <w:pPr>
        <w:pStyle w:val="BodyText"/>
        <w:spacing w:before="3"/>
      </w:pPr>
      <w:r>
        <w:t>【答案】A</w:t>
      </w:r>
    </w:p>
    <w:p>
      <w:pPr>
        <w:pStyle w:val="BodyText"/>
        <w:spacing w:before="103" w:line="333" w:lineRule="auto"/>
        <w:ind w:right="367"/>
      </w:pPr>
      <w:r>
        <w:pict>
          <v:shape id="docshape93" o:spid="_x0000_s1111" type="#_x0000_t202" style="width:82.8pt;height:19.9pt;margin-top:45.65pt;margin-left:48.3pt;mso-height-relative:page;mso-position-horizontal-relative:page;mso-width-relative:page;mso-wrap-distance-bottom:0;mso-wrap-distance-top:0;position:absolute;z-index:-251571200" coordsize="21600,21600" filled="f" stroked="t" strokecolor="black">
            <v:textbox inset="0,0,0,0">
              <w:txbxContent>
                <w:p>
                  <w:pPr>
                    <w:spacing w:before="3" w:line="306" w:lineRule="exact"/>
                    <w:ind w:left="1" w:right="0" w:firstLine="0"/>
                    <w:jc w:val="left"/>
                    <w:rPr>
                      <w:b/>
                      <w:sz w:val="24"/>
                    </w:rPr>
                  </w:pPr>
                  <w:r>
                    <w:rPr>
                      <w:b/>
                      <w:sz w:val="24"/>
                    </w:rPr>
                    <w:t>重要考点·41</w:t>
                  </w:r>
                </w:p>
              </w:txbxContent>
            </v:textbox>
            <w10:wrap type="topAndBottom"/>
          </v:shape>
        </w:pict>
      </w:r>
      <w:r>
        <w:rPr>
          <w:spacing w:val="-12"/>
          <w:w w:val="99"/>
        </w:rPr>
        <w:t>【解析】建设工程监理招标属于服务类招标，其标的是无形的“监理服务”，因此，建设单位在选择工程监理单</w:t>
      </w:r>
      <w:r>
        <w:t>位最重要的原则是“基于能力的选择”而不应将服务报价作为主要考虑因素。</w:t>
      </w:r>
    </w:p>
    <w:p>
      <w:pPr>
        <w:pStyle w:val="BodyText"/>
        <w:spacing w:before="7"/>
        <w:ind w:left="0"/>
        <w:rPr>
          <w:sz w:val="7"/>
        </w:rPr>
      </w:pPr>
    </w:p>
    <w:p>
      <w:pPr>
        <w:pStyle w:val="BodyText"/>
        <w:spacing w:before="70"/>
      </w:pPr>
      <w:r>
        <w:t>1.投标决策定量分析方法</w:t>
      </w:r>
    </w:p>
    <w:p>
      <w:pPr>
        <w:pStyle w:val="BodyText"/>
        <w:spacing w:before="103"/>
      </w:pPr>
      <w:r>
        <w:t>常用的投标决策定量分析方法有综合评价法和决策树法。</w:t>
      </w:r>
    </w:p>
    <w:p>
      <w:pPr>
        <w:pStyle w:val="ListParagraph"/>
        <w:numPr>
          <w:ilvl w:val="0"/>
          <w:numId w:val="69"/>
        </w:numPr>
        <w:tabs>
          <w:tab w:val="left" w:pos="752"/>
        </w:tabs>
        <w:spacing w:before="105" w:after="0" w:line="240" w:lineRule="auto"/>
        <w:ind w:left="751" w:right="0" w:hanging="525"/>
        <w:jc w:val="left"/>
        <w:rPr>
          <w:sz w:val="21"/>
        </w:rPr>
      </w:pPr>
      <w:r>
        <w:rPr>
          <w:sz w:val="21"/>
        </w:rPr>
        <w:t>综合评价法</w:t>
      </w:r>
    </w:p>
    <w:p>
      <w:pPr>
        <w:pStyle w:val="BodyText"/>
        <w:spacing w:before="105" w:line="333" w:lineRule="auto"/>
        <w:ind w:right="367"/>
      </w:pPr>
      <w:r>
        <w:rPr>
          <w:w w:val="95"/>
        </w:rPr>
        <w:t>综合评价法是指决策者决定是否参与某建设工程监理投标时，将影响其投标决策的主客观因素用某些具体指标</w:t>
      </w:r>
      <w:r>
        <w:rPr>
          <w:spacing w:val="206"/>
        </w:rPr>
        <w:t xml:space="preserve"> </w:t>
      </w:r>
      <w:r>
        <w:t>表示出来，并定量的进行综合评价，以此作为投标决策的依据。</w:t>
      </w:r>
    </w:p>
    <w:p>
      <w:pPr>
        <w:pStyle w:val="ListParagraph"/>
        <w:numPr>
          <w:ilvl w:val="0"/>
          <w:numId w:val="70"/>
        </w:numPr>
        <w:tabs>
          <w:tab w:val="left" w:pos="543"/>
        </w:tabs>
        <w:spacing w:before="3" w:after="0" w:line="240" w:lineRule="auto"/>
        <w:ind w:left="542" w:right="0" w:hanging="316"/>
        <w:jc w:val="left"/>
        <w:rPr>
          <w:sz w:val="21"/>
        </w:rPr>
      </w:pPr>
      <w:r>
        <w:rPr>
          <w:sz w:val="21"/>
        </w:rPr>
        <w:t>确定影响投标的评价指标；</w:t>
      </w:r>
    </w:p>
    <w:p>
      <w:pPr>
        <w:pStyle w:val="ListParagraph"/>
        <w:numPr>
          <w:ilvl w:val="0"/>
          <w:numId w:val="70"/>
        </w:numPr>
        <w:tabs>
          <w:tab w:val="left" w:pos="543"/>
        </w:tabs>
        <w:spacing w:before="103" w:after="0" w:line="240" w:lineRule="auto"/>
        <w:ind w:left="542" w:right="0" w:hanging="316"/>
        <w:jc w:val="left"/>
        <w:rPr>
          <w:sz w:val="21"/>
        </w:rPr>
      </w:pPr>
      <w:r>
        <w:rPr>
          <w:sz w:val="21"/>
        </w:rPr>
        <w:t>确定各项评价指标权重；</w:t>
      </w:r>
    </w:p>
    <w:p>
      <w:pPr>
        <w:pStyle w:val="ListParagraph"/>
        <w:numPr>
          <w:ilvl w:val="0"/>
          <w:numId w:val="70"/>
        </w:numPr>
        <w:tabs>
          <w:tab w:val="left" w:pos="543"/>
        </w:tabs>
        <w:spacing w:before="106" w:after="0" w:line="240" w:lineRule="auto"/>
        <w:ind w:left="542" w:right="0" w:hanging="316"/>
        <w:jc w:val="left"/>
        <w:rPr>
          <w:sz w:val="21"/>
        </w:rPr>
      </w:pPr>
      <w:r>
        <w:rPr>
          <w:w w:val="95"/>
          <w:sz w:val="21"/>
        </w:rPr>
        <w:t>各项评价指标评分；</w:t>
      </w:r>
    </w:p>
    <w:p>
      <w:pPr>
        <w:pStyle w:val="ListParagraph"/>
        <w:numPr>
          <w:ilvl w:val="0"/>
          <w:numId w:val="70"/>
        </w:numPr>
        <w:tabs>
          <w:tab w:val="left" w:pos="543"/>
        </w:tabs>
        <w:spacing w:before="105" w:after="0" w:line="240" w:lineRule="auto"/>
        <w:ind w:left="542" w:right="0" w:hanging="316"/>
        <w:jc w:val="left"/>
        <w:rPr>
          <w:sz w:val="21"/>
        </w:rPr>
      </w:pPr>
      <w:r>
        <w:rPr>
          <w:w w:val="95"/>
          <w:sz w:val="21"/>
        </w:rPr>
        <w:t>计算综合评价总分；</w:t>
      </w:r>
    </w:p>
    <w:p>
      <w:pPr>
        <w:pStyle w:val="ListParagraph"/>
        <w:numPr>
          <w:ilvl w:val="0"/>
          <w:numId w:val="70"/>
        </w:numPr>
        <w:tabs>
          <w:tab w:val="left" w:pos="543"/>
        </w:tabs>
        <w:spacing w:before="105" w:after="55" w:line="240" w:lineRule="auto"/>
        <w:ind w:left="542" w:right="0" w:hanging="316"/>
        <w:jc w:val="left"/>
        <w:rPr>
          <w:sz w:val="21"/>
        </w:rPr>
      </w:pPr>
      <w:r>
        <w:rPr>
          <w:sz w:val="21"/>
        </w:rPr>
        <w:t>决定是否投标。</w:t>
      </w: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586"/>
        <w:gridCol w:w="1070"/>
        <w:gridCol w:w="1070"/>
        <w:gridCol w:w="1070"/>
        <w:gridCol w:w="1070"/>
        <w:gridCol w:w="1070"/>
        <w:gridCol w:w="1080"/>
        <w:gridCol w:w="1288"/>
      </w:tblGrid>
      <w:tr>
        <w:tblPrEx>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5"/>
        </w:trPr>
        <w:tc>
          <w:tcPr>
            <w:tcW w:w="2586" w:type="dxa"/>
            <w:vMerge w:val="restart"/>
          </w:tcPr>
          <w:p>
            <w:pPr>
              <w:pStyle w:val="TableParagraph"/>
              <w:spacing w:before="11"/>
              <w:rPr>
                <w:sz w:val="18"/>
              </w:rPr>
            </w:pPr>
          </w:p>
          <w:p>
            <w:pPr>
              <w:pStyle w:val="TableParagraph"/>
              <w:ind w:left="108"/>
              <w:rPr>
                <w:sz w:val="21"/>
              </w:rPr>
            </w:pPr>
            <w:r>
              <w:rPr>
                <w:sz w:val="21"/>
              </w:rPr>
              <w:t>投标考虑的因素</w:t>
            </w:r>
          </w:p>
        </w:tc>
        <w:tc>
          <w:tcPr>
            <w:tcW w:w="1070" w:type="dxa"/>
            <w:vMerge w:val="restart"/>
          </w:tcPr>
          <w:p>
            <w:pPr>
              <w:pStyle w:val="TableParagraph"/>
              <w:spacing w:before="11"/>
              <w:rPr>
                <w:sz w:val="18"/>
              </w:rPr>
            </w:pPr>
          </w:p>
          <w:p>
            <w:pPr>
              <w:pStyle w:val="TableParagraph"/>
              <w:ind w:left="107"/>
              <w:rPr>
                <w:sz w:val="21"/>
              </w:rPr>
            </w:pPr>
            <w:r>
              <w:rPr>
                <w:spacing w:val="-12"/>
                <w:w w:val="95"/>
                <w:sz w:val="21"/>
              </w:rPr>
              <w:t xml:space="preserve">权重 </w:t>
            </w:r>
            <w:r>
              <w:rPr>
                <w:w w:val="95"/>
                <w:sz w:val="21"/>
              </w:rPr>
              <w:t>Wi</w:t>
            </w:r>
          </w:p>
        </w:tc>
        <w:tc>
          <w:tcPr>
            <w:tcW w:w="5360" w:type="dxa"/>
            <w:gridSpan w:val="5"/>
          </w:tcPr>
          <w:p>
            <w:pPr>
              <w:pStyle w:val="TableParagraph"/>
              <w:spacing w:before="53"/>
              <w:ind w:left="107"/>
              <w:rPr>
                <w:sz w:val="21"/>
              </w:rPr>
            </w:pPr>
            <w:r>
              <w:rPr>
                <w:spacing w:val="-12"/>
                <w:w w:val="95"/>
                <w:sz w:val="21"/>
              </w:rPr>
              <w:t xml:space="preserve">等级 </w:t>
            </w:r>
            <w:r>
              <w:rPr>
                <w:w w:val="95"/>
                <w:sz w:val="21"/>
              </w:rPr>
              <w:t>u</w:t>
            </w:r>
          </w:p>
        </w:tc>
        <w:tc>
          <w:tcPr>
            <w:tcW w:w="1288" w:type="dxa"/>
            <w:vMerge w:val="restart"/>
          </w:tcPr>
          <w:p>
            <w:pPr>
              <w:pStyle w:val="TableParagraph"/>
              <w:spacing w:before="53"/>
              <w:ind w:left="106"/>
              <w:rPr>
                <w:sz w:val="21"/>
              </w:rPr>
            </w:pPr>
            <w:r>
              <w:rPr>
                <w:spacing w:val="-6"/>
                <w:w w:val="95"/>
                <w:sz w:val="21"/>
              </w:rPr>
              <w:t>指 标 得 分</w:t>
            </w:r>
          </w:p>
          <w:p>
            <w:pPr>
              <w:pStyle w:val="TableParagraph"/>
              <w:spacing w:before="105"/>
              <w:ind w:left="106"/>
              <w:rPr>
                <w:sz w:val="21"/>
              </w:rPr>
            </w:pPr>
            <w:r>
              <w:rPr>
                <w:sz w:val="21"/>
              </w:rPr>
              <w:t>Wi×u</w:t>
            </w:r>
          </w:p>
        </w:tc>
      </w:tr>
      <w:tr>
        <w:tblPrEx>
          <w:tblW w:w="0" w:type="auto"/>
          <w:tblInd w:w="126" w:type="dxa"/>
          <w:tblLayout w:type="fixed"/>
          <w:tblCellMar>
            <w:top w:w="0" w:type="dxa"/>
            <w:left w:w="0" w:type="dxa"/>
            <w:bottom w:w="0" w:type="dxa"/>
            <w:right w:w="0" w:type="dxa"/>
          </w:tblCellMar>
        </w:tblPrEx>
        <w:trPr>
          <w:trHeight w:val="373"/>
        </w:trPr>
        <w:tc>
          <w:tcPr>
            <w:tcW w:w="2586" w:type="dxa"/>
            <w:vMerge/>
            <w:tcBorders>
              <w:top w:val="nil"/>
            </w:tcBorders>
          </w:tcPr>
          <w:p>
            <w:pPr>
              <w:rPr>
                <w:sz w:val="2"/>
                <w:szCs w:val="2"/>
              </w:rPr>
            </w:pPr>
          </w:p>
        </w:tc>
        <w:tc>
          <w:tcPr>
            <w:tcW w:w="1070" w:type="dxa"/>
            <w:vMerge/>
            <w:tcBorders>
              <w:top w:val="nil"/>
            </w:tcBorders>
          </w:tcPr>
          <w:p>
            <w:pPr>
              <w:rPr>
                <w:sz w:val="2"/>
                <w:szCs w:val="2"/>
              </w:rPr>
            </w:pPr>
          </w:p>
        </w:tc>
        <w:tc>
          <w:tcPr>
            <w:tcW w:w="1070" w:type="dxa"/>
          </w:tcPr>
          <w:p>
            <w:pPr>
              <w:pStyle w:val="TableParagraph"/>
              <w:spacing w:before="51"/>
              <w:ind w:left="107"/>
              <w:rPr>
                <w:sz w:val="21"/>
              </w:rPr>
            </w:pPr>
            <w:r>
              <w:rPr>
                <w:w w:val="99"/>
                <w:sz w:val="21"/>
              </w:rPr>
              <w:t>好</w:t>
            </w:r>
          </w:p>
        </w:tc>
        <w:tc>
          <w:tcPr>
            <w:tcW w:w="1070" w:type="dxa"/>
          </w:tcPr>
          <w:p>
            <w:pPr>
              <w:pStyle w:val="TableParagraph"/>
              <w:spacing w:before="51"/>
              <w:ind w:left="107"/>
              <w:rPr>
                <w:sz w:val="21"/>
              </w:rPr>
            </w:pPr>
            <w:r>
              <w:rPr>
                <w:sz w:val="21"/>
              </w:rPr>
              <w:t>较好</w:t>
            </w:r>
          </w:p>
        </w:tc>
        <w:tc>
          <w:tcPr>
            <w:tcW w:w="1070" w:type="dxa"/>
          </w:tcPr>
          <w:p>
            <w:pPr>
              <w:pStyle w:val="TableParagraph"/>
              <w:spacing w:before="51"/>
              <w:ind w:left="108"/>
              <w:rPr>
                <w:sz w:val="21"/>
              </w:rPr>
            </w:pPr>
            <w:r>
              <w:rPr>
                <w:sz w:val="21"/>
              </w:rPr>
              <w:t>一般</w:t>
            </w:r>
          </w:p>
        </w:tc>
        <w:tc>
          <w:tcPr>
            <w:tcW w:w="1070" w:type="dxa"/>
          </w:tcPr>
          <w:p>
            <w:pPr>
              <w:pStyle w:val="TableParagraph"/>
              <w:spacing w:before="51"/>
              <w:ind w:left="108"/>
              <w:rPr>
                <w:sz w:val="21"/>
              </w:rPr>
            </w:pPr>
            <w:r>
              <w:rPr>
                <w:sz w:val="21"/>
              </w:rPr>
              <w:t>较差</w:t>
            </w:r>
          </w:p>
        </w:tc>
        <w:tc>
          <w:tcPr>
            <w:tcW w:w="1080" w:type="dxa"/>
          </w:tcPr>
          <w:p>
            <w:pPr>
              <w:pStyle w:val="TableParagraph"/>
              <w:spacing w:before="51"/>
              <w:ind w:left="106"/>
              <w:rPr>
                <w:sz w:val="21"/>
              </w:rPr>
            </w:pPr>
            <w:r>
              <w:rPr>
                <w:w w:val="99"/>
                <w:sz w:val="21"/>
              </w:rPr>
              <w:t>差</w:t>
            </w:r>
          </w:p>
        </w:tc>
        <w:tc>
          <w:tcPr>
            <w:tcW w:w="1288" w:type="dxa"/>
            <w:vMerge/>
            <w:tcBorders>
              <w:top w:val="nil"/>
            </w:tcBorders>
          </w:tcPr>
          <w:p>
            <w:pPr>
              <w:rPr>
                <w:sz w:val="2"/>
                <w:szCs w:val="2"/>
              </w:rPr>
            </w:pPr>
          </w:p>
        </w:tc>
      </w:tr>
      <w:tr>
        <w:tblPrEx>
          <w:tblW w:w="0" w:type="auto"/>
          <w:tblInd w:w="126" w:type="dxa"/>
          <w:tblLayout w:type="fixed"/>
          <w:tblCellMar>
            <w:top w:w="0" w:type="dxa"/>
            <w:left w:w="0" w:type="dxa"/>
            <w:bottom w:w="0" w:type="dxa"/>
            <w:right w:w="0" w:type="dxa"/>
          </w:tblCellMar>
        </w:tblPrEx>
        <w:trPr>
          <w:trHeight w:val="373"/>
        </w:trPr>
        <w:tc>
          <w:tcPr>
            <w:tcW w:w="2586" w:type="dxa"/>
          </w:tcPr>
          <w:p>
            <w:pPr>
              <w:pStyle w:val="TableParagraph"/>
              <w:spacing w:before="51"/>
              <w:ind w:left="108"/>
              <w:rPr>
                <w:sz w:val="21"/>
              </w:rPr>
            </w:pPr>
            <w:r>
              <w:rPr>
                <w:sz w:val="21"/>
              </w:rPr>
              <w:t>总监理工程师能力</w:t>
            </w:r>
          </w:p>
        </w:tc>
        <w:tc>
          <w:tcPr>
            <w:tcW w:w="1070" w:type="dxa"/>
          </w:tcPr>
          <w:p>
            <w:pPr>
              <w:pStyle w:val="TableParagraph"/>
              <w:spacing w:before="51"/>
              <w:ind w:left="107"/>
              <w:rPr>
                <w:sz w:val="21"/>
              </w:rPr>
            </w:pPr>
            <w:r>
              <w:rPr>
                <w:sz w:val="21"/>
              </w:rPr>
              <w:t>0.10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spacing w:before="51"/>
              <w:ind w:left="108"/>
              <w:rPr>
                <w:sz w:val="21"/>
              </w:rPr>
            </w:pPr>
            <w:r>
              <w:rPr>
                <w:sz w:val="21"/>
              </w:rPr>
              <w:t>0.6</w:t>
            </w: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1"/>
              <w:ind w:left="106"/>
              <w:rPr>
                <w:sz w:val="21"/>
              </w:rPr>
            </w:pPr>
            <w:r>
              <w:rPr>
                <w:sz w:val="21"/>
              </w:rPr>
              <w:t>0.06</w:t>
            </w:r>
          </w:p>
        </w:tc>
      </w:tr>
      <w:tr>
        <w:tblPrEx>
          <w:tblW w:w="0" w:type="auto"/>
          <w:tblInd w:w="126" w:type="dxa"/>
          <w:tblLayout w:type="fixed"/>
          <w:tblCellMar>
            <w:top w:w="0" w:type="dxa"/>
            <w:left w:w="0" w:type="dxa"/>
            <w:bottom w:w="0" w:type="dxa"/>
            <w:right w:w="0" w:type="dxa"/>
          </w:tblCellMar>
        </w:tblPrEx>
        <w:trPr>
          <w:trHeight w:val="375"/>
        </w:trPr>
        <w:tc>
          <w:tcPr>
            <w:tcW w:w="2586" w:type="dxa"/>
          </w:tcPr>
          <w:p>
            <w:pPr>
              <w:pStyle w:val="TableParagraph"/>
              <w:spacing w:before="52"/>
              <w:ind w:left="108"/>
              <w:rPr>
                <w:sz w:val="21"/>
              </w:rPr>
            </w:pPr>
            <w:r>
              <w:rPr>
                <w:sz w:val="21"/>
              </w:rPr>
              <w:t>监理团队配置</w:t>
            </w:r>
          </w:p>
        </w:tc>
        <w:tc>
          <w:tcPr>
            <w:tcW w:w="1070" w:type="dxa"/>
          </w:tcPr>
          <w:p>
            <w:pPr>
              <w:pStyle w:val="TableParagraph"/>
              <w:spacing w:before="52"/>
              <w:ind w:left="107"/>
              <w:rPr>
                <w:sz w:val="21"/>
              </w:rPr>
            </w:pPr>
            <w:r>
              <w:rPr>
                <w:sz w:val="21"/>
              </w:rPr>
              <w:t>0.10</w:t>
            </w:r>
          </w:p>
        </w:tc>
        <w:tc>
          <w:tcPr>
            <w:tcW w:w="1070" w:type="dxa"/>
          </w:tcPr>
          <w:p>
            <w:pPr>
              <w:pStyle w:val="TableParagraph"/>
              <w:spacing w:before="52"/>
              <w:ind w:left="107"/>
              <w:rPr>
                <w:sz w:val="21"/>
              </w:rPr>
            </w:pPr>
            <w:r>
              <w:rPr>
                <w:sz w:val="21"/>
              </w:rPr>
              <w:t>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2"/>
              <w:ind w:left="106"/>
              <w:rPr>
                <w:sz w:val="21"/>
              </w:rPr>
            </w:pPr>
            <w:r>
              <w:rPr>
                <w:sz w:val="21"/>
              </w:rPr>
              <w:t>0.10</w:t>
            </w:r>
          </w:p>
        </w:tc>
      </w:tr>
      <w:tr>
        <w:tblPrEx>
          <w:tblW w:w="0" w:type="auto"/>
          <w:tblInd w:w="126" w:type="dxa"/>
          <w:tblLayout w:type="fixed"/>
          <w:tblCellMar>
            <w:top w:w="0" w:type="dxa"/>
            <w:left w:w="0" w:type="dxa"/>
            <w:bottom w:w="0" w:type="dxa"/>
            <w:right w:w="0" w:type="dxa"/>
          </w:tblCellMar>
        </w:tblPrEx>
        <w:trPr>
          <w:trHeight w:val="373"/>
        </w:trPr>
        <w:tc>
          <w:tcPr>
            <w:tcW w:w="2586" w:type="dxa"/>
          </w:tcPr>
          <w:p>
            <w:pPr>
              <w:pStyle w:val="TableParagraph"/>
              <w:spacing w:before="50"/>
              <w:ind w:left="108"/>
              <w:rPr>
                <w:sz w:val="21"/>
              </w:rPr>
            </w:pPr>
            <w:r>
              <w:rPr>
                <w:sz w:val="21"/>
              </w:rPr>
              <w:t>技术水平</w:t>
            </w:r>
          </w:p>
        </w:tc>
        <w:tc>
          <w:tcPr>
            <w:tcW w:w="1070" w:type="dxa"/>
          </w:tcPr>
          <w:p>
            <w:pPr>
              <w:pStyle w:val="TableParagraph"/>
              <w:spacing w:before="50"/>
              <w:ind w:left="107"/>
              <w:rPr>
                <w:sz w:val="21"/>
              </w:rPr>
            </w:pPr>
            <w:r>
              <w:rPr>
                <w:sz w:val="21"/>
              </w:rPr>
              <w:t>0.10</w:t>
            </w:r>
          </w:p>
        </w:tc>
        <w:tc>
          <w:tcPr>
            <w:tcW w:w="1070" w:type="dxa"/>
          </w:tcPr>
          <w:p>
            <w:pPr>
              <w:pStyle w:val="TableParagraph"/>
              <w:spacing w:before="50"/>
              <w:ind w:left="107"/>
              <w:rPr>
                <w:sz w:val="21"/>
              </w:rPr>
            </w:pPr>
            <w:r>
              <w:rPr>
                <w:sz w:val="21"/>
              </w:rPr>
              <w:t>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0"/>
              <w:ind w:left="106"/>
              <w:rPr>
                <w:sz w:val="21"/>
              </w:rPr>
            </w:pPr>
            <w:r>
              <w:rPr>
                <w:sz w:val="21"/>
              </w:rPr>
              <w:t>0.10</w:t>
            </w:r>
          </w:p>
        </w:tc>
      </w:tr>
      <w:tr>
        <w:tblPrEx>
          <w:tblW w:w="0" w:type="auto"/>
          <w:tblInd w:w="126" w:type="dxa"/>
          <w:tblLayout w:type="fixed"/>
          <w:tblCellMar>
            <w:top w:w="0" w:type="dxa"/>
            <w:left w:w="0" w:type="dxa"/>
            <w:bottom w:w="0" w:type="dxa"/>
            <w:right w:w="0" w:type="dxa"/>
          </w:tblCellMar>
        </w:tblPrEx>
        <w:trPr>
          <w:trHeight w:val="375"/>
        </w:trPr>
        <w:tc>
          <w:tcPr>
            <w:tcW w:w="2586" w:type="dxa"/>
          </w:tcPr>
          <w:p>
            <w:pPr>
              <w:pStyle w:val="TableParagraph"/>
              <w:spacing w:before="53"/>
              <w:ind w:left="108"/>
              <w:rPr>
                <w:sz w:val="21"/>
              </w:rPr>
            </w:pPr>
            <w:r>
              <w:rPr>
                <w:sz w:val="21"/>
              </w:rPr>
              <w:t>合同支付条件</w:t>
            </w:r>
          </w:p>
        </w:tc>
        <w:tc>
          <w:tcPr>
            <w:tcW w:w="1070" w:type="dxa"/>
          </w:tcPr>
          <w:p>
            <w:pPr>
              <w:pStyle w:val="TableParagraph"/>
              <w:spacing w:before="53"/>
              <w:ind w:left="107"/>
              <w:rPr>
                <w:sz w:val="21"/>
              </w:rPr>
            </w:pPr>
            <w:r>
              <w:rPr>
                <w:sz w:val="21"/>
              </w:rPr>
              <w:t>0.10</w:t>
            </w:r>
          </w:p>
        </w:tc>
        <w:tc>
          <w:tcPr>
            <w:tcW w:w="1070" w:type="dxa"/>
          </w:tcPr>
          <w:p>
            <w:pPr>
              <w:pStyle w:val="TableParagraph"/>
              <w:spacing w:before="53"/>
              <w:ind w:left="107"/>
              <w:rPr>
                <w:sz w:val="21"/>
              </w:rPr>
            </w:pPr>
            <w:r>
              <w:rPr>
                <w:sz w:val="21"/>
              </w:rPr>
              <w:t>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3"/>
              <w:ind w:left="106"/>
              <w:rPr>
                <w:sz w:val="21"/>
              </w:rPr>
            </w:pPr>
            <w:r>
              <w:rPr>
                <w:sz w:val="21"/>
              </w:rPr>
              <w:t>0.10</w:t>
            </w:r>
          </w:p>
        </w:tc>
      </w:tr>
      <w:tr>
        <w:tblPrEx>
          <w:tblW w:w="0" w:type="auto"/>
          <w:tblInd w:w="126" w:type="dxa"/>
          <w:tblLayout w:type="fixed"/>
          <w:tblCellMar>
            <w:top w:w="0" w:type="dxa"/>
            <w:left w:w="0" w:type="dxa"/>
            <w:bottom w:w="0" w:type="dxa"/>
            <w:right w:w="0" w:type="dxa"/>
          </w:tblCellMar>
        </w:tblPrEx>
        <w:trPr>
          <w:trHeight w:val="374"/>
        </w:trPr>
        <w:tc>
          <w:tcPr>
            <w:tcW w:w="2586" w:type="dxa"/>
          </w:tcPr>
          <w:p>
            <w:pPr>
              <w:pStyle w:val="TableParagraph"/>
              <w:spacing w:before="52"/>
              <w:ind w:left="108"/>
              <w:rPr>
                <w:sz w:val="21"/>
              </w:rPr>
            </w:pPr>
            <w:r>
              <w:rPr>
                <w:sz w:val="21"/>
              </w:rPr>
              <w:t>同类工程经验</w:t>
            </w:r>
          </w:p>
        </w:tc>
        <w:tc>
          <w:tcPr>
            <w:tcW w:w="1070" w:type="dxa"/>
          </w:tcPr>
          <w:p>
            <w:pPr>
              <w:pStyle w:val="TableParagraph"/>
              <w:spacing w:before="52"/>
              <w:ind w:left="107"/>
              <w:rPr>
                <w:sz w:val="21"/>
              </w:rPr>
            </w:pPr>
            <w:r>
              <w:rPr>
                <w:sz w:val="21"/>
              </w:rPr>
              <w:t>0.10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spacing w:before="52"/>
              <w:ind w:left="108"/>
              <w:rPr>
                <w:sz w:val="21"/>
              </w:rPr>
            </w:pPr>
            <w:r>
              <w:rPr>
                <w:sz w:val="21"/>
              </w:rPr>
              <w:t>0.4</w:t>
            </w:r>
          </w:p>
        </w:tc>
        <w:tc>
          <w:tcPr>
            <w:tcW w:w="1080" w:type="dxa"/>
          </w:tcPr>
          <w:p>
            <w:pPr>
              <w:pStyle w:val="TableParagraph"/>
              <w:rPr>
                <w:rFonts w:ascii="Times New Roman"/>
                <w:sz w:val="20"/>
              </w:rPr>
            </w:pPr>
          </w:p>
        </w:tc>
        <w:tc>
          <w:tcPr>
            <w:tcW w:w="1288" w:type="dxa"/>
          </w:tcPr>
          <w:p>
            <w:pPr>
              <w:pStyle w:val="TableParagraph"/>
              <w:spacing w:before="52"/>
              <w:ind w:left="106"/>
              <w:rPr>
                <w:sz w:val="21"/>
              </w:rPr>
            </w:pPr>
            <w:r>
              <w:rPr>
                <w:sz w:val="21"/>
              </w:rPr>
              <w:t>0.04</w:t>
            </w:r>
          </w:p>
        </w:tc>
      </w:tr>
      <w:tr>
        <w:tblPrEx>
          <w:tblW w:w="0" w:type="auto"/>
          <w:tblInd w:w="126" w:type="dxa"/>
          <w:tblLayout w:type="fixed"/>
          <w:tblCellMar>
            <w:top w:w="0" w:type="dxa"/>
            <w:left w:w="0" w:type="dxa"/>
            <w:bottom w:w="0" w:type="dxa"/>
            <w:right w:w="0" w:type="dxa"/>
          </w:tblCellMar>
        </w:tblPrEx>
        <w:trPr>
          <w:trHeight w:val="373"/>
        </w:trPr>
        <w:tc>
          <w:tcPr>
            <w:tcW w:w="2586" w:type="dxa"/>
          </w:tcPr>
          <w:p>
            <w:pPr>
              <w:pStyle w:val="TableParagraph"/>
              <w:spacing w:before="52"/>
              <w:ind w:left="108"/>
              <w:rPr>
                <w:sz w:val="21"/>
              </w:rPr>
            </w:pPr>
            <w:r>
              <w:rPr>
                <w:sz w:val="21"/>
              </w:rPr>
              <w:t>可支配的资源条件</w:t>
            </w:r>
          </w:p>
        </w:tc>
        <w:tc>
          <w:tcPr>
            <w:tcW w:w="1070" w:type="dxa"/>
          </w:tcPr>
          <w:p>
            <w:pPr>
              <w:pStyle w:val="TableParagraph"/>
              <w:spacing w:before="52"/>
              <w:ind w:left="107"/>
              <w:rPr>
                <w:sz w:val="21"/>
              </w:rPr>
            </w:pPr>
            <w:r>
              <w:rPr>
                <w:sz w:val="21"/>
              </w:rPr>
              <w:t>0.10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spacing w:before="52"/>
              <w:ind w:left="108"/>
              <w:rPr>
                <w:sz w:val="21"/>
              </w:rPr>
            </w:pPr>
            <w:r>
              <w:rPr>
                <w:sz w:val="21"/>
              </w:rPr>
              <w:t>0.4</w:t>
            </w:r>
          </w:p>
        </w:tc>
        <w:tc>
          <w:tcPr>
            <w:tcW w:w="1080" w:type="dxa"/>
          </w:tcPr>
          <w:p>
            <w:pPr>
              <w:pStyle w:val="TableParagraph"/>
              <w:rPr>
                <w:rFonts w:ascii="Times New Roman"/>
                <w:sz w:val="20"/>
              </w:rPr>
            </w:pPr>
          </w:p>
        </w:tc>
        <w:tc>
          <w:tcPr>
            <w:tcW w:w="1288" w:type="dxa"/>
          </w:tcPr>
          <w:p>
            <w:pPr>
              <w:pStyle w:val="TableParagraph"/>
              <w:spacing w:before="52"/>
              <w:ind w:left="106"/>
              <w:rPr>
                <w:sz w:val="21"/>
              </w:rPr>
            </w:pPr>
            <w:r>
              <w:rPr>
                <w:sz w:val="21"/>
              </w:rPr>
              <w:t>0.04</w:t>
            </w:r>
          </w:p>
        </w:tc>
      </w:tr>
      <w:tr>
        <w:tblPrEx>
          <w:tblW w:w="0" w:type="auto"/>
          <w:tblInd w:w="126" w:type="dxa"/>
          <w:tblLayout w:type="fixed"/>
          <w:tblCellMar>
            <w:top w:w="0" w:type="dxa"/>
            <w:left w:w="0" w:type="dxa"/>
            <w:bottom w:w="0" w:type="dxa"/>
            <w:right w:w="0" w:type="dxa"/>
          </w:tblCellMar>
        </w:tblPrEx>
        <w:trPr>
          <w:trHeight w:val="375"/>
        </w:trPr>
        <w:tc>
          <w:tcPr>
            <w:tcW w:w="2586" w:type="dxa"/>
          </w:tcPr>
          <w:p>
            <w:pPr>
              <w:pStyle w:val="TableParagraph"/>
              <w:spacing w:before="52"/>
              <w:ind w:left="108"/>
              <w:rPr>
                <w:sz w:val="21"/>
              </w:rPr>
            </w:pPr>
            <w:r>
              <w:rPr>
                <w:sz w:val="21"/>
              </w:rPr>
              <w:t>竞争对手数量和实力</w:t>
            </w:r>
          </w:p>
        </w:tc>
        <w:tc>
          <w:tcPr>
            <w:tcW w:w="1070" w:type="dxa"/>
          </w:tcPr>
          <w:p>
            <w:pPr>
              <w:pStyle w:val="TableParagraph"/>
              <w:spacing w:before="52"/>
              <w:ind w:left="107"/>
              <w:rPr>
                <w:sz w:val="21"/>
              </w:rPr>
            </w:pPr>
            <w:r>
              <w:rPr>
                <w:sz w:val="21"/>
              </w:rPr>
              <w:t>0.10</w:t>
            </w:r>
          </w:p>
        </w:tc>
        <w:tc>
          <w:tcPr>
            <w:tcW w:w="1070" w:type="dxa"/>
          </w:tcPr>
          <w:p>
            <w:pPr>
              <w:pStyle w:val="TableParagraph"/>
              <w:rPr>
                <w:rFonts w:ascii="Times New Roman"/>
                <w:sz w:val="20"/>
              </w:rPr>
            </w:pPr>
          </w:p>
        </w:tc>
        <w:tc>
          <w:tcPr>
            <w:tcW w:w="1070" w:type="dxa"/>
          </w:tcPr>
          <w:p>
            <w:pPr>
              <w:pStyle w:val="TableParagraph"/>
              <w:spacing w:before="52"/>
              <w:ind w:left="107"/>
              <w:rPr>
                <w:sz w:val="21"/>
              </w:rPr>
            </w:pPr>
            <w:r>
              <w:rPr>
                <w:sz w:val="21"/>
              </w:rPr>
              <w:t>0.8</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2"/>
              <w:ind w:left="106"/>
              <w:rPr>
                <w:sz w:val="21"/>
              </w:rPr>
            </w:pPr>
            <w:r>
              <w:rPr>
                <w:sz w:val="21"/>
              </w:rPr>
              <w:t>0.08</w:t>
            </w:r>
          </w:p>
        </w:tc>
      </w:tr>
      <w:tr>
        <w:tblPrEx>
          <w:tblW w:w="0" w:type="auto"/>
          <w:tblInd w:w="126" w:type="dxa"/>
          <w:tblLayout w:type="fixed"/>
          <w:tblCellMar>
            <w:top w:w="0" w:type="dxa"/>
            <w:left w:w="0" w:type="dxa"/>
            <w:bottom w:w="0" w:type="dxa"/>
            <w:right w:w="0" w:type="dxa"/>
          </w:tblCellMar>
        </w:tblPrEx>
        <w:trPr>
          <w:trHeight w:val="373"/>
        </w:trPr>
        <w:tc>
          <w:tcPr>
            <w:tcW w:w="2586" w:type="dxa"/>
          </w:tcPr>
          <w:p>
            <w:pPr>
              <w:pStyle w:val="TableParagraph"/>
              <w:spacing w:before="51"/>
              <w:ind w:left="108"/>
              <w:rPr>
                <w:sz w:val="21"/>
              </w:rPr>
            </w:pPr>
            <w:r>
              <w:rPr>
                <w:sz w:val="21"/>
              </w:rPr>
              <w:t>竞争对手投标积极性</w:t>
            </w:r>
          </w:p>
        </w:tc>
        <w:tc>
          <w:tcPr>
            <w:tcW w:w="1070" w:type="dxa"/>
          </w:tcPr>
          <w:p>
            <w:pPr>
              <w:pStyle w:val="TableParagraph"/>
              <w:spacing w:before="51"/>
              <w:ind w:left="107"/>
              <w:rPr>
                <w:sz w:val="21"/>
              </w:rPr>
            </w:pPr>
            <w:r>
              <w:rPr>
                <w:sz w:val="21"/>
              </w:rPr>
              <w:t>0.05</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spacing w:before="51"/>
              <w:ind w:left="108"/>
              <w:rPr>
                <w:sz w:val="21"/>
              </w:rPr>
            </w:pPr>
            <w:r>
              <w:rPr>
                <w:sz w:val="21"/>
              </w:rPr>
              <w:t>0.6</w:t>
            </w: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1"/>
              <w:ind w:left="106"/>
              <w:rPr>
                <w:sz w:val="21"/>
              </w:rPr>
            </w:pPr>
            <w:r>
              <w:rPr>
                <w:sz w:val="21"/>
              </w:rPr>
              <w:t>0.03</w:t>
            </w:r>
          </w:p>
        </w:tc>
      </w:tr>
      <w:tr>
        <w:tblPrEx>
          <w:tblW w:w="0" w:type="auto"/>
          <w:tblInd w:w="126" w:type="dxa"/>
          <w:tblLayout w:type="fixed"/>
          <w:tblCellMar>
            <w:top w:w="0" w:type="dxa"/>
            <w:left w:w="0" w:type="dxa"/>
            <w:bottom w:w="0" w:type="dxa"/>
            <w:right w:w="0" w:type="dxa"/>
          </w:tblCellMar>
        </w:tblPrEx>
        <w:trPr>
          <w:trHeight w:val="375"/>
        </w:trPr>
        <w:tc>
          <w:tcPr>
            <w:tcW w:w="2586" w:type="dxa"/>
          </w:tcPr>
          <w:p>
            <w:pPr>
              <w:pStyle w:val="TableParagraph"/>
              <w:spacing w:before="51"/>
              <w:ind w:left="108"/>
              <w:rPr>
                <w:sz w:val="21"/>
              </w:rPr>
            </w:pPr>
            <w:r>
              <w:rPr>
                <w:sz w:val="21"/>
              </w:rPr>
              <w:t>项目利润</w:t>
            </w:r>
          </w:p>
        </w:tc>
        <w:tc>
          <w:tcPr>
            <w:tcW w:w="1070" w:type="dxa"/>
          </w:tcPr>
          <w:p>
            <w:pPr>
              <w:pStyle w:val="TableParagraph"/>
              <w:spacing w:before="51"/>
              <w:ind w:left="107"/>
              <w:rPr>
                <w:sz w:val="21"/>
              </w:rPr>
            </w:pPr>
            <w:r>
              <w:rPr>
                <w:sz w:val="21"/>
              </w:rPr>
              <w:t>0.10</w:t>
            </w:r>
          </w:p>
        </w:tc>
        <w:tc>
          <w:tcPr>
            <w:tcW w:w="1070" w:type="dxa"/>
          </w:tcPr>
          <w:p>
            <w:pPr>
              <w:pStyle w:val="TableParagraph"/>
              <w:spacing w:before="51"/>
              <w:ind w:left="107"/>
              <w:rPr>
                <w:sz w:val="21"/>
              </w:rPr>
            </w:pPr>
            <w:r>
              <w:rPr>
                <w:sz w:val="21"/>
              </w:rPr>
              <w:t>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1"/>
              <w:ind w:left="106"/>
              <w:rPr>
                <w:sz w:val="21"/>
              </w:rPr>
            </w:pPr>
            <w:r>
              <w:rPr>
                <w:sz w:val="21"/>
              </w:rPr>
              <w:t>0.10</w:t>
            </w:r>
          </w:p>
        </w:tc>
      </w:tr>
      <w:tr>
        <w:tblPrEx>
          <w:tblW w:w="0" w:type="auto"/>
          <w:tblInd w:w="126" w:type="dxa"/>
          <w:tblLayout w:type="fixed"/>
          <w:tblCellMar>
            <w:top w:w="0" w:type="dxa"/>
            <w:left w:w="0" w:type="dxa"/>
            <w:bottom w:w="0" w:type="dxa"/>
            <w:right w:w="0" w:type="dxa"/>
          </w:tblCellMar>
        </w:tblPrEx>
        <w:trPr>
          <w:trHeight w:val="373"/>
        </w:trPr>
        <w:tc>
          <w:tcPr>
            <w:tcW w:w="2586" w:type="dxa"/>
          </w:tcPr>
          <w:p>
            <w:pPr>
              <w:pStyle w:val="TableParagraph"/>
              <w:spacing w:before="50"/>
              <w:ind w:left="108"/>
              <w:rPr>
                <w:sz w:val="21"/>
              </w:rPr>
            </w:pPr>
            <w:r>
              <w:rPr>
                <w:sz w:val="21"/>
              </w:rPr>
              <w:t>社会影响</w:t>
            </w:r>
          </w:p>
        </w:tc>
        <w:tc>
          <w:tcPr>
            <w:tcW w:w="1070" w:type="dxa"/>
          </w:tcPr>
          <w:p>
            <w:pPr>
              <w:pStyle w:val="TableParagraph"/>
              <w:spacing w:before="50"/>
              <w:ind w:left="107"/>
              <w:rPr>
                <w:sz w:val="21"/>
              </w:rPr>
            </w:pPr>
            <w:r>
              <w:rPr>
                <w:sz w:val="21"/>
              </w:rPr>
              <w:t>0.05</w:t>
            </w:r>
          </w:p>
        </w:tc>
        <w:tc>
          <w:tcPr>
            <w:tcW w:w="1070" w:type="dxa"/>
          </w:tcPr>
          <w:p>
            <w:pPr>
              <w:pStyle w:val="TableParagraph"/>
              <w:rPr>
                <w:rFonts w:ascii="Times New Roman"/>
                <w:sz w:val="20"/>
              </w:rPr>
            </w:pPr>
          </w:p>
        </w:tc>
        <w:tc>
          <w:tcPr>
            <w:tcW w:w="1070" w:type="dxa"/>
          </w:tcPr>
          <w:p>
            <w:pPr>
              <w:pStyle w:val="TableParagraph"/>
              <w:spacing w:before="50"/>
              <w:ind w:left="107"/>
              <w:rPr>
                <w:sz w:val="21"/>
              </w:rPr>
            </w:pPr>
            <w:r>
              <w:rPr>
                <w:sz w:val="21"/>
              </w:rPr>
              <w:t>0.8</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0"/>
              <w:ind w:left="106"/>
              <w:rPr>
                <w:sz w:val="21"/>
              </w:rPr>
            </w:pPr>
            <w:r>
              <w:rPr>
                <w:sz w:val="21"/>
              </w:rPr>
              <w:t>0.04</w:t>
            </w:r>
          </w:p>
        </w:tc>
      </w:tr>
      <w:tr>
        <w:tblPrEx>
          <w:tblW w:w="0" w:type="auto"/>
          <w:tblInd w:w="126" w:type="dxa"/>
          <w:tblLayout w:type="fixed"/>
          <w:tblCellMar>
            <w:top w:w="0" w:type="dxa"/>
            <w:left w:w="0" w:type="dxa"/>
            <w:bottom w:w="0" w:type="dxa"/>
            <w:right w:w="0" w:type="dxa"/>
          </w:tblCellMar>
        </w:tblPrEx>
        <w:trPr>
          <w:trHeight w:val="374"/>
        </w:trPr>
        <w:tc>
          <w:tcPr>
            <w:tcW w:w="2586" w:type="dxa"/>
          </w:tcPr>
          <w:p>
            <w:pPr>
              <w:pStyle w:val="TableParagraph"/>
              <w:spacing w:before="52"/>
              <w:ind w:left="108"/>
              <w:rPr>
                <w:sz w:val="21"/>
              </w:rPr>
            </w:pPr>
            <w:r>
              <w:rPr>
                <w:sz w:val="21"/>
              </w:rPr>
              <w:t>风险情况</w:t>
            </w:r>
          </w:p>
        </w:tc>
        <w:tc>
          <w:tcPr>
            <w:tcW w:w="1070" w:type="dxa"/>
          </w:tcPr>
          <w:p>
            <w:pPr>
              <w:pStyle w:val="TableParagraph"/>
              <w:spacing w:before="52"/>
              <w:ind w:left="107"/>
              <w:rPr>
                <w:sz w:val="21"/>
              </w:rPr>
            </w:pPr>
            <w:r>
              <w:rPr>
                <w:sz w:val="21"/>
              </w:rPr>
              <w:t>0.05</w:t>
            </w:r>
          </w:p>
        </w:tc>
        <w:tc>
          <w:tcPr>
            <w:tcW w:w="1070" w:type="dxa"/>
          </w:tcPr>
          <w:p>
            <w:pPr>
              <w:pStyle w:val="TableParagraph"/>
              <w:spacing w:before="52"/>
              <w:ind w:left="107"/>
              <w:rPr>
                <w:sz w:val="21"/>
              </w:rPr>
            </w:pPr>
            <w:r>
              <w:rPr>
                <w:sz w:val="21"/>
              </w:rPr>
              <w:t>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2"/>
              <w:ind w:left="106"/>
              <w:rPr>
                <w:sz w:val="21"/>
              </w:rPr>
            </w:pPr>
            <w:r>
              <w:rPr>
                <w:sz w:val="21"/>
              </w:rPr>
              <w:t>0.05</w:t>
            </w:r>
          </w:p>
        </w:tc>
      </w:tr>
      <w:tr>
        <w:tblPrEx>
          <w:tblW w:w="0" w:type="auto"/>
          <w:tblInd w:w="126" w:type="dxa"/>
          <w:tblLayout w:type="fixed"/>
          <w:tblCellMar>
            <w:top w:w="0" w:type="dxa"/>
            <w:left w:w="0" w:type="dxa"/>
            <w:bottom w:w="0" w:type="dxa"/>
            <w:right w:w="0" w:type="dxa"/>
          </w:tblCellMar>
        </w:tblPrEx>
        <w:trPr>
          <w:trHeight w:val="375"/>
        </w:trPr>
        <w:tc>
          <w:tcPr>
            <w:tcW w:w="2586" w:type="dxa"/>
          </w:tcPr>
          <w:p>
            <w:pPr>
              <w:pStyle w:val="TableParagraph"/>
              <w:spacing w:before="52"/>
              <w:ind w:left="108"/>
              <w:rPr>
                <w:sz w:val="21"/>
              </w:rPr>
            </w:pPr>
            <w:r>
              <w:rPr>
                <w:sz w:val="21"/>
              </w:rPr>
              <w:t>其他</w:t>
            </w:r>
          </w:p>
        </w:tc>
        <w:tc>
          <w:tcPr>
            <w:tcW w:w="1070" w:type="dxa"/>
          </w:tcPr>
          <w:p>
            <w:pPr>
              <w:pStyle w:val="TableParagraph"/>
              <w:spacing w:before="52"/>
              <w:ind w:left="107"/>
              <w:rPr>
                <w:sz w:val="21"/>
              </w:rPr>
            </w:pPr>
            <w:r>
              <w:rPr>
                <w:sz w:val="21"/>
              </w:rPr>
              <w:t>0.05</w:t>
            </w:r>
          </w:p>
        </w:tc>
        <w:tc>
          <w:tcPr>
            <w:tcW w:w="1070" w:type="dxa"/>
          </w:tcPr>
          <w:p>
            <w:pPr>
              <w:pStyle w:val="TableParagraph"/>
              <w:spacing w:before="52"/>
              <w:ind w:left="107"/>
              <w:rPr>
                <w:sz w:val="21"/>
              </w:rPr>
            </w:pPr>
            <w:r>
              <w:rPr>
                <w:sz w:val="21"/>
              </w:rPr>
              <w:t>1.0</w:t>
            </w: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70" w:type="dxa"/>
          </w:tcPr>
          <w:p>
            <w:pPr>
              <w:pStyle w:val="TableParagraph"/>
              <w:rPr>
                <w:rFonts w:ascii="Times New Roman"/>
                <w:sz w:val="20"/>
              </w:rPr>
            </w:pPr>
          </w:p>
        </w:tc>
        <w:tc>
          <w:tcPr>
            <w:tcW w:w="1080" w:type="dxa"/>
          </w:tcPr>
          <w:p>
            <w:pPr>
              <w:pStyle w:val="TableParagraph"/>
              <w:rPr>
                <w:rFonts w:ascii="Times New Roman"/>
                <w:sz w:val="20"/>
              </w:rPr>
            </w:pPr>
          </w:p>
        </w:tc>
        <w:tc>
          <w:tcPr>
            <w:tcW w:w="1288" w:type="dxa"/>
          </w:tcPr>
          <w:p>
            <w:pPr>
              <w:pStyle w:val="TableParagraph"/>
              <w:spacing w:before="52"/>
              <w:ind w:left="106"/>
              <w:rPr>
                <w:sz w:val="21"/>
              </w:rPr>
            </w:pPr>
            <w:r>
              <w:rPr>
                <w:sz w:val="21"/>
              </w:rPr>
              <w:t>0.05</w:t>
            </w:r>
          </w:p>
        </w:tc>
      </w:tr>
      <w:tr>
        <w:tblPrEx>
          <w:tblW w:w="0" w:type="auto"/>
          <w:tblInd w:w="126" w:type="dxa"/>
          <w:tblLayout w:type="fixed"/>
          <w:tblCellMar>
            <w:top w:w="0" w:type="dxa"/>
            <w:left w:w="0" w:type="dxa"/>
            <w:bottom w:w="0" w:type="dxa"/>
            <w:right w:w="0" w:type="dxa"/>
          </w:tblCellMar>
        </w:tblPrEx>
        <w:trPr>
          <w:trHeight w:val="374"/>
        </w:trPr>
        <w:tc>
          <w:tcPr>
            <w:tcW w:w="9016" w:type="dxa"/>
            <w:gridSpan w:val="7"/>
          </w:tcPr>
          <w:p>
            <w:pPr>
              <w:pStyle w:val="TableParagraph"/>
              <w:spacing w:before="51"/>
              <w:ind w:left="108"/>
              <w:rPr>
                <w:sz w:val="21"/>
              </w:rPr>
            </w:pPr>
            <w:r>
              <w:rPr>
                <w:sz w:val="21"/>
              </w:rPr>
              <w:t>总计</w:t>
            </w:r>
          </w:p>
        </w:tc>
        <w:tc>
          <w:tcPr>
            <w:tcW w:w="1288" w:type="dxa"/>
          </w:tcPr>
          <w:p>
            <w:pPr>
              <w:pStyle w:val="TableParagraph"/>
              <w:spacing w:before="51"/>
              <w:ind w:left="106"/>
              <w:rPr>
                <w:sz w:val="21"/>
              </w:rPr>
            </w:pPr>
            <w:r>
              <w:rPr>
                <w:sz w:val="21"/>
              </w:rPr>
              <w:t>0.79</w:t>
            </w:r>
          </w:p>
        </w:tc>
      </w:tr>
    </w:tbl>
    <w:p>
      <w:pPr>
        <w:pStyle w:val="ListParagraph"/>
        <w:numPr>
          <w:ilvl w:val="0"/>
          <w:numId w:val="69"/>
        </w:numPr>
        <w:tabs>
          <w:tab w:val="left" w:pos="752"/>
        </w:tabs>
        <w:spacing w:before="57" w:after="0" w:line="240" w:lineRule="auto"/>
        <w:ind w:left="751" w:right="0" w:hanging="525"/>
        <w:jc w:val="left"/>
        <w:rPr>
          <w:sz w:val="21"/>
        </w:rPr>
      </w:pPr>
      <w:r>
        <w:rPr>
          <w:sz w:val="21"/>
        </w:rPr>
        <w:t>决策树法</w:t>
      </w:r>
    </w:p>
    <w:p>
      <w:pPr>
        <w:pStyle w:val="BodyText"/>
        <w:spacing w:before="105" w:line="333" w:lineRule="auto"/>
        <w:ind w:right="367"/>
      </w:pPr>
      <w:r>
        <w:rPr>
          <w:w w:val="95"/>
        </w:rPr>
        <w:t>工程监理单位有时会同时收到多个不同或类似建设工程监理投标邀请书，而工程监理单位的资源是有限的，若</w:t>
      </w:r>
      <w:r>
        <w:rPr>
          <w:spacing w:val="216"/>
        </w:rPr>
        <w:t xml:space="preserve"> </w:t>
      </w:r>
      <w:r>
        <w:rPr>
          <w:w w:val="95"/>
        </w:rPr>
        <w:t>不分重点地将资源平均分布到各个投标工程，则每一个工程中标的概率都很低。为此，工程监理单位应针对每</w:t>
      </w:r>
    </w:p>
    <w:p>
      <w:pPr>
        <w:spacing w:after="0" w:line="333" w:lineRule="auto"/>
        <w:sectPr>
          <w:headerReference w:type="default" r:id="rId44"/>
          <w:pgSz w:w="11910" w:h="16840"/>
          <w:pgMar w:top="1180" w:right="540" w:bottom="280" w:left="680" w:header="993" w:footer="0" w:gutter="0"/>
          <w:pgNumType w:start="39"/>
          <w:cols w:space="708"/>
        </w:sectPr>
      </w:pPr>
    </w:p>
    <w:p>
      <w:pPr>
        <w:pStyle w:val="BodyText"/>
        <w:spacing w:before="54" w:line="331" w:lineRule="auto"/>
        <w:ind w:right="367"/>
      </w:pPr>
      <w:r>
        <w:rPr>
          <w:w w:val="95"/>
        </w:rPr>
        <w:t>项工程特点进行分析，比选不同方案，以期选出最佳投标对象。这种多项目多方案的选择，通常可以应用决策</w:t>
      </w:r>
      <w:r>
        <w:rPr>
          <w:spacing w:val="206"/>
        </w:rPr>
        <w:t xml:space="preserve"> </w:t>
      </w:r>
      <w:r>
        <w:t>树法进行定量分析。</w:t>
      </w:r>
    </w:p>
    <w:p>
      <w:pPr>
        <w:pStyle w:val="ListParagraph"/>
        <w:numPr>
          <w:ilvl w:val="0"/>
          <w:numId w:val="71"/>
        </w:numPr>
        <w:tabs>
          <w:tab w:val="left" w:pos="543"/>
        </w:tabs>
        <w:spacing w:before="4" w:after="0" w:line="336" w:lineRule="auto"/>
        <w:ind w:left="227" w:right="367" w:firstLine="0"/>
        <w:jc w:val="left"/>
        <w:rPr>
          <w:sz w:val="21"/>
        </w:rPr>
      </w:pPr>
      <w:r>
        <w:rPr>
          <w:sz w:val="21"/>
        </w:rPr>
        <w:t>适用范围。决策树分析法是适用于风险型决策分析的一种简便易行的实用方法，其特点是用一种树状图表示决策过程，通过事件出现的概率和损益期望值的计算比较，帮助决策者对行动方案作出抉择。</w:t>
      </w:r>
    </w:p>
    <w:p>
      <w:pPr>
        <w:pStyle w:val="BodyText"/>
        <w:spacing w:line="336" w:lineRule="auto"/>
        <w:ind w:right="367"/>
      </w:pPr>
      <w:r>
        <w:rPr>
          <w:w w:val="95"/>
        </w:rPr>
        <w:t>当工程监理单位不考虑竞争对手的情况（投标时往往事先不知道参与投标的竞争对手</w:t>
      </w:r>
      <w:r>
        <w:rPr>
          <w:spacing w:val="-75"/>
          <w:w w:val="95"/>
        </w:rPr>
        <w:t>）</w:t>
      </w:r>
      <w:r>
        <w:rPr>
          <w:spacing w:val="-9"/>
          <w:w w:val="95"/>
        </w:rPr>
        <w:t>，仅根据自身实力决定某</w:t>
      </w:r>
      <w:r>
        <w:rPr>
          <w:spacing w:val="156"/>
        </w:rPr>
        <w:t xml:space="preserve"> </w:t>
      </w:r>
      <w:r>
        <w:t>些工程是否投标及如何报价时，则是典型的风险型决策问题，适用于决策树法进行分析。</w:t>
      </w:r>
    </w:p>
    <w:p>
      <w:pPr>
        <w:pStyle w:val="ListParagraph"/>
        <w:numPr>
          <w:ilvl w:val="0"/>
          <w:numId w:val="71"/>
        </w:numPr>
        <w:tabs>
          <w:tab w:val="left" w:pos="543"/>
        </w:tabs>
        <w:spacing w:before="0" w:after="0" w:line="333" w:lineRule="auto"/>
        <w:ind w:left="227" w:right="369" w:firstLine="0"/>
        <w:jc w:val="left"/>
        <w:rPr>
          <w:sz w:val="21"/>
        </w:rPr>
      </w:pPr>
      <w:r>
        <w:rPr>
          <w:w w:val="95"/>
          <w:sz w:val="21"/>
        </w:rPr>
        <w:t>基本原理。决策树是模拟树木成长过程，从出发点（决策点）开始不断分枝来表示所分析问题的各种发展可</w:t>
      </w:r>
      <w:r>
        <w:rPr>
          <w:spacing w:val="93"/>
          <w:w w:val="95"/>
          <w:sz w:val="21"/>
        </w:rPr>
        <w:t xml:space="preserve"> </w:t>
      </w:r>
      <w:r>
        <w:rPr>
          <w:sz w:val="21"/>
        </w:rPr>
        <w:t>能性，并以分枝的期望值中最大（或最小）者作为选择依据。</w:t>
      </w:r>
    </w:p>
    <w:p>
      <w:pPr>
        <w:pStyle w:val="BodyText"/>
        <w:spacing w:line="331" w:lineRule="auto"/>
        <w:ind w:right="367"/>
      </w:pPr>
      <w:r>
        <w:rPr>
          <w:w w:val="95"/>
        </w:rPr>
        <w:t>从决策点分出的枝称为方案枝，从方案枝分出的枝称为概率分枝。方案枝分出的各概率分枝的分叉点及概率分</w:t>
      </w:r>
      <w:r>
        <w:rPr>
          <w:spacing w:val="206"/>
        </w:rPr>
        <w:t xml:space="preserve"> </w:t>
      </w:r>
      <w:r>
        <w:t>枝的分叉点称为自然状态点。概率分枝的终点称为损益值点。</w:t>
      </w:r>
    </w:p>
    <w:p>
      <w:pPr>
        <w:pStyle w:val="ListParagraph"/>
        <w:numPr>
          <w:ilvl w:val="0"/>
          <w:numId w:val="71"/>
        </w:numPr>
        <w:tabs>
          <w:tab w:val="left" w:pos="543"/>
        </w:tabs>
        <w:spacing w:before="0" w:after="0" w:line="240" w:lineRule="auto"/>
        <w:ind w:left="542" w:right="0" w:hanging="316"/>
        <w:jc w:val="left"/>
        <w:rPr>
          <w:sz w:val="21"/>
        </w:rPr>
      </w:pPr>
      <w:r>
        <w:rPr>
          <w:sz w:val="21"/>
        </w:rPr>
        <w:t>决策过程。①先根据已知情况绘出决策树；②计算期望值；③确定决策方案。</w:t>
      </w:r>
    </w:p>
    <w:p>
      <w:pPr>
        <w:pStyle w:val="BodyText"/>
        <w:spacing w:before="11"/>
        <w:ind w:left="0"/>
        <w:rPr>
          <w:sz w:val="4"/>
        </w:rPr>
      </w:pPr>
      <w:r>
        <w:drawing>
          <wp:anchor distT="0" distB="0" distL="0" distR="0" simplePos="0" relativeHeight="251746304" behindDoc="0" locked="0" layoutInCell="1" allowOverlap="1">
            <wp:simplePos x="0" y="0"/>
            <wp:positionH relativeFrom="page">
              <wp:posOffset>575945</wp:posOffset>
            </wp:positionH>
            <wp:positionV relativeFrom="paragraph">
              <wp:posOffset>54610</wp:posOffset>
            </wp:positionV>
            <wp:extent cx="3806825" cy="252349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xmlns:r="http://schemas.openxmlformats.org/officeDocument/2006/relationships" r:embed="rId45" cstate="print"/>
                    <a:stretch>
                      <a:fillRect/>
                    </a:stretch>
                  </pic:blipFill>
                  <pic:spPr>
                    <a:xfrm>
                      <a:off x="0" y="0"/>
                      <a:ext cx="3806942" cy="2523744"/>
                    </a:xfrm>
                    <a:prstGeom prst="rect">
                      <a:avLst/>
                    </a:prstGeom>
                  </pic:spPr>
                </pic:pic>
              </a:graphicData>
            </a:graphic>
          </wp:anchor>
        </w:drawing>
      </w:r>
    </w:p>
    <w:p>
      <w:pPr>
        <w:pStyle w:val="BodyText"/>
        <w:spacing w:before="98"/>
      </w:pPr>
      <w:r>
        <w:rPr>
          <w:spacing w:val="1"/>
          <w:w w:val="95"/>
        </w:rPr>
        <w:t xml:space="preserve">【分值】考试形式为选择题，分值为 </w:t>
      </w:r>
      <w:r>
        <w:rPr>
          <w:w w:val="95"/>
        </w:rPr>
        <w:t>1-2</w:t>
      </w:r>
      <w:r>
        <w:rPr>
          <w:spacing w:val="3"/>
          <w:w w:val="95"/>
        </w:rPr>
        <w:t xml:space="preserve"> 分。</w:t>
      </w:r>
    </w:p>
    <w:p>
      <w:pPr>
        <w:pStyle w:val="BodyText"/>
        <w:spacing w:before="105"/>
      </w:pPr>
      <w:r>
        <w:t>【记忆方法】根据图例理解记忆</w:t>
      </w:r>
    </w:p>
    <w:p>
      <w:pPr>
        <w:pStyle w:val="BodyText"/>
        <w:spacing w:before="8"/>
        <w:ind w:left="0"/>
        <w:rPr>
          <w:sz w:val="7"/>
        </w:rPr>
      </w:pPr>
      <w:r>
        <w:pict>
          <v:shape id="docshape94" o:spid="_x0000_s1112" type="#_x0000_t202" style="width:82.8pt;height:19.9pt;margin-top:8.35pt;margin-left:48.3pt;mso-height-relative:page;mso-position-horizontal-relative:page;mso-width-relative:page;mso-wrap-distance-bottom:0;mso-wrap-distance-top:0;position:absolute;z-index:-251568128" coordsize="21600,21600" filled="f" stroked="t" strokecolor="black">
            <v:textbox inset="0,0,0,0">
              <w:txbxContent>
                <w:p>
                  <w:pPr>
                    <w:spacing w:before="3" w:line="306" w:lineRule="exact"/>
                    <w:ind w:left="1" w:right="0" w:firstLine="0"/>
                    <w:jc w:val="left"/>
                    <w:rPr>
                      <w:b/>
                      <w:sz w:val="24"/>
                    </w:rPr>
                  </w:pPr>
                  <w:r>
                    <w:rPr>
                      <w:b/>
                      <w:sz w:val="24"/>
                    </w:rPr>
                    <w:t>精选习题·41</w:t>
                  </w:r>
                </w:p>
              </w:txbxContent>
            </v:textbox>
            <w10:wrap type="topAndBottom"/>
          </v:shape>
        </w:pict>
      </w:r>
    </w:p>
    <w:p>
      <w:pPr>
        <w:pStyle w:val="BodyText"/>
        <w:spacing w:before="7"/>
        <w:ind w:left="0"/>
        <w:rPr>
          <w:sz w:val="7"/>
        </w:rPr>
      </w:pPr>
    </w:p>
    <w:p>
      <w:pPr>
        <w:pStyle w:val="BodyText"/>
        <w:tabs>
          <w:tab w:val="left" w:pos="3167"/>
        </w:tabs>
        <w:spacing w:before="70" w:line="331" w:lineRule="auto"/>
        <w:ind w:right="367"/>
      </w:pPr>
      <w:r>
        <w:rPr>
          <w:w w:val="95"/>
        </w:rPr>
        <w:t>【2022】工程监理单位进行投标决策时，先确定投标的各项指标及其权重，再计算各项指标得分并汇总后，由</w:t>
      </w:r>
      <w:r>
        <w:rPr>
          <w:spacing w:val="206"/>
        </w:rPr>
        <w:t xml:space="preserve"> </w:t>
      </w:r>
      <w:r>
        <w:t>此决定是否投标的方法是（</w:t>
      </w:r>
      <w:r>
        <w:tab/>
      </w:r>
      <w:r>
        <w:rPr>
          <w:spacing w:val="-104"/>
        </w:rPr>
        <w:t>）</w:t>
      </w:r>
      <w:r>
        <w:t>。</w:t>
      </w:r>
    </w:p>
    <w:p>
      <w:pPr>
        <w:pStyle w:val="BodyText"/>
        <w:spacing w:before="6" w:line="333" w:lineRule="auto"/>
        <w:ind w:left="647" w:right="8779"/>
      </w:pPr>
      <w:r>
        <w:t>A.决策树法</w:t>
      </w:r>
      <w:r>
        <w:rPr>
          <w:spacing w:val="1"/>
        </w:rPr>
        <w:t xml:space="preserve"> </w:t>
      </w:r>
      <w:r>
        <w:rPr>
          <w:spacing w:val="-1"/>
        </w:rPr>
        <w:t>B.风险评估法C.综合评价法</w:t>
      </w:r>
    </w:p>
    <w:p>
      <w:pPr>
        <w:pStyle w:val="BodyText"/>
        <w:spacing w:before="1"/>
        <w:ind w:left="647"/>
      </w:pPr>
      <w:r>
        <w:t>D.敏感性分析法</w:t>
      </w:r>
    </w:p>
    <w:p>
      <w:pPr>
        <w:pStyle w:val="BodyText"/>
        <w:spacing w:before="103"/>
      </w:pPr>
      <w:r>
        <w:t>【答案】C</w:t>
      </w:r>
    </w:p>
    <w:p>
      <w:pPr>
        <w:pStyle w:val="BodyText"/>
        <w:spacing w:before="108"/>
      </w:pPr>
      <w:r>
        <w:rPr>
          <w:spacing w:val="-9"/>
          <w:w w:val="99"/>
        </w:rPr>
        <w:t>【解析】综合评价法：</w:t>
      </w:r>
      <w:r>
        <w:rPr>
          <w:spacing w:val="2"/>
          <w:w w:val="99"/>
        </w:rPr>
        <w:t>（</w:t>
      </w:r>
      <w:r>
        <w:rPr>
          <w:spacing w:val="3"/>
          <w:w w:val="99"/>
        </w:rPr>
        <w:t>1</w:t>
      </w:r>
      <w:r>
        <w:rPr>
          <w:spacing w:val="2"/>
          <w:w w:val="99"/>
        </w:rPr>
        <w:t>）</w:t>
      </w:r>
      <w:r>
        <w:rPr>
          <w:spacing w:val="-7"/>
          <w:w w:val="99"/>
        </w:rPr>
        <w:t>确定影响投标的评价指标；</w:t>
      </w:r>
      <w:r>
        <w:rPr>
          <w:spacing w:val="4"/>
          <w:w w:val="99"/>
        </w:rPr>
        <w:t>（</w:t>
      </w:r>
      <w:r>
        <w:rPr>
          <w:spacing w:val="3"/>
          <w:w w:val="99"/>
        </w:rPr>
        <w:t>2</w:t>
      </w:r>
      <w:r>
        <w:rPr>
          <w:spacing w:val="2"/>
          <w:w w:val="99"/>
        </w:rPr>
        <w:t>）</w:t>
      </w:r>
      <w:r>
        <w:rPr>
          <w:spacing w:val="-8"/>
          <w:w w:val="99"/>
        </w:rPr>
        <w:t>确定各项评价指标权重；</w:t>
      </w:r>
      <w:r>
        <w:rPr>
          <w:spacing w:val="2"/>
          <w:w w:val="99"/>
        </w:rPr>
        <w:t>（</w:t>
      </w:r>
      <w:r>
        <w:rPr>
          <w:spacing w:val="1"/>
          <w:w w:val="99"/>
        </w:rPr>
        <w:t>3</w:t>
      </w:r>
      <w:r>
        <w:rPr>
          <w:spacing w:val="2"/>
          <w:w w:val="99"/>
        </w:rPr>
        <w:t>）</w:t>
      </w:r>
      <w:r>
        <w:rPr>
          <w:spacing w:val="1"/>
          <w:w w:val="99"/>
        </w:rPr>
        <w:t>各项评价指标评分；</w:t>
      </w:r>
    </w:p>
    <w:p>
      <w:pPr>
        <w:pStyle w:val="BodyText"/>
        <w:spacing w:before="103"/>
      </w:pPr>
      <w:r>
        <w:drawing>
          <wp:anchor distT="0" distB="0" distL="0" distR="0" simplePos="0" relativeHeight="251747328" behindDoc="0" locked="0" layoutInCell="1" allowOverlap="1">
            <wp:simplePos x="0" y="0"/>
            <wp:positionH relativeFrom="page">
              <wp:posOffset>585470</wp:posOffset>
            </wp:positionH>
            <wp:positionV relativeFrom="paragraph">
              <wp:posOffset>313690</wp:posOffset>
            </wp:positionV>
            <wp:extent cx="56515" cy="30924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xmlns:r="http://schemas.openxmlformats.org/officeDocument/2006/relationships" r:embed="rId46" cstate="print"/>
                    <a:stretch>
                      <a:fillRect/>
                    </a:stretch>
                  </pic:blipFill>
                  <pic:spPr>
                    <a:xfrm>
                      <a:off x="0" y="0"/>
                      <a:ext cx="56469" cy="309562"/>
                    </a:xfrm>
                    <a:prstGeom prst="rect">
                      <a:avLst/>
                    </a:prstGeom>
                  </pic:spPr>
                </pic:pic>
              </a:graphicData>
            </a:graphic>
          </wp:anchor>
        </w:drawing>
      </w:r>
      <w:r>
        <w:rPr>
          <w:spacing w:val="-1"/>
          <w:w w:val="99"/>
        </w:rPr>
        <w:t>（</w:t>
      </w:r>
      <w:r>
        <w:rPr>
          <w:spacing w:val="1"/>
          <w:w w:val="99"/>
        </w:rPr>
        <w:t>4</w:t>
      </w:r>
      <w:r>
        <w:rPr>
          <w:spacing w:val="-1"/>
          <w:w w:val="99"/>
        </w:rPr>
        <w:t>）</w:t>
      </w:r>
      <w:r>
        <w:rPr>
          <w:spacing w:val="-13"/>
          <w:w w:val="99"/>
        </w:rPr>
        <w:t>计算综合评价总分；</w:t>
      </w:r>
      <w:r>
        <w:rPr>
          <w:spacing w:val="2"/>
          <w:w w:val="99"/>
        </w:rPr>
        <w:t>（</w:t>
      </w:r>
      <w:r>
        <w:rPr>
          <w:spacing w:val="1"/>
          <w:w w:val="99"/>
        </w:rPr>
        <w:t>5</w:t>
      </w:r>
      <w:r>
        <w:rPr>
          <w:spacing w:val="-1"/>
          <w:w w:val="99"/>
        </w:rPr>
        <w:t>）决定是否投标。</w:t>
      </w:r>
    </w:p>
    <w:p>
      <w:pPr>
        <w:pStyle w:val="BodyText"/>
        <w:spacing w:before="7"/>
        <w:ind w:left="0"/>
        <w:rPr>
          <w:sz w:val="7"/>
        </w:rPr>
      </w:pPr>
      <w:r>
        <w:pict>
          <v:shape id="docshape95" o:spid="_x0000_s1113" type="#_x0000_t202" style="width:82.8pt;height:19.9pt;margin-top:8.3pt;margin-left:48.3pt;mso-height-relative:page;mso-position-horizontal-relative:page;mso-width-relative:page;mso-wrap-distance-bottom:0;mso-wrap-distance-top:0;position:absolute;z-index:-251567104" coordsize="21600,21600" filled="f" stroked="t" strokecolor="black">
            <v:textbox inset="0,0,0,0">
              <w:txbxContent>
                <w:p>
                  <w:pPr>
                    <w:spacing w:before="1"/>
                    <w:ind w:left="1" w:right="0" w:firstLine="0"/>
                    <w:jc w:val="left"/>
                    <w:rPr>
                      <w:b/>
                      <w:sz w:val="24"/>
                    </w:rPr>
                  </w:pPr>
                  <w:r>
                    <w:rPr>
                      <w:b/>
                      <w:sz w:val="24"/>
                    </w:rPr>
                    <w:t>重要考点·42</w:t>
                  </w:r>
                </w:p>
              </w:txbxContent>
            </v:textbox>
            <w10:wrap type="topAndBottom"/>
          </v:shape>
        </w:pict>
      </w:r>
    </w:p>
    <w:p>
      <w:pPr>
        <w:pStyle w:val="BodyText"/>
        <w:spacing w:before="164"/>
      </w:pPr>
      <w:r>
        <w:t>1.监理大纲编制</w:t>
      </w:r>
    </w:p>
    <w:p>
      <w:pPr>
        <w:pStyle w:val="BodyText"/>
        <w:spacing w:before="108"/>
      </w:pPr>
      <w:r>
        <w:rPr>
          <w:spacing w:val="-4"/>
          <w:w w:val="95"/>
        </w:rPr>
        <w:t>建设工程监理投标文件的核心是反映监理服务水平高低的监理大纲，尤其是针对工程具体情况制定的监理对策，</w:t>
      </w:r>
    </w:p>
    <w:p>
      <w:pPr>
        <w:spacing w:after="0"/>
        <w:sectPr>
          <w:headerReference w:type="default" r:id="rId47"/>
          <w:pgSz w:w="11910" w:h="16840"/>
          <w:pgMar w:top="1180" w:right="540" w:bottom="280" w:left="680" w:header="993" w:footer="0" w:gutter="0"/>
          <w:pgNumType w:start="40"/>
          <w:cols w:space="708"/>
        </w:sectPr>
      </w:pPr>
    </w:p>
    <w:p>
      <w:pPr>
        <w:pStyle w:val="BodyText"/>
        <w:spacing w:before="54" w:line="331" w:lineRule="auto"/>
        <w:ind w:right="6887"/>
      </w:pPr>
      <w:r>
        <w:rPr>
          <w:w w:val="95"/>
        </w:rPr>
        <w:t>以及向建设单位提出的原则性建议等。</w:t>
      </w:r>
      <w:r>
        <w:t>监理大纲一般应包括以下主要内容：</w:t>
      </w:r>
    </w:p>
    <w:p>
      <w:pPr>
        <w:pStyle w:val="ListParagraph"/>
        <w:numPr>
          <w:ilvl w:val="0"/>
          <w:numId w:val="72"/>
        </w:numPr>
        <w:tabs>
          <w:tab w:val="left" w:pos="752"/>
        </w:tabs>
        <w:spacing w:before="4" w:after="0" w:line="240" w:lineRule="auto"/>
        <w:ind w:left="751" w:right="0" w:hanging="525"/>
        <w:jc w:val="left"/>
        <w:rPr>
          <w:sz w:val="21"/>
        </w:rPr>
      </w:pPr>
      <w:r>
        <w:rPr>
          <w:sz w:val="21"/>
        </w:rPr>
        <w:t>工程概述。</w:t>
      </w:r>
    </w:p>
    <w:p>
      <w:pPr>
        <w:pStyle w:val="ListParagraph"/>
        <w:numPr>
          <w:ilvl w:val="0"/>
          <w:numId w:val="72"/>
        </w:numPr>
        <w:tabs>
          <w:tab w:val="left" w:pos="752"/>
        </w:tabs>
        <w:spacing w:before="108" w:after="0" w:line="240" w:lineRule="auto"/>
        <w:ind w:left="751" w:right="0" w:hanging="525"/>
        <w:jc w:val="left"/>
        <w:rPr>
          <w:sz w:val="21"/>
        </w:rPr>
      </w:pPr>
      <w:r>
        <w:rPr>
          <w:sz w:val="21"/>
        </w:rPr>
        <w:t>监理依据和监理工作内容。</w:t>
      </w:r>
    </w:p>
    <w:p>
      <w:pPr>
        <w:pStyle w:val="ListParagraph"/>
        <w:numPr>
          <w:ilvl w:val="0"/>
          <w:numId w:val="73"/>
        </w:numPr>
        <w:tabs>
          <w:tab w:val="left" w:pos="544"/>
        </w:tabs>
        <w:spacing w:before="103" w:after="0" w:line="336" w:lineRule="auto"/>
        <w:ind w:left="227" w:right="367" w:firstLine="0"/>
        <w:jc w:val="left"/>
        <w:rPr>
          <w:sz w:val="21"/>
        </w:rPr>
      </w:pPr>
      <w:r>
        <w:rPr>
          <w:spacing w:val="-1"/>
          <w:w w:val="99"/>
          <w:sz w:val="21"/>
        </w:rPr>
        <w:t>监理依据：法律法规及政策；工程建设标准</w:t>
      </w:r>
      <w:r>
        <w:rPr>
          <w:sz w:val="21"/>
        </w:rPr>
        <w:t xml:space="preserve"> </w:t>
      </w:r>
      <w:r>
        <w:rPr>
          <w:spacing w:val="2"/>
          <w:w w:val="99"/>
          <w:sz w:val="21"/>
        </w:rPr>
        <w:t>（</w:t>
      </w:r>
      <w:r>
        <w:rPr>
          <w:spacing w:val="-10"/>
          <w:w w:val="99"/>
          <w:sz w:val="21"/>
        </w:rPr>
        <w:t>包括《建设工程监理规范》</w:t>
      </w:r>
      <w:r>
        <w:rPr>
          <w:spacing w:val="-104"/>
          <w:w w:val="99"/>
          <w:sz w:val="21"/>
        </w:rPr>
        <w:t>）</w:t>
      </w:r>
      <w:r>
        <w:rPr>
          <w:spacing w:val="-1"/>
          <w:w w:val="99"/>
          <w:sz w:val="21"/>
        </w:rPr>
        <w:t>；工程勘察设计文件；建设工程</w:t>
      </w:r>
      <w:r>
        <w:rPr>
          <w:sz w:val="21"/>
        </w:rPr>
        <w:t>监理合同及相关建设工程合同等。</w:t>
      </w:r>
    </w:p>
    <w:p>
      <w:pPr>
        <w:pStyle w:val="ListParagraph"/>
        <w:numPr>
          <w:ilvl w:val="0"/>
          <w:numId w:val="73"/>
        </w:numPr>
        <w:tabs>
          <w:tab w:val="left" w:pos="543"/>
        </w:tabs>
        <w:spacing w:before="0" w:after="0" w:line="333" w:lineRule="auto"/>
        <w:ind w:left="227" w:right="367" w:firstLine="0"/>
        <w:jc w:val="left"/>
        <w:rPr>
          <w:sz w:val="21"/>
        </w:rPr>
      </w:pPr>
      <w:r>
        <w:rPr>
          <w:w w:val="95"/>
          <w:sz w:val="21"/>
        </w:rPr>
        <w:t>监理工作内容：一般包括：质量控制、造价控制、进度控制、合同管理、信息管理、组织协调、安全生产管</w:t>
      </w:r>
      <w:r>
        <w:rPr>
          <w:spacing w:val="95"/>
          <w:w w:val="95"/>
          <w:sz w:val="21"/>
        </w:rPr>
        <w:t xml:space="preserve"> </w:t>
      </w:r>
      <w:r>
        <w:rPr>
          <w:sz w:val="21"/>
        </w:rPr>
        <w:t>理的监理工作等。</w:t>
      </w:r>
    </w:p>
    <w:p>
      <w:pPr>
        <w:pStyle w:val="ListParagraph"/>
        <w:numPr>
          <w:ilvl w:val="0"/>
          <w:numId w:val="72"/>
        </w:numPr>
        <w:tabs>
          <w:tab w:val="left" w:pos="752"/>
        </w:tabs>
        <w:spacing w:before="0" w:after="0" w:line="333" w:lineRule="auto"/>
        <w:ind w:left="227" w:right="367" w:firstLine="0"/>
        <w:jc w:val="both"/>
        <w:rPr>
          <w:sz w:val="21"/>
        </w:rPr>
      </w:pPr>
      <w:r>
        <w:rPr>
          <w:w w:val="95"/>
          <w:sz w:val="21"/>
        </w:rPr>
        <w:t>建设工程监理实施方案。建设工程监理实施方案是监理评标的重点。据监理招标文件的要求，针对建设单</w:t>
      </w:r>
      <w:r>
        <w:rPr>
          <w:spacing w:val="96"/>
          <w:w w:val="95"/>
          <w:sz w:val="21"/>
        </w:rPr>
        <w:t xml:space="preserve"> </w:t>
      </w:r>
      <w:r>
        <w:rPr>
          <w:w w:val="95"/>
          <w:sz w:val="21"/>
        </w:rPr>
        <w:t>位委托监理工程特点，拟定监理工作指导思想、工作计划；主要管理措施、技术措施以及控制要点；拟采用旳</w:t>
      </w:r>
      <w:r>
        <w:rPr>
          <w:spacing w:val="206"/>
          <w:sz w:val="21"/>
        </w:rPr>
        <w:t xml:space="preserve"> </w:t>
      </w:r>
      <w:r>
        <w:rPr>
          <w:sz w:val="21"/>
        </w:rPr>
        <w:t>监理方法和手段；监理工作制度和流程等。</w:t>
      </w:r>
    </w:p>
    <w:p>
      <w:pPr>
        <w:pStyle w:val="ListParagraph"/>
        <w:numPr>
          <w:ilvl w:val="0"/>
          <w:numId w:val="72"/>
        </w:numPr>
        <w:tabs>
          <w:tab w:val="left" w:pos="752"/>
        </w:tabs>
        <w:spacing w:before="0" w:after="0" w:line="333" w:lineRule="auto"/>
        <w:ind w:left="227" w:right="273" w:firstLine="0"/>
        <w:jc w:val="left"/>
        <w:rPr>
          <w:sz w:val="21"/>
        </w:rPr>
      </w:pPr>
      <w:r>
        <w:rPr>
          <w:w w:val="95"/>
          <w:sz w:val="21"/>
        </w:rPr>
        <w:t>建设工程监理难点、重点及合理化建议。建设工程监理难点、重点及合理化建议是整个投标文件的精髓。</w:t>
      </w:r>
      <w:r>
        <w:rPr>
          <w:spacing w:val="175"/>
          <w:sz w:val="21"/>
        </w:rPr>
        <w:t xml:space="preserve"> </w:t>
      </w:r>
      <w:r>
        <w:rPr>
          <w:spacing w:val="-8"/>
          <w:sz w:val="21"/>
        </w:rPr>
        <w:t>工程监理单位在熟悉招标文件和施工图的基础上，要按实际监理工作的开展和部署进行策划，既要全面涵盖“三</w:t>
      </w:r>
      <w:r>
        <w:rPr>
          <w:sz w:val="21"/>
        </w:rPr>
        <w:t>控两管一协调”和安全生产管理职责的内容，又要有针对性地提出重点工作内容、分部分项工程控制措施和方法以及合理化建议，并说明采纳这些建议将会在工程质量、造价、进度等方面产生的效益。</w:t>
      </w:r>
    </w:p>
    <w:p>
      <w:pPr>
        <w:pStyle w:val="BodyText"/>
      </w:pPr>
      <w:r>
        <w:rPr>
          <w:spacing w:val="1"/>
          <w:w w:val="95"/>
        </w:rPr>
        <w:t xml:space="preserve">【分值】考试形式为选择题，分值为 </w:t>
      </w:r>
      <w:r>
        <w:rPr>
          <w:w w:val="95"/>
        </w:rPr>
        <w:t>1-2</w:t>
      </w:r>
      <w:r>
        <w:rPr>
          <w:spacing w:val="3"/>
          <w:w w:val="95"/>
        </w:rPr>
        <w:t xml:space="preserve"> 分。</w:t>
      </w:r>
    </w:p>
    <w:p>
      <w:pPr>
        <w:pStyle w:val="BodyText"/>
        <w:spacing w:before="104"/>
      </w:pPr>
      <w:r>
        <w:t>【记忆方法】理解记忆</w:t>
      </w:r>
    </w:p>
    <w:p>
      <w:pPr>
        <w:pStyle w:val="BodyText"/>
        <w:spacing w:before="8"/>
        <w:ind w:left="0"/>
        <w:rPr>
          <w:sz w:val="7"/>
        </w:rPr>
      </w:pPr>
      <w:r>
        <w:pict>
          <v:shape id="docshape96" o:spid="_x0000_s1114" type="#_x0000_t202" style="width:82.8pt;height:19.9pt;margin-top:8.3pt;margin-left:48.3pt;mso-height-relative:page;mso-position-horizontal-relative:page;mso-width-relative:page;mso-wrap-distance-bottom:0;mso-wrap-distance-top:0;position:absolute;z-index:-251566080" coordsize="21600,21600" filled="f" stroked="t" strokecolor="black">
            <v:textbox inset="0,0,0,0">
              <w:txbxContent>
                <w:p>
                  <w:pPr>
                    <w:spacing w:before="1"/>
                    <w:ind w:left="1" w:right="0" w:firstLine="0"/>
                    <w:jc w:val="left"/>
                    <w:rPr>
                      <w:b/>
                      <w:sz w:val="24"/>
                    </w:rPr>
                  </w:pPr>
                  <w:r>
                    <w:rPr>
                      <w:b/>
                      <w:sz w:val="24"/>
                    </w:rPr>
                    <w:t>精选习题·42</w:t>
                  </w:r>
                </w:p>
              </w:txbxContent>
            </v:textbox>
            <w10:wrap type="topAndBottom"/>
          </v:shape>
        </w:pict>
      </w:r>
    </w:p>
    <w:p>
      <w:pPr>
        <w:pStyle w:val="BodyText"/>
        <w:spacing w:before="5"/>
        <w:ind w:left="0"/>
        <w:rPr>
          <w:sz w:val="7"/>
        </w:rPr>
      </w:pPr>
    </w:p>
    <w:p>
      <w:pPr>
        <w:pStyle w:val="BodyText"/>
        <w:tabs>
          <w:tab w:val="left" w:pos="4635"/>
        </w:tabs>
        <w:spacing w:before="70" w:line="336" w:lineRule="auto"/>
        <w:ind w:left="647" w:right="5733" w:hanging="420"/>
      </w:pPr>
      <w:r>
        <w:t>【2022】工程监理投标文件的核心内容是（</w:t>
      </w:r>
      <w:r>
        <w:tab/>
      </w:r>
      <w:r>
        <w:rPr>
          <w:spacing w:val="-104"/>
        </w:rPr>
        <w:t>）</w:t>
      </w:r>
      <w:r>
        <w:rPr>
          <w:spacing w:val="-2"/>
        </w:rPr>
        <w:t>。</w:t>
      </w:r>
      <w:r>
        <w:t>A.针对工程具体情况进行项目特征分析</w:t>
      </w:r>
    </w:p>
    <w:p>
      <w:pPr>
        <w:pStyle w:val="BodyText"/>
        <w:spacing w:line="265" w:lineRule="exact"/>
        <w:ind w:left="647"/>
      </w:pPr>
      <w:r>
        <w:t>B.向建设单位提出附加服务承诺</w:t>
      </w:r>
    </w:p>
    <w:p>
      <w:pPr>
        <w:pStyle w:val="BodyText"/>
        <w:spacing w:before="105" w:line="333" w:lineRule="auto"/>
        <w:ind w:left="647" w:right="6259"/>
      </w:pPr>
      <w:r>
        <w:rPr>
          <w:w w:val="95"/>
        </w:rPr>
        <w:t>C.体现建设单位期望的监理服务费建议书</w:t>
      </w:r>
      <w:r>
        <w:t>D.反映监理单位服务水平的监理大纲</w:t>
      </w:r>
    </w:p>
    <w:p>
      <w:pPr>
        <w:pStyle w:val="BodyText"/>
        <w:spacing w:before="1"/>
      </w:pPr>
      <w:r>
        <w:t>【答案】D</w:t>
      </w:r>
    </w:p>
    <w:p>
      <w:pPr>
        <w:pStyle w:val="BodyText"/>
        <w:spacing w:before="108"/>
      </w:pPr>
      <w:r>
        <w:t>【解析】建设工程监理投标文件的核心是反映监理服务水平高低的监理大纲。</w:t>
      </w:r>
    </w:p>
    <w:p>
      <w:pPr>
        <w:pStyle w:val="BodyText"/>
        <w:spacing w:before="5"/>
        <w:ind w:left="0"/>
        <w:rPr>
          <w:sz w:val="7"/>
        </w:rPr>
      </w:pPr>
      <w:r>
        <w:pict>
          <v:shape id="docshape97" o:spid="_x0000_s1115" type="#_x0000_t202" style="width:82.8pt;height:19.9pt;margin-top:8.2pt;margin-left:48.3pt;mso-height-relative:page;mso-position-horizontal-relative:page;mso-width-relative:page;mso-wrap-distance-bottom:0;mso-wrap-distance-top:0;position:absolute;z-index:-251565056" coordsize="21600,21600" filled="f" stroked="t" strokecolor="black">
            <v:textbox inset="0,0,0,0">
              <w:txbxContent>
                <w:p>
                  <w:pPr>
                    <w:spacing w:before="1"/>
                    <w:ind w:left="1" w:right="0" w:firstLine="0"/>
                    <w:jc w:val="left"/>
                    <w:rPr>
                      <w:b/>
                      <w:sz w:val="24"/>
                    </w:rPr>
                  </w:pPr>
                  <w:r>
                    <w:rPr>
                      <w:b/>
                      <w:sz w:val="24"/>
                    </w:rPr>
                    <w:t>重要考点·43</w:t>
                  </w:r>
                </w:p>
              </w:txbxContent>
            </v:textbox>
            <w10:wrap type="topAndBottom"/>
          </v:shape>
        </w:pict>
      </w:r>
    </w:p>
    <w:p>
      <w:pPr>
        <w:pStyle w:val="BodyText"/>
        <w:spacing w:before="5"/>
        <w:ind w:left="0"/>
        <w:rPr>
          <w:sz w:val="7"/>
        </w:rPr>
      </w:pPr>
    </w:p>
    <w:p>
      <w:pPr>
        <w:pStyle w:val="BodyText"/>
        <w:spacing w:before="70"/>
      </w:pPr>
      <w:r>
        <w:t>（一）建设工程监理合同特点</w:t>
      </w:r>
    </w:p>
    <w:p>
      <w:pPr>
        <w:pStyle w:val="BodyText"/>
        <w:spacing w:before="107"/>
      </w:pPr>
      <w:r>
        <w:t>建设工程监理合同是一种委托合同，除具有委托合同的共同特点外，还具有以下特点：</w:t>
      </w:r>
    </w:p>
    <w:p>
      <w:pPr>
        <w:pStyle w:val="ListParagraph"/>
        <w:numPr>
          <w:ilvl w:val="0"/>
          <w:numId w:val="74"/>
        </w:numPr>
        <w:tabs>
          <w:tab w:val="left" w:pos="752"/>
        </w:tabs>
        <w:spacing w:before="103" w:after="0" w:line="336" w:lineRule="auto"/>
        <w:ind w:left="227" w:right="367" w:firstLine="0"/>
        <w:jc w:val="both"/>
        <w:rPr>
          <w:sz w:val="21"/>
        </w:rPr>
      </w:pPr>
      <w:r>
        <w:rPr>
          <w:sz w:val="21"/>
        </w:rPr>
        <w:t>建设工程监理合同当事人双方应是具有民事权力能力和民事行为能力、具有法人，资格的企事业单位及</w:t>
      </w:r>
      <w:r>
        <w:rPr>
          <w:w w:val="95"/>
          <w:sz w:val="21"/>
        </w:rPr>
        <w:t>其他社会组织，个人在法律允许的范围内也可以成为合同当事人。接受委托的监理人必须是依法成立、具有工</w:t>
      </w:r>
      <w:r>
        <w:rPr>
          <w:spacing w:val="206"/>
          <w:sz w:val="21"/>
        </w:rPr>
        <w:t xml:space="preserve"> </w:t>
      </w:r>
      <w:r>
        <w:rPr>
          <w:sz w:val="21"/>
        </w:rPr>
        <w:t>程监理资质的企业，其所承担的工程监理业务应与企业资质等级和业务范围相符合。</w:t>
      </w:r>
    </w:p>
    <w:p>
      <w:pPr>
        <w:pStyle w:val="ListParagraph"/>
        <w:numPr>
          <w:ilvl w:val="0"/>
          <w:numId w:val="74"/>
        </w:numPr>
        <w:tabs>
          <w:tab w:val="left" w:pos="752"/>
        </w:tabs>
        <w:spacing w:before="0" w:after="0" w:line="333" w:lineRule="auto"/>
        <w:ind w:left="227" w:right="367" w:firstLine="0"/>
        <w:jc w:val="both"/>
        <w:rPr>
          <w:sz w:val="21"/>
        </w:rPr>
      </w:pPr>
      <w:r>
        <w:rPr>
          <w:w w:val="95"/>
          <w:sz w:val="21"/>
        </w:rPr>
        <w:t>建设工程监理合同委托的工作内容必须符合法律法规、有关工程建设标准、勘察设计文件及合同。建设工</w:t>
      </w:r>
      <w:r>
        <w:rPr>
          <w:spacing w:val="96"/>
          <w:w w:val="95"/>
          <w:sz w:val="21"/>
        </w:rPr>
        <w:t xml:space="preserve"> </w:t>
      </w:r>
      <w:r>
        <w:rPr>
          <w:w w:val="95"/>
          <w:sz w:val="21"/>
        </w:rPr>
        <w:t>程监理合同是以对建设工程项目目标实施控制并履行建设工程安全生产管理法定职责为主要内容，因此，建设</w:t>
      </w:r>
      <w:r>
        <w:rPr>
          <w:spacing w:val="216"/>
          <w:sz w:val="21"/>
        </w:rPr>
        <w:t xml:space="preserve"> </w:t>
      </w:r>
      <w:r>
        <w:rPr>
          <w:w w:val="95"/>
          <w:sz w:val="21"/>
        </w:rPr>
        <w:t>工程监理合同必须符合法律法规和有关工程建设标准，并与工程勘察设计文件、施工合同及材料设备采购合同</w:t>
      </w:r>
      <w:r>
        <w:rPr>
          <w:spacing w:val="206"/>
          <w:sz w:val="21"/>
        </w:rPr>
        <w:t xml:space="preserve"> </w:t>
      </w:r>
      <w:r>
        <w:rPr>
          <w:sz w:val="21"/>
        </w:rPr>
        <w:t>相协调。</w:t>
      </w:r>
    </w:p>
    <w:p>
      <w:pPr>
        <w:pStyle w:val="ListParagraph"/>
        <w:numPr>
          <w:ilvl w:val="0"/>
          <w:numId w:val="74"/>
        </w:numPr>
        <w:tabs>
          <w:tab w:val="left" w:pos="752"/>
        </w:tabs>
        <w:spacing w:before="0" w:after="0" w:line="331" w:lineRule="auto"/>
        <w:ind w:left="227" w:right="273" w:firstLine="0"/>
        <w:jc w:val="left"/>
        <w:rPr>
          <w:sz w:val="21"/>
        </w:rPr>
      </w:pPr>
      <w:r>
        <w:rPr>
          <w:w w:val="95"/>
          <w:sz w:val="21"/>
        </w:rPr>
        <w:t>建设工程监理合同的标的是服务。工程建设实施阶段所签订的勘察设计合同、施工合同、物资采购合同、</w:t>
      </w:r>
      <w:r>
        <w:rPr>
          <w:spacing w:val="175"/>
          <w:sz w:val="21"/>
        </w:rPr>
        <w:t xml:space="preserve"> </w:t>
      </w:r>
      <w:r>
        <w:rPr>
          <w:sz w:val="21"/>
        </w:rPr>
        <w:t>委托加工合同的标的物是产生新的信息成果或物质成果，而监理合同的履行不产生物质成果，而是由监理工程</w:t>
      </w:r>
    </w:p>
    <w:p>
      <w:pPr>
        <w:spacing w:after="0" w:line="331"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https://d.book118.com/086131045242010032</w:t>
        </w:r>
      </w:hyperlink>
    </w:p>
    <w:p>
      <w:pPr>
        <w:spacing w:after="0" w:line="331" w:lineRule="auto"/>
        <w:jc w:val="left"/>
        <w:rPr>
          <w:sz w:val="21"/>
        </w:rPr>
      </w:pPr>
    </w:p>
    <w:sectPr>
      <w:headerReference w:type="default" r:id="rId49"/>
      <w:pgSz w:w="11910" w:h="16840"/>
      <w:pgMar w:top="1180" w:right="540" w:bottom="280" w:left="680" w:header="993" w:footer="0" w:gutter="0"/>
      <w:pgNumType w:start="4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swiss"/>
    <w:pitch w:val="default"/>
    <w:sig w:usb0="E00002FF" w:usb1="6AC7FDFB" w:usb2="08000012" w:usb3="00000000" w:csb0="4002009F" w:csb1="DFD7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FE5FDC"/>
    <w:multiLevelType w:val="multilevel"/>
    <w:tmpl w:val="83FE5FDC"/>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
    <w:nsid w:val="854EA6E7"/>
    <w:multiLevelType w:val="multilevel"/>
    <w:tmpl w:val="854EA6E7"/>
    <w:lvl w:ilvl="0">
      <w:start w:val="1"/>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2">
    <w:nsid w:val="8621BA6C"/>
    <w:multiLevelType w:val="multilevel"/>
    <w:tmpl w:val="8621BA6C"/>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3">
    <w:nsid w:val="86A2A78B"/>
    <w:multiLevelType w:val="multilevel"/>
    <w:tmpl w:val="86A2A78B"/>
    <w:lvl w:ilvl="0">
      <w:start w:val="1"/>
      <w:numFmt w:val="decimal"/>
      <w:lvlText w:val="%1）"/>
      <w:lvlJc w:val="left"/>
      <w:pPr>
        <w:ind w:left="227" w:hanging="316"/>
        <w:jc w:val="left"/>
      </w:pPr>
      <w:rPr>
        <w:rFonts w:ascii="宋体" w:eastAsia="宋体" w:hAnsi="宋体" w:cs="宋体" w:hint="default"/>
        <w:b w:val="0"/>
        <w:bCs w:val="0"/>
        <w:i w:val="0"/>
        <w:iCs w:val="0"/>
        <w:spacing w:val="-15"/>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4">
    <w:nsid w:val="881B6E56"/>
    <w:multiLevelType w:val="multilevel"/>
    <w:tmpl w:val="881B6E56"/>
    <w:lvl w:ilvl="0">
      <w:start w:val="1"/>
      <w:numFmt w:val="decimal"/>
      <w:lvlText w:val="%1）"/>
      <w:lvlJc w:val="left"/>
      <w:pPr>
        <w:ind w:left="227" w:hanging="316"/>
        <w:jc w:val="left"/>
      </w:pPr>
      <w:rPr>
        <w:rFonts w:ascii="宋体" w:eastAsia="宋体" w:hAnsi="宋体" w:cs="宋体" w:hint="default"/>
        <w:b w:val="0"/>
        <w:bCs w:val="0"/>
        <w:i w:val="0"/>
        <w:iCs w:val="0"/>
        <w:spacing w:val="-25"/>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5">
    <w:nsid w:val="8C057F00"/>
    <w:multiLevelType w:val="multilevel"/>
    <w:tmpl w:val="8C057F00"/>
    <w:lvl w:ilvl="0">
      <w:start w:val="1"/>
      <w:numFmt w:val="decimal"/>
      <w:lvlText w:val="（%1）"/>
      <w:lvlJc w:val="left"/>
      <w:pPr>
        <w:ind w:left="227" w:hanging="525"/>
        <w:jc w:val="left"/>
      </w:pPr>
      <w:rPr>
        <w:rFonts w:ascii="宋体" w:eastAsia="宋体" w:hAnsi="宋体" w:cs="宋体" w:hint="default"/>
        <w:b w:val="0"/>
        <w:bCs w:val="0"/>
        <w:i w:val="0"/>
        <w:iCs w:val="0"/>
        <w:spacing w:val="-15"/>
        <w:w w:val="99"/>
        <w:sz w:val="19"/>
        <w:szCs w:val="19"/>
        <w:lang w:val="en-US" w:eastAsia="zh-CN" w:bidi="ar-SA"/>
      </w:rPr>
    </w:lvl>
    <w:lvl w:ilvl="1">
      <w:start w:val="1"/>
      <w:numFmt w:val="upperLetter"/>
      <w:lvlText w:val="%2."/>
      <w:lvlJc w:val="left"/>
      <w:pPr>
        <w:ind w:left="647"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756" w:hanging="212"/>
      </w:pPr>
      <w:rPr>
        <w:rFonts w:hint="default"/>
        <w:lang w:val="en-US" w:eastAsia="zh-CN" w:bidi="ar-SA"/>
      </w:rPr>
    </w:lvl>
    <w:lvl w:ilvl="3">
      <w:start w:val="0"/>
      <w:numFmt w:val="bullet"/>
      <w:lvlText w:val="•"/>
      <w:lvlJc w:val="left"/>
      <w:pPr>
        <w:ind w:left="2872" w:hanging="212"/>
      </w:pPr>
      <w:rPr>
        <w:rFonts w:hint="default"/>
        <w:lang w:val="en-US" w:eastAsia="zh-CN" w:bidi="ar-SA"/>
      </w:rPr>
    </w:lvl>
    <w:lvl w:ilvl="4">
      <w:start w:val="0"/>
      <w:numFmt w:val="bullet"/>
      <w:lvlText w:val="•"/>
      <w:lvlJc w:val="left"/>
      <w:pPr>
        <w:ind w:left="3988" w:hanging="212"/>
      </w:pPr>
      <w:rPr>
        <w:rFonts w:hint="default"/>
        <w:lang w:val="en-US" w:eastAsia="zh-CN" w:bidi="ar-SA"/>
      </w:rPr>
    </w:lvl>
    <w:lvl w:ilvl="5">
      <w:start w:val="0"/>
      <w:numFmt w:val="bullet"/>
      <w:lvlText w:val="•"/>
      <w:lvlJc w:val="left"/>
      <w:pPr>
        <w:ind w:left="5104" w:hanging="212"/>
      </w:pPr>
      <w:rPr>
        <w:rFonts w:hint="default"/>
        <w:lang w:val="en-US" w:eastAsia="zh-CN" w:bidi="ar-SA"/>
      </w:rPr>
    </w:lvl>
    <w:lvl w:ilvl="6">
      <w:start w:val="0"/>
      <w:numFmt w:val="bullet"/>
      <w:lvlText w:val="•"/>
      <w:lvlJc w:val="left"/>
      <w:pPr>
        <w:ind w:left="6221" w:hanging="212"/>
      </w:pPr>
      <w:rPr>
        <w:rFonts w:hint="default"/>
        <w:lang w:val="en-US" w:eastAsia="zh-CN" w:bidi="ar-SA"/>
      </w:rPr>
    </w:lvl>
    <w:lvl w:ilvl="7">
      <w:start w:val="0"/>
      <w:numFmt w:val="bullet"/>
      <w:lvlText w:val="•"/>
      <w:lvlJc w:val="left"/>
      <w:pPr>
        <w:ind w:left="7337" w:hanging="212"/>
      </w:pPr>
      <w:rPr>
        <w:rFonts w:hint="default"/>
        <w:lang w:val="en-US" w:eastAsia="zh-CN" w:bidi="ar-SA"/>
      </w:rPr>
    </w:lvl>
    <w:lvl w:ilvl="8">
      <w:start w:val="0"/>
      <w:numFmt w:val="bullet"/>
      <w:lvlText w:val="•"/>
      <w:lvlJc w:val="left"/>
      <w:pPr>
        <w:ind w:left="8453" w:hanging="212"/>
      </w:pPr>
      <w:rPr>
        <w:rFonts w:hint="default"/>
        <w:lang w:val="en-US" w:eastAsia="zh-CN" w:bidi="ar-SA"/>
      </w:rPr>
    </w:lvl>
  </w:abstractNum>
  <w:abstractNum w:abstractNumId="6">
    <w:nsid w:val="8C44BCB9"/>
    <w:multiLevelType w:val="multilevel"/>
    <w:tmpl w:val="8C44BCB9"/>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7">
    <w:nsid w:val="8CD9F5DD"/>
    <w:multiLevelType w:val="multilevel"/>
    <w:tmpl w:val="8CD9F5DD"/>
    <w:lvl w:ilvl="0">
      <w:start w:val="1"/>
      <w:numFmt w:val="decimal"/>
      <w:lvlText w:val="（%1）"/>
      <w:lvlJc w:val="left"/>
      <w:pPr>
        <w:ind w:left="227" w:hanging="525"/>
        <w:jc w:val="left"/>
      </w:pPr>
      <w:rPr>
        <w:rFonts w:ascii="宋体" w:eastAsia="宋体" w:hAnsi="宋体" w:cs="宋体" w:hint="default"/>
        <w:b w:val="0"/>
        <w:bCs w:val="0"/>
        <w:i w:val="0"/>
        <w:iCs w:val="0"/>
        <w:spacing w:val="-65"/>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8">
    <w:nsid w:val="8DB0B2FE"/>
    <w:multiLevelType w:val="multilevel"/>
    <w:tmpl w:val="8DB0B2FE"/>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9">
    <w:nsid w:val="8ED742EC"/>
    <w:multiLevelType w:val="multilevel"/>
    <w:tmpl w:val="8ED742EC"/>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0">
    <w:nsid w:val="8FDAB220"/>
    <w:multiLevelType w:val="multilevel"/>
    <w:tmpl w:val="8FDAB220"/>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1">
    <w:nsid w:val="93604A86"/>
    <w:multiLevelType w:val="multilevel"/>
    <w:tmpl w:val="93604A86"/>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2">
    <w:nsid w:val="942AABE5"/>
    <w:multiLevelType w:val="multilevel"/>
    <w:tmpl w:val="942AABE5"/>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3">
    <w:nsid w:val="98C1C196"/>
    <w:multiLevelType w:val="multilevel"/>
    <w:tmpl w:val="98C1C196"/>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14">
    <w:nsid w:val="993728BA"/>
    <w:multiLevelType w:val="multilevel"/>
    <w:tmpl w:val="993728B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5">
    <w:nsid w:val="9A773E2D"/>
    <w:multiLevelType w:val="multilevel"/>
    <w:tmpl w:val="9A773E2D"/>
    <w:lvl w:ilvl="0">
      <w:start w:val="1"/>
      <w:numFmt w:val="decimal"/>
      <w:lvlText w:val="%1）"/>
      <w:lvlJc w:val="left"/>
      <w:pPr>
        <w:ind w:left="423"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803" w:hanging="316"/>
      </w:pPr>
      <w:rPr>
        <w:rFonts w:hint="default"/>
        <w:lang w:val="en-US" w:eastAsia="zh-CN" w:bidi="ar-SA"/>
      </w:rPr>
    </w:lvl>
    <w:lvl w:ilvl="2">
      <w:start w:val="0"/>
      <w:numFmt w:val="bullet"/>
      <w:lvlText w:val="•"/>
      <w:lvlJc w:val="left"/>
      <w:pPr>
        <w:ind w:left="1186" w:hanging="316"/>
      </w:pPr>
      <w:rPr>
        <w:rFonts w:hint="default"/>
        <w:lang w:val="en-US" w:eastAsia="zh-CN" w:bidi="ar-SA"/>
      </w:rPr>
    </w:lvl>
    <w:lvl w:ilvl="3">
      <w:start w:val="0"/>
      <w:numFmt w:val="bullet"/>
      <w:lvlText w:val="•"/>
      <w:lvlJc w:val="left"/>
      <w:pPr>
        <w:ind w:left="1569" w:hanging="316"/>
      </w:pPr>
      <w:rPr>
        <w:rFonts w:hint="default"/>
        <w:lang w:val="en-US" w:eastAsia="zh-CN" w:bidi="ar-SA"/>
      </w:rPr>
    </w:lvl>
    <w:lvl w:ilvl="4">
      <w:start w:val="0"/>
      <w:numFmt w:val="bullet"/>
      <w:lvlText w:val="•"/>
      <w:lvlJc w:val="left"/>
      <w:pPr>
        <w:ind w:left="1952" w:hanging="316"/>
      </w:pPr>
      <w:rPr>
        <w:rFonts w:hint="default"/>
        <w:lang w:val="en-US" w:eastAsia="zh-CN" w:bidi="ar-SA"/>
      </w:rPr>
    </w:lvl>
    <w:lvl w:ilvl="5">
      <w:start w:val="0"/>
      <w:numFmt w:val="bullet"/>
      <w:lvlText w:val="•"/>
      <w:lvlJc w:val="left"/>
      <w:pPr>
        <w:ind w:left="2335" w:hanging="316"/>
      </w:pPr>
      <w:rPr>
        <w:rFonts w:hint="default"/>
        <w:lang w:val="en-US" w:eastAsia="zh-CN" w:bidi="ar-SA"/>
      </w:rPr>
    </w:lvl>
    <w:lvl w:ilvl="6">
      <w:start w:val="0"/>
      <w:numFmt w:val="bullet"/>
      <w:lvlText w:val="•"/>
      <w:lvlJc w:val="left"/>
      <w:pPr>
        <w:ind w:left="2718" w:hanging="316"/>
      </w:pPr>
      <w:rPr>
        <w:rFonts w:hint="default"/>
        <w:lang w:val="en-US" w:eastAsia="zh-CN" w:bidi="ar-SA"/>
      </w:rPr>
    </w:lvl>
    <w:lvl w:ilvl="7">
      <w:start w:val="0"/>
      <w:numFmt w:val="bullet"/>
      <w:lvlText w:val="•"/>
      <w:lvlJc w:val="left"/>
      <w:pPr>
        <w:ind w:left="3101" w:hanging="316"/>
      </w:pPr>
      <w:rPr>
        <w:rFonts w:hint="default"/>
        <w:lang w:val="en-US" w:eastAsia="zh-CN" w:bidi="ar-SA"/>
      </w:rPr>
    </w:lvl>
    <w:lvl w:ilvl="8">
      <w:start w:val="0"/>
      <w:numFmt w:val="bullet"/>
      <w:lvlText w:val="•"/>
      <w:lvlJc w:val="left"/>
      <w:pPr>
        <w:ind w:left="3484" w:hanging="316"/>
      </w:pPr>
      <w:rPr>
        <w:rFonts w:hint="default"/>
        <w:lang w:val="en-US" w:eastAsia="zh-CN" w:bidi="ar-SA"/>
      </w:rPr>
    </w:lvl>
  </w:abstractNum>
  <w:abstractNum w:abstractNumId="16">
    <w:nsid w:val="9CD3ADC2"/>
    <w:multiLevelType w:val="multilevel"/>
    <w:tmpl w:val="9CD3ADC2"/>
    <w:lvl w:ilvl="0">
      <w:start w:val="1"/>
      <w:numFmt w:val="decimal"/>
      <w:lvlText w:val="（%1）"/>
      <w:lvlJc w:val="left"/>
      <w:pPr>
        <w:ind w:left="227" w:hanging="525"/>
        <w:jc w:val="left"/>
      </w:pPr>
      <w:rPr>
        <w:rFonts w:ascii="宋体" w:eastAsia="宋体" w:hAnsi="宋体" w:cs="宋体" w:hint="default"/>
        <w:b w:val="0"/>
        <w:bCs w:val="0"/>
        <w:i w:val="0"/>
        <w:iCs w:val="0"/>
        <w:spacing w:val="-15"/>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7">
    <w:nsid w:val="9CDD5371"/>
    <w:multiLevelType w:val="multilevel"/>
    <w:tmpl w:val="9CDD5371"/>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8">
    <w:nsid w:val="A02D88D7"/>
    <w:multiLevelType w:val="multilevel"/>
    <w:tmpl w:val="A02D88D7"/>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9">
    <w:nsid w:val="A0E5C72A"/>
    <w:multiLevelType w:val="multilevel"/>
    <w:tmpl w:val="A0E5C72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20">
    <w:nsid w:val="A1E5F70E"/>
    <w:multiLevelType w:val="multilevel"/>
    <w:tmpl w:val="A1E5F70E"/>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21">
    <w:nsid w:val="A581B6AB"/>
    <w:multiLevelType w:val="multilevel"/>
    <w:tmpl w:val="A581B6AB"/>
    <w:lvl w:ilvl="0">
      <w:start w:val="1"/>
      <w:numFmt w:val="decimal"/>
      <w:lvlText w:val="（%1）"/>
      <w:lvlJc w:val="left"/>
      <w:pPr>
        <w:ind w:left="631" w:hanging="525"/>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39" w:hanging="525"/>
      </w:pPr>
      <w:rPr>
        <w:rFonts w:hint="default"/>
        <w:lang w:val="en-US" w:eastAsia="zh-CN" w:bidi="ar-SA"/>
      </w:rPr>
    </w:lvl>
    <w:lvl w:ilvl="2">
      <w:start w:val="0"/>
      <w:numFmt w:val="bullet"/>
      <w:lvlText w:val="•"/>
      <w:lvlJc w:val="left"/>
      <w:pPr>
        <w:ind w:left="2238" w:hanging="525"/>
      </w:pPr>
      <w:rPr>
        <w:rFonts w:hint="default"/>
        <w:lang w:val="en-US" w:eastAsia="zh-CN" w:bidi="ar-SA"/>
      </w:rPr>
    </w:lvl>
    <w:lvl w:ilvl="3">
      <w:start w:val="0"/>
      <w:numFmt w:val="bullet"/>
      <w:lvlText w:val="•"/>
      <w:lvlJc w:val="left"/>
      <w:pPr>
        <w:ind w:left="3037" w:hanging="525"/>
      </w:pPr>
      <w:rPr>
        <w:rFonts w:hint="default"/>
        <w:lang w:val="en-US" w:eastAsia="zh-CN" w:bidi="ar-SA"/>
      </w:rPr>
    </w:lvl>
    <w:lvl w:ilvl="4">
      <w:start w:val="0"/>
      <w:numFmt w:val="bullet"/>
      <w:lvlText w:val="•"/>
      <w:lvlJc w:val="left"/>
      <w:pPr>
        <w:ind w:left="3837" w:hanging="525"/>
      </w:pPr>
      <w:rPr>
        <w:rFonts w:hint="default"/>
        <w:lang w:val="en-US" w:eastAsia="zh-CN" w:bidi="ar-SA"/>
      </w:rPr>
    </w:lvl>
    <w:lvl w:ilvl="5">
      <w:start w:val="0"/>
      <w:numFmt w:val="bullet"/>
      <w:lvlText w:val="•"/>
      <w:lvlJc w:val="left"/>
      <w:pPr>
        <w:ind w:left="4636" w:hanging="525"/>
      </w:pPr>
      <w:rPr>
        <w:rFonts w:hint="default"/>
        <w:lang w:val="en-US" w:eastAsia="zh-CN" w:bidi="ar-SA"/>
      </w:rPr>
    </w:lvl>
    <w:lvl w:ilvl="6">
      <w:start w:val="0"/>
      <w:numFmt w:val="bullet"/>
      <w:lvlText w:val="•"/>
      <w:lvlJc w:val="left"/>
      <w:pPr>
        <w:ind w:left="5435" w:hanging="525"/>
      </w:pPr>
      <w:rPr>
        <w:rFonts w:hint="default"/>
        <w:lang w:val="en-US" w:eastAsia="zh-CN" w:bidi="ar-SA"/>
      </w:rPr>
    </w:lvl>
    <w:lvl w:ilvl="7">
      <w:start w:val="0"/>
      <w:numFmt w:val="bullet"/>
      <w:lvlText w:val="•"/>
      <w:lvlJc w:val="left"/>
      <w:pPr>
        <w:ind w:left="6235" w:hanging="525"/>
      </w:pPr>
      <w:rPr>
        <w:rFonts w:hint="default"/>
        <w:lang w:val="en-US" w:eastAsia="zh-CN" w:bidi="ar-SA"/>
      </w:rPr>
    </w:lvl>
    <w:lvl w:ilvl="8">
      <w:start w:val="0"/>
      <w:numFmt w:val="bullet"/>
      <w:lvlText w:val="•"/>
      <w:lvlJc w:val="left"/>
      <w:pPr>
        <w:ind w:left="7034" w:hanging="525"/>
      </w:pPr>
      <w:rPr>
        <w:rFonts w:hint="default"/>
        <w:lang w:val="en-US" w:eastAsia="zh-CN" w:bidi="ar-SA"/>
      </w:rPr>
    </w:lvl>
  </w:abstractNum>
  <w:abstractNum w:abstractNumId="22">
    <w:nsid w:val="A6966633"/>
    <w:multiLevelType w:val="multilevel"/>
    <w:tmpl w:val="A6966633"/>
    <w:lvl w:ilvl="0">
      <w:start w:val="1"/>
      <w:numFmt w:val="decimal"/>
      <w:lvlText w:val="%1）"/>
      <w:lvlJc w:val="left"/>
      <w:pPr>
        <w:ind w:left="227" w:hanging="316"/>
        <w:jc w:val="left"/>
      </w:pPr>
      <w:rPr>
        <w:rFonts w:ascii="宋体" w:eastAsia="宋体" w:hAnsi="宋体" w:cs="宋体" w:hint="default"/>
        <w:b w:val="0"/>
        <w:bCs w:val="0"/>
        <w:i w:val="0"/>
        <w:iCs w:val="0"/>
        <w:spacing w:val="-25"/>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23">
    <w:nsid w:val="A7DF7C18"/>
    <w:multiLevelType w:val="multilevel"/>
    <w:tmpl w:val="A7DF7C18"/>
    <w:lvl w:ilvl="0">
      <w:start w:val="1"/>
      <w:numFmt w:val="decimal"/>
      <w:lvlText w:val="（%1）"/>
      <w:lvlJc w:val="left"/>
      <w:pPr>
        <w:ind w:left="227" w:hanging="525"/>
        <w:jc w:val="left"/>
      </w:pPr>
      <w:rPr>
        <w:rFonts w:ascii="宋体" w:eastAsia="宋体" w:hAnsi="宋体" w:cs="宋体" w:hint="default"/>
        <w:b w:val="0"/>
        <w:bCs w:val="0"/>
        <w:i w:val="0"/>
        <w:iCs w:val="0"/>
        <w:spacing w:val="-22"/>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24">
    <w:nsid w:val="A9136B6B"/>
    <w:multiLevelType w:val="multilevel"/>
    <w:tmpl w:val="A9136B6B"/>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25">
    <w:nsid w:val="AB0E52DC"/>
    <w:multiLevelType w:val="multilevel"/>
    <w:tmpl w:val="AB0E52DC"/>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26">
    <w:nsid w:val="AB2E9453"/>
    <w:multiLevelType w:val="multilevel"/>
    <w:tmpl w:val="AB2E9453"/>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27">
    <w:nsid w:val="ABB77A1D"/>
    <w:multiLevelType w:val="multilevel"/>
    <w:tmpl w:val="ABB77A1D"/>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28">
    <w:nsid w:val="AE25E9AE"/>
    <w:multiLevelType w:val="multilevel"/>
    <w:tmpl w:val="AE25E9AE"/>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29">
    <w:nsid w:val="AEB678A5"/>
    <w:multiLevelType w:val="multilevel"/>
    <w:tmpl w:val="AEB678A5"/>
    <w:lvl w:ilvl="0">
      <w:start w:val="1"/>
      <w:numFmt w:val="decimal"/>
      <w:lvlText w:val="%1）"/>
      <w:lvlJc w:val="left"/>
      <w:pPr>
        <w:ind w:left="42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803" w:hanging="316"/>
      </w:pPr>
      <w:rPr>
        <w:rFonts w:hint="default"/>
        <w:lang w:val="en-US" w:eastAsia="zh-CN" w:bidi="ar-SA"/>
      </w:rPr>
    </w:lvl>
    <w:lvl w:ilvl="2">
      <w:start w:val="0"/>
      <w:numFmt w:val="bullet"/>
      <w:lvlText w:val="•"/>
      <w:lvlJc w:val="left"/>
      <w:pPr>
        <w:ind w:left="1186" w:hanging="316"/>
      </w:pPr>
      <w:rPr>
        <w:rFonts w:hint="default"/>
        <w:lang w:val="en-US" w:eastAsia="zh-CN" w:bidi="ar-SA"/>
      </w:rPr>
    </w:lvl>
    <w:lvl w:ilvl="3">
      <w:start w:val="0"/>
      <w:numFmt w:val="bullet"/>
      <w:lvlText w:val="•"/>
      <w:lvlJc w:val="left"/>
      <w:pPr>
        <w:ind w:left="1569" w:hanging="316"/>
      </w:pPr>
      <w:rPr>
        <w:rFonts w:hint="default"/>
        <w:lang w:val="en-US" w:eastAsia="zh-CN" w:bidi="ar-SA"/>
      </w:rPr>
    </w:lvl>
    <w:lvl w:ilvl="4">
      <w:start w:val="0"/>
      <w:numFmt w:val="bullet"/>
      <w:lvlText w:val="•"/>
      <w:lvlJc w:val="left"/>
      <w:pPr>
        <w:ind w:left="1952" w:hanging="316"/>
      </w:pPr>
      <w:rPr>
        <w:rFonts w:hint="default"/>
        <w:lang w:val="en-US" w:eastAsia="zh-CN" w:bidi="ar-SA"/>
      </w:rPr>
    </w:lvl>
    <w:lvl w:ilvl="5">
      <w:start w:val="0"/>
      <w:numFmt w:val="bullet"/>
      <w:lvlText w:val="•"/>
      <w:lvlJc w:val="left"/>
      <w:pPr>
        <w:ind w:left="2335" w:hanging="316"/>
      </w:pPr>
      <w:rPr>
        <w:rFonts w:hint="default"/>
        <w:lang w:val="en-US" w:eastAsia="zh-CN" w:bidi="ar-SA"/>
      </w:rPr>
    </w:lvl>
    <w:lvl w:ilvl="6">
      <w:start w:val="0"/>
      <w:numFmt w:val="bullet"/>
      <w:lvlText w:val="•"/>
      <w:lvlJc w:val="left"/>
      <w:pPr>
        <w:ind w:left="2718" w:hanging="316"/>
      </w:pPr>
      <w:rPr>
        <w:rFonts w:hint="default"/>
        <w:lang w:val="en-US" w:eastAsia="zh-CN" w:bidi="ar-SA"/>
      </w:rPr>
    </w:lvl>
    <w:lvl w:ilvl="7">
      <w:start w:val="0"/>
      <w:numFmt w:val="bullet"/>
      <w:lvlText w:val="•"/>
      <w:lvlJc w:val="left"/>
      <w:pPr>
        <w:ind w:left="3101" w:hanging="316"/>
      </w:pPr>
      <w:rPr>
        <w:rFonts w:hint="default"/>
        <w:lang w:val="en-US" w:eastAsia="zh-CN" w:bidi="ar-SA"/>
      </w:rPr>
    </w:lvl>
    <w:lvl w:ilvl="8">
      <w:start w:val="0"/>
      <w:numFmt w:val="bullet"/>
      <w:lvlText w:val="•"/>
      <w:lvlJc w:val="left"/>
      <w:pPr>
        <w:ind w:left="3484" w:hanging="316"/>
      </w:pPr>
      <w:rPr>
        <w:rFonts w:hint="default"/>
        <w:lang w:val="en-US" w:eastAsia="zh-CN" w:bidi="ar-SA"/>
      </w:rPr>
    </w:lvl>
  </w:abstractNum>
  <w:abstractNum w:abstractNumId="30">
    <w:nsid w:val="B216FAF1"/>
    <w:multiLevelType w:val="multilevel"/>
    <w:tmpl w:val="B216FAF1"/>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640" w:hanging="525"/>
      </w:pPr>
      <w:rPr>
        <w:rFonts w:hint="default"/>
        <w:lang w:val="en-US" w:eastAsia="zh-CN" w:bidi="ar-SA"/>
      </w:rPr>
    </w:lvl>
    <w:lvl w:ilvl="2">
      <w:start w:val="0"/>
      <w:numFmt w:val="bullet"/>
      <w:lvlText w:val="•"/>
      <w:lvlJc w:val="left"/>
      <w:pPr>
        <w:ind w:left="1756" w:hanging="525"/>
      </w:pPr>
      <w:rPr>
        <w:rFonts w:hint="default"/>
        <w:lang w:val="en-US" w:eastAsia="zh-CN" w:bidi="ar-SA"/>
      </w:rPr>
    </w:lvl>
    <w:lvl w:ilvl="3">
      <w:start w:val="0"/>
      <w:numFmt w:val="bullet"/>
      <w:lvlText w:val="•"/>
      <w:lvlJc w:val="left"/>
      <w:pPr>
        <w:ind w:left="2872" w:hanging="525"/>
      </w:pPr>
      <w:rPr>
        <w:rFonts w:hint="default"/>
        <w:lang w:val="en-US" w:eastAsia="zh-CN" w:bidi="ar-SA"/>
      </w:rPr>
    </w:lvl>
    <w:lvl w:ilvl="4">
      <w:start w:val="0"/>
      <w:numFmt w:val="bullet"/>
      <w:lvlText w:val="•"/>
      <w:lvlJc w:val="left"/>
      <w:pPr>
        <w:ind w:left="3988" w:hanging="525"/>
      </w:pPr>
      <w:rPr>
        <w:rFonts w:hint="default"/>
        <w:lang w:val="en-US" w:eastAsia="zh-CN" w:bidi="ar-SA"/>
      </w:rPr>
    </w:lvl>
    <w:lvl w:ilvl="5">
      <w:start w:val="0"/>
      <w:numFmt w:val="bullet"/>
      <w:lvlText w:val="•"/>
      <w:lvlJc w:val="left"/>
      <w:pPr>
        <w:ind w:left="5104" w:hanging="525"/>
      </w:pPr>
      <w:rPr>
        <w:rFonts w:hint="default"/>
        <w:lang w:val="en-US" w:eastAsia="zh-CN" w:bidi="ar-SA"/>
      </w:rPr>
    </w:lvl>
    <w:lvl w:ilvl="6">
      <w:start w:val="0"/>
      <w:numFmt w:val="bullet"/>
      <w:lvlText w:val="•"/>
      <w:lvlJc w:val="left"/>
      <w:pPr>
        <w:ind w:left="6221" w:hanging="525"/>
      </w:pPr>
      <w:rPr>
        <w:rFonts w:hint="default"/>
        <w:lang w:val="en-US" w:eastAsia="zh-CN" w:bidi="ar-SA"/>
      </w:rPr>
    </w:lvl>
    <w:lvl w:ilvl="7">
      <w:start w:val="0"/>
      <w:numFmt w:val="bullet"/>
      <w:lvlText w:val="•"/>
      <w:lvlJc w:val="left"/>
      <w:pPr>
        <w:ind w:left="7337" w:hanging="525"/>
      </w:pPr>
      <w:rPr>
        <w:rFonts w:hint="default"/>
        <w:lang w:val="en-US" w:eastAsia="zh-CN" w:bidi="ar-SA"/>
      </w:rPr>
    </w:lvl>
    <w:lvl w:ilvl="8">
      <w:start w:val="0"/>
      <w:numFmt w:val="bullet"/>
      <w:lvlText w:val="•"/>
      <w:lvlJc w:val="left"/>
      <w:pPr>
        <w:ind w:left="8453" w:hanging="525"/>
      </w:pPr>
      <w:rPr>
        <w:rFonts w:hint="default"/>
        <w:lang w:val="en-US" w:eastAsia="zh-CN" w:bidi="ar-SA"/>
      </w:rPr>
    </w:lvl>
  </w:abstractNum>
  <w:abstractNum w:abstractNumId="31">
    <w:nsid w:val="B2CB5728"/>
    <w:multiLevelType w:val="multilevel"/>
    <w:tmpl w:val="B2CB5728"/>
    <w:lvl w:ilvl="0">
      <w:start w:val="2"/>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32">
    <w:nsid w:val="B37D6883"/>
    <w:multiLevelType w:val="multilevel"/>
    <w:tmpl w:val="B37D6883"/>
    <w:lvl w:ilvl="0">
      <w:start w:val="1"/>
      <w:numFmt w:val="decimal"/>
      <w:lvlText w:val="（%1）"/>
      <w:lvlJc w:val="left"/>
      <w:pPr>
        <w:ind w:left="107" w:hanging="531"/>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841" w:hanging="531"/>
      </w:pPr>
      <w:rPr>
        <w:rFonts w:hint="default"/>
        <w:lang w:val="en-US" w:eastAsia="zh-CN" w:bidi="ar-SA"/>
      </w:rPr>
    </w:lvl>
    <w:lvl w:ilvl="2">
      <w:start w:val="0"/>
      <w:numFmt w:val="bullet"/>
      <w:lvlText w:val="•"/>
      <w:lvlJc w:val="left"/>
      <w:pPr>
        <w:ind w:left="1583" w:hanging="531"/>
      </w:pPr>
      <w:rPr>
        <w:rFonts w:hint="default"/>
        <w:lang w:val="en-US" w:eastAsia="zh-CN" w:bidi="ar-SA"/>
      </w:rPr>
    </w:lvl>
    <w:lvl w:ilvl="3">
      <w:start w:val="0"/>
      <w:numFmt w:val="bullet"/>
      <w:lvlText w:val="•"/>
      <w:lvlJc w:val="left"/>
      <w:pPr>
        <w:ind w:left="2325" w:hanging="531"/>
      </w:pPr>
      <w:rPr>
        <w:rFonts w:hint="default"/>
        <w:lang w:val="en-US" w:eastAsia="zh-CN" w:bidi="ar-SA"/>
      </w:rPr>
    </w:lvl>
    <w:lvl w:ilvl="4">
      <w:start w:val="0"/>
      <w:numFmt w:val="bullet"/>
      <w:lvlText w:val="•"/>
      <w:lvlJc w:val="left"/>
      <w:pPr>
        <w:ind w:left="3067" w:hanging="531"/>
      </w:pPr>
      <w:rPr>
        <w:rFonts w:hint="default"/>
        <w:lang w:val="en-US" w:eastAsia="zh-CN" w:bidi="ar-SA"/>
      </w:rPr>
    </w:lvl>
    <w:lvl w:ilvl="5">
      <w:start w:val="0"/>
      <w:numFmt w:val="bullet"/>
      <w:lvlText w:val="•"/>
      <w:lvlJc w:val="left"/>
      <w:pPr>
        <w:ind w:left="3809" w:hanging="531"/>
      </w:pPr>
      <w:rPr>
        <w:rFonts w:hint="default"/>
        <w:lang w:val="en-US" w:eastAsia="zh-CN" w:bidi="ar-SA"/>
      </w:rPr>
    </w:lvl>
    <w:lvl w:ilvl="6">
      <w:start w:val="0"/>
      <w:numFmt w:val="bullet"/>
      <w:lvlText w:val="•"/>
      <w:lvlJc w:val="left"/>
      <w:pPr>
        <w:ind w:left="4550" w:hanging="531"/>
      </w:pPr>
      <w:rPr>
        <w:rFonts w:hint="default"/>
        <w:lang w:val="en-US" w:eastAsia="zh-CN" w:bidi="ar-SA"/>
      </w:rPr>
    </w:lvl>
    <w:lvl w:ilvl="7">
      <w:start w:val="0"/>
      <w:numFmt w:val="bullet"/>
      <w:lvlText w:val="•"/>
      <w:lvlJc w:val="left"/>
      <w:pPr>
        <w:ind w:left="5292" w:hanging="531"/>
      </w:pPr>
      <w:rPr>
        <w:rFonts w:hint="default"/>
        <w:lang w:val="en-US" w:eastAsia="zh-CN" w:bidi="ar-SA"/>
      </w:rPr>
    </w:lvl>
    <w:lvl w:ilvl="8">
      <w:start w:val="0"/>
      <w:numFmt w:val="bullet"/>
      <w:lvlText w:val="•"/>
      <w:lvlJc w:val="left"/>
      <w:pPr>
        <w:ind w:left="6034" w:hanging="531"/>
      </w:pPr>
      <w:rPr>
        <w:rFonts w:hint="default"/>
        <w:lang w:val="en-US" w:eastAsia="zh-CN" w:bidi="ar-SA"/>
      </w:rPr>
    </w:lvl>
  </w:abstractNum>
  <w:abstractNum w:abstractNumId="33">
    <w:nsid w:val="B5701DD1"/>
    <w:multiLevelType w:val="multilevel"/>
    <w:tmpl w:val="B5701DD1"/>
    <w:lvl w:ilvl="0">
      <w:start w:val="1"/>
      <w:numFmt w:val="decimal"/>
      <w:lvlText w:val="（%1）"/>
      <w:lvlJc w:val="left"/>
      <w:pPr>
        <w:ind w:left="108" w:hanging="525"/>
        <w:jc w:val="left"/>
      </w:pPr>
      <w:rPr>
        <w:rFonts w:ascii="宋体" w:eastAsia="宋体" w:hAnsi="宋体" w:cs="宋体" w:hint="default"/>
        <w:b w:val="0"/>
        <w:bCs w:val="0"/>
        <w:i w:val="0"/>
        <w:iCs w:val="0"/>
        <w:spacing w:val="-5"/>
        <w:w w:val="99"/>
        <w:sz w:val="19"/>
        <w:szCs w:val="19"/>
        <w:lang w:val="en-US" w:eastAsia="zh-CN" w:bidi="ar-SA"/>
      </w:rPr>
    </w:lvl>
    <w:lvl w:ilvl="1">
      <w:start w:val="0"/>
      <w:numFmt w:val="bullet"/>
      <w:lvlText w:val="•"/>
      <w:lvlJc w:val="left"/>
      <w:pPr>
        <w:ind w:left="456" w:hanging="525"/>
      </w:pPr>
      <w:rPr>
        <w:rFonts w:hint="default"/>
        <w:lang w:val="en-US" w:eastAsia="zh-CN" w:bidi="ar-SA"/>
      </w:rPr>
    </w:lvl>
    <w:lvl w:ilvl="2">
      <w:start w:val="0"/>
      <w:numFmt w:val="bullet"/>
      <w:lvlText w:val="•"/>
      <w:lvlJc w:val="left"/>
      <w:pPr>
        <w:ind w:left="812" w:hanging="525"/>
      </w:pPr>
      <w:rPr>
        <w:rFonts w:hint="default"/>
        <w:lang w:val="en-US" w:eastAsia="zh-CN" w:bidi="ar-SA"/>
      </w:rPr>
    </w:lvl>
    <w:lvl w:ilvl="3">
      <w:start w:val="0"/>
      <w:numFmt w:val="bullet"/>
      <w:lvlText w:val="•"/>
      <w:lvlJc w:val="left"/>
      <w:pPr>
        <w:ind w:left="1168" w:hanging="525"/>
      </w:pPr>
      <w:rPr>
        <w:rFonts w:hint="default"/>
        <w:lang w:val="en-US" w:eastAsia="zh-CN" w:bidi="ar-SA"/>
      </w:rPr>
    </w:lvl>
    <w:lvl w:ilvl="4">
      <w:start w:val="0"/>
      <w:numFmt w:val="bullet"/>
      <w:lvlText w:val="•"/>
      <w:lvlJc w:val="left"/>
      <w:pPr>
        <w:ind w:left="1524" w:hanging="525"/>
      </w:pPr>
      <w:rPr>
        <w:rFonts w:hint="default"/>
        <w:lang w:val="en-US" w:eastAsia="zh-CN" w:bidi="ar-SA"/>
      </w:rPr>
    </w:lvl>
    <w:lvl w:ilvl="5">
      <w:start w:val="0"/>
      <w:numFmt w:val="bullet"/>
      <w:lvlText w:val="•"/>
      <w:lvlJc w:val="left"/>
      <w:pPr>
        <w:ind w:left="1880" w:hanging="525"/>
      </w:pPr>
      <w:rPr>
        <w:rFonts w:hint="default"/>
        <w:lang w:val="en-US" w:eastAsia="zh-CN" w:bidi="ar-SA"/>
      </w:rPr>
    </w:lvl>
    <w:lvl w:ilvl="6">
      <w:start w:val="0"/>
      <w:numFmt w:val="bullet"/>
      <w:lvlText w:val="•"/>
      <w:lvlJc w:val="left"/>
      <w:pPr>
        <w:ind w:left="2236" w:hanging="525"/>
      </w:pPr>
      <w:rPr>
        <w:rFonts w:hint="default"/>
        <w:lang w:val="en-US" w:eastAsia="zh-CN" w:bidi="ar-SA"/>
      </w:rPr>
    </w:lvl>
    <w:lvl w:ilvl="7">
      <w:start w:val="0"/>
      <w:numFmt w:val="bullet"/>
      <w:lvlText w:val="•"/>
      <w:lvlJc w:val="left"/>
      <w:pPr>
        <w:ind w:left="2592" w:hanging="525"/>
      </w:pPr>
      <w:rPr>
        <w:rFonts w:hint="default"/>
        <w:lang w:val="en-US" w:eastAsia="zh-CN" w:bidi="ar-SA"/>
      </w:rPr>
    </w:lvl>
    <w:lvl w:ilvl="8">
      <w:start w:val="0"/>
      <w:numFmt w:val="bullet"/>
      <w:lvlText w:val="•"/>
      <w:lvlJc w:val="left"/>
      <w:pPr>
        <w:ind w:left="2948" w:hanging="525"/>
      </w:pPr>
      <w:rPr>
        <w:rFonts w:hint="default"/>
        <w:lang w:val="en-US" w:eastAsia="zh-CN" w:bidi="ar-SA"/>
      </w:rPr>
    </w:lvl>
  </w:abstractNum>
  <w:abstractNum w:abstractNumId="34">
    <w:nsid w:val="B64EAD00"/>
    <w:multiLevelType w:val="multilevel"/>
    <w:tmpl w:val="B64EAD00"/>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35">
    <w:nsid w:val="B77FA8F1"/>
    <w:multiLevelType w:val="multilevel"/>
    <w:tmpl w:val="B77FA8F1"/>
    <w:lvl w:ilvl="0">
      <w:start w:val="4"/>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36">
    <w:nsid w:val="B9276A52"/>
    <w:multiLevelType w:val="multilevel"/>
    <w:tmpl w:val="B9276A52"/>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37">
    <w:nsid w:val="BB264DCB"/>
    <w:multiLevelType w:val="multilevel"/>
    <w:tmpl w:val="BB264DCB"/>
    <w:lvl w:ilvl="0">
      <w:start w:val="1"/>
      <w:numFmt w:val="decimal"/>
      <w:lvlText w:val="%1）"/>
      <w:lvlJc w:val="left"/>
      <w:pPr>
        <w:ind w:left="227" w:hanging="316"/>
        <w:jc w:val="left"/>
      </w:pPr>
      <w:rPr>
        <w:rFonts w:ascii="宋体" w:eastAsia="宋体" w:hAnsi="宋体" w:cs="宋体" w:hint="default"/>
        <w:b w:val="0"/>
        <w:bCs w:val="0"/>
        <w:i w:val="0"/>
        <w:iCs w:val="0"/>
        <w:spacing w:val="-32"/>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38">
    <w:nsid w:val="BB6DFD32"/>
    <w:multiLevelType w:val="multilevel"/>
    <w:tmpl w:val="BB6DFD32"/>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39">
    <w:nsid w:val="BC7B78D9"/>
    <w:multiLevelType w:val="multilevel"/>
    <w:tmpl w:val="BC7B78D9"/>
    <w:lvl w:ilvl="0">
      <w:start w:val="1"/>
      <w:numFmt w:val="decimal"/>
      <w:lvlText w:val="%1）"/>
      <w:lvlJc w:val="left"/>
      <w:pPr>
        <w:ind w:left="542" w:hanging="316"/>
        <w:jc w:val="left"/>
      </w:pPr>
      <w:rPr>
        <w:rFonts w:ascii="宋体" w:eastAsia="宋体" w:hAnsi="宋体" w:cs="宋体" w:hint="default"/>
        <w:b w:val="0"/>
        <w:bCs w:val="0"/>
        <w:i w:val="0"/>
        <w:iCs w:val="0"/>
        <w:spacing w:val="-32"/>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40">
    <w:nsid w:val="BD46AEF4"/>
    <w:multiLevelType w:val="multilevel"/>
    <w:tmpl w:val="BD46AEF4"/>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41">
    <w:nsid w:val="BD6A14E8"/>
    <w:multiLevelType w:val="multilevel"/>
    <w:tmpl w:val="BD6A14E8"/>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42">
    <w:nsid w:val="BF35F2C0"/>
    <w:multiLevelType w:val="multilevel"/>
    <w:tmpl w:val="BF35F2C0"/>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43">
    <w:nsid w:val="C038483D"/>
    <w:multiLevelType w:val="multilevel"/>
    <w:tmpl w:val="C038483D"/>
    <w:lvl w:ilvl="0">
      <w:start w:val="1"/>
      <w:numFmt w:val="decimal"/>
      <w:lvlText w:val="（%1）"/>
      <w:lvlJc w:val="left"/>
      <w:pPr>
        <w:ind w:left="227" w:hanging="525"/>
        <w:jc w:val="left"/>
      </w:pPr>
      <w:rPr>
        <w:rFonts w:ascii="宋体" w:eastAsia="宋体" w:hAnsi="宋体" w:cs="宋体" w:hint="default"/>
        <w:b w:val="0"/>
        <w:bCs w:val="0"/>
        <w:i w:val="0"/>
        <w:iCs w:val="0"/>
        <w:spacing w:val="-17"/>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44">
    <w:nsid w:val="C0857044"/>
    <w:multiLevelType w:val="multilevel"/>
    <w:tmpl w:val="C0857044"/>
    <w:lvl w:ilvl="0">
      <w:start w:val="3"/>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45">
    <w:nsid w:val="C0D8C7AF"/>
    <w:multiLevelType w:val="multilevel"/>
    <w:tmpl w:val="C0D8C7AF"/>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46">
    <w:nsid w:val="C18B2A64"/>
    <w:multiLevelType w:val="multilevel"/>
    <w:tmpl w:val="C18B2A64"/>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47">
    <w:nsid w:val="C1AF2395"/>
    <w:multiLevelType w:val="multilevel"/>
    <w:tmpl w:val="C1AF2395"/>
    <w:lvl w:ilvl="0">
      <w:start w:val="1"/>
      <w:numFmt w:val="decimal"/>
      <w:lvlText w:val="（%1）"/>
      <w:lvlJc w:val="left"/>
      <w:pPr>
        <w:ind w:left="751" w:hanging="525"/>
        <w:jc w:val="left"/>
      </w:pPr>
      <w:rPr>
        <w:rFonts w:ascii="宋体" w:eastAsia="宋体" w:hAnsi="宋体" w:cs="宋体" w:hint="default"/>
        <w:b w:val="0"/>
        <w:bCs w:val="0"/>
        <w:i w:val="0"/>
        <w:iCs w:val="0"/>
        <w:spacing w:val="-65"/>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48">
    <w:nsid w:val="C1D0D3DC"/>
    <w:multiLevelType w:val="multilevel"/>
    <w:tmpl w:val="C1D0D3DC"/>
    <w:lvl w:ilvl="0">
      <w:start w:val="3"/>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2"/>
      <w:numFmt w:val="upperLetter"/>
      <w:lvlText w:val="%2."/>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951" w:hanging="212"/>
      </w:pPr>
      <w:rPr>
        <w:rFonts w:hint="default"/>
        <w:lang w:val="en-US" w:eastAsia="zh-CN" w:bidi="ar-SA"/>
      </w:rPr>
    </w:lvl>
    <w:lvl w:ilvl="3">
      <w:start w:val="0"/>
      <w:numFmt w:val="bullet"/>
      <w:lvlText w:val="•"/>
      <w:lvlJc w:val="left"/>
      <w:pPr>
        <w:ind w:left="3043" w:hanging="212"/>
      </w:pPr>
      <w:rPr>
        <w:rFonts w:hint="default"/>
        <w:lang w:val="en-US" w:eastAsia="zh-CN" w:bidi="ar-SA"/>
      </w:rPr>
    </w:lvl>
    <w:lvl w:ilvl="4">
      <w:start w:val="0"/>
      <w:numFmt w:val="bullet"/>
      <w:lvlText w:val="•"/>
      <w:lvlJc w:val="left"/>
      <w:pPr>
        <w:ind w:left="4135" w:hanging="212"/>
      </w:pPr>
      <w:rPr>
        <w:rFonts w:hint="default"/>
        <w:lang w:val="en-US" w:eastAsia="zh-CN" w:bidi="ar-SA"/>
      </w:rPr>
    </w:lvl>
    <w:lvl w:ilvl="5">
      <w:start w:val="0"/>
      <w:numFmt w:val="bullet"/>
      <w:lvlText w:val="•"/>
      <w:lvlJc w:val="left"/>
      <w:pPr>
        <w:ind w:left="5227" w:hanging="212"/>
      </w:pPr>
      <w:rPr>
        <w:rFonts w:hint="default"/>
        <w:lang w:val="en-US" w:eastAsia="zh-CN" w:bidi="ar-SA"/>
      </w:rPr>
    </w:lvl>
    <w:lvl w:ilvl="6">
      <w:start w:val="0"/>
      <w:numFmt w:val="bullet"/>
      <w:lvlText w:val="•"/>
      <w:lvlJc w:val="left"/>
      <w:pPr>
        <w:ind w:left="6318" w:hanging="212"/>
      </w:pPr>
      <w:rPr>
        <w:rFonts w:hint="default"/>
        <w:lang w:val="en-US" w:eastAsia="zh-CN" w:bidi="ar-SA"/>
      </w:rPr>
    </w:lvl>
    <w:lvl w:ilvl="7">
      <w:start w:val="0"/>
      <w:numFmt w:val="bullet"/>
      <w:lvlText w:val="•"/>
      <w:lvlJc w:val="left"/>
      <w:pPr>
        <w:ind w:left="7410" w:hanging="212"/>
      </w:pPr>
      <w:rPr>
        <w:rFonts w:hint="default"/>
        <w:lang w:val="en-US" w:eastAsia="zh-CN" w:bidi="ar-SA"/>
      </w:rPr>
    </w:lvl>
    <w:lvl w:ilvl="8">
      <w:start w:val="0"/>
      <w:numFmt w:val="bullet"/>
      <w:lvlText w:val="•"/>
      <w:lvlJc w:val="left"/>
      <w:pPr>
        <w:ind w:left="8502" w:hanging="212"/>
      </w:pPr>
      <w:rPr>
        <w:rFonts w:hint="default"/>
        <w:lang w:val="en-US" w:eastAsia="zh-CN" w:bidi="ar-SA"/>
      </w:rPr>
    </w:lvl>
  </w:abstractNum>
  <w:abstractNum w:abstractNumId="49">
    <w:nsid w:val="C1F8C497"/>
    <w:multiLevelType w:val="multilevel"/>
    <w:tmpl w:val="C1F8C497"/>
    <w:lvl w:ilvl="0">
      <w:start w:val="3"/>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50">
    <w:nsid w:val="C37F0D2B"/>
    <w:multiLevelType w:val="multilevel"/>
    <w:tmpl w:val="C37F0D2B"/>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51">
    <w:nsid w:val="C3A60B99"/>
    <w:multiLevelType w:val="multilevel"/>
    <w:tmpl w:val="C3A60B99"/>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52">
    <w:nsid w:val="C5ADFEAE"/>
    <w:multiLevelType w:val="multilevel"/>
    <w:tmpl w:val="C5ADFEAE"/>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53">
    <w:nsid w:val="C8DD3975"/>
    <w:multiLevelType w:val="multilevel"/>
    <w:tmpl w:val="C8DD3975"/>
    <w:lvl w:ilvl="0">
      <w:start w:val="9"/>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1"/>
      <w:numFmt w:val="upperLetter"/>
      <w:lvlText w:val="%2."/>
      <w:lvlJc w:val="left"/>
      <w:pPr>
        <w:ind w:left="647"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756" w:hanging="212"/>
      </w:pPr>
      <w:rPr>
        <w:rFonts w:hint="default"/>
        <w:lang w:val="en-US" w:eastAsia="zh-CN" w:bidi="ar-SA"/>
      </w:rPr>
    </w:lvl>
    <w:lvl w:ilvl="3">
      <w:start w:val="0"/>
      <w:numFmt w:val="bullet"/>
      <w:lvlText w:val="•"/>
      <w:lvlJc w:val="left"/>
      <w:pPr>
        <w:ind w:left="2872" w:hanging="212"/>
      </w:pPr>
      <w:rPr>
        <w:rFonts w:hint="default"/>
        <w:lang w:val="en-US" w:eastAsia="zh-CN" w:bidi="ar-SA"/>
      </w:rPr>
    </w:lvl>
    <w:lvl w:ilvl="4">
      <w:start w:val="0"/>
      <w:numFmt w:val="bullet"/>
      <w:lvlText w:val="•"/>
      <w:lvlJc w:val="left"/>
      <w:pPr>
        <w:ind w:left="3988" w:hanging="212"/>
      </w:pPr>
      <w:rPr>
        <w:rFonts w:hint="default"/>
        <w:lang w:val="en-US" w:eastAsia="zh-CN" w:bidi="ar-SA"/>
      </w:rPr>
    </w:lvl>
    <w:lvl w:ilvl="5">
      <w:start w:val="0"/>
      <w:numFmt w:val="bullet"/>
      <w:lvlText w:val="•"/>
      <w:lvlJc w:val="left"/>
      <w:pPr>
        <w:ind w:left="5104" w:hanging="212"/>
      </w:pPr>
      <w:rPr>
        <w:rFonts w:hint="default"/>
        <w:lang w:val="en-US" w:eastAsia="zh-CN" w:bidi="ar-SA"/>
      </w:rPr>
    </w:lvl>
    <w:lvl w:ilvl="6">
      <w:start w:val="0"/>
      <w:numFmt w:val="bullet"/>
      <w:lvlText w:val="•"/>
      <w:lvlJc w:val="left"/>
      <w:pPr>
        <w:ind w:left="6221" w:hanging="212"/>
      </w:pPr>
      <w:rPr>
        <w:rFonts w:hint="default"/>
        <w:lang w:val="en-US" w:eastAsia="zh-CN" w:bidi="ar-SA"/>
      </w:rPr>
    </w:lvl>
    <w:lvl w:ilvl="7">
      <w:start w:val="0"/>
      <w:numFmt w:val="bullet"/>
      <w:lvlText w:val="•"/>
      <w:lvlJc w:val="left"/>
      <w:pPr>
        <w:ind w:left="7337" w:hanging="212"/>
      </w:pPr>
      <w:rPr>
        <w:rFonts w:hint="default"/>
        <w:lang w:val="en-US" w:eastAsia="zh-CN" w:bidi="ar-SA"/>
      </w:rPr>
    </w:lvl>
    <w:lvl w:ilvl="8">
      <w:start w:val="0"/>
      <w:numFmt w:val="bullet"/>
      <w:lvlText w:val="•"/>
      <w:lvlJc w:val="left"/>
      <w:pPr>
        <w:ind w:left="8453" w:hanging="212"/>
      </w:pPr>
      <w:rPr>
        <w:rFonts w:hint="default"/>
        <w:lang w:val="en-US" w:eastAsia="zh-CN" w:bidi="ar-SA"/>
      </w:rPr>
    </w:lvl>
  </w:abstractNum>
  <w:abstractNum w:abstractNumId="54">
    <w:nsid w:val="CB45ABA1"/>
    <w:multiLevelType w:val="multilevel"/>
    <w:tmpl w:val="CB45ABA1"/>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55">
    <w:nsid w:val="CD1B39CC"/>
    <w:multiLevelType w:val="multilevel"/>
    <w:tmpl w:val="CD1B39CC"/>
    <w:lvl w:ilvl="0">
      <w:start w:val="1"/>
      <w:numFmt w:val="decimal"/>
      <w:lvlText w:val="%1）"/>
      <w:lvlJc w:val="left"/>
      <w:pPr>
        <w:ind w:left="227" w:hanging="316"/>
        <w:jc w:val="left"/>
      </w:pPr>
      <w:rPr>
        <w:rFonts w:ascii="宋体" w:eastAsia="宋体" w:hAnsi="宋体" w:cs="宋体" w:hint="default"/>
        <w:b w:val="0"/>
        <w:bCs w:val="0"/>
        <w:i w:val="0"/>
        <w:iCs w:val="0"/>
        <w:spacing w:val="-32"/>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56">
    <w:nsid w:val="D0A2D8CB"/>
    <w:multiLevelType w:val="multilevel"/>
    <w:tmpl w:val="D0A2D8CB"/>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1"/>
      <w:numFmt w:val="upperLetter"/>
      <w:lvlText w:val="%2."/>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951" w:hanging="212"/>
      </w:pPr>
      <w:rPr>
        <w:rFonts w:hint="default"/>
        <w:lang w:val="en-US" w:eastAsia="zh-CN" w:bidi="ar-SA"/>
      </w:rPr>
    </w:lvl>
    <w:lvl w:ilvl="3">
      <w:start w:val="0"/>
      <w:numFmt w:val="bullet"/>
      <w:lvlText w:val="•"/>
      <w:lvlJc w:val="left"/>
      <w:pPr>
        <w:ind w:left="3043" w:hanging="212"/>
      </w:pPr>
      <w:rPr>
        <w:rFonts w:hint="default"/>
        <w:lang w:val="en-US" w:eastAsia="zh-CN" w:bidi="ar-SA"/>
      </w:rPr>
    </w:lvl>
    <w:lvl w:ilvl="4">
      <w:start w:val="0"/>
      <w:numFmt w:val="bullet"/>
      <w:lvlText w:val="•"/>
      <w:lvlJc w:val="left"/>
      <w:pPr>
        <w:ind w:left="4135" w:hanging="212"/>
      </w:pPr>
      <w:rPr>
        <w:rFonts w:hint="default"/>
        <w:lang w:val="en-US" w:eastAsia="zh-CN" w:bidi="ar-SA"/>
      </w:rPr>
    </w:lvl>
    <w:lvl w:ilvl="5">
      <w:start w:val="0"/>
      <w:numFmt w:val="bullet"/>
      <w:lvlText w:val="•"/>
      <w:lvlJc w:val="left"/>
      <w:pPr>
        <w:ind w:left="5227" w:hanging="212"/>
      </w:pPr>
      <w:rPr>
        <w:rFonts w:hint="default"/>
        <w:lang w:val="en-US" w:eastAsia="zh-CN" w:bidi="ar-SA"/>
      </w:rPr>
    </w:lvl>
    <w:lvl w:ilvl="6">
      <w:start w:val="0"/>
      <w:numFmt w:val="bullet"/>
      <w:lvlText w:val="•"/>
      <w:lvlJc w:val="left"/>
      <w:pPr>
        <w:ind w:left="6318" w:hanging="212"/>
      </w:pPr>
      <w:rPr>
        <w:rFonts w:hint="default"/>
        <w:lang w:val="en-US" w:eastAsia="zh-CN" w:bidi="ar-SA"/>
      </w:rPr>
    </w:lvl>
    <w:lvl w:ilvl="7">
      <w:start w:val="0"/>
      <w:numFmt w:val="bullet"/>
      <w:lvlText w:val="•"/>
      <w:lvlJc w:val="left"/>
      <w:pPr>
        <w:ind w:left="7410" w:hanging="212"/>
      </w:pPr>
      <w:rPr>
        <w:rFonts w:hint="default"/>
        <w:lang w:val="en-US" w:eastAsia="zh-CN" w:bidi="ar-SA"/>
      </w:rPr>
    </w:lvl>
    <w:lvl w:ilvl="8">
      <w:start w:val="0"/>
      <w:numFmt w:val="bullet"/>
      <w:lvlText w:val="•"/>
      <w:lvlJc w:val="left"/>
      <w:pPr>
        <w:ind w:left="8502" w:hanging="212"/>
      </w:pPr>
      <w:rPr>
        <w:rFonts w:hint="default"/>
        <w:lang w:val="en-US" w:eastAsia="zh-CN" w:bidi="ar-SA"/>
      </w:rPr>
    </w:lvl>
  </w:abstractNum>
  <w:abstractNum w:abstractNumId="57">
    <w:nsid w:val="D14D3FF1"/>
    <w:multiLevelType w:val="multilevel"/>
    <w:tmpl w:val="D14D3FF1"/>
    <w:lvl w:ilvl="0">
      <w:start w:val="1"/>
      <w:numFmt w:val="decimal"/>
      <w:lvlText w:val="（%1）"/>
      <w:lvlJc w:val="left"/>
      <w:pPr>
        <w:ind w:left="631" w:hanging="525"/>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39" w:hanging="525"/>
      </w:pPr>
      <w:rPr>
        <w:rFonts w:hint="default"/>
        <w:lang w:val="en-US" w:eastAsia="zh-CN" w:bidi="ar-SA"/>
      </w:rPr>
    </w:lvl>
    <w:lvl w:ilvl="2">
      <w:start w:val="0"/>
      <w:numFmt w:val="bullet"/>
      <w:lvlText w:val="•"/>
      <w:lvlJc w:val="left"/>
      <w:pPr>
        <w:ind w:left="2238" w:hanging="525"/>
      </w:pPr>
      <w:rPr>
        <w:rFonts w:hint="default"/>
        <w:lang w:val="en-US" w:eastAsia="zh-CN" w:bidi="ar-SA"/>
      </w:rPr>
    </w:lvl>
    <w:lvl w:ilvl="3">
      <w:start w:val="0"/>
      <w:numFmt w:val="bullet"/>
      <w:lvlText w:val="•"/>
      <w:lvlJc w:val="left"/>
      <w:pPr>
        <w:ind w:left="3037" w:hanging="525"/>
      </w:pPr>
      <w:rPr>
        <w:rFonts w:hint="default"/>
        <w:lang w:val="en-US" w:eastAsia="zh-CN" w:bidi="ar-SA"/>
      </w:rPr>
    </w:lvl>
    <w:lvl w:ilvl="4">
      <w:start w:val="0"/>
      <w:numFmt w:val="bullet"/>
      <w:lvlText w:val="•"/>
      <w:lvlJc w:val="left"/>
      <w:pPr>
        <w:ind w:left="3837" w:hanging="525"/>
      </w:pPr>
      <w:rPr>
        <w:rFonts w:hint="default"/>
        <w:lang w:val="en-US" w:eastAsia="zh-CN" w:bidi="ar-SA"/>
      </w:rPr>
    </w:lvl>
    <w:lvl w:ilvl="5">
      <w:start w:val="0"/>
      <w:numFmt w:val="bullet"/>
      <w:lvlText w:val="•"/>
      <w:lvlJc w:val="left"/>
      <w:pPr>
        <w:ind w:left="4636" w:hanging="525"/>
      </w:pPr>
      <w:rPr>
        <w:rFonts w:hint="default"/>
        <w:lang w:val="en-US" w:eastAsia="zh-CN" w:bidi="ar-SA"/>
      </w:rPr>
    </w:lvl>
    <w:lvl w:ilvl="6">
      <w:start w:val="0"/>
      <w:numFmt w:val="bullet"/>
      <w:lvlText w:val="•"/>
      <w:lvlJc w:val="left"/>
      <w:pPr>
        <w:ind w:left="5435" w:hanging="525"/>
      </w:pPr>
      <w:rPr>
        <w:rFonts w:hint="default"/>
        <w:lang w:val="en-US" w:eastAsia="zh-CN" w:bidi="ar-SA"/>
      </w:rPr>
    </w:lvl>
    <w:lvl w:ilvl="7">
      <w:start w:val="0"/>
      <w:numFmt w:val="bullet"/>
      <w:lvlText w:val="•"/>
      <w:lvlJc w:val="left"/>
      <w:pPr>
        <w:ind w:left="6235" w:hanging="525"/>
      </w:pPr>
      <w:rPr>
        <w:rFonts w:hint="default"/>
        <w:lang w:val="en-US" w:eastAsia="zh-CN" w:bidi="ar-SA"/>
      </w:rPr>
    </w:lvl>
    <w:lvl w:ilvl="8">
      <w:start w:val="0"/>
      <w:numFmt w:val="bullet"/>
      <w:lvlText w:val="•"/>
      <w:lvlJc w:val="left"/>
      <w:pPr>
        <w:ind w:left="7034" w:hanging="525"/>
      </w:pPr>
      <w:rPr>
        <w:rFonts w:hint="default"/>
        <w:lang w:val="en-US" w:eastAsia="zh-CN" w:bidi="ar-SA"/>
      </w:rPr>
    </w:lvl>
  </w:abstractNum>
  <w:abstractNum w:abstractNumId="58">
    <w:nsid w:val="D27F840B"/>
    <w:multiLevelType w:val="multilevel"/>
    <w:tmpl w:val="D27F840B"/>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59">
    <w:nsid w:val="D2FB79C3"/>
    <w:multiLevelType w:val="multilevel"/>
    <w:tmpl w:val="D2FB79C3"/>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60">
    <w:nsid w:val="D595572F"/>
    <w:multiLevelType w:val="multilevel"/>
    <w:tmpl w:val="D595572F"/>
    <w:lvl w:ilvl="0">
      <w:start w:val="1"/>
      <w:numFmt w:val="decimal"/>
      <w:lvlText w:val="（%1）"/>
      <w:lvlJc w:val="left"/>
      <w:pPr>
        <w:ind w:left="108" w:hanging="525"/>
        <w:jc w:val="left"/>
      </w:pPr>
      <w:rPr>
        <w:rFonts w:ascii="宋体" w:eastAsia="宋体" w:hAnsi="宋体" w:cs="宋体" w:hint="default"/>
        <w:b w:val="0"/>
        <w:bCs w:val="0"/>
        <w:i w:val="0"/>
        <w:iCs w:val="0"/>
        <w:spacing w:val="-5"/>
        <w:w w:val="99"/>
        <w:sz w:val="19"/>
        <w:szCs w:val="19"/>
        <w:lang w:val="en-US" w:eastAsia="zh-CN" w:bidi="ar-SA"/>
      </w:rPr>
    </w:lvl>
    <w:lvl w:ilvl="1">
      <w:start w:val="0"/>
      <w:numFmt w:val="bullet"/>
      <w:lvlText w:val="•"/>
      <w:lvlJc w:val="left"/>
      <w:pPr>
        <w:ind w:left="456" w:hanging="525"/>
      </w:pPr>
      <w:rPr>
        <w:rFonts w:hint="default"/>
        <w:lang w:val="en-US" w:eastAsia="zh-CN" w:bidi="ar-SA"/>
      </w:rPr>
    </w:lvl>
    <w:lvl w:ilvl="2">
      <w:start w:val="0"/>
      <w:numFmt w:val="bullet"/>
      <w:lvlText w:val="•"/>
      <w:lvlJc w:val="left"/>
      <w:pPr>
        <w:ind w:left="812" w:hanging="525"/>
      </w:pPr>
      <w:rPr>
        <w:rFonts w:hint="default"/>
        <w:lang w:val="en-US" w:eastAsia="zh-CN" w:bidi="ar-SA"/>
      </w:rPr>
    </w:lvl>
    <w:lvl w:ilvl="3">
      <w:start w:val="0"/>
      <w:numFmt w:val="bullet"/>
      <w:lvlText w:val="•"/>
      <w:lvlJc w:val="left"/>
      <w:pPr>
        <w:ind w:left="1168" w:hanging="525"/>
      </w:pPr>
      <w:rPr>
        <w:rFonts w:hint="default"/>
        <w:lang w:val="en-US" w:eastAsia="zh-CN" w:bidi="ar-SA"/>
      </w:rPr>
    </w:lvl>
    <w:lvl w:ilvl="4">
      <w:start w:val="0"/>
      <w:numFmt w:val="bullet"/>
      <w:lvlText w:val="•"/>
      <w:lvlJc w:val="left"/>
      <w:pPr>
        <w:ind w:left="1524" w:hanging="525"/>
      </w:pPr>
      <w:rPr>
        <w:rFonts w:hint="default"/>
        <w:lang w:val="en-US" w:eastAsia="zh-CN" w:bidi="ar-SA"/>
      </w:rPr>
    </w:lvl>
    <w:lvl w:ilvl="5">
      <w:start w:val="0"/>
      <w:numFmt w:val="bullet"/>
      <w:lvlText w:val="•"/>
      <w:lvlJc w:val="left"/>
      <w:pPr>
        <w:ind w:left="1880" w:hanging="525"/>
      </w:pPr>
      <w:rPr>
        <w:rFonts w:hint="default"/>
        <w:lang w:val="en-US" w:eastAsia="zh-CN" w:bidi="ar-SA"/>
      </w:rPr>
    </w:lvl>
    <w:lvl w:ilvl="6">
      <w:start w:val="0"/>
      <w:numFmt w:val="bullet"/>
      <w:lvlText w:val="•"/>
      <w:lvlJc w:val="left"/>
      <w:pPr>
        <w:ind w:left="2236" w:hanging="525"/>
      </w:pPr>
      <w:rPr>
        <w:rFonts w:hint="default"/>
        <w:lang w:val="en-US" w:eastAsia="zh-CN" w:bidi="ar-SA"/>
      </w:rPr>
    </w:lvl>
    <w:lvl w:ilvl="7">
      <w:start w:val="0"/>
      <w:numFmt w:val="bullet"/>
      <w:lvlText w:val="•"/>
      <w:lvlJc w:val="left"/>
      <w:pPr>
        <w:ind w:left="2592" w:hanging="525"/>
      </w:pPr>
      <w:rPr>
        <w:rFonts w:hint="default"/>
        <w:lang w:val="en-US" w:eastAsia="zh-CN" w:bidi="ar-SA"/>
      </w:rPr>
    </w:lvl>
    <w:lvl w:ilvl="8">
      <w:start w:val="0"/>
      <w:numFmt w:val="bullet"/>
      <w:lvlText w:val="•"/>
      <w:lvlJc w:val="left"/>
      <w:pPr>
        <w:ind w:left="2948" w:hanging="525"/>
      </w:pPr>
      <w:rPr>
        <w:rFonts w:hint="default"/>
        <w:lang w:val="en-US" w:eastAsia="zh-CN" w:bidi="ar-SA"/>
      </w:rPr>
    </w:lvl>
  </w:abstractNum>
  <w:abstractNum w:abstractNumId="61">
    <w:nsid w:val="DB2ACBCE"/>
    <w:multiLevelType w:val="multilevel"/>
    <w:tmpl w:val="DB2ACBCE"/>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62">
    <w:nsid w:val="DE6D3B5D"/>
    <w:multiLevelType w:val="multilevel"/>
    <w:tmpl w:val="DE6D3B5D"/>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63">
    <w:nsid w:val="DF48F1D4"/>
    <w:multiLevelType w:val="multilevel"/>
    <w:tmpl w:val="DF48F1D4"/>
    <w:lvl w:ilvl="0">
      <w:start w:val="2"/>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64">
    <w:nsid w:val="E38D2F49"/>
    <w:multiLevelType w:val="multilevel"/>
    <w:tmpl w:val="E38D2F49"/>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65">
    <w:nsid w:val="E4A1C207"/>
    <w:multiLevelType w:val="multilevel"/>
    <w:tmpl w:val="E4A1C207"/>
    <w:lvl w:ilvl="0">
      <w:start w:val="1"/>
      <w:numFmt w:val="decimal"/>
      <w:lvlText w:val="（%1）"/>
      <w:lvlJc w:val="left"/>
      <w:pPr>
        <w:ind w:left="227"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66">
    <w:nsid w:val="E4AF1865"/>
    <w:multiLevelType w:val="multilevel"/>
    <w:tmpl w:val="E4AF1865"/>
    <w:lvl w:ilvl="0">
      <w:start w:val="1"/>
      <w:numFmt w:val="decimal"/>
      <w:lvlText w:val="（%1）"/>
      <w:lvlJc w:val="left"/>
      <w:pPr>
        <w:ind w:left="227" w:hanging="525"/>
        <w:jc w:val="left"/>
      </w:pPr>
      <w:rPr>
        <w:rFonts w:ascii="宋体" w:eastAsia="宋体" w:hAnsi="宋体" w:cs="宋体" w:hint="default"/>
        <w:b w:val="0"/>
        <w:bCs w:val="0"/>
        <w:i w:val="0"/>
        <w:iCs w:val="0"/>
        <w:spacing w:val="-17"/>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67">
    <w:nsid w:val="E58E9E57"/>
    <w:multiLevelType w:val="multilevel"/>
    <w:tmpl w:val="E58E9E57"/>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68">
    <w:nsid w:val="E697AF95"/>
    <w:multiLevelType w:val="multilevel"/>
    <w:tmpl w:val="E697AF95"/>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69">
    <w:nsid w:val="E846696F"/>
    <w:multiLevelType w:val="multilevel"/>
    <w:tmpl w:val="E846696F"/>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1"/>
      <w:numFmt w:val="upperLetter"/>
      <w:lvlText w:val="%2."/>
      <w:lvlJc w:val="left"/>
      <w:pPr>
        <w:ind w:left="647"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756" w:hanging="212"/>
      </w:pPr>
      <w:rPr>
        <w:rFonts w:hint="default"/>
        <w:lang w:val="en-US" w:eastAsia="zh-CN" w:bidi="ar-SA"/>
      </w:rPr>
    </w:lvl>
    <w:lvl w:ilvl="3">
      <w:start w:val="0"/>
      <w:numFmt w:val="bullet"/>
      <w:lvlText w:val="•"/>
      <w:lvlJc w:val="left"/>
      <w:pPr>
        <w:ind w:left="2872" w:hanging="212"/>
      </w:pPr>
      <w:rPr>
        <w:rFonts w:hint="default"/>
        <w:lang w:val="en-US" w:eastAsia="zh-CN" w:bidi="ar-SA"/>
      </w:rPr>
    </w:lvl>
    <w:lvl w:ilvl="4">
      <w:start w:val="0"/>
      <w:numFmt w:val="bullet"/>
      <w:lvlText w:val="•"/>
      <w:lvlJc w:val="left"/>
      <w:pPr>
        <w:ind w:left="3988" w:hanging="212"/>
      </w:pPr>
      <w:rPr>
        <w:rFonts w:hint="default"/>
        <w:lang w:val="en-US" w:eastAsia="zh-CN" w:bidi="ar-SA"/>
      </w:rPr>
    </w:lvl>
    <w:lvl w:ilvl="5">
      <w:start w:val="0"/>
      <w:numFmt w:val="bullet"/>
      <w:lvlText w:val="•"/>
      <w:lvlJc w:val="left"/>
      <w:pPr>
        <w:ind w:left="5104" w:hanging="212"/>
      </w:pPr>
      <w:rPr>
        <w:rFonts w:hint="default"/>
        <w:lang w:val="en-US" w:eastAsia="zh-CN" w:bidi="ar-SA"/>
      </w:rPr>
    </w:lvl>
    <w:lvl w:ilvl="6">
      <w:start w:val="0"/>
      <w:numFmt w:val="bullet"/>
      <w:lvlText w:val="•"/>
      <w:lvlJc w:val="left"/>
      <w:pPr>
        <w:ind w:left="6221" w:hanging="212"/>
      </w:pPr>
      <w:rPr>
        <w:rFonts w:hint="default"/>
        <w:lang w:val="en-US" w:eastAsia="zh-CN" w:bidi="ar-SA"/>
      </w:rPr>
    </w:lvl>
    <w:lvl w:ilvl="7">
      <w:start w:val="0"/>
      <w:numFmt w:val="bullet"/>
      <w:lvlText w:val="•"/>
      <w:lvlJc w:val="left"/>
      <w:pPr>
        <w:ind w:left="7337" w:hanging="212"/>
      </w:pPr>
      <w:rPr>
        <w:rFonts w:hint="default"/>
        <w:lang w:val="en-US" w:eastAsia="zh-CN" w:bidi="ar-SA"/>
      </w:rPr>
    </w:lvl>
    <w:lvl w:ilvl="8">
      <w:start w:val="0"/>
      <w:numFmt w:val="bullet"/>
      <w:lvlText w:val="•"/>
      <w:lvlJc w:val="left"/>
      <w:pPr>
        <w:ind w:left="8453" w:hanging="212"/>
      </w:pPr>
      <w:rPr>
        <w:rFonts w:hint="default"/>
        <w:lang w:val="en-US" w:eastAsia="zh-CN" w:bidi="ar-SA"/>
      </w:rPr>
    </w:lvl>
  </w:abstractNum>
  <w:abstractNum w:abstractNumId="70">
    <w:nsid w:val="E9692BA8"/>
    <w:multiLevelType w:val="multilevel"/>
    <w:tmpl w:val="E9692BA8"/>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71">
    <w:nsid w:val="EA15A30F"/>
    <w:multiLevelType w:val="multilevel"/>
    <w:tmpl w:val="EA15A30F"/>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72">
    <w:nsid w:val="EAC148EE"/>
    <w:multiLevelType w:val="multilevel"/>
    <w:tmpl w:val="EAC148EE"/>
    <w:lvl w:ilvl="0">
      <w:start w:val="1"/>
      <w:numFmt w:val="upperLetter"/>
      <w:lvlText w:val="%1."/>
      <w:lvlJc w:val="left"/>
      <w:pPr>
        <w:ind w:left="647"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644" w:hanging="212"/>
      </w:pPr>
      <w:rPr>
        <w:rFonts w:hint="default"/>
        <w:lang w:val="en-US" w:eastAsia="zh-CN" w:bidi="ar-SA"/>
      </w:rPr>
    </w:lvl>
    <w:lvl w:ilvl="2">
      <w:start w:val="0"/>
      <w:numFmt w:val="bullet"/>
      <w:lvlText w:val="•"/>
      <w:lvlJc w:val="left"/>
      <w:pPr>
        <w:ind w:left="2649" w:hanging="212"/>
      </w:pPr>
      <w:rPr>
        <w:rFonts w:hint="default"/>
        <w:lang w:val="en-US" w:eastAsia="zh-CN" w:bidi="ar-SA"/>
      </w:rPr>
    </w:lvl>
    <w:lvl w:ilvl="3">
      <w:start w:val="0"/>
      <w:numFmt w:val="bullet"/>
      <w:lvlText w:val="•"/>
      <w:lvlJc w:val="left"/>
      <w:pPr>
        <w:ind w:left="3653" w:hanging="212"/>
      </w:pPr>
      <w:rPr>
        <w:rFonts w:hint="default"/>
        <w:lang w:val="en-US" w:eastAsia="zh-CN" w:bidi="ar-SA"/>
      </w:rPr>
    </w:lvl>
    <w:lvl w:ilvl="4">
      <w:start w:val="0"/>
      <w:numFmt w:val="bullet"/>
      <w:lvlText w:val="•"/>
      <w:lvlJc w:val="left"/>
      <w:pPr>
        <w:ind w:left="4658" w:hanging="212"/>
      </w:pPr>
      <w:rPr>
        <w:rFonts w:hint="default"/>
        <w:lang w:val="en-US" w:eastAsia="zh-CN" w:bidi="ar-SA"/>
      </w:rPr>
    </w:lvl>
    <w:lvl w:ilvl="5">
      <w:start w:val="0"/>
      <w:numFmt w:val="bullet"/>
      <w:lvlText w:val="•"/>
      <w:lvlJc w:val="left"/>
      <w:pPr>
        <w:ind w:left="5663" w:hanging="212"/>
      </w:pPr>
      <w:rPr>
        <w:rFonts w:hint="default"/>
        <w:lang w:val="en-US" w:eastAsia="zh-CN" w:bidi="ar-SA"/>
      </w:rPr>
    </w:lvl>
    <w:lvl w:ilvl="6">
      <w:start w:val="0"/>
      <w:numFmt w:val="bullet"/>
      <w:lvlText w:val="•"/>
      <w:lvlJc w:val="left"/>
      <w:pPr>
        <w:ind w:left="6667" w:hanging="212"/>
      </w:pPr>
      <w:rPr>
        <w:rFonts w:hint="default"/>
        <w:lang w:val="en-US" w:eastAsia="zh-CN" w:bidi="ar-SA"/>
      </w:rPr>
    </w:lvl>
    <w:lvl w:ilvl="7">
      <w:start w:val="0"/>
      <w:numFmt w:val="bullet"/>
      <w:lvlText w:val="•"/>
      <w:lvlJc w:val="left"/>
      <w:pPr>
        <w:ind w:left="7672" w:hanging="212"/>
      </w:pPr>
      <w:rPr>
        <w:rFonts w:hint="default"/>
        <w:lang w:val="en-US" w:eastAsia="zh-CN" w:bidi="ar-SA"/>
      </w:rPr>
    </w:lvl>
    <w:lvl w:ilvl="8">
      <w:start w:val="0"/>
      <w:numFmt w:val="bullet"/>
      <w:lvlText w:val="•"/>
      <w:lvlJc w:val="left"/>
      <w:pPr>
        <w:ind w:left="8676" w:hanging="212"/>
      </w:pPr>
      <w:rPr>
        <w:rFonts w:hint="default"/>
        <w:lang w:val="en-US" w:eastAsia="zh-CN" w:bidi="ar-SA"/>
      </w:rPr>
    </w:lvl>
  </w:abstractNum>
  <w:abstractNum w:abstractNumId="73">
    <w:nsid w:val="EE4DCEC7"/>
    <w:multiLevelType w:val="multilevel"/>
    <w:tmpl w:val="EE4DCEC7"/>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74">
    <w:nsid w:val="F2AE70F4"/>
    <w:multiLevelType w:val="multilevel"/>
    <w:tmpl w:val="F2AE70F4"/>
    <w:lvl w:ilvl="0">
      <w:start w:val="1"/>
      <w:numFmt w:val="decimal"/>
      <w:lvlText w:val="%1）"/>
      <w:lvlJc w:val="left"/>
      <w:pPr>
        <w:ind w:left="227" w:hanging="316"/>
        <w:jc w:val="left"/>
      </w:pPr>
      <w:rPr>
        <w:rFonts w:ascii="宋体" w:eastAsia="宋体" w:hAnsi="宋体" w:cs="宋体" w:hint="default"/>
        <w:b w:val="0"/>
        <w:bCs w:val="0"/>
        <w:i w:val="0"/>
        <w:iCs w:val="0"/>
        <w:spacing w:val="-20"/>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75">
    <w:nsid w:val="F2E0186E"/>
    <w:multiLevelType w:val="multilevel"/>
    <w:tmpl w:val="F2E0186E"/>
    <w:lvl w:ilvl="0">
      <w:start w:val="2"/>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76">
    <w:nsid w:val="F794CDAB"/>
    <w:multiLevelType w:val="multilevel"/>
    <w:tmpl w:val="F794CDAB"/>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77">
    <w:nsid w:val="F889C77F"/>
    <w:multiLevelType w:val="multilevel"/>
    <w:tmpl w:val="F889C77F"/>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78">
    <w:nsid w:val="FA3AF9CE"/>
    <w:multiLevelType w:val="multilevel"/>
    <w:tmpl w:val="FA3AF9CE"/>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79">
    <w:nsid w:val="FA952B36"/>
    <w:multiLevelType w:val="multilevel"/>
    <w:tmpl w:val="FA952B36"/>
    <w:lvl w:ilvl="0">
      <w:start w:val="1"/>
      <w:numFmt w:val="decimal"/>
      <w:lvlText w:val="%1）"/>
      <w:lvlJc w:val="left"/>
      <w:pPr>
        <w:ind w:left="227" w:hanging="316"/>
        <w:jc w:val="left"/>
      </w:pPr>
      <w:rPr>
        <w:rFonts w:ascii="宋体" w:eastAsia="宋体" w:hAnsi="宋体" w:cs="宋体" w:hint="default"/>
        <w:b w:val="0"/>
        <w:bCs w:val="0"/>
        <w:i w:val="0"/>
        <w:iCs w:val="0"/>
        <w:spacing w:val="-25"/>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80">
    <w:nsid w:val="FB67EE4D"/>
    <w:multiLevelType w:val="multilevel"/>
    <w:tmpl w:val="FB67EE4D"/>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81">
    <w:nsid w:val="FD53A3CD"/>
    <w:multiLevelType w:val="multilevel"/>
    <w:tmpl w:val="FD53A3CD"/>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82">
    <w:nsid w:val="FF7FB719"/>
    <w:multiLevelType w:val="multilevel"/>
    <w:tmpl w:val="FF7FB719"/>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83">
    <w:nsid w:val="03DF0596"/>
    <w:multiLevelType w:val="multilevel"/>
    <w:tmpl w:val="03DF0596"/>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84">
    <w:nsid w:val="058766AE"/>
    <w:multiLevelType w:val="multilevel"/>
    <w:tmpl w:val="058766AE"/>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85">
    <w:nsid w:val="0CD54227"/>
    <w:multiLevelType w:val="multilevel"/>
    <w:tmpl w:val="C1D0D3DC"/>
    <w:lvl w:ilvl="0">
      <w:start w:val="3"/>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2"/>
      <w:numFmt w:val="upperLetter"/>
      <w:lvlText w:val="%2."/>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951" w:hanging="212"/>
      </w:pPr>
      <w:rPr>
        <w:rFonts w:hint="default"/>
        <w:lang w:val="en-US" w:eastAsia="zh-CN" w:bidi="ar-SA"/>
      </w:rPr>
    </w:lvl>
    <w:lvl w:ilvl="3">
      <w:start w:val="0"/>
      <w:numFmt w:val="bullet"/>
      <w:lvlText w:val="•"/>
      <w:lvlJc w:val="left"/>
      <w:pPr>
        <w:ind w:left="3043" w:hanging="212"/>
      </w:pPr>
      <w:rPr>
        <w:rFonts w:hint="default"/>
        <w:lang w:val="en-US" w:eastAsia="zh-CN" w:bidi="ar-SA"/>
      </w:rPr>
    </w:lvl>
    <w:lvl w:ilvl="4">
      <w:start w:val="0"/>
      <w:numFmt w:val="bullet"/>
      <w:lvlText w:val="•"/>
      <w:lvlJc w:val="left"/>
      <w:pPr>
        <w:ind w:left="4135" w:hanging="212"/>
      </w:pPr>
      <w:rPr>
        <w:rFonts w:hint="default"/>
        <w:lang w:val="en-US" w:eastAsia="zh-CN" w:bidi="ar-SA"/>
      </w:rPr>
    </w:lvl>
    <w:lvl w:ilvl="5">
      <w:start w:val="0"/>
      <w:numFmt w:val="bullet"/>
      <w:lvlText w:val="•"/>
      <w:lvlJc w:val="left"/>
      <w:pPr>
        <w:ind w:left="5227" w:hanging="212"/>
      </w:pPr>
      <w:rPr>
        <w:rFonts w:hint="default"/>
        <w:lang w:val="en-US" w:eastAsia="zh-CN" w:bidi="ar-SA"/>
      </w:rPr>
    </w:lvl>
    <w:lvl w:ilvl="6">
      <w:start w:val="0"/>
      <w:numFmt w:val="bullet"/>
      <w:lvlText w:val="•"/>
      <w:lvlJc w:val="left"/>
      <w:pPr>
        <w:ind w:left="6318" w:hanging="212"/>
      </w:pPr>
      <w:rPr>
        <w:rFonts w:hint="default"/>
        <w:lang w:val="en-US" w:eastAsia="zh-CN" w:bidi="ar-SA"/>
      </w:rPr>
    </w:lvl>
    <w:lvl w:ilvl="7">
      <w:start w:val="0"/>
      <w:numFmt w:val="bullet"/>
      <w:lvlText w:val="•"/>
      <w:lvlJc w:val="left"/>
      <w:pPr>
        <w:ind w:left="7410" w:hanging="212"/>
      </w:pPr>
      <w:rPr>
        <w:rFonts w:hint="default"/>
        <w:lang w:val="en-US" w:eastAsia="zh-CN" w:bidi="ar-SA"/>
      </w:rPr>
    </w:lvl>
    <w:lvl w:ilvl="8">
      <w:start w:val="0"/>
      <w:numFmt w:val="bullet"/>
      <w:lvlText w:val="•"/>
      <w:lvlJc w:val="left"/>
      <w:pPr>
        <w:ind w:left="8502" w:hanging="212"/>
      </w:pPr>
      <w:rPr>
        <w:rFonts w:hint="default"/>
        <w:lang w:val="en-US" w:eastAsia="zh-CN" w:bidi="ar-SA"/>
      </w:rPr>
    </w:lvl>
  </w:abstractNum>
  <w:abstractNum w:abstractNumId="86">
    <w:nsid w:val="0D3E5FEC"/>
    <w:multiLevelType w:val="multilevel"/>
    <w:tmpl w:val="0D3E5FEC"/>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87">
    <w:nsid w:val="0E58A8B6"/>
    <w:multiLevelType w:val="multilevel"/>
    <w:tmpl w:val="0E58A8B6"/>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640" w:hanging="316"/>
      </w:pPr>
      <w:rPr>
        <w:rFonts w:hint="default"/>
        <w:lang w:val="en-US" w:eastAsia="zh-CN" w:bidi="ar-SA"/>
      </w:rPr>
    </w:lvl>
    <w:lvl w:ilvl="2">
      <w:start w:val="0"/>
      <w:numFmt w:val="bullet"/>
      <w:lvlText w:val="•"/>
      <w:lvlJc w:val="left"/>
      <w:pPr>
        <w:ind w:left="1756" w:hanging="316"/>
      </w:pPr>
      <w:rPr>
        <w:rFonts w:hint="default"/>
        <w:lang w:val="en-US" w:eastAsia="zh-CN" w:bidi="ar-SA"/>
      </w:rPr>
    </w:lvl>
    <w:lvl w:ilvl="3">
      <w:start w:val="0"/>
      <w:numFmt w:val="bullet"/>
      <w:lvlText w:val="•"/>
      <w:lvlJc w:val="left"/>
      <w:pPr>
        <w:ind w:left="2872" w:hanging="316"/>
      </w:pPr>
      <w:rPr>
        <w:rFonts w:hint="default"/>
        <w:lang w:val="en-US" w:eastAsia="zh-CN" w:bidi="ar-SA"/>
      </w:rPr>
    </w:lvl>
    <w:lvl w:ilvl="4">
      <w:start w:val="0"/>
      <w:numFmt w:val="bullet"/>
      <w:lvlText w:val="•"/>
      <w:lvlJc w:val="left"/>
      <w:pPr>
        <w:ind w:left="3988" w:hanging="316"/>
      </w:pPr>
      <w:rPr>
        <w:rFonts w:hint="default"/>
        <w:lang w:val="en-US" w:eastAsia="zh-CN" w:bidi="ar-SA"/>
      </w:rPr>
    </w:lvl>
    <w:lvl w:ilvl="5">
      <w:start w:val="0"/>
      <w:numFmt w:val="bullet"/>
      <w:lvlText w:val="•"/>
      <w:lvlJc w:val="left"/>
      <w:pPr>
        <w:ind w:left="5104" w:hanging="316"/>
      </w:pPr>
      <w:rPr>
        <w:rFonts w:hint="default"/>
        <w:lang w:val="en-US" w:eastAsia="zh-CN" w:bidi="ar-SA"/>
      </w:rPr>
    </w:lvl>
    <w:lvl w:ilvl="6">
      <w:start w:val="0"/>
      <w:numFmt w:val="bullet"/>
      <w:lvlText w:val="•"/>
      <w:lvlJc w:val="left"/>
      <w:pPr>
        <w:ind w:left="6221" w:hanging="316"/>
      </w:pPr>
      <w:rPr>
        <w:rFonts w:hint="default"/>
        <w:lang w:val="en-US" w:eastAsia="zh-CN" w:bidi="ar-SA"/>
      </w:rPr>
    </w:lvl>
    <w:lvl w:ilvl="7">
      <w:start w:val="0"/>
      <w:numFmt w:val="bullet"/>
      <w:lvlText w:val="•"/>
      <w:lvlJc w:val="left"/>
      <w:pPr>
        <w:ind w:left="7337" w:hanging="316"/>
      </w:pPr>
      <w:rPr>
        <w:rFonts w:hint="default"/>
        <w:lang w:val="en-US" w:eastAsia="zh-CN" w:bidi="ar-SA"/>
      </w:rPr>
    </w:lvl>
    <w:lvl w:ilvl="8">
      <w:start w:val="0"/>
      <w:numFmt w:val="bullet"/>
      <w:lvlText w:val="•"/>
      <w:lvlJc w:val="left"/>
      <w:pPr>
        <w:ind w:left="8453" w:hanging="316"/>
      </w:pPr>
      <w:rPr>
        <w:rFonts w:hint="default"/>
        <w:lang w:val="en-US" w:eastAsia="zh-CN" w:bidi="ar-SA"/>
      </w:rPr>
    </w:lvl>
  </w:abstractNum>
  <w:abstractNum w:abstractNumId="88">
    <w:nsid w:val="0E6E74B5"/>
    <w:multiLevelType w:val="multilevel"/>
    <w:tmpl w:val="0E6E74B5"/>
    <w:lvl w:ilvl="0">
      <w:start w:val="1"/>
      <w:numFmt w:val="decimal"/>
      <w:lvlText w:val="%1）"/>
      <w:lvlJc w:val="left"/>
      <w:pPr>
        <w:ind w:left="227" w:hanging="316"/>
        <w:jc w:val="left"/>
      </w:pPr>
      <w:rPr>
        <w:rFonts w:ascii="宋体" w:eastAsia="宋体" w:hAnsi="宋体" w:cs="宋体" w:hint="default"/>
        <w:b w:val="0"/>
        <w:bCs w:val="0"/>
        <w:i w:val="0"/>
        <w:iCs w:val="0"/>
        <w:spacing w:val="-20"/>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89">
    <w:nsid w:val="1050CA1F"/>
    <w:multiLevelType w:val="multilevel"/>
    <w:tmpl w:val="1050CA1F"/>
    <w:lvl w:ilvl="0">
      <w:start w:val="1"/>
      <w:numFmt w:val="decimal"/>
      <w:lvlText w:val="（%1）"/>
      <w:lvlJc w:val="left"/>
      <w:pPr>
        <w:ind w:left="227" w:hanging="525"/>
        <w:jc w:val="left"/>
      </w:pPr>
      <w:rPr>
        <w:rFonts w:ascii="宋体" w:eastAsia="宋体" w:hAnsi="宋体" w:cs="宋体" w:hint="default"/>
        <w:b w:val="0"/>
        <w:bCs w:val="0"/>
        <w:i w:val="0"/>
        <w:iCs w:val="0"/>
        <w:spacing w:val="-65"/>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90">
    <w:nsid w:val="1188A971"/>
    <w:multiLevelType w:val="multilevel"/>
    <w:tmpl w:val="1188A971"/>
    <w:lvl w:ilvl="0">
      <w:start w:val="1"/>
      <w:numFmt w:val="decimal"/>
      <w:lvlText w:val="%1）"/>
      <w:lvlJc w:val="left"/>
      <w:pPr>
        <w:ind w:left="227" w:hanging="316"/>
        <w:jc w:val="left"/>
      </w:pPr>
      <w:rPr>
        <w:rFonts w:ascii="宋体" w:eastAsia="宋体" w:hAnsi="宋体" w:cs="宋体" w:hint="default"/>
        <w:b w:val="0"/>
        <w:bCs w:val="0"/>
        <w:i w:val="0"/>
        <w:iCs w:val="0"/>
        <w:spacing w:val="-32"/>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91">
    <w:nsid w:val="11A38BD5"/>
    <w:multiLevelType w:val="multilevel"/>
    <w:tmpl w:val="11A38BD5"/>
    <w:lvl w:ilvl="0">
      <w:start w:val="1"/>
      <w:numFmt w:val="decimal"/>
      <w:lvlText w:val="（%1）"/>
      <w:lvlJc w:val="left"/>
      <w:pPr>
        <w:ind w:left="227" w:hanging="52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266" w:hanging="526"/>
      </w:pPr>
      <w:rPr>
        <w:rFonts w:hint="default"/>
        <w:lang w:val="en-US" w:eastAsia="zh-CN" w:bidi="ar-SA"/>
      </w:rPr>
    </w:lvl>
    <w:lvl w:ilvl="2">
      <w:start w:val="0"/>
      <w:numFmt w:val="bullet"/>
      <w:lvlText w:val="•"/>
      <w:lvlJc w:val="left"/>
      <w:pPr>
        <w:ind w:left="2313" w:hanging="526"/>
      </w:pPr>
      <w:rPr>
        <w:rFonts w:hint="default"/>
        <w:lang w:val="en-US" w:eastAsia="zh-CN" w:bidi="ar-SA"/>
      </w:rPr>
    </w:lvl>
    <w:lvl w:ilvl="3">
      <w:start w:val="0"/>
      <w:numFmt w:val="bullet"/>
      <w:lvlText w:val="•"/>
      <w:lvlJc w:val="left"/>
      <w:pPr>
        <w:ind w:left="3359" w:hanging="526"/>
      </w:pPr>
      <w:rPr>
        <w:rFonts w:hint="default"/>
        <w:lang w:val="en-US" w:eastAsia="zh-CN" w:bidi="ar-SA"/>
      </w:rPr>
    </w:lvl>
    <w:lvl w:ilvl="4">
      <w:start w:val="0"/>
      <w:numFmt w:val="bullet"/>
      <w:lvlText w:val="•"/>
      <w:lvlJc w:val="left"/>
      <w:pPr>
        <w:ind w:left="4406" w:hanging="526"/>
      </w:pPr>
      <w:rPr>
        <w:rFonts w:hint="default"/>
        <w:lang w:val="en-US" w:eastAsia="zh-CN" w:bidi="ar-SA"/>
      </w:rPr>
    </w:lvl>
    <w:lvl w:ilvl="5">
      <w:start w:val="0"/>
      <w:numFmt w:val="bullet"/>
      <w:lvlText w:val="•"/>
      <w:lvlJc w:val="left"/>
      <w:pPr>
        <w:ind w:left="5453" w:hanging="526"/>
      </w:pPr>
      <w:rPr>
        <w:rFonts w:hint="default"/>
        <w:lang w:val="en-US" w:eastAsia="zh-CN" w:bidi="ar-SA"/>
      </w:rPr>
    </w:lvl>
    <w:lvl w:ilvl="6">
      <w:start w:val="0"/>
      <w:numFmt w:val="bullet"/>
      <w:lvlText w:val="•"/>
      <w:lvlJc w:val="left"/>
      <w:pPr>
        <w:ind w:left="6499" w:hanging="526"/>
      </w:pPr>
      <w:rPr>
        <w:rFonts w:hint="default"/>
        <w:lang w:val="en-US" w:eastAsia="zh-CN" w:bidi="ar-SA"/>
      </w:rPr>
    </w:lvl>
    <w:lvl w:ilvl="7">
      <w:start w:val="0"/>
      <w:numFmt w:val="bullet"/>
      <w:lvlText w:val="•"/>
      <w:lvlJc w:val="left"/>
      <w:pPr>
        <w:ind w:left="7546" w:hanging="526"/>
      </w:pPr>
      <w:rPr>
        <w:rFonts w:hint="default"/>
        <w:lang w:val="en-US" w:eastAsia="zh-CN" w:bidi="ar-SA"/>
      </w:rPr>
    </w:lvl>
    <w:lvl w:ilvl="8">
      <w:start w:val="0"/>
      <w:numFmt w:val="bullet"/>
      <w:lvlText w:val="•"/>
      <w:lvlJc w:val="left"/>
      <w:pPr>
        <w:ind w:left="8592" w:hanging="526"/>
      </w:pPr>
      <w:rPr>
        <w:rFonts w:hint="default"/>
        <w:lang w:val="en-US" w:eastAsia="zh-CN" w:bidi="ar-SA"/>
      </w:rPr>
    </w:lvl>
  </w:abstractNum>
  <w:abstractNum w:abstractNumId="92">
    <w:nsid w:val="1235D097"/>
    <w:multiLevelType w:val="multilevel"/>
    <w:tmpl w:val="1235D097"/>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93">
    <w:nsid w:val="126096EB"/>
    <w:multiLevelType w:val="multilevel"/>
    <w:tmpl w:val="126096EB"/>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94">
    <w:nsid w:val="187DFE7D"/>
    <w:multiLevelType w:val="multilevel"/>
    <w:tmpl w:val="187DFE7D"/>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95">
    <w:nsid w:val="194EE8B5"/>
    <w:multiLevelType w:val="multilevel"/>
    <w:tmpl w:val="194EE8B5"/>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96">
    <w:nsid w:val="1A0EC75D"/>
    <w:multiLevelType w:val="multilevel"/>
    <w:tmpl w:val="1A0EC75D"/>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97">
    <w:nsid w:val="1A2E8226"/>
    <w:multiLevelType w:val="multilevel"/>
    <w:tmpl w:val="1A2E8226"/>
    <w:lvl w:ilvl="0">
      <w:start w:val="1"/>
      <w:numFmt w:val="decimal"/>
      <w:lvlText w:val="（%1）"/>
      <w:lvlJc w:val="left"/>
      <w:pPr>
        <w:ind w:left="631" w:hanging="525"/>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327" w:hanging="525"/>
      </w:pPr>
      <w:rPr>
        <w:rFonts w:hint="default"/>
        <w:lang w:val="en-US" w:eastAsia="zh-CN" w:bidi="ar-SA"/>
      </w:rPr>
    </w:lvl>
    <w:lvl w:ilvl="2">
      <w:start w:val="0"/>
      <w:numFmt w:val="bullet"/>
      <w:lvlText w:val="•"/>
      <w:lvlJc w:val="left"/>
      <w:pPr>
        <w:ind w:left="2015" w:hanging="525"/>
      </w:pPr>
      <w:rPr>
        <w:rFonts w:hint="default"/>
        <w:lang w:val="en-US" w:eastAsia="zh-CN" w:bidi="ar-SA"/>
      </w:rPr>
    </w:lvl>
    <w:lvl w:ilvl="3">
      <w:start w:val="0"/>
      <w:numFmt w:val="bullet"/>
      <w:lvlText w:val="•"/>
      <w:lvlJc w:val="left"/>
      <w:pPr>
        <w:ind w:left="2703" w:hanging="525"/>
      </w:pPr>
      <w:rPr>
        <w:rFonts w:hint="default"/>
        <w:lang w:val="en-US" w:eastAsia="zh-CN" w:bidi="ar-SA"/>
      </w:rPr>
    </w:lvl>
    <w:lvl w:ilvl="4">
      <w:start w:val="0"/>
      <w:numFmt w:val="bullet"/>
      <w:lvlText w:val="•"/>
      <w:lvlJc w:val="left"/>
      <w:pPr>
        <w:ind w:left="3391" w:hanging="525"/>
      </w:pPr>
      <w:rPr>
        <w:rFonts w:hint="default"/>
        <w:lang w:val="en-US" w:eastAsia="zh-CN" w:bidi="ar-SA"/>
      </w:rPr>
    </w:lvl>
    <w:lvl w:ilvl="5">
      <w:start w:val="0"/>
      <w:numFmt w:val="bullet"/>
      <w:lvlText w:val="•"/>
      <w:lvlJc w:val="left"/>
      <w:pPr>
        <w:ind w:left="4079" w:hanging="525"/>
      </w:pPr>
      <w:rPr>
        <w:rFonts w:hint="default"/>
        <w:lang w:val="en-US" w:eastAsia="zh-CN" w:bidi="ar-SA"/>
      </w:rPr>
    </w:lvl>
    <w:lvl w:ilvl="6">
      <w:start w:val="0"/>
      <w:numFmt w:val="bullet"/>
      <w:lvlText w:val="•"/>
      <w:lvlJc w:val="left"/>
      <w:pPr>
        <w:ind w:left="4766" w:hanging="525"/>
      </w:pPr>
      <w:rPr>
        <w:rFonts w:hint="default"/>
        <w:lang w:val="en-US" w:eastAsia="zh-CN" w:bidi="ar-SA"/>
      </w:rPr>
    </w:lvl>
    <w:lvl w:ilvl="7">
      <w:start w:val="0"/>
      <w:numFmt w:val="bullet"/>
      <w:lvlText w:val="•"/>
      <w:lvlJc w:val="left"/>
      <w:pPr>
        <w:ind w:left="5454" w:hanging="525"/>
      </w:pPr>
      <w:rPr>
        <w:rFonts w:hint="default"/>
        <w:lang w:val="en-US" w:eastAsia="zh-CN" w:bidi="ar-SA"/>
      </w:rPr>
    </w:lvl>
    <w:lvl w:ilvl="8">
      <w:start w:val="0"/>
      <w:numFmt w:val="bullet"/>
      <w:lvlText w:val="•"/>
      <w:lvlJc w:val="left"/>
      <w:pPr>
        <w:ind w:left="6142" w:hanging="525"/>
      </w:pPr>
      <w:rPr>
        <w:rFonts w:hint="default"/>
        <w:lang w:val="en-US" w:eastAsia="zh-CN" w:bidi="ar-SA"/>
      </w:rPr>
    </w:lvl>
  </w:abstractNum>
  <w:abstractNum w:abstractNumId="98">
    <w:nsid w:val="1A79278E"/>
    <w:multiLevelType w:val="multilevel"/>
    <w:tmpl w:val="1A79278E"/>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99">
    <w:nsid w:val="1C8888C5"/>
    <w:multiLevelType w:val="multilevel"/>
    <w:tmpl w:val="1C8888C5"/>
    <w:lvl w:ilvl="0">
      <w:start w:val="1"/>
      <w:numFmt w:val="decimal"/>
      <w:lvlText w:val="（%1）"/>
      <w:lvlJc w:val="left"/>
      <w:pPr>
        <w:ind w:left="227" w:hanging="525"/>
        <w:jc w:val="left"/>
      </w:pPr>
      <w:rPr>
        <w:rFonts w:ascii="宋体" w:eastAsia="宋体" w:hAnsi="宋体" w:cs="宋体" w:hint="default"/>
        <w:b w:val="0"/>
        <w:bCs w:val="0"/>
        <w:i w:val="0"/>
        <w:iCs w:val="0"/>
        <w:spacing w:val="-22"/>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00">
    <w:nsid w:val="1F95E9F5"/>
    <w:multiLevelType w:val="multilevel"/>
    <w:tmpl w:val="1F95E9F5"/>
    <w:lvl w:ilvl="0">
      <w:start w:val="1"/>
      <w:numFmt w:val="decimal"/>
      <w:lvlText w:val="%1）"/>
      <w:lvlJc w:val="left"/>
      <w:pPr>
        <w:ind w:left="227" w:hanging="317"/>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266" w:hanging="317"/>
      </w:pPr>
      <w:rPr>
        <w:rFonts w:hint="default"/>
        <w:lang w:val="en-US" w:eastAsia="zh-CN" w:bidi="ar-SA"/>
      </w:rPr>
    </w:lvl>
    <w:lvl w:ilvl="2">
      <w:start w:val="0"/>
      <w:numFmt w:val="bullet"/>
      <w:lvlText w:val="•"/>
      <w:lvlJc w:val="left"/>
      <w:pPr>
        <w:ind w:left="2313" w:hanging="317"/>
      </w:pPr>
      <w:rPr>
        <w:rFonts w:hint="default"/>
        <w:lang w:val="en-US" w:eastAsia="zh-CN" w:bidi="ar-SA"/>
      </w:rPr>
    </w:lvl>
    <w:lvl w:ilvl="3">
      <w:start w:val="0"/>
      <w:numFmt w:val="bullet"/>
      <w:lvlText w:val="•"/>
      <w:lvlJc w:val="left"/>
      <w:pPr>
        <w:ind w:left="3359" w:hanging="317"/>
      </w:pPr>
      <w:rPr>
        <w:rFonts w:hint="default"/>
        <w:lang w:val="en-US" w:eastAsia="zh-CN" w:bidi="ar-SA"/>
      </w:rPr>
    </w:lvl>
    <w:lvl w:ilvl="4">
      <w:start w:val="0"/>
      <w:numFmt w:val="bullet"/>
      <w:lvlText w:val="•"/>
      <w:lvlJc w:val="left"/>
      <w:pPr>
        <w:ind w:left="4406" w:hanging="317"/>
      </w:pPr>
      <w:rPr>
        <w:rFonts w:hint="default"/>
        <w:lang w:val="en-US" w:eastAsia="zh-CN" w:bidi="ar-SA"/>
      </w:rPr>
    </w:lvl>
    <w:lvl w:ilvl="5">
      <w:start w:val="0"/>
      <w:numFmt w:val="bullet"/>
      <w:lvlText w:val="•"/>
      <w:lvlJc w:val="left"/>
      <w:pPr>
        <w:ind w:left="5453" w:hanging="317"/>
      </w:pPr>
      <w:rPr>
        <w:rFonts w:hint="default"/>
        <w:lang w:val="en-US" w:eastAsia="zh-CN" w:bidi="ar-SA"/>
      </w:rPr>
    </w:lvl>
    <w:lvl w:ilvl="6">
      <w:start w:val="0"/>
      <w:numFmt w:val="bullet"/>
      <w:lvlText w:val="•"/>
      <w:lvlJc w:val="left"/>
      <w:pPr>
        <w:ind w:left="6499" w:hanging="317"/>
      </w:pPr>
      <w:rPr>
        <w:rFonts w:hint="default"/>
        <w:lang w:val="en-US" w:eastAsia="zh-CN" w:bidi="ar-SA"/>
      </w:rPr>
    </w:lvl>
    <w:lvl w:ilvl="7">
      <w:start w:val="0"/>
      <w:numFmt w:val="bullet"/>
      <w:lvlText w:val="•"/>
      <w:lvlJc w:val="left"/>
      <w:pPr>
        <w:ind w:left="7546" w:hanging="317"/>
      </w:pPr>
      <w:rPr>
        <w:rFonts w:hint="default"/>
        <w:lang w:val="en-US" w:eastAsia="zh-CN" w:bidi="ar-SA"/>
      </w:rPr>
    </w:lvl>
    <w:lvl w:ilvl="8">
      <w:start w:val="0"/>
      <w:numFmt w:val="bullet"/>
      <w:lvlText w:val="•"/>
      <w:lvlJc w:val="left"/>
      <w:pPr>
        <w:ind w:left="8592" w:hanging="317"/>
      </w:pPr>
      <w:rPr>
        <w:rFonts w:hint="default"/>
        <w:lang w:val="en-US" w:eastAsia="zh-CN" w:bidi="ar-SA"/>
      </w:rPr>
    </w:lvl>
  </w:abstractNum>
  <w:abstractNum w:abstractNumId="101">
    <w:nsid w:val="205B7091"/>
    <w:multiLevelType w:val="multilevel"/>
    <w:tmpl w:val="205B7091"/>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02">
    <w:nsid w:val="2239F2A4"/>
    <w:multiLevelType w:val="multilevel"/>
    <w:tmpl w:val="2239F2A4"/>
    <w:lvl w:ilvl="0">
      <w:start w:val="1"/>
      <w:numFmt w:val="decimal"/>
      <w:lvlText w:val="（%1）"/>
      <w:lvlJc w:val="left"/>
      <w:pPr>
        <w:ind w:left="227" w:hanging="525"/>
        <w:jc w:val="left"/>
      </w:pPr>
      <w:rPr>
        <w:rFonts w:ascii="宋体" w:eastAsia="宋体" w:hAnsi="宋体" w:cs="宋体" w:hint="default"/>
        <w:b w:val="0"/>
        <w:bCs w:val="0"/>
        <w:i w:val="0"/>
        <w:iCs w:val="0"/>
        <w:spacing w:val="-46"/>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03">
    <w:nsid w:val="23C8E86F"/>
    <w:multiLevelType w:val="multilevel"/>
    <w:tmpl w:val="23C8E86F"/>
    <w:lvl w:ilvl="0">
      <w:start w:val="2"/>
      <w:numFmt w:val="decimal"/>
      <w:lvlText w:val="%1）"/>
      <w:lvlJc w:val="left"/>
      <w:pPr>
        <w:ind w:left="421" w:hanging="314"/>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119" w:hanging="314"/>
      </w:pPr>
      <w:rPr>
        <w:rFonts w:hint="default"/>
        <w:lang w:val="en-US" w:eastAsia="zh-CN" w:bidi="ar-SA"/>
      </w:rPr>
    </w:lvl>
    <w:lvl w:ilvl="2">
      <w:start w:val="0"/>
      <w:numFmt w:val="bullet"/>
      <w:lvlText w:val="•"/>
      <w:lvlJc w:val="left"/>
      <w:pPr>
        <w:ind w:left="1818" w:hanging="314"/>
      </w:pPr>
      <w:rPr>
        <w:rFonts w:hint="default"/>
        <w:lang w:val="en-US" w:eastAsia="zh-CN" w:bidi="ar-SA"/>
      </w:rPr>
    </w:lvl>
    <w:lvl w:ilvl="3">
      <w:start w:val="0"/>
      <w:numFmt w:val="bullet"/>
      <w:lvlText w:val="•"/>
      <w:lvlJc w:val="left"/>
      <w:pPr>
        <w:ind w:left="2517" w:hanging="314"/>
      </w:pPr>
      <w:rPr>
        <w:rFonts w:hint="default"/>
        <w:lang w:val="en-US" w:eastAsia="zh-CN" w:bidi="ar-SA"/>
      </w:rPr>
    </w:lvl>
    <w:lvl w:ilvl="4">
      <w:start w:val="0"/>
      <w:numFmt w:val="bullet"/>
      <w:lvlText w:val="•"/>
      <w:lvlJc w:val="left"/>
      <w:pPr>
        <w:ind w:left="3216" w:hanging="314"/>
      </w:pPr>
      <w:rPr>
        <w:rFonts w:hint="default"/>
        <w:lang w:val="en-US" w:eastAsia="zh-CN" w:bidi="ar-SA"/>
      </w:rPr>
    </w:lvl>
    <w:lvl w:ilvl="5">
      <w:start w:val="0"/>
      <w:numFmt w:val="bullet"/>
      <w:lvlText w:val="•"/>
      <w:lvlJc w:val="left"/>
      <w:pPr>
        <w:ind w:left="3915" w:hanging="314"/>
      </w:pPr>
      <w:rPr>
        <w:rFonts w:hint="default"/>
        <w:lang w:val="en-US" w:eastAsia="zh-CN" w:bidi="ar-SA"/>
      </w:rPr>
    </w:lvl>
    <w:lvl w:ilvl="6">
      <w:start w:val="0"/>
      <w:numFmt w:val="bullet"/>
      <w:lvlText w:val="•"/>
      <w:lvlJc w:val="left"/>
      <w:pPr>
        <w:ind w:left="4614" w:hanging="314"/>
      </w:pPr>
      <w:rPr>
        <w:rFonts w:hint="default"/>
        <w:lang w:val="en-US" w:eastAsia="zh-CN" w:bidi="ar-SA"/>
      </w:rPr>
    </w:lvl>
    <w:lvl w:ilvl="7">
      <w:start w:val="0"/>
      <w:numFmt w:val="bullet"/>
      <w:lvlText w:val="•"/>
      <w:lvlJc w:val="left"/>
      <w:pPr>
        <w:ind w:left="5313" w:hanging="314"/>
      </w:pPr>
      <w:rPr>
        <w:rFonts w:hint="default"/>
        <w:lang w:val="en-US" w:eastAsia="zh-CN" w:bidi="ar-SA"/>
      </w:rPr>
    </w:lvl>
    <w:lvl w:ilvl="8">
      <w:start w:val="0"/>
      <w:numFmt w:val="bullet"/>
      <w:lvlText w:val="•"/>
      <w:lvlJc w:val="left"/>
      <w:pPr>
        <w:ind w:left="6012" w:hanging="314"/>
      </w:pPr>
      <w:rPr>
        <w:rFonts w:hint="default"/>
        <w:lang w:val="en-US" w:eastAsia="zh-CN" w:bidi="ar-SA"/>
      </w:rPr>
    </w:lvl>
  </w:abstractNum>
  <w:abstractNum w:abstractNumId="104">
    <w:nsid w:val="26F7CC15"/>
    <w:multiLevelType w:val="multilevel"/>
    <w:tmpl w:val="26F7CC15"/>
    <w:lvl w:ilvl="0">
      <w:start w:val="1"/>
      <w:numFmt w:val="decimal"/>
      <w:lvlText w:val="（%1）"/>
      <w:lvlJc w:val="left"/>
      <w:pPr>
        <w:ind w:left="108" w:hanging="525"/>
        <w:jc w:val="left"/>
      </w:pPr>
      <w:rPr>
        <w:rFonts w:ascii="宋体" w:eastAsia="宋体" w:hAnsi="宋体" w:cs="宋体" w:hint="default"/>
        <w:b w:val="0"/>
        <w:bCs w:val="0"/>
        <w:i w:val="0"/>
        <w:iCs w:val="0"/>
        <w:spacing w:val="-5"/>
        <w:w w:val="99"/>
        <w:sz w:val="19"/>
        <w:szCs w:val="19"/>
        <w:lang w:val="en-US" w:eastAsia="zh-CN" w:bidi="ar-SA"/>
      </w:rPr>
    </w:lvl>
    <w:lvl w:ilvl="1">
      <w:start w:val="0"/>
      <w:numFmt w:val="bullet"/>
      <w:lvlText w:val="•"/>
      <w:lvlJc w:val="left"/>
      <w:pPr>
        <w:ind w:left="456" w:hanging="525"/>
      </w:pPr>
      <w:rPr>
        <w:rFonts w:hint="default"/>
        <w:lang w:val="en-US" w:eastAsia="zh-CN" w:bidi="ar-SA"/>
      </w:rPr>
    </w:lvl>
    <w:lvl w:ilvl="2">
      <w:start w:val="0"/>
      <w:numFmt w:val="bullet"/>
      <w:lvlText w:val="•"/>
      <w:lvlJc w:val="left"/>
      <w:pPr>
        <w:ind w:left="812" w:hanging="525"/>
      </w:pPr>
      <w:rPr>
        <w:rFonts w:hint="default"/>
        <w:lang w:val="en-US" w:eastAsia="zh-CN" w:bidi="ar-SA"/>
      </w:rPr>
    </w:lvl>
    <w:lvl w:ilvl="3">
      <w:start w:val="0"/>
      <w:numFmt w:val="bullet"/>
      <w:lvlText w:val="•"/>
      <w:lvlJc w:val="left"/>
      <w:pPr>
        <w:ind w:left="1168" w:hanging="525"/>
      </w:pPr>
      <w:rPr>
        <w:rFonts w:hint="default"/>
        <w:lang w:val="en-US" w:eastAsia="zh-CN" w:bidi="ar-SA"/>
      </w:rPr>
    </w:lvl>
    <w:lvl w:ilvl="4">
      <w:start w:val="0"/>
      <w:numFmt w:val="bullet"/>
      <w:lvlText w:val="•"/>
      <w:lvlJc w:val="left"/>
      <w:pPr>
        <w:ind w:left="1524" w:hanging="525"/>
      </w:pPr>
      <w:rPr>
        <w:rFonts w:hint="default"/>
        <w:lang w:val="en-US" w:eastAsia="zh-CN" w:bidi="ar-SA"/>
      </w:rPr>
    </w:lvl>
    <w:lvl w:ilvl="5">
      <w:start w:val="0"/>
      <w:numFmt w:val="bullet"/>
      <w:lvlText w:val="•"/>
      <w:lvlJc w:val="left"/>
      <w:pPr>
        <w:ind w:left="1880" w:hanging="525"/>
      </w:pPr>
      <w:rPr>
        <w:rFonts w:hint="default"/>
        <w:lang w:val="en-US" w:eastAsia="zh-CN" w:bidi="ar-SA"/>
      </w:rPr>
    </w:lvl>
    <w:lvl w:ilvl="6">
      <w:start w:val="0"/>
      <w:numFmt w:val="bullet"/>
      <w:lvlText w:val="•"/>
      <w:lvlJc w:val="left"/>
      <w:pPr>
        <w:ind w:left="2236" w:hanging="525"/>
      </w:pPr>
      <w:rPr>
        <w:rFonts w:hint="default"/>
        <w:lang w:val="en-US" w:eastAsia="zh-CN" w:bidi="ar-SA"/>
      </w:rPr>
    </w:lvl>
    <w:lvl w:ilvl="7">
      <w:start w:val="0"/>
      <w:numFmt w:val="bullet"/>
      <w:lvlText w:val="•"/>
      <w:lvlJc w:val="left"/>
      <w:pPr>
        <w:ind w:left="2592" w:hanging="525"/>
      </w:pPr>
      <w:rPr>
        <w:rFonts w:hint="default"/>
        <w:lang w:val="en-US" w:eastAsia="zh-CN" w:bidi="ar-SA"/>
      </w:rPr>
    </w:lvl>
    <w:lvl w:ilvl="8">
      <w:start w:val="0"/>
      <w:numFmt w:val="bullet"/>
      <w:lvlText w:val="•"/>
      <w:lvlJc w:val="left"/>
      <w:pPr>
        <w:ind w:left="2948" w:hanging="525"/>
      </w:pPr>
      <w:rPr>
        <w:rFonts w:hint="default"/>
        <w:lang w:val="en-US" w:eastAsia="zh-CN" w:bidi="ar-SA"/>
      </w:rPr>
    </w:lvl>
  </w:abstractNum>
  <w:abstractNum w:abstractNumId="105">
    <w:nsid w:val="271CCF3B"/>
    <w:multiLevelType w:val="multilevel"/>
    <w:tmpl w:val="271CCF3B"/>
    <w:lvl w:ilvl="0">
      <w:start w:val="1"/>
      <w:numFmt w:val="decimal"/>
      <w:lvlText w:val="%1）"/>
      <w:lvlJc w:val="left"/>
      <w:pPr>
        <w:ind w:left="227" w:hanging="316"/>
        <w:jc w:val="left"/>
      </w:pPr>
      <w:rPr>
        <w:rFonts w:ascii="宋体" w:eastAsia="宋体" w:hAnsi="宋体" w:cs="宋体" w:hint="default"/>
        <w:b w:val="0"/>
        <w:bCs w:val="0"/>
        <w:i w:val="0"/>
        <w:iCs w:val="0"/>
        <w:spacing w:val="-20"/>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106">
    <w:nsid w:val="28443724"/>
    <w:multiLevelType w:val="multilevel"/>
    <w:tmpl w:val="28443724"/>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07">
    <w:nsid w:val="2BC516A1"/>
    <w:multiLevelType w:val="multilevel"/>
    <w:tmpl w:val="2BC516A1"/>
    <w:lvl w:ilvl="0">
      <w:start w:val="1"/>
      <w:numFmt w:val="decimal"/>
      <w:lvlText w:val="（%1）"/>
      <w:lvlJc w:val="left"/>
      <w:pPr>
        <w:ind w:left="227"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08">
    <w:nsid w:val="2D1D9993"/>
    <w:multiLevelType w:val="multilevel"/>
    <w:tmpl w:val="8C057F00"/>
    <w:lvl w:ilvl="0">
      <w:start w:val="1"/>
      <w:numFmt w:val="decimal"/>
      <w:lvlText w:val="（%1）"/>
      <w:lvlJc w:val="left"/>
      <w:pPr>
        <w:ind w:left="227" w:hanging="525"/>
        <w:jc w:val="left"/>
      </w:pPr>
      <w:rPr>
        <w:rFonts w:ascii="宋体" w:eastAsia="宋体" w:hAnsi="宋体" w:cs="宋体" w:hint="default"/>
        <w:b w:val="0"/>
        <w:bCs w:val="0"/>
        <w:i w:val="0"/>
        <w:iCs w:val="0"/>
        <w:spacing w:val="-15"/>
        <w:w w:val="99"/>
        <w:sz w:val="19"/>
        <w:szCs w:val="19"/>
        <w:lang w:val="en-US" w:eastAsia="zh-CN" w:bidi="ar-SA"/>
      </w:rPr>
    </w:lvl>
    <w:lvl w:ilvl="1">
      <w:start w:val="1"/>
      <w:numFmt w:val="upperLetter"/>
      <w:lvlText w:val="%2."/>
      <w:lvlJc w:val="left"/>
      <w:pPr>
        <w:ind w:left="647"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756" w:hanging="212"/>
      </w:pPr>
      <w:rPr>
        <w:rFonts w:hint="default"/>
        <w:lang w:val="en-US" w:eastAsia="zh-CN" w:bidi="ar-SA"/>
      </w:rPr>
    </w:lvl>
    <w:lvl w:ilvl="3">
      <w:start w:val="0"/>
      <w:numFmt w:val="bullet"/>
      <w:lvlText w:val="•"/>
      <w:lvlJc w:val="left"/>
      <w:pPr>
        <w:ind w:left="2872" w:hanging="212"/>
      </w:pPr>
      <w:rPr>
        <w:rFonts w:hint="default"/>
        <w:lang w:val="en-US" w:eastAsia="zh-CN" w:bidi="ar-SA"/>
      </w:rPr>
    </w:lvl>
    <w:lvl w:ilvl="4">
      <w:start w:val="0"/>
      <w:numFmt w:val="bullet"/>
      <w:lvlText w:val="•"/>
      <w:lvlJc w:val="left"/>
      <w:pPr>
        <w:ind w:left="3988" w:hanging="212"/>
      </w:pPr>
      <w:rPr>
        <w:rFonts w:hint="default"/>
        <w:lang w:val="en-US" w:eastAsia="zh-CN" w:bidi="ar-SA"/>
      </w:rPr>
    </w:lvl>
    <w:lvl w:ilvl="5">
      <w:start w:val="0"/>
      <w:numFmt w:val="bullet"/>
      <w:lvlText w:val="•"/>
      <w:lvlJc w:val="left"/>
      <w:pPr>
        <w:ind w:left="5104" w:hanging="212"/>
      </w:pPr>
      <w:rPr>
        <w:rFonts w:hint="default"/>
        <w:lang w:val="en-US" w:eastAsia="zh-CN" w:bidi="ar-SA"/>
      </w:rPr>
    </w:lvl>
    <w:lvl w:ilvl="6">
      <w:start w:val="0"/>
      <w:numFmt w:val="bullet"/>
      <w:lvlText w:val="•"/>
      <w:lvlJc w:val="left"/>
      <w:pPr>
        <w:ind w:left="6221" w:hanging="212"/>
      </w:pPr>
      <w:rPr>
        <w:rFonts w:hint="default"/>
        <w:lang w:val="en-US" w:eastAsia="zh-CN" w:bidi="ar-SA"/>
      </w:rPr>
    </w:lvl>
    <w:lvl w:ilvl="7">
      <w:start w:val="0"/>
      <w:numFmt w:val="bullet"/>
      <w:lvlText w:val="•"/>
      <w:lvlJc w:val="left"/>
      <w:pPr>
        <w:ind w:left="7337" w:hanging="212"/>
      </w:pPr>
      <w:rPr>
        <w:rFonts w:hint="default"/>
        <w:lang w:val="en-US" w:eastAsia="zh-CN" w:bidi="ar-SA"/>
      </w:rPr>
    </w:lvl>
    <w:lvl w:ilvl="8">
      <w:start w:val="0"/>
      <w:numFmt w:val="bullet"/>
      <w:lvlText w:val="•"/>
      <w:lvlJc w:val="left"/>
      <w:pPr>
        <w:ind w:left="8453" w:hanging="212"/>
      </w:pPr>
      <w:rPr>
        <w:rFonts w:hint="default"/>
        <w:lang w:val="en-US" w:eastAsia="zh-CN" w:bidi="ar-SA"/>
      </w:rPr>
    </w:lvl>
  </w:abstractNum>
  <w:abstractNum w:abstractNumId="109">
    <w:nsid w:val="2DDAE0FA"/>
    <w:multiLevelType w:val="multilevel"/>
    <w:tmpl w:val="2DDAE0F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760" w:hanging="525"/>
      </w:pPr>
      <w:rPr>
        <w:rFonts w:hint="default"/>
        <w:lang w:val="en-US" w:eastAsia="zh-CN" w:bidi="ar-SA"/>
      </w:rPr>
    </w:lvl>
    <w:lvl w:ilvl="2">
      <w:start w:val="0"/>
      <w:numFmt w:val="bullet"/>
      <w:lvlText w:val="•"/>
      <w:lvlJc w:val="left"/>
      <w:pPr>
        <w:ind w:left="1862" w:hanging="525"/>
      </w:pPr>
      <w:rPr>
        <w:rFonts w:hint="default"/>
        <w:lang w:val="en-US" w:eastAsia="zh-CN" w:bidi="ar-SA"/>
      </w:rPr>
    </w:lvl>
    <w:lvl w:ilvl="3">
      <w:start w:val="0"/>
      <w:numFmt w:val="bullet"/>
      <w:lvlText w:val="•"/>
      <w:lvlJc w:val="left"/>
      <w:pPr>
        <w:ind w:left="2965" w:hanging="525"/>
      </w:pPr>
      <w:rPr>
        <w:rFonts w:hint="default"/>
        <w:lang w:val="en-US" w:eastAsia="zh-CN" w:bidi="ar-SA"/>
      </w:rPr>
    </w:lvl>
    <w:lvl w:ilvl="4">
      <w:start w:val="0"/>
      <w:numFmt w:val="bullet"/>
      <w:lvlText w:val="•"/>
      <w:lvlJc w:val="left"/>
      <w:pPr>
        <w:ind w:left="4068" w:hanging="525"/>
      </w:pPr>
      <w:rPr>
        <w:rFonts w:hint="default"/>
        <w:lang w:val="en-US" w:eastAsia="zh-CN" w:bidi="ar-SA"/>
      </w:rPr>
    </w:lvl>
    <w:lvl w:ilvl="5">
      <w:start w:val="0"/>
      <w:numFmt w:val="bullet"/>
      <w:lvlText w:val="•"/>
      <w:lvlJc w:val="left"/>
      <w:pPr>
        <w:ind w:left="5171" w:hanging="525"/>
      </w:pPr>
      <w:rPr>
        <w:rFonts w:hint="default"/>
        <w:lang w:val="en-US" w:eastAsia="zh-CN" w:bidi="ar-SA"/>
      </w:rPr>
    </w:lvl>
    <w:lvl w:ilvl="6">
      <w:start w:val="0"/>
      <w:numFmt w:val="bullet"/>
      <w:lvlText w:val="•"/>
      <w:lvlJc w:val="left"/>
      <w:pPr>
        <w:ind w:left="6274" w:hanging="525"/>
      </w:pPr>
      <w:rPr>
        <w:rFonts w:hint="default"/>
        <w:lang w:val="en-US" w:eastAsia="zh-CN" w:bidi="ar-SA"/>
      </w:rPr>
    </w:lvl>
    <w:lvl w:ilvl="7">
      <w:start w:val="0"/>
      <w:numFmt w:val="bullet"/>
      <w:lvlText w:val="•"/>
      <w:lvlJc w:val="left"/>
      <w:pPr>
        <w:ind w:left="7377" w:hanging="525"/>
      </w:pPr>
      <w:rPr>
        <w:rFonts w:hint="default"/>
        <w:lang w:val="en-US" w:eastAsia="zh-CN" w:bidi="ar-SA"/>
      </w:rPr>
    </w:lvl>
    <w:lvl w:ilvl="8">
      <w:start w:val="0"/>
      <w:numFmt w:val="bullet"/>
      <w:lvlText w:val="•"/>
      <w:lvlJc w:val="left"/>
      <w:pPr>
        <w:ind w:left="8480" w:hanging="525"/>
      </w:pPr>
      <w:rPr>
        <w:rFonts w:hint="default"/>
        <w:lang w:val="en-US" w:eastAsia="zh-CN" w:bidi="ar-SA"/>
      </w:rPr>
    </w:lvl>
  </w:abstractNum>
  <w:abstractNum w:abstractNumId="110">
    <w:nsid w:val="372B31A4"/>
    <w:multiLevelType w:val="multilevel"/>
    <w:tmpl w:val="62DC3BBB"/>
    <w:lvl w:ilvl="0">
      <w:start w:val="1"/>
      <w:numFmt w:val="decimal"/>
      <w:lvlText w:val="%1）"/>
      <w:lvlJc w:val="left"/>
      <w:pPr>
        <w:ind w:left="227" w:hanging="316"/>
        <w:jc w:val="left"/>
      </w:pPr>
      <w:rPr>
        <w:rFonts w:ascii="宋体" w:eastAsia="宋体" w:hAnsi="宋体" w:cs="宋体" w:hint="default"/>
        <w:b w:val="0"/>
        <w:bCs w:val="0"/>
        <w:i w:val="0"/>
        <w:iCs w:val="0"/>
        <w:spacing w:val="-46"/>
        <w:w w:val="99"/>
        <w:sz w:val="19"/>
        <w:szCs w:val="19"/>
        <w:lang w:val="en-US" w:eastAsia="zh-CN" w:bidi="ar-SA"/>
      </w:rPr>
    </w:lvl>
    <w:lvl w:ilvl="1">
      <w:start w:val="1"/>
      <w:numFmt w:val="upperLetter"/>
      <w:lvlText w:val="%2."/>
      <w:lvlJc w:val="left"/>
      <w:pPr>
        <w:ind w:left="647" w:hanging="212"/>
        <w:jc w:val="left"/>
      </w:pPr>
      <w:rPr>
        <w:rFonts w:ascii="宋体" w:eastAsia="宋体" w:hAnsi="宋体" w:cs="宋体" w:hint="default"/>
        <w:b w:val="0"/>
        <w:bCs w:val="0"/>
        <w:i w:val="0"/>
        <w:iCs w:val="0"/>
        <w:spacing w:val="1"/>
        <w:w w:val="99"/>
        <w:sz w:val="19"/>
        <w:szCs w:val="19"/>
        <w:lang w:val="en-US" w:eastAsia="zh-CN" w:bidi="ar-SA"/>
      </w:rPr>
    </w:lvl>
    <w:lvl w:ilvl="2">
      <w:start w:val="0"/>
      <w:numFmt w:val="bullet"/>
      <w:lvlText w:val="•"/>
      <w:lvlJc w:val="left"/>
      <w:pPr>
        <w:ind w:left="1756" w:hanging="212"/>
      </w:pPr>
      <w:rPr>
        <w:rFonts w:hint="default"/>
        <w:lang w:val="en-US" w:eastAsia="zh-CN" w:bidi="ar-SA"/>
      </w:rPr>
    </w:lvl>
    <w:lvl w:ilvl="3">
      <w:start w:val="0"/>
      <w:numFmt w:val="bullet"/>
      <w:lvlText w:val="•"/>
      <w:lvlJc w:val="left"/>
      <w:pPr>
        <w:ind w:left="2872" w:hanging="212"/>
      </w:pPr>
      <w:rPr>
        <w:rFonts w:hint="default"/>
        <w:lang w:val="en-US" w:eastAsia="zh-CN" w:bidi="ar-SA"/>
      </w:rPr>
    </w:lvl>
    <w:lvl w:ilvl="4">
      <w:start w:val="0"/>
      <w:numFmt w:val="bullet"/>
      <w:lvlText w:val="•"/>
      <w:lvlJc w:val="left"/>
      <w:pPr>
        <w:ind w:left="3988" w:hanging="212"/>
      </w:pPr>
      <w:rPr>
        <w:rFonts w:hint="default"/>
        <w:lang w:val="en-US" w:eastAsia="zh-CN" w:bidi="ar-SA"/>
      </w:rPr>
    </w:lvl>
    <w:lvl w:ilvl="5">
      <w:start w:val="0"/>
      <w:numFmt w:val="bullet"/>
      <w:lvlText w:val="•"/>
      <w:lvlJc w:val="left"/>
      <w:pPr>
        <w:ind w:left="5104" w:hanging="212"/>
      </w:pPr>
      <w:rPr>
        <w:rFonts w:hint="default"/>
        <w:lang w:val="en-US" w:eastAsia="zh-CN" w:bidi="ar-SA"/>
      </w:rPr>
    </w:lvl>
    <w:lvl w:ilvl="6">
      <w:start w:val="0"/>
      <w:numFmt w:val="bullet"/>
      <w:lvlText w:val="•"/>
      <w:lvlJc w:val="left"/>
      <w:pPr>
        <w:ind w:left="6221" w:hanging="212"/>
      </w:pPr>
      <w:rPr>
        <w:rFonts w:hint="default"/>
        <w:lang w:val="en-US" w:eastAsia="zh-CN" w:bidi="ar-SA"/>
      </w:rPr>
    </w:lvl>
    <w:lvl w:ilvl="7">
      <w:start w:val="0"/>
      <w:numFmt w:val="bullet"/>
      <w:lvlText w:val="•"/>
      <w:lvlJc w:val="left"/>
      <w:pPr>
        <w:ind w:left="7337" w:hanging="212"/>
      </w:pPr>
      <w:rPr>
        <w:rFonts w:hint="default"/>
        <w:lang w:val="en-US" w:eastAsia="zh-CN" w:bidi="ar-SA"/>
      </w:rPr>
    </w:lvl>
    <w:lvl w:ilvl="8">
      <w:start w:val="0"/>
      <w:numFmt w:val="bullet"/>
      <w:lvlText w:val="•"/>
      <w:lvlJc w:val="left"/>
      <w:pPr>
        <w:ind w:left="8453" w:hanging="212"/>
      </w:pPr>
      <w:rPr>
        <w:rFonts w:hint="default"/>
        <w:lang w:val="en-US" w:eastAsia="zh-CN" w:bidi="ar-SA"/>
      </w:rPr>
    </w:lvl>
  </w:abstractNum>
  <w:abstractNum w:abstractNumId="111">
    <w:nsid w:val="377FAB63"/>
    <w:multiLevelType w:val="multilevel"/>
    <w:tmpl w:val="377FAB63"/>
    <w:lvl w:ilvl="0">
      <w:start w:val="1"/>
      <w:numFmt w:val="decimal"/>
      <w:lvlText w:val="%1）"/>
      <w:lvlJc w:val="left"/>
      <w:pPr>
        <w:ind w:left="227" w:hanging="316"/>
        <w:jc w:val="left"/>
      </w:pPr>
      <w:rPr>
        <w:rFonts w:ascii="宋体" w:eastAsia="宋体" w:hAnsi="宋体" w:cs="宋体" w:hint="default"/>
        <w:b w:val="0"/>
        <w:bCs w:val="0"/>
        <w:i w:val="0"/>
        <w:iCs w:val="0"/>
        <w:spacing w:val="-25"/>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112">
    <w:nsid w:val="396A2A3B"/>
    <w:multiLevelType w:val="multilevel"/>
    <w:tmpl w:val="396A2A3B"/>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13">
    <w:nsid w:val="399885CC"/>
    <w:multiLevelType w:val="multilevel"/>
    <w:tmpl w:val="399885CC"/>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14">
    <w:nsid w:val="3C78858A"/>
    <w:multiLevelType w:val="multilevel"/>
    <w:tmpl w:val="3C78858A"/>
    <w:lvl w:ilvl="0">
      <w:start w:val="1"/>
      <w:numFmt w:val="decimal"/>
      <w:lvlText w:val="（%1）"/>
      <w:lvlJc w:val="left"/>
      <w:pPr>
        <w:ind w:left="227"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15">
    <w:nsid w:val="3D07B957"/>
    <w:multiLevelType w:val="multilevel"/>
    <w:tmpl w:val="3D07B957"/>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16">
    <w:nsid w:val="3ED9DDFF"/>
    <w:multiLevelType w:val="multilevel"/>
    <w:tmpl w:val="3ED9DDFF"/>
    <w:lvl w:ilvl="0">
      <w:start w:val="2"/>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17">
    <w:nsid w:val="3EEE3506"/>
    <w:multiLevelType w:val="multilevel"/>
    <w:tmpl w:val="3EEE3506"/>
    <w:lvl w:ilvl="0">
      <w:start w:val="1"/>
      <w:numFmt w:val="decimal"/>
      <w:lvlText w:val="%1）"/>
      <w:lvlJc w:val="left"/>
      <w:pPr>
        <w:ind w:left="227" w:hanging="316"/>
        <w:jc w:val="left"/>
      </w:pPr>
      <w:rPr>
        <w:rFonts w:ascii="宋体" w:eastAsia="宋体" w:hAnsi="宋体" w:cs="宋体" w:hint="default"/>
        <w:b w:val="0"/>
        <w:bCs w:val="0"/>
        <w:i w:val="0"/>
        <w:iCs w:val="0"/>
        <w:spacing w:val="-25"/>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118">
    <w:nsid w:val="3FF06E8E"/>
    <w:multiLevelType w:val="multilevel"/>
    <w:tmpl w:val="3FF06E8E"/>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19">
    <w:nsid w:val="4134F84D"/>
    <w:multiLevelType w:val="multilevel"/>
    <w:tmpl w:val="4134F84D"/>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20">
    <w:nsid w:val="421092F7"/>
    <w:multiLevelType w:val="multilevel"/>
    <w:tmpl w:val="421092F7"/>
    <w:lvl w:ilvl="0">
      <w:start w:val="2"/>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121">
    <w:nsid w:val="435059D9"/>
    <w:multiLevelType w:val="multilevel"/>
    <w:tmpl w:val="435059D9"/>
    <w:lvl w:ilvl="0">
      <w:start w:val="1"/>
      <w:numFmt w:val="decimal"/>
      <w:lvlText w:val="（%1）"/>
      <w:lvlJc w:val="left"/>
      <w:pPr>
        <w:ind w:left="106" w:hanging="527"/>
        <w:jc w:val="left"/>
      </w:pPr>
      <w:rPr>
        <w:rFonts w:ascii="宋体" w:eastAsia="宋体" w:hAnsi="宋体" w:cs="宋体" w:hint="default"/>
        <w:b w:val="0"/>
        <w:bCs w:val="0"/>
        <w:i w:val="0"/>
        <w:iCs w:val="0"/>
        <w:spacing w:val="-49"/>
        <w:w w:val="99"/>
        <w:sz w:val="19"/>
        <w:szCs w:val="19"/>
        <w:lang w:val="en-US" w:eastAsia="zh-CN" w:bidi="ar-SA"/>
      </w:rPr>
    </w:lvl>
    <w:lvl w:ilvl="1">
      <w:start w:val="0"/>
      <w:numFmt w:val="bullet"/>
      <w:lvlText w:val="•"/>
      <w:lvlJc w:val="left"/>
      <w:pPr>
        <w:ind w:left="468" w:hanging="527"/>
      </w:pPr>
      <w:rPr>
        <w:rFonts w:hint="default"/>
        <w:lang w:val="en-US" w:eastAsia="zh-CN" w:bidi="ar-SA"/>
      </w:rPr>
    </w:lvl>
    <w:lvl w:ilvl="2">
      <w:start w:val="0"/>
      <w:numFmt w:val="bullet"/>
      <w:lvlText w:val="•"/>
      <w:lvlJc w:val="left"/>
      <w:pPr>
        <w:ind w:left="836" w:hanging="527"/>
      </w:pPr>
      <w:rPr>
        <w:rFonts w:hint="default"/>
        <w:lang w:val="en-US" w:eastAsia="zh-CN" w:bidi="ar-SA"/>
      </w:rPr>
    </w:lvl>
    <w:lvl w:ilvl="3">
      <w:start w:val="0"/>
      <w:numFmt w:val="bullet"/>
      <w:lvlText w:val="•"/>
      <w:lvlJc w:val="left"/>
      <w:pPr>
        <w:ind w:left="1204" w:hanging="527"/>
      </w:pPr>
      <w:rPr>
        <w:rFonts w:hint="default"/>
        <w:lang w:val="en-US" w:eastAsia="zh-CN" w:bidi="ar-SA"/>
      </w:rPr>
    </w:lvl>
    <w:lvl w:ilvl="4">
      <w:start w:val="0"/>
      <w:numFmt w:val="bullet"/>
      <w:lvlText w:val="•"/>
      <w:lvlJc w:val="left"/>
      <w:pPr>
        <w:ind w:left="1573" w:hanging="527"/>
      </w:pPr>
      <w:rPr>
        <w:rFonts w:hint="default"/>
        <w:lang w:val="en-US" w:eastAsia="zh-CN" w:bidi="ar-SA"/>
      </w:rPr>
    </w:lvl>
    <w:lvl w:ilvl="5">
      <w:start w:val="0"/>
      <w:numFmt w:val="bullet"/>
      <w:lvlText w:val="•"/>
      <w:lvlJc w:val="left"/>
      <w:pPr>
        <w:ind w:left="1941" w:hanging="527"/>
      </w:pPr>
      <w:rPr>
        <w:rFonts w:hint="default"/>
        <w:lang w:val="en-US" w:eastAsia="zh-CN" w:bidi="ar-SA"/>
      </w:rPr>
    </w:lvl>
    <w:lvl w:ilvl="6">
      <w:start w:val="0"/>
      <w:numFmt w:val="bullet"/>
      <w:lvlText w:val="•"/>
      <w:lvlJc w:val="left"/>
      <w:pPr>
        <w:ind w:left="2309" w:hanging="527"/>
      </w:pPr>
      <w:rPr>
        <w:rFonts w:hint="default"/>
        <w:lang w:val="en-US" w:eastAsia="zh-CN" w:bidi="ar-SA"/>
      </w:rPr>
    </w:lvl>
    <w:lvl w:ilvl="7">
      <w:start w:val="0"/>
      <w:numFmt w:val="bullet"/>
      <w:lvlText w:val="•"/>
      <w:lvlJc w:val="left"/>
      <w:pPr>
        <w:ind w:left="2678" w:hanging="527"/>
      </w:pPr>
      <w:rPr>
        <w:rFonts w:hint="default"/>
        <w:lang w:val="en-US" w:eastAsia="zh-CN" w:bidi="ar-SA"/>
      </w:rPr>
    </w:lvl>
    <w:lvl w:ilvl="8">
      <w:start w:val="0"/>
      <w:numFmt w:val="bullet"/>
      <w:lvlText w:val="•"/>
      <w:lvlJc w:val="left"/>
      <w:pPr>
        <w:ind w:left="3046" w:hanging="527"/>
      </w:pPr>
      <w:rPr>
        <w:rFonts w:hint="default"/>
        <w:lang w:val="en-US" w:eastAsia="zh-CN" w:bidi="ar-SA"/>
      </w:rPr>
    </w:lvl>
  </w:abstractNum>
  <w:abstractNum w:abstractNumId="122">
    <w:nsid w:val="437893CB"/>
    <w:multiLevelType w:val="multilevel"/>
    <w:tmpl w:val="437893CB"/>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23">
    <w:nsid w:val="44B235A0"/>
    <w:multiLevelType w:val="multilevel"/>
    <w:tmpl w:val="44B235A0"/>
    <w:lvl w:ilvl="0">
      <w:start w:val="2"/>
      <w:numFmt w:val="decimal"/>
      <w:lvlText w:val="%1）"/>
      <w:lvlJc w:val="left"/>
      <w:pPr>
        <w:ind w:left="421" w:hanging="314"/>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119" w:hanging="314"/>
      </w:pPr>
      <w:rPr>
        <w:rFonts w:hint="default"/>
        <w:lang w:val="en-US" w:eastAsia="zh-CN" w:bidi="ar-SA"/>
      </w:rPr>
    </w:lvl>
    <w:lvl w:ilvl="2">
      <w:start w:val="0"/>
      <w:numFmt w:val="bullet"/>
      <w:lvlText w:val="•"/>
      <w:lvlJc w:val="left"/>
      <w:pPr>
        <w:ind w:left="1818" w:hanging="314"/>
      </w:pPr>
      <w:rPr>
        <w:rFonts w:hint="default"/>
        <w:lang w:val="en-US" w:eastAsia="zh-CN" w:bidi="ar-SA"/>
      </w:rPr>
    </w:lvl>
    <w:lvl w:ilvl="3">
      <w:start w:val="0"/>
      <w:numFmt w:val="bullet"/>
      <w:lvlText w:val="•"/>
      <w:lvlJc w:val="left"/>
      <w:pPr>
        <w:ind w:left="2517" w:hanging="314"/>
      </w:pPr>
      <w:rPr>
        <w:rFonts w:hint="default"/>
        <w:lang w:val="en-US" w:eastAsia="zh-CN" w:bidi="ar-SA"/>
      </w:rPr>
    </w:lvl>
    <w:lvl w:ilvl="4">
      <w:start w:val="0"/>
      <w:numFmt w:val="bullet"/>
      <w:lvlText w:val="•"/>
      <w:lvlJc w:val="left"/>
      <w:pPr>
        <w:ind w:left="3216" w:hanging="314"/>
      </w:pPr>
      <w:rPr>
        <w:rFonts w:hint="default"/>
        <w:lang w:val="en-US" w:eastAsia="zh-CN" w:bidi="ar-SA"/>
      </w:rPr>
    </w:lvl>
    <w:lvl w:ilvl="5">
      <w:start w:val="0"/>
      <w:numFmt w:val="bullet"/>
      <w:lvlText w:val="•"/>
      <w:lvlJc w:val="left"/>
      <w:pPr>
        <w:ind w:left="3915" w:hanging="314"/>
      </w:pPr>
      <w:rPr>
        <w:rFonts w:hint="default"/>
        <w:lang w:val="en-US" w:eastAsia="zh-CN" w:bidi="ar-SA"/>
      </w:rPr>
    </w:lvl>
    <w:lvl w:ilvl="6">
      <w:start w:val="0"/>
      <w:numFmt w:val="bullet"/>
      <w:lvlText w:val="•"/>
      <w:lvlJc w:val="left"/>
      <w:pPr>
        <w:ind w:left="4614" w:hanging="314"/>
      </w:pPr>
      <w:rPr>
        <w:rFonts w:hint="default"/>
        <w:lang w:val="en-US" w:eastAsia="zh-CN" w:bidi="ar-SA"/>
      </w:rPr>
    </w:lvl>
    <w:lvl w:ilvl="7">
      <w:start w:val="0"/>
      <w:numFmt w:val="bullet"/>
      <w:lvlText w:val="•"/>
      <w:lvlJc w:val="left"/>
      <w:pPr>
        <w:ind w:left="5313" w:hanging="314"/>
      </w:pPr>
      <w:rPr>
        <w:rFonts w:hint="default"/>
        <w:lang w:val="en-US" w:eastAsia="zh-CN" w:bidi="ar-SA"/>
      </w:rPr>
    </w:lvl>
    <w:lvl w:ilvl="8">
      <w:start w:val="0"/>
      <w:numFmt w:val="bullet"/>
      <w:lvlText w:val="•"/>
      <w:lvlJc w:val="left"/>
      <w:pPr>
        <w:ind w:left="6012" w:hanging="314"/>
      </w:pPr>
      <w:rPr>
        <w:rFonts w:hint="default"/>
        <w:lang w:val="en-US" w:eastAsia="zh-CN" w:bidi="ar-SA"/>
      </w:rPr>
    </w:lvl>
  </w:abstractNum>
  <w:abstractNum w:abstractNumId="124">
    <w:nsid w:val="4624B9CF"/>
    <w:multiLevelType w:val="multilevel"/>
    <w:tmpl w:val="4624B9CF"/>
    <w:lvl w:ilvl="0">
      <w:start w:val="6"/>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125">
    <w:nsid w:val="4AB3E542"/>
    <w:multiLevelType w:val="multilevel"/>
    <w:tmpl w:val="4AB3E542"/>
    <w:lvl w:ilvl="0">
      <w:start w:val="1"/>
      <w:numFmt w:val="decimal"/>
      <w:lvlText w:val="%1）"/>
      <w:lvlJc w:val="left"/>
      <w:pPr>
        <w:ind w:left="227" w:hanging="316"/>
        <w:jc w:val="left"/>
      </w:pPr>
      <w:rPr>
        <w:rFonts w:ascii="宋体" w:eastAsia="宋体" w:hAnsi="宋体" w:cs="宋体" w:hint="default"/>
        <w:b w:val="0"/>
        <w:bCs w:val="0"/>
        <w:i w:val="0"/>
        <w:iCs w:val="0"/>
        <w:spacing w:val="-32"/>
        <w:w w:val="99"/>
        <w:sz w:val="19"/>
        <w:szCs w:val="19"/>
        <w:lang w:val="en-US" w:eastAsia="zh-CN" w:bidi="ar-SA"/>
      </w:rPr>
    </w:lvl>
    <w:lvl w:ilvl="1">
      <w:start w:val="0"/>
      <w:numFmt w:val="bullet"/>
      <w:lvlText w:val="•"/>
      <w:lvlJc w:val="left"/>
      <w:pPr>
        <w:ind w:left="640" w:hanging="316"/>
      </w:pPr>
      <w:rPr>
        <w:rFonts w:hint="default"/>
        <w:lang w:val="en-US" w:eastAsia="zh-CN" w:bidi="ar-SA"/>
      </w:rPr>
    </w:lvl>
    <w:lvl w:ilvl="2">
      <w:start w:val="0"/>
      <w:numFmt w:val="bullet"/>
      <w:lvlText w:val="•"/>
      <w:lvlJc w:val="left"/>
      <w:pPr>
        <w:ind w:left="1756" w:hanging="316"/>
      </w:pPr>
      <w:rPr>
        <w:rFonts w:hint="default"/>
        <w:lang w:val="en-US" w:eastAsia="zh-CN" w:bidi="ar-SA"/>
      </w:rPr>
    </w:lvl>
    <w:lvl w:ilvl="3">
      <w:start w:val="0"/>
      <w:numFmt w:val="bullet"/>
      <w:lvlText w:val="•"/>
      <w:lvlJc w:val="left"/>
      <w:pPr>
        <w:ind w:left="2872" w:hanging="316"/>
      </w:pPr>
      <w:rPr>
        <w:rFonts w:hint="default"/>
        <w:lang w:val="en-US" w:eastAsia="zh-CN" w:bidi="ar-SA"/>
      </w:rPr>
    </w:lvl>
    <w:lvl w:ilvl="4">
      <w:start w:val="0"/>
      <w:numFmt w:val="bullet"/>
      <w:lvlText w:val="•"/>
      <w:lvlJc w:val="left"/>
      <w:pPr>
        <w:ind w:left="3988" w:hanging="316"/>
      </w:pPr>
      <w:rPr>
        <w:rFonts w:hint="default"/>
        <w:lang w:val="en-US" w:eastAsia="zh-CN" w:bidi="ar-SA"/>
      </w:rPr>
    </w:lvl>
    <w:lvl w:ilvl="5">
      <w:start w:val="0"/>
      <w:numFmt w:val="bullet"/>
      <w:lvlText w:val="•"/>
      <w:lvlJc w:val="left"/>
      <w:pPr>
        <w:ind w:left="5104" w:hanging="316"/>
      </w:pPr>
      <w:rPr>
        <w:rFonts w:hint="default"/>
        <w:lang w:val="en-US" w:eastAsia="zh-CN" w:bidi="ar-SA"/>
      </w:rPr>
    </w:lvl>
    <w:lvl w:ilvl="6">
      <w:start w:val="0"/>
      <w:numFmt w:val="bullet"/>
      <w:lvlText w:val="•"/>
      <w:lvlJc w:val="left"/>
      <w:pPr>
        <w:ind w:left="6221" w:hanging="316"/>
      </w:pPr>
      <w:rPr>
        <w:rFonts w:hint="default"/>
        <w:lang w:val="en-US" w:eastAsia="zh-CN" w:bidi="ar-SA"/>
      </w:rPr>
    </w:lvl>
    <w:lvl w:ilvl="7">
      <w:start w:val="0"/>
      <w:numFmt w:val="bullet"/>
      <w:lvlText w:val="•"/>
      <w:lvlJc w:val="left"/>
      <w:pPr>
        <w:ind w:left="7337" w:hanging="316"/>
      </w:pPr>
      <w:rPr>
        <w:rFonts w:hint="default"/>
        <w:lang w:val="en-US" w:eastAsia="zh-CN" w:bidi="ar-SA"/>
      </w:rPr>
    </w:lvl>
    <w:lvl w:ilvl="8">
      <w:start w:val="0"/>
      <w:numFmt w:val="bullet"/>
      <w:lvlText w:val="•"/>
      <w:lvlJc w:val="left"/>
      <w:pPr>
        <w:ind w:left="8453" w:hanging="316"/>
      </w:pPr>
      <w:rPr>
        <w:rFonts w:hint="default"/>
        <w:lang w:val="en-US" w:eastAsia="zh-CN" w:bidi="ar-SA"/>
      </w:rPr>
    </w:lvl>
  </w:abstractNum>
  <w:abstractNum w:abstractNumId="126">
    <w:nsid w:val="4BE513CA"/>
    <w:multiLevelType w:val="multilevel"/>
    <w:tmpl w:val="4BE513C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27">
    <w:nsid w:val="4CF509F8"/>
    <w:multiLevelType w:val="multilevel"/>
    <w:tmpl w:val="4CF509F8"/>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128">
    <w:nsid w:val="4E24F342"/>
    <w:multiLevelType w:val="multilevel"/>
    <w:tmpl w:val="4E24F342"/>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29">
    <w:nsid w:val="506A3C3E"/>
    <w:multiLevelType w:val="multilevel"/>
    <w:tmpl w:val="506A3C3E"/>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30">
    <w:nsid w:val="5190733E"/>
    <w:multiLevelType w:val="multilevel"/>
    <w:tmpl w:val="5190733E"/>
    <w:lvl w:ilvl="0">
      <w:start w:val="2"/>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31">
    <w:nsid w:val="51F49DDE"/>
    <w:multiLevelType w:val="multilevel"/>
    <w:tmpl w:val="51F49DDE"/>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32">
    <w:nsid w:val="52189D80"/>
    <w:multiLevelType w:val="multilevel"/>
    <w:tmpl w:val="52189D80"/>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133">
    <w:nsid w:val="525CCC1F"/>
    <w:multiLevelType w:val="multilevel"/>
    <w:tmpl w:val="525CCC1F"/>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34">
    <w:nsid w:val="527875AF"/>
    <w:multiLevelType w:val="multilevel"/>
    <w:tmpl w:val="527875AF"/>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35">
    <w:nsid w:val="53E2DC2C"/>
    <w:multiLevelType w:val="multilevel"/>
    <w:tmpl w:val="53E2DC2C"/>
    <w:lvl w:ilvl="0">
      <w:start w:val="1"/>
      <w:numFmt w:val="decimal"/>
      <w:lvlText w:val="%1."/>
      <w:lvlJc w:val="left"/>
      <w:pPr>
        <w:ind w:left="43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4" w:hanging="212"/>
      </w:pPr>
      <w:rPr>
        <w:rFonts w:hint="default"/>
        <w:lang w:val="en-US" w:eastAsia="zh-CN" w:bidi="ar-SA"/>
      </w:rPr>
    </w:lvl>
    <w:lvl w:ilvl="2">
      <w:start w:val="0"/>
      <w:numFmt w:val="bullet"/>
      <w:lvlText w:val="•"/>
      <w:lvlJc w:val="left"/>
      <w:pPr>
        <w:ind w:left="2489" w:hanging="212"/>
      </w:pPr>
      <w:rPr>
        <w:rFonts w:hint="default"/>
        <w:lang w:val="en-US" w:eastAsia="zh-CN" w:bidi="ar-SA"/>
      </w:rPr>
    </w:lvl>
    <w:lvl w:ilvl="3">
      <w:start w:val="0"/>
      <w:numFmt w:val="bullet"/>
      <w:lvlText w:val="•"/>
      <w:lvlJc w:val="left"/>
      <w:pPr>
        <w:ind w:left="3513" w:hanging="212"/>
      </w:pPr>
      <w:rPr>
        <w:rFonts w:hint="default"/>
        <w:lang w:val="en-US" w:eastAsia="zh-CN" w:bidi="ar-SA"/>
      </w:rPr>
    </w:lvl>
    <w:lvl w:ilvl="4">
      <w:start w:val="0"/>
      <w:numFmt w:val="bullet"/>
      <w:lvlText w:val="•"/>
      <w:lvlJc w:val="left"/>
      <w:pPr>
        <w:ind w:left="4538" w:hanging="212"/>
      </w:pPr>
      <w:rPr>
        <w:rFonts w:hint="default"/>
        <w:lang w:val="en-US" w:eastAsia="zh-CN" w:bidi="ar-SA"/>
      </w:rPr>
    </w:lvl>
    <w:lvl w:ilvl="5">
      <w:start w:val="0"/>
      <w:numFmt w:val="bullet"/>
      <w:lvlText w:val="•"/>
      <w:lvlJc w:val="left"/>
      <w:pPr>
        <w:ind w:left="5563" w:hanging="212"/>
      </w:pPr>
      <w:rPr>
        <w:rFonts w:hint="default"/>
        <w:lang w:val="en-US" w:eastAsia="zh-CN" w:bidi="ar-SA"/>
      </w:rPr>
    </w:lvl>
    <w:lvl w:ilvl="6">
      <w:start w:val="0"/>
      <w:numFmt w:val="bullet"/>
      <w:lvlText w:val="•"/>
      <w:lvlJc w:val="left"/>
      <w:pPr>
        <w:ind w:left="6587" w:hanging="212"/>
      </w:pPr>
      <w:rPr>
        <w:rFonts w:hint="default"/>
        <w:lang w:val="en-US" w:eastAsia="zh-CN" w:bidi="ar-SA"/>
      </w:rPr>
    </w:lvl>
    <w:lvl w:ilvl="7">
      <w:start w:val="0"/>
      <w:numFmt w:val="bullet"/>
      <w:lvlText w:val="•"/>
      <w:lvlJc w:val="left"/>
      <w:pPr>
        <w:ind w:left="7612" w:hanging="212"/>
      </w:pPr>
      <w:rPr>
        <w:rFonts w:hint="default"/>
        <w:lang w:val="en-US" w:eastAsia="zh-CN" w:bidi="ar-SA"/>
      </w:rPr>
    </w:lvl>
    <w:lvl w:ilvl="8">
      <w:start w:val="0"/>
      <w:numFmt w:val="bullet"/>
      <w:lvlText w:val="•"/>
      <w:lvlJc w:val="left"/>
      <w:pPr>
        <w:ind w:left="8636" w:hanging="212"/>
      </w:pPr>
      <w:rPr>
        <w:rFonts w:hint="default"/>
        <w:lang w:val="en-US" w:eastAsia="zh-CN" w:bidi="ar-SA"/>
      </w:rPr>
    </w:lvl>
  </w:abstractNum>
  <w:abstractNum w:abstractNumId="136">
    <w:nsid w:val="58ED9A51"/>
    <w:multiLevelType w:val="multilevel"/>
    <w:tmpl w:val="58ED9A51"/>
    <w:lvl w:ilvl="0">
      <w:start w:val="1"/>
      <w:numFmt w:val="decimal"/>
      <w:lvlText w:val="（%1）"/>
      <w:lvlJc w:val="left"/>
      <w:pPr>
        <w:ind w:left="227" w:hanging="525"/>
        <w:jc w:val="left"/>
      </w:pPr>
      <w:rPr>
        <w:rFonts w:ascii="宋体" w:eastAsia="宋体" w:hAnsi="宋体" w:cs="宋体" w:hint="default"/>
        <w:b w:val="0"/>
        <w:bCs w:val="0"/>
        <w:i w:val="0"/>
        <w:iCs w:val="0"/>
        <w:spacing w:val="-17"/>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37">
    <w:nsid w:val="59DBDD0D"/>
    <w:multiLevelType w:val="multilevel"/>
    <w:tmpl w:val="058766AE"/>
    <w:lvl w:ilvl="0">
      <w:start w:val="2"/>
      <w:numFmt w:val="upperLetter"/>
      <w:lvlText w:val="%1."/>
      <w:lvlJc w:val="left"/>
      <w:pPr>
        <w:ind w:left="858"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842" w:hanging="212"/>
      </w:pPr>
      <w:rPr>
        <w:rFonts w:hint="default"/>
        <w:lang w:val="en-US" w:eastAsia="zh-CN" w:bidi="ar-SA"/>
      </w:rPr>
    </w:lvl>
    <w:lvl w:ilvl="2">
      <w:start w:val="0"/>
      <w:numFmt w:val="bullet"/>
      <w:lvlText w:val="•"/>
      <w:lvlJc w:val="left"/>
      <w:pPr>
        <w:ind w:left="2825" w:hanging="212"/>
      </w:pPr>
      <w:rPr>
        <w:rFonts w:hint="default"/>
        <w:lang w:val="en-US" w:eastAsia="zh-CN" w:bidi="ar-SA"/>
      </w:rPr>
    </w:lvl>
    <w:lvl w:ilvl="3">
      <w:start w:val="0"/>
      <w:numFmt w:val="bullet"/>
      <w:lvlText w:val="•"/>
      <w:lvlJc w:val="left"/>
      <w:pPr>
        <w:ind w:left="3807" w:hanging="212"/>
      </w:pPr>
      <w:rPr>
        <w:rFonts w:hint="default"/>
        <w:lang w:val="en-US" w:eastAsia="zh-CN" w:bidi="ar-SA"/>
      </w:rPr>
    </w:lvl>
    <w:lvl w:ilvl="4">
      <w:start w:val="0"/>
      <w:numFmt w:val="bullet"/>
      <w:lvlText w:val="•"/>
      <w:lvlJc w:val="left"/>
      <w:pPr>
        <w:ind w:left="4790" w:hanging="212"/>
      </w:pPr>
      <w:rPr>
        <w:rFonts w:hint="default"/>
        <w:lang w:val="en-US" w:eastAsia="zh-CN" w:bidi="ar-SA"/>
      </w:rPr>
    </w:lvl>
    <w:lvl w:ilvl="5">
      <w:start w:val="0"/>
      <w:numFmt w:val="bullet"/>
      <w:lvlText w:val="•"/>
      <w:lvlJc w:val="left"/>
      <w:pPr>
        <w:ind w:left="5773" w:hanging="212"/>
      </w:pPr>
      <w:rPr>
        <w:rFonts w:hint="default"/>
        <w:lang w:val="en-US" w:eastAsia="zh-CN" w:bidi="ar-SA"/>
      </w:rPr>
    </w:lvl>
    <w:lvl w:ilvl="6">
      <w:start w:val="0"/>
      <w:numFmt w:val="bullet"/>
      <w:lvlText w:val="•"/>
      <w:lvlJc w:val="left"/>
      <w:pPr>
        <w:ind w:left="6755" w:hanging="212"/>
      </w:pPr>
      <w:rPr>
        <w:rFonts w:hint="default"/>
        <w:lang w:val="en-US" w:eastAsia="zh-CN" w:bidi="ar-SA"/>
      </w:rPr>
    </w:lvl>
    <w:lvl w:ilvl="7">
      <w:start w:val="0"/>
      <w:numFmt w:val="bullet"/>
      <w:lvlText w:val="•"/>
      <w:lvlJc w:val="left"/>
      <w:pPr>
        <w:ind w:left="7738" w:hanging="212"/>
      </w:pPr>
      <w:rPr>
        <w:rFonts w:hint="default"/>
        <w:lang w:val="en-US" w:eastAsia="zh-CN" w:bidi="ar-SA"/>
      </w:rPr>
    </w:lvl>
    <w:lvl w:ilvl="8">
      <w:start w:val="0"/>
      <w:numFmt w:val="bullet"/>
      <w:lvlText w:val="•"/>
      <w:lvlJc w:val="left"/>
      <w:pPr>
        <w:ind w:left="8720" w:hanging="212"/>
      </w:pPr>
      <w:rPr>
        <w:rFonts w:hint="default"/>
        <w:lang w:val="en-US" w:eastAsia="zh-CN" w:bidi="ar-SA"/>
      </w:rPr>
    </w:lvl>
  </w:abstractNum>
  <w:abstractNum w:abstractNumId="138">
    <w:nsid w:val="5C3F7FDD"/>
    <w:multiLevelType w:val="multilevel"/>
    <w:tmpl w:val="5C3F7FDD"/>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39">
    <w:nsid w:val="5E588D89"/>
    <w:multiLevelType w:val="multilevel"/>
    <w:tmpl w:val="5E588D89"/>
    <w:lvl w:ilvl="0">
      <w:start w:val="1"/>
      <w:numFmt w:val="decimal"/>
      <w:lvlText w:val="（%1）"/>
      <w:lvlJc w:val="left"/>
      <w:pPr>
        <w:ind w:left="751" w:hanging="525"/>
        <w:jc w:val="left"/>
      </w:pPr>
      <w:rPr>
        <w:rFonts w:ascii="宋体" w:eastAsia="宋体" w:hAnsi="宋体" w:cs="宋体" w:hint="default"/>
        <w:b w:val="0"/>
        <w:bCs w:val="0"/>
        <w:i w:val="0"/>
        <w:iCs w:val="0"/>
        <w:spacing w:val="-104"/>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40">
    <w:nsid w:val="5F3AF6AE"/>
    <w:multiLevelType w:val="multilevel"/>
    <w:tmpl w:val="5F3AF6AE"/>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41">
    <w:nsid w:val="603E6203"/>
    <w:multiLevelType w:val="multilevel"/>
    <w:tmpl w:val="603E6203"/>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42">
    <w:nsid w:val="6093059A"/>
    <w:multiLevelType w:val="multilevel"/>
    <w:tmpl w:val="6093059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43">
    <w:nsid w:val="62DC3BBB"/>
    <w:multiLevelType w:val="multilevel"/>
    <w:tmpl w:val="62DC3BBB"/>
    <w:lvl w:ilvl="0">
      <w:start w:val="1"/>
      <w:numFmt w:val="decimal"/>
      <w:lvlText w:val="%1）"/>
      <w:lvlJc w:val="left"/>
      <w:pPr>
        <w:ind w:left="227" w:hanging="316"/>
        <w:jc w:val="left"/>
      </w:pPr>
      <w:rPr>
        <w:rFonts w:ascii="宋体" w:eastAsia="宋体" w:hAnsi="宋体" w:cs="宋体" w:hint="default"/>
        <w:b w:val="0"/>
        <w:bCs w:val="0"/>
        <w:i w:val="0"/>
        <w:iCs w:val="0"/>
        <w:spacing w:val="-46"/>
        <w:w w:val="99"/>
        <w:sz w:val="19"/>
        <w:szCs w:val="19"/>
        <w:lang w:val="en-US" w:eastAsia="zh-CN" w:bidi="ar-SA"/>
      </w:rPr>
    </w:lvl>
    <w:lvl w:ilvl="1">
      <w:start w:val="1"/>
      <w:numFmt w:val="upperLetter"/>
      <w:lvlText w:val="%2."/>
      <w:lvlJc w:val="left"/>
      <w:pPr>
        <w:ind w:left="647" w:hanging="212"/>
        <w:jc w:val="left"/>
      </w:pPr>
      <w:rPr>
        <w:rFonts w:ascii="宋体" w:eastAsia="宋体" w:hAnsi="宋体" w:cs="宋体" w:hint="default"/>
        <w:b w:val="0"/>
        <w:bCs w:val="0"/>
        <w:i w:val="0"/>
        <w:iCs w:val="0"/>
        <w:spacing w:val="1"/>
        <w:w w:val="99"/>
        <w:sz w:val="19"/>
        <w:szCs w:val="19"/>
        <w:lang w:val="en-US" w:eastAsia="zh-CN" w:bidi="ar-SA"/>
      </w:rPr>
    </w:lvl>
    <w:lvl w:ilvl="2">
      <w:start w:val="0"/>
      <w:numFmt w:val="bullet"/>
      <w:lvlText w:val="•"/>
      <w:lvlJc w:val="left"/>
      <w:pPr>
        <w:ind w:left="1756" w:hanging="212"/>
      </w:pPr>
      <w:rPr>
        <w:rFonts w:hint="default"/>
        <w:lang w:val="en-US" w:eastAsia="zh-CN" w:bidi="ar-SA"/>
      </w:rPr>
    </w:lvl>
    <w:lvl w:ilvl="3">
      <w:start w:val="0"/>
      <w:numFmt w:val="bullet"/>
      <w:lvlText w:val="•"/>
      <w:lvlJc w:val="left"/>
      <w:pPr>
        <w:ind w:left="2872" w:hanging="212"/>
      </w:pPr>
      <w:rPr>
        <w:rFonts w:hint="default"/>
        <w:lang w:val="en-US" w:eastAsia="zh-CN" w:bidi="ar-SA"/>
      </w:rPr>
    </w:lvl>
    <w:lvl w:ilvl="4">
      <w:start w:val="0"/>
      <w:numFmt w:val="bullet"/>
      <w:lvlText w:val="•"/>
      <w:lvlJc w:val="left"/>
      <w:pPr>
        <w:ind w:left="3988" w:hanging="212"/>
      </w:pPr>
      <w:rPr>
        <w:rFonts w:hint="default"/>
        <w:lang w:val="en-US" w:eastAsia="zh-CN" w:bidi="ar-SA"/>
      </w:rPr>
    </w:lvl>
    <w:lvl w:ilvl="5">
      <w:start w:val="0"/>
      <w:numFmt w:val="bullet"/>
      <w:lvlText w:val="•"/>
      <w:lvlJc w:val="left"/>
      <w:pPr>
        <w:ind w:left="5104" w:hanging="212"/>
      </w:pPr>
      <w:rPr>
        <w:rFonts w:hint="default"/>
        <w:lang w:val="en-US" w:eastAsia="zh-CN" w:bidi="ar-SA"/>
      </w:rPr>
    </w:lvl>
    <w:lvl w:ilvl="6">
      <w:start w:val="0"/>
      <w:numFmt w:val="bullet"/>
      <w:lvlText w:val="•"/>
      <w:lvlJc w:val="left"/>
      <w:pPr>
        <w:ind w:left="6221" w:hanging="212"/>
      </w:pPr>
      <w:rPr>
        <w:rFonts w:hint="default"/>
        <w:lang w:val="en-US" w:eastAsia="zh-CN" w:bidi="ar-SA"/>
      </w:rPr>
    </w:lvl>
    <w:lvl w:ilvl="7">
      <w:start w:val="0"/>
      <w:numFmt w:val="bullet"/>
      <w:lvlText w:val="•"/>
      <w:lvlJc w:val="left"/>
      <w:pPr>
        <w:ind w:left="7337" w:hanging="212"/>
      </w:pPr>
      <w:rPr>
        <w:rFonts w:hint="default"/>
        <w:lang w:val="en-US" w:eastAsia="zh-CN" w:bidi="ar-SA"/>
      </w:rPr>
    </w:lvl>
    <w:lvl w:ilvl="8">
      <w:start w:val="0"/>
      <w:numFmt w:val="bullet"/>
      <w:lvlText w:val="•"/>
      <w:lvlJc w:val="left"/>
      <w:pPr>
        <w:ind w:left="8453" w:hanging="212"/>
      </w:pPr>
      <w:rPr>
        <w:rFonts w:hint="default"/>
        <w:lang w:val="en-US" w:eastAsia="zh-CN" w:bidi="ar-SA"/>
      </w:rPr>
    </w:lvl>
  </w:abstractNum>
  <w:abstractNum w:abstractNumId="144">
    <w:nsid w:val="658C3765"/>
    <w:multiLevelType w:val="multilevel"/>
    <w:tmpl w:val="658C3765"/>
    <w:lvl w:ilvl="0">
      <w:start w:val="1"/>
      <w:numFmt w:val="decimal"/>
      <w:lvlText w:val="（%1）"/>
      <w:lvlJc w:val="left"/>
      <w:pPr>
        <w:ind w:left="227" w:hanging="525"/>
        <w:jc w:val="left"/>
      </w:pPr>
      <w:rPr>
        <w:rFonts w:ascii="宋体" w:eastAsia="宋体" w:hAnsi="宋体" w:cs="宋体" w:hint="default"/>
        <w:b w:val="0"/>
        <w:bCs w:val="0"/>
        <w:i w:val="0"/>
        <w:iCs w:val="0"/>
        <w:spacing w:val="-22"/>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45">
    <w:nsid w:val="696476D1"/>
    <w:multiLevelType w:val="multilevel"/>
    <w:tmpl w:val="696476D1"/>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46">
    <w:nsid w:val="6D5D496F"/>
    <w:multiLevelType w:val="multilevel"/>
    <w:tmpl w:val="6D5D496F"/>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47">
    <w:nsid w:val="6E4D7807"/>
    <w:multiLevelType w:val="multilevel"/>
    <w:tmpl w:val="6E4D7807"/>
    <w:lvl w:ilvl="0">
      <w:start w:val="1"/>
      <w:numFmt w:val="decimal"/>
      <w:lvlText w:val="%1）"/>
      <w:lvlJc w:val="left"/>
      <w:pPr>
        <w:ind w:left="227" w:hanging="316"/>
        <w:jc w:val="left"/>
      </w:pPr>
      <w:rPr>
        <w:rFonts w:ascii="宋体" w:eastAsia="宋体" w:hAnsi="宋体" w:cs="宋体" w:hint="default"/>
        <w:b w:val="0"/>
        <w:bCs w:val="0"/>
        <w:i w:val="0"/>
        <w:iCs w:val="0"/>
        <w:spacing w:val="-32"/>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148">
    <w:nsid w:val="6E4E6954"/>
    <w:multiLevelType w:val="multilevel"/>
    <w:tmpl w:val="6E4E6954"/>
    <w:lvl w:ilvl="0">
      <w:start w:val="1"/>
      <w:numFmt w:val="decimal"/>
      <w:lvlText w:val="%1）"/>
      <w:lvlJc w:val="left"/>
      <w:pPr>
        <w:ind w:left="227" w:hanging="317"/>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266" w:hanging="317"/>
      </w:pPr>
      <w:rPr>
        <w:rFonts w:hint="default"/>
        <w:lang w:val="en-US" w:eastAsia="zh-CN" w:bidi="ar-SA"/>
      </w:rPr>
    </w:lvl>
    <w:lvl w:ilvl="2">
      <w:start w:val="0"/>
      <w:numFmt w:val="bullet"/>
      <w:lvlText w:val="•"/>
      <w:lvlJc w:val="left"/>
      <w:pPr>
        <w:ind w:left="2313" w:hanging="317"/>
      </w:pPr>
      <w:rPr>
        <w:rFonts w:hint="default"/>
        <w:lang w:val="en-US" w:eastAsia="zh-CN" w:bidi="ar-SA"/>
      </w:rPr>
    </w:lvl>
    <w:lvl w:ilvl="3">
      <w:start w:val="0"/>
      <w:numFmt w:val="bullet"/>
      <w:lvlText w:val="•"/>
      <w:lvlJc w:val="left"/>
      <w:pPr>
        <w:ind w:left="3359" w:hanging="317"/>
      </w:pPr>
      <w:rPr>
        <w:rFonts w:hint="default"/>
        <w:lang w:val="en-US" w:eastAsia="zh-CN" w:bidi="ar-SA"/>
      </w:rPr>
    </w:lvl>
    <w:lvl w:ilvl="4">
      <w:start w:val="0"/>
      <w:numFmt w:val="bullet"/>
      <w:lvlText w:val="•"/>
      <w:lvlJc w:val="left"/>
      <w:pPr>
        <w:ind w:left="4406" w:hanging="317"/>
      </w:pPr>
      <w:rPr>
        <w:rFonts w:hint="default"/>
        <w:lang w:val="en-US" w:eastAsia="zh-CN" w:bidi="ar-SA"/>
      </w:rPr>
    </w:lvl>
    <w:lvl w:ilvl="5">
      <w:start w:val="0"/>
      <w:numFmt w:val="bullet"/>
      <w:lvlText w:val="•"/>
      <w:lvlJc w:val="left"/>
      <w:pPr>
        <w:ind w:left="5453" w:hanging="317"/>
      </w:pPr>
      <w:rPr>
        <w:rFonts w:hint="default"/>
        <w:lang w:val="en-US" w:eastAsia="zh-CN" w:bidi="ar-SA"/>
      </w:rPr>
    </w:lvl>
    <w:lvl w:ilvl="6">
      <w:start w:val="0"/>
      <w:numFmt w:val="bullet"/>
      <w:lvlText w:val="•"/>
      <w:lvlJc w:val="left"/>
      <w:pPr>
        <w:ind w:left="6499" w:hanging="317"/>
      </w:pPr>
      <w:rPr>
        <w:rFonts w:hint="default"/>
        <w:lang w:val="en-US" w:eastAsia="zh-CN" w:bidi="ar-SA"/>
      </w:rPr>
    </w:lvl>
    <w:lvl w:ilvl="7">
      <w:start w:val="0"/>
      <w:numFmt w:val="bullet"/>
      <w:lvlText w:val="•"/>
      <w:lvlJc w:val="left"/>
      <w:pPr>
        <w:ind w:left="7546" w:hanging="317"/>
      </w:pPr>
      <w:rPr>
        <w:rFonts w:hint="default"/>
        <w:lang w:val="en-US" w:eastAsia="zh-CN" w:bidi="ar-SA"/>
      </w:rPr>
    </w:lvl>
    <w:lvl w:ilvl="8">
      <w:start w:val="0"/>
      <w:numFmt w:val="bullet"/>
      <w:lvlText w:val="•"/>
      <w:lvlJc w:val="left"/>
      <w:pPr>
        <w:ind w:left="8592" w:hanging="317"/>
      </w:pPr>
      <w:rPr>
        <w:rFonts w:hint="default"/>
        <w:lang w:val="en-US" w:eastAsia="zh-CN" w:bidi="ar-SA"/>
      </w:rPr>
    </w:lvl>
  </w:abstractNum>
  <w:abstractNum w:abstractNumId="149">
    <w:nsid w:val="6F148A18"/>
    <w:multiLevelType w:val="multilevel"/>
    <w:tmpl w:val="6F148A18"/>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50">
    <w:nsid w:val="722F5D32"/>
    <w:multiLevelType w:val="multilevel"/>
    <w:tmpl w:val="722F5D32"/>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51">
    <w:nsid w:val="72D3F746"/>
    <w:multiLevelType w:val="multilevel"/>
    <w:tmpl w:val="72D3F746"/>
    <w:lvl w:ilvl="0">
      <w:start w:val="1"/>
      <w:numFmt w:val="decimal"/>
      <w:lvlText w:val="（%1）"/>
      <w:lvlJc w:val="left"/>
      <w:pPr>
        <w:ind w:left="106" w:hanging="527"/>
        <w:jc w:val="left"/>
      </w:pPr>
      <w:rPr>
        <w:rFonts w:ascii="宋体" w:eastAsia="宋体" w:hAnsi="宋体" w:cs="宋体" w:hint="default"/>
        <w:b w:val="0"/>
        <w:bCs w:val="0"/>
        <w:i w:val="0"/>
        <w:iCs w:val="0"/>
        <w:spacing w:val="-49"/>
        <w:w w:val="99"/>
        <w:sz w:val="19"/>
        <w:szCs w:val="19"/>
        <w:lang w:val="en-US" w:eastAsia="zh-CN" w:bidi="ar-SA"/>
      </w:rPr>
    </w:lvl>
    <w:lvl w:ilvl="1">
      <w:start w:val="0"/>
      <w:numFmt w:val="bullet"/>
      <w:lvlText w:val="•"/>
      <w:lvlJc w:val="left"/>
      <w:pPr>
        <w:ind w:left="468" w:hanging="527"/>
      </w:pPr>
      <w:rPr>
        <w:rFonts w:hint="default"/>
        <w:lang w:val="en-US" w:eastAsia="zh-CN" w:bidi="ar-SA"/>
      </w:rPr>
    </w:lvl>
    <w:lvl w:ilvl="2">
      <w:start w:val="0"/>
      <w:numFmt w:val="bullet"/>
      <w:lvlText w:val="•"/>
      <w:lvlJc w:val="left"/>
      <w:pPr>
        <w:ind w:left="836" w:hanging="527"/>
      </w:pPr>
      <w:rPr>
        <w:rFonts w:hint="default"/>
        <w:lang w:val="en-US" w:eastAsia="zh-CN" w:bidi="ar-SA"/>
      </w:rPr>
    </w:lvl>
    <w:lvl w:ilvl="3">
      <w:start w:val="0"/>
      <w:numFmt w:val="bullet"/>
      <w:lvlText w:val="•"/>
      <w:lvlJc w:val="left"/>
      <w:pPr>
        <w:ind w:left="1204" w:hanging="527"/>
      </w:pPr>
      <w:rPr>
        <w:rFonts w:hint="default"/>
        <w:lang w:val="en-US" w:eastAsia="zh-CN" w:bidi="ar-SA"/>
      </w:rPr>
    </w:lvl>
    <w:lvl w:ilvl="4">
      <w:start w:val="0"/>
      <w:numFmt w:val="bullet"/>
      <w:lvlText w:val="•"/>
      <w:lvlJc w:val="left"/>
      <w:pPr>
        <w:ind w:left="1573" w:hanging="527"/>
      </w:pPr>
      <w:rPr>
        <w:rFonts w:hint="default"/>
        <w:lang w:val="en-US" w:eastAsia="zh-CN" w:bidi="ar-SA"/>
      </w:rPr>
    </w:lvl>
    <w:lvl w:ilvl="5">
      <w:start w:val="0"/>
      <w:numFmt w:val="bullet"/>
      <w:lvlText w:val="•"/>
      <w:lvlJc w:val="left"/>
      <w:pPr>
        <w:ind w:left="1941" w:hanging="527"/>
      </w:pPr>
      <w:rPr>
        <w:rFonts w:hint="default"/>
        <w:lang w:val="en-US" w:eastAsia="zh-CN" w:bidi="ar-SA"/>
      </w:rPr>
    </w:lvl>
    <w:lvl w:ilvl="6">
      <w:start w:val="0"/>
      <w:numFmt w:val="bullet"/>
      <w:lvlText w:val="•"/>
      <w:lvlJc w:val="left"/>
      <w:pPr>
        <w:ind w:left="2309" w:hanging="527"/>
      </w:pPr>
      <w:rPr>
        <w:rFonts w:hint="default"/>
        <w:lang w:val="en-US" w:eastAsia="zh-CN" w:bidi="ar-SA"/>
      </w:rPr>
    </w:lvl>
    <w:lvl w:ilvl="7">
      <w:start w:val="0"/>
      <w:numFmt w:val="bullet"/>
      <w:lvlText w:val="•"/>
      <w:lvlJc w:val="left"/>
      <w:pPr>
        <w:ind w:left="2678" w:hanging="527"/>
      </w:pPr>
      <w:rPr>
        <w:rFonts w:hint="default"/>
        <w:lang w:val="en-US" w:eastAsia="zh-CN" w:bidi="ar-SA"/>
      </w:rPr>
    </w:lvl>
    <w:lvl w:ilvl="8">
      <w:start w:val="0"/>
      <w:numFmt w:val="bullet"/>
      <w:lvlText w:val="•"/>
      <w:lvlJc w:val="left"/>
      <w:pPr>
        <w:ind w:left="3046" w:hanging="527"/>
      </w:pPr>
      <w:rPr>
        <w:rFonts w:hint="default"/>
        <w:lang w:val="en-US" w:eastAsia="zh-CN" w:bidi="ar-SA"/>
      </w:rPr>
    </w:lvl>
  </w:abstractNum>
  <w:abstractNum w:abstractNumId="152">
    <w:nsid w:val="753B48DE"/>
    <w:multiLevelType w:val="multilevel"/>
    <w:tmpl w:val="753B48DE"/>
    <w:lvl w:ilvl="0">
      <w:start w:val="1"/>
      <w:numFmt w:val="decimal"/>
      <w:lvlText w:val="%1）"/>
      <w:lvlJc w:val="left"/>
      <w:pPr>
        <w:ind w:left="227" w:hanging="316"/>
        <w:jc w:val="left"/>
      </w:pPr>
      <w:rPr>
        <w:rFonts w:ascii="宋体" w:eastAsia="宋体" w:hAnsi="宋体" w:cs="宋体" w:hint="default"/>
        <w:b w:val="0"/>
        <w:bCs w:val="0"/>
        <w:i w:val="0"/>
        <w:iCs w:val="0"/>
        <w:spacing w:val="-20"/>
        <w:w w:val="99"/>
        <w:sz w:val="19"/>
        <w:szCs w:val="19"/>
        <w:lang w:val="en-US" w:eastAsia="zh-CN" w:bidi="ar-SA"/>
      </w:rPr>
    </w:lvl>
    <w:lvl w:ilvl="1">
      <w:start w:val="0"/>
      <w:numFmt w:val="bullet"/>
      <w:lvlText w:val="•"/>
      <w:lvlJc w:val="left"/>
      <w:pPr>
        <w:ind w:left="1266" w:hanging="316"/>
      </w:pPr>
      <w:rPr>
        <w:rFonts w:hint="default"/>
        <w:lang w:val="en-US" w:eastAsia="zh-CN" w:bidi="ar-SA"/>
      </w:rPr>
    </w:lvl>
    <w:lvl w:ilvl="2">
      <w:start w:val="0"/>
      <w:numFmt w:val="bullet"/>
      <w:lvlText w:val="•"/>
      <w:lvlJc w:val="left"/>
      <w:pPr>
        <w:ind w:left="2313" w:hanging="316"/>
      </w:pPr>
      <w:rPr>
        <w:rFonts w:hint="default"/>
        <w:lang w:val="en-US" w:eastAsia="zh-CN" w:bidi="ar-SA"/>
      </w:rPr>
    </w:lvl>
    <w:lvl w:ilvl="3">
      <w:start w:val="0"/>
      <w:numFmt w:val="bullet"/>
      <w:lvlText w:val="•"/>
      <w:lvlJc w:val="left"/>
      <w:pPr>
        <w:ind w:left="3359" w:hanging="316"/>
      </w:pPr>
      <w:rPr>
        <w:rFonts w:hint="default"/>
        <w:lang w:val="en-US" w:eastAsia="zh-CN" w:bidi="ar-SA"/>
      </w:rPr>
    </w:lvl>
    <w:lvl w:ilvl="4">
      <w:start w:val="0"/>
      <w:numFmt w:val="bullet"/>
      <w:lvlText w:val="•"/>
      <w:lvlJc w:val="left"/>
      <w:pPr>
        <w:ind w:left="4406" w:hanging="316"/>
      </w:pPr>
      <w:rPr>
        <w:rFonts w:hint="default"/>
        <w:lang w:val="en-US" w:eastAsia="zh-CN" w:bidi="ar-SA"/>
      </w:rPr>
    </w:lvl>
    <w:lvl w:ilvl="5">
      <w:start w:val="0"/>
      <w:numFmt w:val="bullet"/>
      <w:lvlText w:val="•"/>
      <w:lvlJc w:val="left"/>
      <w:pPr>
        <w:ind w:left="5453" w:hanging="316"/>
      </w:pPr>
      <w:rPr>
        <w:rFonts w:hint="default"/>
        <w:lang w:val="en-US" w:eastAsia="zh-CN" w:bidi="ar-SA"/>
      </w:rPr>
    </w:lvl>
    <w:lvl w:ilvl="6">
      <w:start w:val="0"/>
      <w:numFmt w:val="bullet"/>
      <w:lvlText w:val="•"/>
      <w:lvlJc w:val="left"/>
      <w:pPr>
        <w:ind w:left="6499" w:hanging="316"/>
      </w:pPr>
      <w:rPr>
        <w:rFonts w:hint="default"/>
        <w:lang w:val="en-US" w:eastAsia="zh-CN" w:bidi="ar-SA"/>
      </w:rPr>
    </w:lvl>
    <w:lvl w:ilvl="7">
      <w:start w:val="0"/>
      <w:numFmt w:val="bullet"/>
      <w:lvlText w:val="•"/>
      <w:lvlJc w:val="left"/>
      <w:pPr>
        <w:ind w:left="7546" w:hanging="316"/>
      </w:pPr>
      <w:rPr>
        <w:rFonts w:hint="default"/>
        <w:lang w:val="en-US" w:eastAsia="zh-CN" w:bidi="ar-SA"/>
      </w:rPr>
    </w:lvl>
    <w:lvl w:ilvl="8">
      <w:start w:val="0"/>
      <w:numFmt w:val="bullet"/>
      <w:lvlText w:val="•"/>
      <w:lvlJc w:val="left"/>
      <w:pPr>
        <w:ind w:left="8592" w:hanging="316"/>
      </w:pPr>
      <w:rPr>
        <w:rFonts w:hint="default"/>
        <w:lang w:val="en-US" w:eastAsia="zh-CN" w:bidi="ar-SA"/>
      </w:rPr>
    </w:lvl>
  </w:abstractNum>
  <w:abstractNum w:abstractNumId="153">
    <w:nsid w:val="775F36A8"/>
    <w:multiLevelType w:val="multilevel"/>
    <w:tmpl w:val="775F36A8"/>
    <w:lvl w:ilvl="0">
      <w:start w:val="1"/>
      <w:numFmt w:val="decimal"/>
      <w:lvlText w:val="%1）"/>
      <w:lvlJc w:val="left"/>
      <w:pPr>
        <w:ind w:left="542"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4" w:hanging="316"/>
      </w:pPr>
      <w:rPr>
        <w:rFonts w:hint="default"/>
        <w:lang w:val="en-US" w:eastAsia="zh-CN" w:bidi="ar-SA"/>
      </w:rPr>
    </w:lvl>
    <w:lvl w:ilvl="2">
      <w:start w:val="0"/>
      <w:numFmt w:val="bullet"/>
      <w:lvlText w:val="•"/>
      <w:lvlJc w:val="left"/>
      <w:pPr>
        <w:ind w:left="2569" w:hanging="316"/>
      </w:pPr>
      <w:rPr>
        <w:rFonts w:hint="default"/>
        <w:lang w:val="en-US" w:eastAsia="zh-CN" w:bidi="ar-SA"/>
      </w:rPr>
    </w:lvl>
    <w:lvl w:ilvl="3">
      <w:start w:val="0"/>
      <w:numFmt w:val="bullet"/>
      <w:lvlText w:val="•"/>
      <w:lvlJc w:val="left"/>
      <w:pPr>
        <w:ind w:left="3583"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613" w:hanging="316"/>
      </w:pPr>
      <w:rPr>
        <w:rFonts w:hint="default"/>
        <w:lang w:val="en-US" w:eastAsia="zh-CN" w:bidi="ar-SA"/>
      </w:rPr>
    </w:lvl>
    <w:lvl w:ilvl="6">
      <w:start w:val="0"/>
      <w:numFmt w:val="bullet"/>
      <w:lvlText w:val="•"/>
      <w:lvlJc w:val="left"/>
      <w:pPr>
        <w:ind w:left="6627"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656" w:hanging="316"/>
      </w:pPr>
      <w:rPr>
        <w:rFonts w:hint="default"/>
        <w:lang w:val="en-US" w:eastAsia="zh-CN" w:bidi="ar-SA"/>
      </w:rPr>
    </w:lvl>
  </w:abstractNum>
  <w:abstractNum w:abstractNumId="154">
    <w:nsid w:val="7B8DFF38"/>
    <w:multiLevelType w:val="multilevel"/>
    <w:tmpl w:val="7B8DFF38"/>
    <w:lvl w:ilvl="0">
      <w:start w:val="1"/>
      <w:numFmt w:val="decimal"/>
      <w:lvlText w:val="（%1）"/>
      <w:lvlJc w:val="left"/>
      <w:pPr>
        <w:ind w:left="227" w:hanging="525"/>
        <w:jc w:val="left"/>
      </w:pPr>
      <w:rPr>
        <w:rFonts w:ascii="宋体" w:eastAsia="宋体" w:hAnsi="宋体" w:cs="宋体" w:hint="default"/>
        <w:b w:val="0"/>
        <w:bCs w:val="0"/>
        <w:i w:val="0"/>
        <w:iCs w:val="0"/>
        <w:spacing w:val="-29"/>
        <w:w w:val="99"/>
        <w:sz w:val="19"/>
        <w:szCs w:val="19"/>
        <w:lang w:val="en-US" w:eastAsia="zh-CN" w:bidi="ar-SA"/>
      </w:rPr>
    </w:lvl>
    <w:lvl w:ilvl="1">
      <w:start w:val="0"/>
      <w:numFmt w:val="bullet"/>
      <w:lvlText w:val="•"/>
      <w:lvlJc w:val="left"/>
      <w:pPr>
        <w:ind w:left="1266" w:hanging="525"/>
      </w:pPr>
      <w:rPr>
        <w:rFonts w:hint="default"/>
        <w:lang w:val="en-US" w:eastAsia="zh-CN" w:bidi="ar-SA"/>
      </w:rPr>
    </w:lvl>
    <w:lvl w:ilvl="2">
      <w:start w:val="0"/>
      <w:numFmt w:val="bullet"/>
      <w:lvlText w:val="•"/>
      <w:lvlJc w:val="left"/>
      <w:pPr>
        <w:ind w:left="2313" w:hanging="525"/>
      </w:pPr>
      <w:rPr>
        <w:rFonts w:hint="default"/>
        <w:lang w:val="en-US" w:eastAsia="zh-CN" w:bidi="ar-SA"/>
      </w:rPr>
    </w:lvl>
    <w:lvl w:ilvl="3">
      <w:start w:val="0"/>
      <w:numFmt w:val="bullet"/>
      <w:lvlText w:val="•"/>
      <w:lvlJc w:val="left"/>
      <w:pPr>
        <w:ind w:left="3359" w:hanging="525"/>
      </w:pPr>
      <w:rPr>
        <w:rFonts w:hint="default"/>
        <w:lang w:val="en-US" w:eastAsia="zh-CN" w:bidi="ar-SA"/>
      </w:rPr>
    </w:lvl>
    <w:lvl w:ilvl="4">
      <w:start w:val="0"/>
      <w:numFmt w:val="bullet"/>
      <w:lvlText w:val="•"/>
      <w:lvlJc w:val="left"/>
      <w:pPr>
        <w:ind w:left="4406" w:hanging="525"/>
      </w:pPr>
      <w:rPr>
        <w:rFonts w:hint="default"/>
        <w:lang w:val="en-US" w:eastAsia="zh-CN" w:bidi="ar-SA"/>
      </w:rPr>
    </w:lvl>
    <w:lvl w:ilvl="5">
      <w:start w:val="0"/>
      <w:numFmt w:val="bullet"/>
      <w:lvlText w:val="•"/>
      <w:lvlJc w:val="left"/>
      <w:pPr>
        <w:ind w:left="5453" w:hanging="525"/>
      </w:pPr>
      <w:rPr>
        <w:rFonts w:hint="default"/>
        <w:lang w:val="en-US" w:eastAsia="zh-CN" w:bidi="ar-SA"/>
      </w:rPr>
    </w:lvl>
    <w:lvl w:ilvl="6">
      <w:start w:val="0"/>
      <w:numFmt w:val="bullet"/>
      <w:lvlText w:val="•"/>
      <w:lvlJc w:val="left"/>
      <w:pPr>
        <w:ind w:left="6499" w:hanging="525"/>
      </w:pPr>
      <w:rPr>
        <w:rFonts w:hint="default"/>
        <w:lang w:val="en-US" w:eastAsia="zh-CN" w:bidi="ar-SA"/>
      </w:rPr>
    </w:lvl>
    <w:lvl w:ilvl="7">
      <w:start w:val="0"/>
      <w:numFmt w:val="bullet"/>
      <w:lvlText w:val="•"/>
      <w:lvlJc w:val="left"/>
      <w:pPr>
        <w:ind w:left="7546" w:hanging="525"/>
      </w:pPr>
      <w:rPr>
        <w:rFonts w:hint="default"/>
        <w:lang w:val="en-US" w:eastAsia="zh-CN" w:bidi="ar-SA"/>
      </w:rPr>
    </w:lvl>
    <w:lvl w:ilvl="8">
      <w:start w:val="0"/>
      <w:numFmt w:val="bullet"/>
      <w:lvlText w:val="•"/>
      <w:lvlJc w:val="left"/>
      <w:pPr>
        <w:ind w:left="8592" w:hanging="525"/>
      </w:pPr>
      <w:rPr>
        <w:rFonts w:hint="default"/>
        <w:lang w:val="en-US" w:eastAsia="zh-CN" w:bidi="ar-SA"/>
      </w:rPr>
    </w:lvl>
  </w:abstractNum>
  <w:abstractNum w:abstractNumId="155">
    <w:nsid w:val="7BA4F5AA"/>
    <w:multiLevelType w:val="multilevel"/>
    <w:tmpl w:val="7BA4F5A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56">
    <w:nsid w:val="7CF2E71A"/>
    <w:multiLevelType w:val="multilevel"/>
    <w:tmpl w:val="7CF2E71A"/>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57">
    <w:nsid w:val="7EC20FC4"/>
    <w:multiLevelType w:val="multilevel"/>
    <w:tmpl w:val="7EC20FC4"/>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abstractNum w:abstractNumId="158">
    <w:nsid w:val="7FD05E58"/>
    <w:multiLevelType w:val="multilevel"/>
    <w:tmpl w:val="7FD05E58"/>
    <w:lvl w:ilvl="0">
      <w:start w:val="1"/>
      <w:numFmt w:val="decimal"/>
      <w:lvlText w:val="（%1）"/>
      <w:lvlJc w:val="left"/>
      <w:pPr>
        <w:ind w:left="751"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752" w:hanging="525"/>
      </w:pPr>
      <w:rPr>
        <w:rFonts w:hint="default"/>
        <w:lang w:val="en-US" w:eastAsia="zh-CN" w:bidi="ar-SA"/>
      </w:rPr>
    </w:lvl>
    <w:lvl w:ilvl="2">
      <w:start w:val="0"/>
      <w:numFmt w:val="bullet"/>
      <w:lvlText w:val="•"/>
      <w:lvlJc w:val="left"/>
      <w:pPr>
        <w:ind w:left="2745" w:hanging="525"/>
      </w:pPr>
      <w:rPr>
        <w:rFonts w:hint="default"/>
        <w:lang w:val="en-US" w:eastAsia="zh-CN" w:bidi="ar-SA"/>
      </w:rPr>
    </w:lvl>
    <w:lvl w:ilvl="3">
      <w:start w:val="0"/>
      <w:numFmt w:val="bullet"/>
      <w:lvlText w:val="•"/>
      <w:lvlJc w:val="left"/>
      <w:pPr>
        <w:ind w:left="3737" w:hanging="525"/>
      </w:pPr>
      <w:rPr>
        <w:rFonts w:hint="default"/>
        <w:lang w:val="en-US" w:eastAsia="zh-CN" w:bidi="ar-SA"/>
      </w:rPr>
    </w:lvl>
    <w:lvl w:ilvl="4">
      <w:start w:val="0"/>
      <w:numFmt w:val="bullet"/>
      <w:lvlText w:val="•"/>
      <w:lvlJc w:val="left"/>
      <w:pPr>
        <w:ind w:left="4730" w:hanging="525"/>
      </w:pPr>
      <w:rPr>
        <w:rFonts w:hint="default"/>
        <w:lang w:val="en-US" w:eastAsia="zh-CN" w:bidi="ar-SA"/>
      </w:rPr>
    </w:lvl>
    <w:lvl w:ilvl="5">
      <w:start w:val="0"/>
      <w:numFmt w:val="bullet"/>
      <w:lvlText w:val="•"/>
      <w:lvlJc w:val="left"/>
      <w:pPr>
        <w:ind w:left="5723" w:hanging="525"/>
      </w:pPr>
      <w:rPr>
        <w:rFonts w:hint="default"/>
        <w:lang w:val="en-US" w:eastAsia="zh-CN" w:bidi="ar-SA"/>
      </w:rPr>
    </w:lvl>
    <w:lvl w:ilvl="6">
      <w:start w:val="0"/>
      <w:numFmt w:val="bullet"/>
      <w:lvlText w:val="•"/>
      <w:lvlJc w:val="left"/>
      <w:pPr>
        <w:ind w:left="6715" w:hanging="525"/>
      </w:pPr>
      <w:rPr>
        <w:rFonts w:hint="default"/>
        <w:lang w:val="en-US" w:eastAsia="zh-CN" w:bidi="ar-SA"/>
      </w:rPr>
    </w:lvl>
    <w:lvl w:ilvl="7">
      <w:start w:val="0"/>
      <w:numFmt w:val="bullet"/>
      <w:lvlText w:val="•"/>
      <w:lvlJc w:val="left"/>
      <w:pPr>
        <w:ind w:left="7708" w:hanging="525"/>
      </w:pPr>
      <w:rPr>
        <w:rFonts w:hint="default"/>
        <w:lang w:val="en-US" w:eastAsia="zh-CN" w:bidi="ar-SA"/>
      </w:rPr>
    </w:lvl>
    <w:lvl w:ilvl="8">
      <w:start w:val="0"/>
      <w:numFmt w:val="bullet"/>
      <w:lvlText w:val="•"/>
      <w:lvlJc w:val="left"/>
      <w:pPr>
        <w:ind w:left="8700" w:hanging="525"/>
      </w:pPr>
      <w:rPr>
        <w:rFonts w:hint="default"/>
        <w:lang w:val="en-US" w:eastAsia="zh-CN" w:bidi="ar-SA"/>
      </w:rPr>
    </w:lvl>
  </w:abstractNum>
  <w:num w:numId="1">
    <w:abstractNumId w:val="48"/>
  </w:num>
  <w:num w:numId="2">
    <w:abstractNumId w:val="107"/>
  </w:num>
  <w:num w:numId="3">
    <w:abstractNumId w:val="130"/>
  </w:num>
  <w:num w:numId="4">
    <w:abstractNumId w:val="31"/>
  </w:num>
  <w:num w:numId="5">
    <w:abstractNumId w:val="87"/>
  </w:num>
  <w:num w:numId="6">
    <w:abstractNumId w:val="132"/>
  </w:num>
  <w:num w:numId="7">
    <w:abstractNumId w:val="139"/>
  </w:num>
  <w:num w:numId="8">
    <w:abstractNumId w:val="114"/>
  </w:num>
  <w:num w:numId="9">
    <w:abstractNumId w:val="46"/>
  </w:num>
  <w:num w:numId="10">
    <w:abstractNumId w:val="34"/>
  </w:num>
  <w:num w:numId="11">
    <w:abstractNumId w:val="84"/>
  </w:num>
  <w:num w:numId="12">
    <w:abstractNumId w:val="101"/>
  </w:num>
  <w:num w:numId="13">
    <w:abstractNumId w:val="2"/>
  </w:num>
  <w:num w:numId="14">
    <w:abstractNumId w:val="157"/>
  </w:num>
  <w:num w:numId="15">
    <w:abstractNumId w:val="8"/>
  </w:num>
  <w:num w:numId="16">
    <w:abstractNumId w:val="51"/>
  </w:num>
  <w:num w:numId="17">
    <w:abstractNumId w:val="5"/>
  </w:num>
  <w:num w:numId="18">
    <w:abstractNumId w:val="54"/>
  </w:num>
  <w:num w:numId="19">
    <w:abstractNumId w:val="126"/>
  </w:num>
  <w:num w:numId="20">
    <w:abstractNumId w:val="96"/>
  </w:num>
  <w:num w:numId="21">
    <w:abstractNumId w:val="25"/>
  </w:num>
  <w:num w:numId="22">
    <w:abstractNumId w:val="27"/>
  </w:num>
  <w:num w:numId="23">
    <w:abstractNumId w:val="47"/>
  </w:num>
  <w:num w:numId="24">
    <w:abstractNumId w:val="99"/>
  </w:num>
  <w:num w:numId="25">
    <w:abstractNumId w:val="78"/>
  </w:num>
  <w:num w:numId="26">
    <w:abstractNumId w:val="55"/>
  </w:num>
  <w:num w:numId="27">
    <w:abstractNumId w:val="154"/>
  </w:num>
  <w:num w:numId="28">
    <w:abstractNumId w:val="74"/>
  </w:num>
  <w:num w:numId="29">
    <w:abstractNumId w:val="11"/>
  </w:num>
  <w:num w:numId="30">
    <w:abstractNumId w:val="152"/>
  </w:num>
  <w:num w:numId="31">
    <w:abstractNumId w:val="23"/>
  </w:num>
  <w:num w:numId="32">
    <w:abstractNumId w:val="22"/>
  </w:num>
  <w:num w:numId="33">
    <w:abstractNumId w:val="38"/>
  </w:num>
  <w:num w:numId="34">
    <w:abstractNumId w:val="66"/>
  </w:num>
  <w:num w:numId="35">
    <w:abstractNumId w:val="62"/>
  </w:num>
  <w:num w:numId="36">
    <w:abstractNumId w:val="37"/>
  </w:num>
  <w:num w:numId="37">
    <w:abstractNumId w:val="105"/>
  </w:num>
  <w:num w:numId="38">
    <w:abstractNumId w:val="35"/>
  </w:num>
  <w:num w:numId="39">
    <w:abstractNumId w:val="89"/>
  </w:num>
  <w:num w:numId="40">
    <w:abstractNumId w:val="156"/>
  </w:num>
  <w:num w:numId="41">
    <w:abstractNumId w:val="12"/>
  </w:num>
  <w:num w:numId="42">
    <w:abstractNumId w:val="138"/>
  </w:num>
  <w:num w:numId="43">
    <w:abstractNumId w:val="94"/>
  </w:num>
  <w:num w:numId="44">
    <w:abstractNumId w:val="144"/>
  </w:num>
  <w:num w:numId="45">
    <w:abstractNumId w:val="149"/>
  </w:num>
  <w:num w:numId="46">
    <w:abstractNumId w:val="113"/>
  </w:num>
  <w:num w:numId="47">
    <w:abstractNumId w:val="65"/>
  </w:num>
  <w:num w:numId="48">
    <w:abstractNumId w:val="145"/>
  </w:num>
  <w:num w:numId="49">
    <w:abstractNumId w:val="40"/>
  </w:num>
  <w:num w:numId="50">
    <w:abstractNumId w:val="15"/>
  </w:num>
  <w:num w:numId="51">
    <w:abstractNumId w:val="29"/>
  </w:num>
  <w:num w:numId="52">
    <w:abstractNumId w:val="4"/>
  </w:num>
  <w:num w:numId="53">
    <w:abstractNumId w:val="83"/>
  </w:num>
  <w:num w:numId="54">
    <w:abstractNumId w:val="77"/>
  </w:num>
  <w:num w:numId="55">
    <w:abstractNumId w:val="117"/>
  </w:num>
  <w:num w:numId="56">
    <w:abstractNumId w:val="153"/>
  </w:num>
  <w:num w:numId="57">
    <w:abstractNumId w:val="143"/>
  </w:num>
  <w:num w:numId="58">
    <w:abstractNumId w:val="41"/>
  </w:num>
  <w:num w:numId="59">
    <w:abstractNumId w:val="28"/>
  </w:num>
  <w:num w:numId="60">
    <w:abstractNumId w:val="43"/>
  </w:num>
  <w:num w:numId="61">
    <w:abstractNumId w:val="17"/>
  </w:num>
  <w:num w:numId="62">
    <w:abstractNumId w:val="92"/>
  </w:num>
  <w:num w:numId="63">
    <w:abstractNumId w:val="19"/>
  </w:num>
  <w:num w:numId="64">
    <w:abstractNumId w:val="104"/>
  </w:num>
  <w:num w:numId="65">
    <w:abstractNumId w:val="121"/>
  </w:num>
  <w:num w:numId="66">
    <w:abstractNumId w:val="60"/>
  </w:num>
  <w:num w:numId="67">
    <w:abstractNumId w:val="151"/>
  </w:num>
  <w:num w:numId="68">
    <w:abstractNumId w:val="33"/>
  </w:num>
  <w:num w:numId="69">
    <w:abstractNumId w:val="42"/>
  </w:num>
  <w:num w:numId="70">
    <w:abstractNumId w:val="129"/>
  </w:num>
  <w:num w:numId="71">
    <w:abstractNumId w:val="125"/>
  </w:num>
  <w:num w:numId="72">
    <w:abstractNumId w:val="118"/>
  </w:num>
  <w:num w:numId="73">
    <w:abstractNumId w:val="148"/>
  </w:num>
  <w:num w:numId="74">
    <w:abstractNumId w:val="45"/>
  </w:num>
  <w:num w:numId="75">
    <w:abstractNumId w:val="9"/>
  </w:num>
  <w:num w:numId="76">
    <w:abstractNumId w:val="39"/>
  </w:num>
  <w:num w:numId="77">
    <w:abstractNumId w:val="7"/>
  </w:num>
  <w:num w:numId="78">
    <w:abstractNumId w:val="135"/>
  </w:num>
  <w:num w:numId="79">
    <w:abstractNumId w:val="30"/>
  </w:num>
  <w:num w:numId="80">
    <w:abstractNumId w:val="123"/>
  </w:num>
  <w:num w:numId="81">
    <w:abstractNumId w:val="103"/>
  </w:num>
  <w:num w:numId="82">
    <w:abstractNumId w:val="21"/>
  </w:num>
  <w:num w:numId="83">
    <w:abstractNumId w:val="57"/>
  </w:num>
  <w:num w:numId="84">
    <w:abstractNumId w:val="97"/>
  </w:num>
  <w:num w:numId="85">
    <w:abstractNumId w:val="32"/>
  </w:num>
  <w:num w:numId="86">
    <w:abstractNumId w:val="140"/>
  </w:num>
  <w:num w:numId="87">
    <w:abstractNumId w:val="95"/>
  </w:num>
  <w:num w:numId="88">
    <w:abstractNumId w:val="1"/>
  </w:num>
  <w:num w:numId="89">
    <w:abstractNumId w:val="59"/>
  </w:num>
  <w:num w:numId="90">
    <w:abstractNumId w:val="86"/>
  </w:num>
  <w:num w:numId="91">
    <w:abstractNumId w:val="146"/>
  </w:num>
  <w:num w:numId="92">
    <w:abstractNumId w:val="68"/>
  </w:num>
  <w:num w:numId="93">
    <w:abstractNumId w:val="155"/>
  </w:num>
  <w:num w:numId="94">
    <w:abstractNumId w:val="49"/>
  </w:num>
  <w:num w:numId="95">
    <w:abstractNumId w:val="124"/>
  </w:num>
  <w:num w:numId="96">
    <w:abstractNumId w:val="58"/>
  </w:num>
  <w:num w:numId="97">
    <w:abstractNumId w:val="112"/>
  </w:num>
  <w:num w:numId="98">
    <w:abstractNumId w:val="18"/>
  </w:num>
  <w:num w:numId="99">
    <w:abstractNumId w:val="119"/>
  </w:num>
  <w:num w:numId="100">
    <w:abstractNumId w:val="10"/>
  </w:num>
  <w:num w:numId="101">
    <w:abstractNumId w:val="76"/>
  </w:num>
  <w:num w:numId="102">
    <w:abstractNumId w:val="64"/>
  </w:num>
  <w:num w:numId="103">
    <w:abstractNumId w:val="136"/>
  </w:num>
  <w:num w:numId="104">
    <w:abstractNumId w:val="56"/>
  </w:num>
  <w:num w:numId="105">
    <w:abstractNumId w:val="20"/>
  </w:num>
  <w:num w:numId="106">
    <w:abstractNumId w:val="158"/>
  </w:num>
  <w:num w:numId="107">
    <w:abstractNumId w:val="115"/>
  </w:num>
  <w:num w:numId="108">
    <w:abstractNumId w:val="81"/>
  </w:num>
  <w:num w:numId="109">
    <w:abstractNumId w:val="133"/>
  </w:num>
  <w:num w:numId="110">
    <w:abstractNumId w:val="73"/>
  </w:num>
  <w:num w:numId="111">
    <w:abstractNumId w:val="50"/>
  </w:num>
  <w:num w:numId="112">
    <w:abstractNumId w:val="72"/>
  </w:num>
  <w:num w:numId="113">
    <w:abstractNumId w:val="122"/>
  </w:num>
  <w:num w:numId="114">
    <w:abstractNumId w:val="120"/>
  </w:num>
  <w:num w:numId="115">
    <w:abstractNumId w:val="71"/>
  </w:num>
  <w:num w:numId="116">
    <w:abstractNumId w:val="134"/>
  </w:num>
  <w:num w:numId="117">
    <w:abstractNumId w:val="116"/>
  </w:num>
  <w:num w:numId="118">
    <w:abstractNumId w:val="98"/>
  </w:num>
  <w:num w:numId="119">
    <w:abstractNumId w:val="141"/>
  </w:num>
  <w:num w:numId="120">
    <w:abstractNumId w:val="67"/>
  </w:num>
  <w:num w:numId="121">
    <w:abstractNumId w:val="44"/>
  </w:num>
  <w:num w:numId="122">
    <w:abstractNumId w:val="6"/>
  </w:num>
  <w:num w:numId="123">
    <w:abstractNumId w:val="91"/>
  </w:num>
  <w:num w:numId="124">
    <w:abstractNumId w:val="131"/>
  </w:num>
  <w:num w:numId="125">
    <w:abstractNumId w:val="3"/>
  </w:num>
  <w:num w:numId="126">
    <w:abstractNumId w:val="14"/>
  </w:num>
  <w:num w:numId="127">
    <w:abstractNumId w:val="24"/>
  </w:num>
  <w:num w:numId="128">
    <w:abstractNumId w:val="93"/>
  </w:num>
  <w:num w:numId="129">
    <w:abstractNumId w:val="52"/>
  </w:num>
  <w:num w:numId="130">
    <w:abstractNumId w:val="128"/>
  </w:num>
  <w:num w:numId="131">
    <w:abstractNumId w:val="0"/>
  </w:num>
  <w:num w:numId="132">
    <w:abstractNumId w:val="142"/>
  </w:num>
  <w:num w:numId="133">
    <w:abstractNumId w:val="36"/>
  </w:num>
  <w:num w:numId="134">
    <w:abstractNumId w:val="100"/>
  </w:num>
  <w:num w:numId="135">
    <w:abstractNumId w:val="88"/>
  </w:num>
  <w:num w:numId="136">
    <w:abstractNumId w:val="102"/>
  </w:num>
  <w:num w:numId="137">
    <w:abstractNumId w:val="53"/>
  </w:num>
  <w:num w:numId="138">
    <w:abstractNumId w:val="16"/>
  </w:num>
  <w:num w:numId="139">
    <w:abstractNumId w:val="82"/>
  </w:num>
  <w:num w:numId="140">
    <w:abstractNumId w:val="106"/>
  </w:num>
  <w:num w:numId="141">
    <w:abstractNumId w:val="79"/>
  </w:num>
  <w:num w:numId="142">
    <w:abstractNumId w:val="90"/>
  </w:num>
  <w:num w:numId="143">
    <w:abstractNumId w:val="147"/>
  </w:num>
  <w:num w:numId="144">
    <w:abstractNumId w:val="13"/>
  </w:num>
  <w:num w:numId="145">
    <w:abstractNumId w:val="69"/>
  </w:num>
  <w:num w:numId="146">
    <w:abstractNumId w:val="109"/>
  </w:num>
  <w:num w:numId="147">
    <w:abstractNumId w:val="111"/>
  </w:num>
  <w:num w:numId="148">
    <w:abstractNumId w:val="61"/>
  </w:num>
  <w:num w:numId="149">
    <w:abstractNumId w:val="75"/>
  </w:num>
  <w:num w:numId="150">
    <w:abstractNumId w:val="127"/>
  </w:num>
  <w:num w:numId="151">
    <w:abstractNumId w:val="26"/>
  </w:num>
  <w:num w:numId="152">
    <w:abstractNumId w:val="63"/>
  </w:num>
  <w:num w:numId="153">
    <w:abstractNumId w:val="70"/>
  </w:num>
  <w:num w:numId="154">
    <w:abstractNumId w:val="150"/>
  </w:num>
  <w:num w:numId="155">
    <w:abstractNumId w:val="80"/>
  </w:num>
  <w:num w:numId="156">
    <w:abstractNumId w:val="85"/>
  </w:num>
  <w:num w:numId="157">
    <w:abstractNumId w:val="137"/>
  </w:num>
  <w:num w:numId="158">
    <w:abstractNumId w:val="108"/>
  </w:num>
  <w:num w:numId="159">
    <w:abstractNumId w:val="1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2F1036F"/>
    <w:rsid w:val="670A714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227"/>
    </w:pPr>
    <w:rPr>
      <w:rFonts w:ascii="宋体" w:eastAsia="宋体" w:hAnsi="宋体" w:cs="宋体"/>
      <w:sz w:val="21"/>
      <w:szCs w:val="21"/>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itle">
    <w:name w:val="Title"/>
    <w:basedOn w:val="Normal"/>
    <w:uiPriority w:val="1"/>
    <w:qFormat/>
    <w:pPr>
      <w:spacing w:before="4"/>
      <w:ind w:left="1951" w:right="2082"/>
      <w:jc w:val="center"/>
    </w:pPr>
    <w:rPr>
      <w:rFonts w:ascii="宋体" w:eastAsia="宋体" w:hAnsi="宋体" w:cs="宋体"/>
      <w:b/>
      <w:bCs/>
      <w:sz w:val="68"/>
      <w:szCs w:val="68"/>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05"/>
      <w:ind w:left="751" w:hanging="525"/>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header" Target="header5.xml" /><Relationship Id="rId13" Type="http://schemas.openxmlformats.org/officeDocument/2006/relationships/image" Target="media/image4.png" /><Relationship Id="rId14" Type="http://schemas.openxmlformats.org/officeDocument/2006/relationships/header" Target="header6.xml" /><Relationship Id="rId15" Type="http://schemas.openxmlformats.org/officeDocument/2006/relationships/image" Target="media/image5.png"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header" Target="header12.xml" /><Relationship Id="rId22" Type="http://schemas.openxmlformats.org/officeDocument/2006/relationships/header" Target="header13.xml" /><Relationship Id="rId23" Type="http://schemas.openxmlformats.org/officeDocument/2006/relationships/header" Target="header14.xm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header" Target="header21.xml" /><Relationship Id="rId31" Type="http://schemas.openxmlformats.org/officeDocument/2006/relationships/header" Target="header22.xml" /><Relationship Id="rId32" Type="http://schemas.openxmlformats.org/officeDocument/2006/relationships/header" Target="header23.xml" /><Relationship Id="rId33" Type="http://schemas.openxmlformats.org/officeDocument/2006/relationships/image" Target="media/image6.png" /><Relationship Id="rId34" Type="http://schemas.openxmlformats.org/officeDocument/2006/relationships/header" Target="header24.xml" /><Relationship Id="rId35" Type="http://schemas.openxmlformats.org/officeDocument/2006/relationships/header" Target="header25.xml" /><Relationship Id="rId36" Type="http://schemas.openxmlformats.org/officeDocument/2006/relationships/header" Target="header26.xml" /><Relationship Id="rId37" Type="http://schemas.openxmlformats.org/officeDocument/2006/relationships/header" Target="header27.xml" /><Relationship Id="rId38" Type="http://schemas.openxmlformats.org/officeDocument/2006/relationships/header" Target="header28.xml" /><Relationship Id="rId39" Type="http://schemas.openxmlformats.org/officeDocument/2006/relationships/header" Target="header29.xml" /><Relationship Id="rId4" Type="http://schemas.openxmlformats.org/officeDocument/2006/relationships/customXml" Target="../customXml/item1.xml" /><Relationship Id="rId40" Type="http://schemas.openxmlformats.org/officeDocument/2006/relationships/header" Target="header30.xml" /><Relationship Id="rId41" Type="http://schemas.openxmlformats.org/officeDocument/2006/relationships/header" Target="header31.xml" /><Relationship Id="rId42" Type="http://schemas.openxmlformats.org/officeDocument/2006/relationships/header" Target="header32.xml" /><Relationship Id="rId43" Type="http://schemas.openxmlformats.org/officeDocument/2006/relationships/header" Target="header33.xml" /><Relationship Id="rId44" Type="http://schemas.openxmlformats.org/officeDocument/2006/relationships/header" Target="header34.xml" /><Relationship Id="rId45" Type="http://schemas.openxmlformats.org/officeDocument/2006/relationships/image" Target="media/image7.jpeg" /><Relationship Id="rId46" Type="http://schemas.openxmlformats.org/officeDocument/2006/relationships/image" Target="media/image8.png" /><Relationship Id="rId47" Type="http://schemas.openxmlformats.org/officeDocument/2006/relationships/header" Target="header35.xml" /><Relationship Id="rId48" Type="http://schemas.openxmlformats.org/officeDocument/2006/relationships/hyperlink" Target="https://d.book118.com/086131045242010032" TargetMode="External" /><Relationship Id="rId49" Type="http://schemas.openxmlformats.org/officeDocument/2006/relationships/header" Target="header36.xml" /><Relationship Id="rId5" Type="http://schemas.openxmlformats.org/officeDocument/2006/relationships/header" Target="header1.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6"/>
    <customShpInfo spid="_x0000_s1105"/>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5"/>
    <customShpInfo spid="_x0000_s1136"/>
    <customShpInfo spid="_x0000_s1137"/>
    <customShpInfo spid="_x0000_s1138"/>
    <customShpInfo spid="_x0000_s1139"/>
    <customShpInfo spid="_x0000_s1140"/>
    <customShpInfo spid="_x0000_s1134"/>
    <customShpInfo spid="_x0000_s1141"/>
    <customShpInfo spid="_x0000_s1142"/>
    <customShpInfo spid="_x0000_s1143"/>
    <customShpInfo spid="_x0000_s1145"/>
    <customShpInfo spid="_x0000_s1144"/>
    <customShpInfo spid="_x0000_s1146"/>
    <customShpInfo spid="_x0000_s1147"/>
    <customShpInfo spid="_x0000_s1148"/>
    <customShpInfo spid="_x0000_s1150"/>
    <customShpInfo spid="_x0000_s1151"/>
    <customShpInfo spid="_x0000_s1149"/>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浩然</dc:creator>
  <cp:lastModifiedBy>lyp</cp:lastModifiedBy>
  <cp:revision>0</cp:revision>
  <dcterms:created xsi:type="dcterms:W3CDTF">2024-01-06T08:45:00Z</dcterms:created>
  <dcterms:modified xsi:type="dcterms:W3CDTF">2024-01-10T04:52:00Z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2023-06-14T00:00:00Z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2024-01-06T00:00:00Z</vt:filetime>
  </property>
</Properties>
</file>