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移动照明项目招商引资报告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17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_Toc23170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20" w:history="1">
        <w:r>
          <w:rPr>
            <w:rFonts w:ascii="仿宋" w:eastAsia="仿宋" w:hAnsi="仿宋" w:cs="仿宋" w:hint="eastAsia"/>
            <w:lang w:eastAsia="zh-CN"/>
          </w:rPr>
          <w:t>一、移动照明项目质量管理方案</w:t>
        </w:r>
        <w:r>
          <w:tab/>
        </w:r>
        <w:r>
          <w:fldChar w:fldCharType="begin"/>
        </w:r>
        <w:r>
          <w:instrText xml:space="preserve"> PAGEREF _Toc9320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5" w:history="1">
        <w:r>
          <w:rPr>
            <w:rFonts w:ascii="仿宋" w:eastAsia="仿宋" w:hAnsi="仿宋" w:cs="仿宋" w:hint="eastAsia"/>
            <w:lang w:eastAsia="zh-CN"/>
          </w:rPr>
          <w:t>(一)、全面质量管理</w:t>
        </w:r>
        <w:r>
          <w:tab/>
        </w:r>
        <w:r>
          <w:fldChar w:fldCharType="begin"/>
        </w:r>
        <w:r>
          <w:instrText xml:space="preserve"> PAGEREF _Toc5185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3" w:history="1">
        <w:r>
          <w:rPr>
            <w:rFonts w:ascii="仿宋" w:eastAsia="仿宋" w:hAnsi="仿宋" w:cs="仿宋" w:hint="eastAsia"/>
            <w:lang w:eastAsia="zh-CN"/>
          </w:rPr>
          <w:t>(二)、质量成本管理</w:t>
        </w:r>
        <w:r>
          <w:tab/>
        </w:r>
        <w:r>
          <w:fldChar w:fldCharType="begin"/>
        </w:r>
        <w:r>
          <w:instrText xml:space="preserve"> PAGEREF _Toc19783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0" w:history="1">
        <w:r>
          <w:rPr>
            <w:rFonts w:ascii="仿宋" w:eastAsia="仿宋" w:hAnsi="仿宋" w:cs="仿宋" w:hint="eastAsia"/>
            <w:lang w:eastAsia="zh-CN"/>
          </w:rPr>
          <w:t>(三)、服务质量管理</w:t>
        </w:r>
        <w:r>
          <w:tab/>
        </w:r>
        <w:r>
          <w:fldChar w:fldCharType="begin"/>
        </w:r>
        <w:r>
          <w:instrText xml:space="preserve"> PAGEREF _Toc29940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" w:history="1">
        <w:r>
          <w:rPr>
            <w:rFonts w:ascii="仿宋" w:eastAsia="仿宋" w:hAnsi="仿宋" w:cs="仿宋" w:hint="eastAsia"/>
            <w:lang w:eastAsia="zh-CN"/>
          </w:rPr>
          <w:t>二、运营管理</w:t>
        </w:r>
        <w:r>
          <w:tab/>
        </w:r>
        <w:r>
          <w:fldChar w:fldCharType="begin"/>
        </w:r>
        <w:r>
          <w:instrText xml:space="preserve"> PAGEREF _Toc96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0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_Toc9907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91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_Toc10791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_Toc3060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34" w:history="1">
        <w:r>
          <w:rPr>
            <w:rFonts w:ascii="仿宋" w:eastAsia="仿宋" w:hAnsi="仿宋" w:cs="仿宋" w:hint="eastAsia"/>
            <w:lang w:eastAsia="zh-CN"/>
          </w:rPr>
          <w:t>(四)、财务会计制度</w:t>
        </w:r>
        <w:r>
          <w:tab/>
        </w:r>
        <w:r>
          <w:fldChar w:fldCharType="begin"/>
        </w:r>
        <w:r>
          <w:instrText xml:space="preserve"> PAGEREF _Toc29634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87" w:history="1">
        <w:r>
          <w:rPr>
            <w:rFonts w:ascii="仿宋" w:eastAsia="仿宋" w:hAnsi="仿宋" w:cs="仿宋" w:hint="eastAsia"/>
            <w:lang w:eastAsia="zh-CN"/>
          </w:rPr>
          <w:t>三、移动照明项目建设背景及必要性分析</w:t>
        </w:r>
        <w:r>
          <w:tab/>
        </w:r>
        <w:r>
          <w:fldChar w:fldCharType="begin"/>
        </w:r>
        <w:r>
          <w:instrText xml:space="preserve"> PAGEREF _Toc24487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13" w:history="1">
        <w:r>
          <w:rPr>
            <w:rFonts w:ascii="仿宋" w:eastAsia="仿宋" w:hAnsi="仿宋" w:cs="仿宋" w:hint="eastAsia"/>
            <w:lang w:eastAsia="zh-CN"/>
          </w:rPr>
          <w:t>(一)、移动照明项目承办单位背景分析</w:t>
        </w:r>
        <w:r>
          <w:tab/>
        </w:r>
        <w:r>
          <w:fldChar w:fldCharType="begin"/>
        </w:r>
        <w:r>
          <w:instrText xml:space="preserve"> PAGEREF _Toc4413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5" w:history="1">
        <w:r>
          <w:rPr>
            <w:rFonts w:ascii="仿宋" w:eastAsia="仿宋" w:hAnsi="仿宋" w:cs="仿宋" w:hint="eastAsia"/>
            <w:lang w:eastAsia="zh-CN"/>
          </w:rPr>
          <w:t>(二)、移动照明项目背景分析</w:t>
        </w:r>
        <w:r>
          <w:tab/>
        </w:r>
        <w:r>
          <w:fldChar w:fldCharType="begin"/>
        </w:r>
        <w:r>
          <w:instrText xml:space="preserve"> PAGEREF _Toc16155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5" w:history="1">
        <w:r>
          <w:rPr>
            <w:rFonts w:ascii="仿宋" w:eastAsia="仿宋" w:hAnsi="仿宋" w:cs="仿宋" w:hint="eastAsia"/>
            <w:lang w:eastAsia="zh-CN"/>
          </w:rPr>
          <w:t>(三)、移动照明项目建设必要性分析</w:t>
        </w:r>
        <w:r>
          <w:tab/>
        </w:r>
        <w:r>
          <w:fldChar w:fldCharType="begin"/>
        </w:r>
        <w:r>
          <w:instrText xml:space="preserve"> PAGEREF _Toc18005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37" w:history="1">
        <w:r>
          <w:rPr>
            <w:rFonts w:ascii="仿宋" w:eastAsia="仿宋" w:hAnsi="仿宋" w:cs="仿宋" w:hint="eastAsia"/>
            <w:lang w:eastAsia="zh-CN"/>
          </w:rPr>
          <w:t>四、移动照明项目可持续发展</w:t>
        </w:r>
        <w:r>
          <w:tab/>
        </w:r>
        <w:r>
          <w:fldChar w:fldCharType="begin"/>
        </w:r>
        <w:r>
          <w:instrText xml:space="preserve"> PAGEREF _Toc13337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2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_Toc32422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56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_Toc18656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10" w:history="1">
        <w:r>
          <w:rPr>
            <w:rFonts w:ascii="仿宋" w:eastAsia="仿宋" w:hAnsi="仿宋" w:cs="仿宋" w:hint="eastAsia"/>
            <w:lang w:eastAsia="zh-CN"/>
          </w:rPr>
          <w:t>五、人力资源管理</w:t>
        </w:r>
        <w:r>
          <w:tab/>
        </w:r>
        <w:r>
          <w:fldChar w:fldCharType="begin"/>
        </w:r>
        <w:r>
          <w:instrText xml:space="preserve"> PAGEREF _Toc31810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82" w:history="1">
        <w:r>
          <w:rPr>
            <w:rFonts w:ascii="仿宋" w:eastAsia="仿宋" w:hAnsi="仿宋" w:cs="仿宋" w:hint="eastAsia"/>
            <w:lang w:eastAsia="zh-CN"/>
          </w:rPr>
          <w:t>(一)、移动照明项目绩效与薪酬管理</w:t>
        </w:r>
        <w:r>
          <w:tab/>
        </w:r>
        <w:r>
          <w:fldChar w:fldCharType="begin"/>
        </w:r>
        <w:r>
          <w:instrText xml:space="preserve"> PAGEREF _Toc15582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9" w:history="1">
        <w:r>
          <w:rPr>
            <w:rFonts w:ascii="仿宋" w:eastAsia="仿宋" w:hAnsi="仿宋" w:cs="仿宋" w:hint="eastAsia"/>
            <w:lang w:eastAsia="zh-CN"/>
          </w:rPr>
          <w:t>(二)、移动照明项目组织与管理</w:t>
        </w:r>
        <w:r>
          <w:tab/>
        </w:r>
        <w:r>
          <w:fldChar w:fldCharType="begin"/>
        </w:r>
        <w:r>
          <w:instrText xml:space="preserve"> PAGEREF _Toc30709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8" w:history="1">
        <w:r>
          <w:rPr>
            <w:rFonts w:ascii="仿宋" w:eastAsia="仿宋" w:hAnsi="仿宋" w:cs="仿宋" w:hint="eastAsia"/>
            <w:lang w:eastAsia="zh-CN"/>
          </w:rPr>
          <w:t>(三)、移动照明项目人力资源管理</w:t>
        </w:r>
        <w:r>
          <w:tab/>
        </w:r>
        <w:r>
          <w:fldChar w:fldCharType="begin"/>
        </w:r>
        <w:r>
          <w:instrText xml:space="preserve"> PAGEREF _Toc26718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40" w:history="1">
        <w:r>
          <w:rPr>
            <w:rFonts w:ascii="仿宋" w:eastAsia="仿宋" w:hAnsi="仿宋" w:cs="仿宋" w:hint="eastAsia"/>
            <w:lang w:eastAsia="zh-CN"/>
          </w:rPr>
          <w:t>六、工艺技术分析</w:t>
        </w:r>
        <w:r>
          <w:tab/>
        </w:r>
        <w:r>
          <w:fldChar w:fldCharType="begin"/>
        </w:r>
        <w:r>
          <w:instrText xml:space="preserve"> PAGEREF _Toc10440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19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_Toc3719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51" w:history="1">
        <w:r>
          <w:rPr>
            <w:rFonts w:ascii="仿宋" w:eastAsia="仿宋" w:hAnsi="仿宋" w:cs="仿宋" w:hint="eastAsia"/>
            <w:lang w:eastAsia="zh-CN"/>
          </w:rPr>
          <w:t>(二)、移动照明项目技术工艺简要分析</w:t>
        </w:r>
        <w:r>
          <w:tab/>
        </w:r>
        <w:r>
          <w:fldChar w:fldCharType="begin"/>
        </w:r>
        <w:r>
          <w:instrText xml:space="preserve"> PAGEREF _Toc5251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32" w:history="1">
        <w:r>
          <w:rPr>
            <w:rFonts w:ascii="仿宋" w:eastAsia="仿宋" w:hAnsi="仿宋" w:cs="仿宋" w:hint="eastAsia"/>
            <w:lang w:eastAsia="zh-CN"/>
          </w:rPr>
          <w:t>(三)、质量管理体系与标准</w:t>
        </w:r>
        <w:r>
          <w:tab/>
        </w:r>
        <w:r>
          <w:fldChar w:fldCharType="begin"/>
        </w:r>
        <w:r>
          <w:instrText xml:space="preserve"> PAGEREF _Toc6232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4" w:history="1">
        <w:r>
          <w:rPr>
            <w:rFonts w:ascii="仿宋" w:eastAsia="仿宋" w:hAnsi="仿宋" w:cs="仿宋" w:hint="eastAsia"/>
            <w:lang w:eastAsia="zh-CN"/>
          </w:rPr>
          <w:t>(四)、移动照明项目技术流程简述</w:t>
        </w:r>
        <w:r>
          <w:tab/>
        </w:r>
        <w:r>
          <w:fldChar w:fldCharType="begin"/>
        </w:r>
        <w:r>
          <w:instrText xml:space="preserve"> PAGEREF _Toc22834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8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_Toc18568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82" w:history="1">
        <w:r>
          <w:rPr>
            <w:rFonts w:ascii="仿宋" w:eastAsia="仿宋" w:hAnsi="仿宋" w:cs="仿宋" w:hint="eastAsia"/>
            <w:lang w:eastAsia="zh-CN"/>
          </w:rPr>
          <w:t>七、产品规划</w:t>
        </w:r>
        <w:r>
          <w:tab/>
        </w:r>
        <w:r>
          <w:fldChar w:fldCharType="begin"/>
        </w:r>
        <w:r>
          <w:instrText xml:space="preserve"> PAGEREF _Toc24582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02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_Toc14202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70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_Toc11270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90" w:history="1">
        <w:r>
          <w:rPr>
            <w:rFonts w:ascii="仿宋" w:eastAsia="仿宋" w:hAnsi="仿宋" w:cs="仿宋" w:hint="eastAsia"/>
            <w:lang w:eastAsia="zh-CN"/>
          </w:rPr>
          <w:t>八、移动照明人才招聘与发展</w:t>
        </w:r>
        <w:r>
          <w:tab/>
        </w:r>
        <w:r>
          <w:fldChar w:fldCharType="begin"/>
        </w:r>
        <w:r>
          <w:instrText xml:space="preserve"> PAGEREF _Toc8090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01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_Toc19301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" w:history="1">
        <w:r>
          <w:rPr>
            <w:rFonts w:ascii="仿宋" w:eastAsia="仿宋" w:hAnsi="仿宋" w:cs="仿宋" w:hint="eastAsia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_Toc1505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52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_Toc26752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1" w:history="1">
        <w:r>
          <w:rPr>
            <w:rFonts w:ascii="仿宋" w:eastAsia="仿宋" w:hAnsi="仿宋" w:cs="仿宋" w:hint="eastAsia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_Toc26461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39" w:history="1">
        <w:r>
          <w:rPr>
            <w:rFonts w:ascii="仿宋" w:eastAsia="仿宋" w:hAnsi="仿宋" w:cs="仿宋" w:hint="eastAsia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_Toc8139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34" w:history="1">
        <w:r>
          <w:rPr>
            <w:rFonts w:ascii="仿宋" w:eastAsia="仿宋" w:hAnsi="仿宋" w:cs="仿宋" w:hint="eastAsia"/>
            <w:lang w:eastAsia="zh-CN"/>
          </w:rPr>
          <w:t>九、移动照明项目概要与评估</w:t>
        </w:r>
        <w:r>
          <w:tab/>
        </w:r>
        <w:r>
          <w:fldChar w:fldCharType="begin"/>
        </w:r>
        <w:r>
          <w:instrText xml:space="preserve"> PAGEREF _Toc7134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14" w:history="1">
        <w:r>
          <w:rPr>
            <w:rFonts w:ascii="仿宋" w:eastAsia="仿宋" w:hAnsi="仿宋" w:cs="仿宋" w:hint="eastAsia"/>
            <w:lang w:eastAsia="zh-CN"/>
          </w:rPr>
          <w:t>(一)、移动照明项目主办方综述</w:t>
        </w:r>
        <w:r>
          <w:tab/>
        </w:r>
        <w:r>
          <w:fldChar w:fldCharType="begin"/>
        </w:r>
        <w:r>
          <w:instrText xml:space="preserve"> PAGEREF _Toc10814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6" w:history="1">
        <w:r>
          <w:rPr>
            <w:rFonts w:ascii="仿宋" w:eastAsia="仿宋" w:hAnsi="仿宋" w:cs="仿宋" w:hint="eastAsia"/>
            <w:lang w:eastAsia="zh-CN"/>
          </w:rPr>
          <w:t>(二)、移动照明项目整体情况概述</w:t>
        </w:r>
        <w:r>
          <w:tab/>
        </w:r>
        <w:r>
          <w:fldChar w:fldCharType="begin"/>
        </w:r>
        <w:r>
          <w:instrText xml:space="preserve"> PAGEREF _Toc24386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5" w:history="1">
        <w:r>
          <w:rPr>
            <w:rFonts w:ascii="仿宋" w:eastAsia="仿宋" w:hAnsi="仿宋" w:cs="仿宋" w:hint="eastAsia"/>
            <w:lang w:eastAsia="zh-CN"/>
          </w:rPr>
          <w:t>(三)、移动照明项目评估及展望</w:t>
        </w:r>
        <w:r>
          <w:tab/>
        </w:r>
        <w:r>
          <w:fldChar w:fldCharType="begin"/>
        </w:r>
        <w:r>
          <w:instrText xml:space="preserve"> PAGEREF _Toc10235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3" w:history="1">
        <w:r>
          <w:rPr>
            <w:rFonts w:ascii="仿宋" w:eastAsia="仿宋" w:hAnsi="仿宋" w:cs="仿宋" w:hint="eastAsia"/>
            <w:lang w:eastAsia="zh-CN"/>
          </w:rPr>
          <w:t>(四)、主要经济数据总览</w:t>
        </w:r>
        <w:r>
          <w:tab/>
        </w:r>
        <w:r>
          <w:fldChar w:fldCharType="begin"/>
        </w:r>
        <w:r>
          <w:instrText xml:space="preserve"> PAGEREF _Toc15863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013" w:history="1">
        <w:r>
          <w:rPr>
            <w:rFonts w:ascii="仿宋" w:eastAsia="仿宋" w:hAnsi="仿宋" w:cs="仿宋" w:hint="eastAsia"/>
            <w:lang w:eastAsia="zh-CN"/>
          </w:rPr>
          <w:t>十、法律与合规事项</w:t>
        </w:r>
        <w:r>
          <w:tab/>
        </w:r>
        <w:r>
          <w:fldChar w:fldCharType="begin"/>
        </w:r>
        <w:r>
          <w:instrText xml:space="preserve"> PAGEREF _Toc30013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8" w:history="1">
        <w:r>
          <w:rPr>
            <w:rFonts w:ascii="仿宋" w:eastAsia="仿宋" w:hAnsi="仿宋" w:cs="仿宋" w:hint="eastAsia"/>
            <w:lang w:eastAsia="zh-CN"/>
          </w:rPr>
          <w:t>(一)、法律合规要求</w:t>
        </w:r>
        <w:r>
          <w:tab/>
        </w:r>
        <w:r>
          <w:fldChar w:fldCharType="begin"/>
        </w:r>
        <w:r>
          <w:instrText xml:space="preserve"> PAGEREF _Toc18088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" w:history="1">
        <w:r>
          <w:rPr>
            <w:rFonts w:ascii="仿宋" w:eastAsia="仿宋" w:hAnsi="仿宋" w:cs="仿宋" w:hint="eastAsia"/>
            <w:lang w:eastAsia="zh-CN"/>
          </w:rPr>
          <w:t>(二)、合同管理与法律事务</w:t>
        </w:r>
        <w:r>
          <w:tab/>
        </w:r>
        <w:r>
          <w:fldChar w:fldCharType="begin"/>
        </w:r>
        <w:r>
          <w:instrText xml:space="preserve"> PAGEREF _Toc995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7" w:history="1">
        <w:r>
          <w:rPr>
            <w:rFonts w:ascii="仿宋" w:eastAsia="仿宋" w:hAnsi="仿宋" w:cs="仿宋" w:hint="eastAsia"/>
            <w:lang w:eastAsia="zh-CN"/>
          </w:rPr>
          <w:t>(三)、知识产权保护策略</w:t>
        </w:r>
        <w:r>
          <w:tab/>
        </w:r>
        <w:r>
          <w:fldChar w:fldCharType="begin"/>
        </w:r>
        <w:r>
          <w:instrText xml:space="preserve"> PAGEREF _Toc12847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24" w:history="1">
        <w:r>
          <w:rPr>
            <w:rFonts w:ascii="仿宋" w:eastAsia="仿宋" w:hAnsi="仿宋" w:cs="仿宋" w:hint="eastAsia"/>
            <w:lang w:eastAsia="zh-CN"/>
          </w:rPr>
          <w:t>十一、公司机构优势</w:t>
        </w:r>
        <w:r>
          <w:tab/>
        </w:r>
        <w:r>
          <w:fldChar w:fldCharType="begin"/>
        </w:r>
        <w:r>
          <w:instrText xml:space="preserve"> PAGEREF _Toc17924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13" w:history="1">
        <w:r>
          <w:rPr>
            <w:rFonts w:ascii="仿宋" w:eastAsia="仿宋" w:hAnsi="仿宋" w:cs="仿宋" w:hint="eastAsia"/>
            <w:lang w:eastAsia="zh-CN"/>
          </w:rPr>
          <w:t>(一)、区位优势</w:t>
        </w:r>
        <w:r>
          <w:tab/>
        </w:r>
        <w:r>
          <w:fldChar w:fldCharType="begin"/>
        </w:r>
        <w:r>
          <w:instrText xml:space="preserve"> PAGEREF _Toc31813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55" w:history="1">
        <w:r>
          <w:rPr>
            <w:rFonts w:ascii="仿宋" w:eastAsia="仿宋" w:hAnsi="仿宋" w:cs="仿宋" w:hint="eastAsia"/>
            <w:lang w:eastAsia="zh-CN"/>
          </w:rPr>
          <w:t>(二)、政策优势</w:t>
        </w:r>
        <w:r>
          <w:tab/>
        </w:r>
        <w:r>
          <w:fldChar w:fldCharType="begin"/>
        </w:r>
        <w:r>
          <w:instrText xml:space="preserve"> PAGEREF _Toc23155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68" w:history="1">
        <w:r>
          <w:rPr>
            <w:rFonts w:ascii="仿宋" w:eastAsia="仿宋" w:hAnsi="仿宋" w:cs="仿宋" w:hint="eastAsia"/>
            <w:lang w:eastAsia="zh-CN"/>
          </w:rPr>
          <w:t>(三)、优秀的管理顾问团队</w:t>
        </w:r>
        <w:r>
          <w:tab/>
        </w:r>
        <w:r>
          <w:fldChar w:fldCharType="begin"/>
        </w:r>
        <w:r>
          <w:instrText xml:space="preserve"> PAGEREF _Toc31368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5" w:history="1">
        <w:r>
          <w:rPr>
            <w:rFonts w:ascii="仿宋" w:eastAsia="仿宋" w:hAnsi="仿宋" w:cs="仿宋" w:hint="eastAsia"/>
            <w:lang w:eastAsia="zh-CN"/>
          </w:rPr>
          <w:t>(四)、高端的合作伙伴，高质量的设施技术和管理</w:t>
        </w:r>
        <w:r>
          <w:tab/>
        </w:r>
        <w:r>
          <w:fldChar w:fldCharType="begin"/>
        </w:r>
        <w:r>
          <w:instrText xml:space="preserve"> PAGEREF _Toc29215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64" w:history="1">
        <w:r>
          <w:rPr>
            <w:rFonts w:ascii="仿宋" w:eastAsia="仿宋" w:hAnsi="仿宋" w:cs="仿宋" w:hint="eastAsia"/>
            <w:lang w:eastAsia="zh-CN"/>
          </w:rPr>
          <w:t>十二、项目风险分析及防范措施</w:t>
        </w:r>
        <w:r>
          <w:tab/>
        </w:r>
        <w:r>
          <w:fldChar w:fldCharType="begin"/>
        </w:r>
        <w:r>
          <w:instrText xml:space="preserve"> PAGEREF _Toc11464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3" w:history="1">
        <w:r>
          <w:rPr>
            <w:rFonts w:ascii="仿宋" w:eastAsia="仿宋" w:hAnsi="仿宋" w:cs="仿宋" w:hint="eastAsia"/>
            <w:lang w:eastAsia="zh-CN"/>
          </w:rPr>
          <w:t>(一)、项目的要紧风险因素识别</w:t>
        </w:r>
        <w:r>
          <w:tab/>
        </w:r>
        <w:r>
          <w:fldChar w:fldCharType="begin"/>
        </w:r>
        <w:r>
          <w:instrText xml:space="preserve"> PAGEREF _Toc23983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1" w:history="1">
        <w:r>
          <w:rPr>
            <w:rFonts w:ascii="仿宋" w:eastAsia="仿宋" w:hAnsi="仿宋" w:cs="仿宋" w:hint="eastAsia"/>
            <w:lang w:eastAsia="zh-CN"/>
          </w:rPr>
          <w:t>(二)、风险程度分析</w:t>
        </w:r>
        <w:r>
          <w:tab/>
        </w:r>
        <w:r>
          <w:fldChar w:fldCharType="begin"/>
        </w:r>
        <w:r>
          <w:instrText xml:space="preserve"> PAGEREF _Toc6341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5" w:history="1">
        <w:r>
          <w:rPr>
            <w:rFonts w:ascii="仿宋" w:eastAsia="仿宋" w:hAnsi="仿宋" w:cs="仿宋" w:hint="eastAsia"/>
            <w:lang w:eastAsia="zh-CN"/>
          </w:rPr>
          <w:t>(三)、防范与降低风险的计策</w:t>
        </w:r>
        <w:r>
          <w:tab/>
        </w:r>
        <w:r>
          <w:fldChar w:fldCharType="begin"/>
        </w:r>
        <w:r>
          <w:instrText xml:space="preserve"> PAGEREF _Toc27855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92" w:history="1">
        <w:r>
          <w:rPr>
            <w:rFonts w:ascii="仿宋" w:eastAsia="仿宋" w:hAnsi="仿宋" w:cs="仿宋" w:hint="eastAsia"/>
            <w:lang w:eastAsia="zh-CN"/>
          </w:rPr>
          <w:t>十三、组织架构分析</w:t>
        </w:r>
        <w:r>
          <w:tab/>
        </w:r>
        <w:r>
          <w:fldChar w:fldCharType="begin"/>
        </w:r>
        <w:r>
          <w:instrText xml:space="preserve"> PAGEREF _Toc21692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3" w:history="1">
        <w:r>
          <w:rPr>
            <w:rFonts w:ascii="仿宋" w:eastAsia="仿宋" w:hAnsi="仿宋" w:cs="仿宋" w:hint="eastAsia"/>
            <w:lang w:eastAsia="zh-CN"/>
          </w:rPr>
          <w:t>(一)、人力资源配</w:t>
        </w:r>
        <w:r>
          <w:tab/>
        </w:r>
        <w:r>
          <w:fldChar w:fldCharType="begin"/>
        </w:r>
        <w:r>
          <w:instrText xml:space="preserve"> PAGEREF _Toc21763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44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_Toc16244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08" w:history="1">
        <w:r>
          <w:rPr>
            <w:rFonts w:ascii="仿宋" w:eastAsia="仿宋" w:hAnsi="仿宋" w:cs="仿宋" w:hint="eastAsia"/>
            <w:lang w:eastAsia="zh-CN"/>
          </w:rPr>
          <w:t>十四、移动照明项目收尾与总结</w:t>
        </w:r>
        <w:r>
          <w:tab/>
        </w:r>
        <w:r>
          <w:fldChar w:fldCharType="begin"/>
        </w:r>
        <w:r>
          <w:instrText xml:space="preserve"> PAGEREF _Toc17408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6" w:history="1">
        <w:r>
          <w:rPr>
            <w:rFonts w:ascii="仿宋" w:eastAsia="仿宋" w:hAnsi="仿宋" w:cs="仿宋" w:hint="eastAsia"/>
            <w:lang w:eastAsia="zh-CN"/>
          </w:rPr>
          <w:t>(一)、移动照明项目总结与经验分享</w:t>
        </w:r>
        <w:r>
          <w:tab/>
        </w:r>
        <w:r>
          <w:fldChar w:fldCharType="begin"/>
        </w:r>
        <w:r>
          <w:instrText xml:space="preserve"> PAGEREF _Toc6576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3" w:history="1">
        <w:r>
          <w:rPr>
            <w:rFonts w:ascii="仿宋" w:eastAsia="仿宋" w:hAnsi="仿宋" w:cs="仿宋" w:hint="eastAsia"/>
            <w:lang w:eastAsia="zh-CN"/>
          </w:rPr>
          <w:t>(二)、移动照明项目报告与归档</w:t>
        </w:r>
        <w:r>
          <w:tab/>
        </w:r>
        <w:r>
          <w:fldChar w:fldCharType="begin"/>
        </w:r>
        <w:r>
          <w:instrText xml:space="preserve"> PAGEREF _Toc8663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4" w:history="1">
        <w:r>
          <w:rPr>
            <w:rFonts w:ascii="仿宋" w:eastAsia="仿宋" w:hAnsi="仿宋" w:cs="仿宋" w:hint="eastAsia"/>
            <w:lang w:eastAsia="zh-CN"/>
          </w:rPr>
          <w:t>(三)、移动照明项目收尾与结算</w:t>
        </w:r>
        <w:r>
          <w:tab/>
        </w:r>
        <w:r>
          <w:fldChar w:fldCharType="begin"/>
        </w:r>
        <w:r>
          <w:instrText xml:space="preserve"> PAGEREF _Toc5164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03" w:history="1">
        <w:r>
          <w:rPr>
            <w:rFonts w:ascii="仿宋" w:eastAsia="仿宋" w:hAnsi="仿宋" w:cs="仿宋" w:hint="eastAsia"/>
            <w:lang w:eastAsia="zh-CN"/>
          </w:rPr>
          <w:t>(四)、团队人员调整与反馈</w:t>
        </w:r>
        <w:r>
          <w:tab/>
        </w:r>
        <w:r>
          <w:fldChar w:fldCharType="begin"/>
        </w:r>
        <w:r>
          <w:instrText xml:space="preserve"> PAGEREF _Toc27003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21" w:history="1">
        <w:r>
          <w:rPr>
            <w:rFonts w:ascii="仿宋" w:eastAsia="仿宋" w:hAnsi="仿宋" w:cs="仿宋" w:hint="eastAsia"/>
            <w:lang w:eastAsia="zh-CN"/>
          </w:rPr>
          <w:t>十五、企业合规与伦理</w:t>
        </w:r>
        <w:r>
          <w:tab/>
        </w:r>
        <w:r>
          <w:fldChar w:fldCharType="begin"/>
        </w:r>
        <w:r>
          <w:instrText xml:space="preserve"> PAGEREF _Toc16021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84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_Toc29284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88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_Toc26388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1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_Toc7261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3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_Toc14183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30" w:history="1">
        <w:r>
          <w:rPr>
            <w:rFonts w:ascii="仿宋" w:eastAsia="仿宋" w:hAnsi="仿宋" w:cs="仿宋" w:hint="eastAsia"/>
            <w:lang w:eastAsia="zh-CN"/>
          </w:rPr>
          <w:t>十六、市场营销策略</w:t>
        </w:r>
        <w:r>
          <w:tab/>
        </w:r>
        <w:r>
          <w:fldChar w:fldCharType="begin"/>
        </w:r>
        <w:r>
          <w:instrText xml:space="preserve"> PAGEREF _Toc5830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2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_Toc932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6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_Toc1736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08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_Toc8208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6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_Toc11346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32" w:history="1">
        <w:r>
          <w:rPr>
            <w:rFonts w:ascii="仿宋" w:eastAsia="仿宋" w:hAnsi="仿宋" w:cs="仿宋" w:hint="eastAsia"/>
            <w:lang w:eastAsia="zh-CN"/>
          </w:rPr>
          <w:t>十七、移动照明项目验收与运行</w:t>
        </w:r>
        <w:r>
          <w:tab/>
        </w:r>
        <w:r>
          <w:fldChar w:fldCharType="begin"/>
        </w:r>
        <w:r>
          <w:instrText xml:space="preserve"> PAGEREF _Toc32432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0" w:history="1">
        <w:r>
          <w:rPr>
            <w:rFonts w:ascii="仿宋" w:eastAsia="仿宋" w:hAnsi="仿宋" w:cs="仿宋" w:hint="eastAsia"/>
            <w:lang w:eastAsia="zh-CN"/>
          </w:rPr>
          <w:t>(一)、移动照明项目验收的程序和步骤</w:t>
        </w:r>
        <w:r>
          <w:tab/>
        </w:r>
        <w:r>
          <w:fldChar w:fldCharType="begin"/>
        </w:r>
        <w:r>
          <w:instrText xml:space="preserve"> PAGEREF _Toc25560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93" w:history="1">
        <w:r>
          <w:rPr>
            <w:rFonts w:ascii="仿宋" w:eastAsia="仿宋" w:hAnsi="仿宋" w:cs="仿宋" w:hint="eastAsia"/>
            <w:lang w:eastAsia="zh-CN"/>
          </w:rPr>
          <w:t>(二)、移动照明项目验收的相关标准和规范</w:t>
        </w:r>
        <w:r>
          <w:tab/>
        </w:r>
        <w:r>
          <w:fldChar w:fldCharType="begin"/>
        </w:r>
        <w:r>
          <w:instrText xml:space="preserve"> PAGEREF _Toc6793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5" w:history="1">
        <w:r>
          <w:rPr>
            <w:rFonts w:ascii="仿宋" w:eastAsia="仿宋" w:hAnsi="仿宋" w:cs="仿宋" w:hint="eastAsia"/>
            <w:lang w:eastAsia="zh-CN"/>
          </w:rPr>
          <w:t>(三)、移动照明项目运行的监督与管理</w:t>
        </w:r>
        <w:r>
          <w:tab/>
        </w:r>
        <w:r>
          <w:fldChar w:fldCharType="begin"/>
        </w:r>
        <w:r>
          <w:instrText xml:space="preserve"> PAGEREF _Toc4905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34" w:history="1">
        <w:r>
          <w:rPr>
            <w:rFonts w:ascii="仿宋" w:eastAsia="仿宋" w:hAnsi="仿宋" w:cs="仿宋" w:hint="eastAsia"/>
            <w:lang w:eastAsia="zh-CN"/>
          </w:rPr>
          <w:t>(四)、移动照明项目运行中的安全与质量保障</w:t>
        </w:r>
        <w:r>
          <w:tab/>
        </w:r>
        <w:r>
          <w:fldChar w:fldCharType="begin"/>
        </w:r>
        <w:r>
          <w:instrText xml:space="preserve"> PAGEREF _Toc9634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7" w:history="1">
        <w:r>
          <w:rPr>
            <w:rFonts w:ascii="仿宋" w:eastAsia="仿宋" w:hAnsi="仿宋" w:cs="仿宋" w:hint="eastAsia"/>
            <w:lang w:eastAsia="zh-CN"/>
          </w:rPr>
          <w:t>(五)、移动照明项目运行中的持续改进与优化</w:t>
        </w:r>
        <w:r>
          <w:tab/>
        </w:r>
        <w:r>
          <w:fldChar w:fldCharType="begin"/>
        </w:r>
        <w:r>
          <w:instrText xml:space="preserve"> PAGEREF _Toc16857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94" w:history="1">
        <w:r>
          <w:rPr>
            <w:rFonts w:ascii="仿宋" w:eastAsia="仿宋" w:hAnsi="仿宋" w:cs="仿宋" w:hint="eastAsia"/>
            <w:lang w:eastAsia="zh-CN"/>
          </w:rPr>
          <w:t>十八、员工管理与发展</w:t>
        </w:r>
        <w:r>
          <w:tab/>
        </w:r>
        <w:r>
          <w:fldChar w:fldCharType="begin"/>
        </w:r>
        <w:r>
          <w:instrText xml:space="preserve"> PAGEREF _Toc22594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01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_Toc25101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7" w:history="1">
        <w:r>
          <w:rPr>
            <w:rFonts w:ascii="仿宋" w:eastAsia="仿宋" w:hAnsi="仿宋" w:cs="仿宋" w:hint="eastAsia"/>
            <w:lang w:eastAsia="zh-CN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_Toc29447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5" w:history="1">
        <w:r>
          <w:rPr>
            <w:rFonts w:ascii="仿宋" w:eastAsia="仿宋" w:hAnsi="仿宋" w:cs="仿宋" w:hint="eastAsia"/>
            <w:lang w:eastAsia="zh-CN"/>
          </w:rPr>
          <w:t>(三)、绩效管理与激励计划</w:t>
        </w:r>
        <w:r>
          <w:tab/>
        </w:r>
        <w:r>
          <w:fldChar w:fldCharType="begin"/>
        </w:r>
        <w:r>
          <w:instrText xml:space="preserve"> PAGEREF _Toc13495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88" w:history="1">
        <w:r>
          <w:rPr>
            <w:rFonts w:ascii="仿宋" w:eastAsia="仿宋" w:hAnsi="仿宋" w:cs="仿宋" w:hint="eastAsia"/>
            <w:lang w:eastAsia="zh-CN"/>
          </w:rPr>
          <w:t>十九、法律合规与安全管理</w:t>
        </w:r>
        <w:r>
          <w:tab/>
        </w:r>
        <w:r>
          <w:fldChar w:fldCharType="begin"/>
        </w:r>
        <w:r>
          <w:instrText xml:space="preserve"> PAGEREF _Toc21188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72" w:history="1">
        <w:r>
          <w:rPr>
            <w:rFonts w:ascii="仿宋" w:eastAsia="仿宋" w:hAnsi="仿宋" w:cs="仿宋" w:hint="eastAsia"/>
            <w:lang w:eastAsia="zh-CN"/>
          </w:rPr>
          <w:t>(一)、法律合规在安全管理中的地位</w:t>
        </w:r>
        <w:r>
          <w:tab/>
        </w:r>
        <w:r>
          <w:fldChar w:fldCharType="begin"/>
        </w:r>
        <w:r>
          <w:instrText xml:space="preserve"> PAGEREF _Toc19572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1" w:history="1">
        <w:r>
          <w:rPr>
            <w:rFonts w:ascii="仿宋" w:eastAsia="仿宋" w:hAnsi="仿宋" w:cs="仿宋" w:hint="eastAsia"/>
            <w:lang w:eastAsia="zh-CN"/>
          </w:rPr>
          <w:t>(二)、法律合规的基本原则</w:t>
        </w:r>
        <w:r>
          <w:tab/>
        </w:r>
        <w:r>
          <w:fldChar w:fldCharType="begin"/>
        </w:r>
        <w:r>
          <w:instrText xml:space="preserve"> PAGEREF _Toc11341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253" w:history="1">
        <w:r>
          <w:rPr>
            <w:rFonts w:ascii="仿宋" w:eastAsia="仿宋" w:hAnsi="仿宋" w:cs="仿宋" w:hint="eastAsia"/>
            <w:lang w:eastAsia="zh-CN"/>
          </w:rPr>
          <w:t>(三)、法律合规与危险源管理</w:t>
        </w:r>
        <w:r>
          <w:tab/>
        </w:r>
        <w:r>
          <w:fldChar w:fldCharType="begin"/>
        </w:r>
        <w:r>
          <w:instrText xml:space="preserve"> PAGEREF _Toc3253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13" w:history="1">
        <w:r>
          <w:rPr>
            <w:rFonts w:ascii="仿宋" w:eastAsia="仿宋" w:hAnsi="仿宋" w:cs="仿宋" w:hint="eastAsia"/>
            <w:lang w:eastAsia="zh-CN"/>
          </w:rPr>
          <w:t>(四)、法律合规的监督与检查</w:t>
        </w:r>
        <w:r>
          <w:tab/>
        </w:r>
        <w:r>
          <w:fldChar w:fldCharType="begin"/>
        </w:r>
        <w:r>
          <w:instrText xml:space="preserve"> PAGEREF _Toc30613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5" w:history="1">
        <w:r>
          <w:rPr>
            <w:rFonts w:ascii="仿宋" w:eastAsia="仿宋" w:hAnsi="仿宋" w:cs="仿宋" w:hint="eastAsia"/>
            <w:lang w:eastAsia="zh-CN"/>
          </w:rPr>
          <w:t>(五)、法律合规培训与教育</w:t>
        </w:r>
        <w:r>
          <w:tab/>
        </w:r>
        <w:r>
          <w:fldChar w:fldCharType="begin"/>
        </w:r>
        <w:r>
          <w:instrText xml:space="preserve"> PAGEREF _Toc11995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" w:history="1">
        <w:r>
          <w:rPr>
            <w:rFonts w:ascii="仿宋" w:eastAsia="仿宋" w:hAnsi="仿宋" w:cs="仿宋" w:hint="eastAsia"/>
            <w:lang w:eastAsia="zh-CN"/>
          </w:rPr>
          <w:t>(六)、法律合规与安全文化建设</w:t>
        </w:r>
        <w:r>
          <w:tab/>
        </w:r>
        <w:r>
          <w:fldChar w:fldCharType="begin"/>
        </w:r>
        <w:r>
          <w:instrText xml:space="preserve"> PAGEREF _Toc3274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54" w:history="1">
        <w:r>
          <w:rPr>
            <w:rFonts w:ascii="仿宋" w:eastAsia="仿宋" w:hAnsi="仿宋" w:cs="仿宋" w:hint="eastAsia"/>
            <w:lang w:eastAsia="zh-CN"/>
          </w:rPr>
          <w:t>二十、危机管理与应急响应</w:t>
        </w:r>
        <w:r>
          <w:tab/>
        </w:r>
        <w:r>
          <w:fldChar w:fldCharType="begin"/>
        </w:r>
        <w:r>
          <w:instrText xml:space="preserve"> PAGEREF _Toc25954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91" w:history="1">
        <w:r>
          <w:rPr>
            <w:rFonts w:ascii="仿宋" w:eastAsia="仿宋" w:hAnsi="仿宋" w:cs="仿宋" w:hint="eastAsia"/>
            <w:lang w:eastAsia="zh-CN"/>
          </w:rPr>
          <w:t>(一)、危机预警与监测机制</w:t>
        </w:r>
        <w:r>
          <w:tab/>
        </w:r>
        <w:r>
          <w:fldChar w:fldCharType="begin"/>
        </w:r>
        <w:r>
          <w:instrText xml:space="preserve"> PAGEREF _Toc19291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61" w:history="1">
        <w:r>
          <w:rPr>
            <w:rFonts w:ascii="仿宋" w:eastAsia="仿宋" w:hAnsi="仿宋" w:cs="仿宋" w:hint="eastAsia"/>
            <w:lang w:eastAsia="zh-CN"/>
          </w:rPr>
          <w:t>(二)、灾难恢复与业务连续性计划</w:t>
        </w:r>
        <w:r>
          <w:tab/>
        </w:r>
        <w:r>
          <w:fldChar w:fldCharType="begin"/>
        </w:r>
        <w:r>
          <w:instrText xml:space="preserve"> PAGEREF _Toc13661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05" w:history="1">
        <w:r>
          <w:rPr>
            <w:rFonts w:ascii="仿宋" w:eastAsia="仿宋" w:hAnsi="仿宋" w:cs="仿宋" w:hint="eastAsia"/>
            <w:lang w:eastAsia="zh-CN"/>
          </w:rPr>
          <w:t>(三)、公关与媒体管理</w:t>
        </w:r>
        <w:r>
          <w:tab/>
        </w:r>
        <w:r>
          <w:fldChar w:fldCharType="begin"/>
        </w:r>
        <w:r>
          <w:instrText xml:space="preserve"> PAGEREF _Toc8705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94" w:history="1">
        <w:r>
          <w:rPr>
            <w:rFonts w:ascii="仿宋" w:eastAsia="仿宋" w:hAnsi="仿宋" w:cs="仿宋" w:hint="eastAsia"/>
            <w:lang w:eastAsia="zh-CN"/>
          </w:rPr>
          <w:t>(四)、社会责任危机管理</w:t>
        </w:r>
        <w:r>
          <w:tab/>
        </w:r>
        <w:r>
          <w:fldChar w:fldCharType="begin"/>
        </w:r>
        <w:r>
          <w:instrText xml:space="preserve"> PAGEREF _Toc8394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17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320"/>
      <w:r>
        <w:rPr>
          <w:rFonts w:ascii="仿宋" w:eastAsia="仿宋" w:hAnsi="仿宋" w:cs="仿宋" w:hint="eastAsia"/>
          <w:sz w:val="28"/>
          <w:lang w:eastAsia="zh-CN"/>
        </w:rPr>
        <w:t>一、移动照明项目质量管理方案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185"/>
      <w:r>
        <w:rPr>
          <w:rFonts w:ascii="仿宋" w:eastAsia="仿宋" w:hAnsi="仿宋" w:cs="仿宋" w:hint="eastAsia"/>
          <w:lang w:eastAsia="zh-CN"/>
        </w:rPr>
        <w:t>(一)、全面质量管理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（一）全面质量管理的概念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概念解析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全面质量管理代表着一种以全员参与为基础的管理理念，通过各级管理者的引领和推动，将全面质量控制作为核心要素。其目标在于通过全员参与和全面持续改进，不断提升产品和服务质量，最终实现企业经营绩效的管理方式。强调产品质量是企业各项工作的核心，要求企业将质量观念贯穿到每个环节中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特点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https://d.book118.com/086205120135010054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移动照明项目招商引资报告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移动照明项目招商引资报告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移动照明项目招商引资报告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移动照明项目招商引资报告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移动照明项目招商引资报告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D412BD"/>
    <w:rsid w:val="3DD412BD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86205120135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2024-02-29T15:19:00Z</dcterms:created>
  <dcterms:modified xsi:type="dcterms:W3CDTF">2024-02-29T15:19:29Z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74B34D776FC34CC79C2C236A08BC6C7B_11</vt:lpwstr>
  </property>
  <property fmtid="{D5CDD505-2E9C-101B-9397-08002B2CF9AE}" pid="3" name="KSOProductBuildVer">
    <vt:lpwstr>2052-12.1.0.16250</vt:lpwstr>
  </property>
</Properties>
</file>