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0" w:line="224" w:lineRule="auto"/>
        <w:ind w:left="70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2023 </w:t>
      </w:r>
      <w:r>
        <w:rPr>
          <w:rFonts w:ascii="SimHei" w:eastAsia="SimHei" w:hAnsi="SimHei" w:cs="SimHei"/>
          <w:spacing w:val="7"/>
          <w:sz w:val="31"/>
          <w:szCs w:val="31"/>
        </w:rPr>
        <w:t>年中国汽车金融行业信用回顾与</w:t>
      </w:r>
      <w:r>
        <w:rPr>
          <w:rFonts w:ascii="SimHei" w:eastAsia="SimHei" w:hAnsi="SimHei" w:cs="SimHei"/>
          <w:spacing w:val="-5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31"/>
          <w:szCs w:val="31"/>
        </w:rPr>
        <w:t xml:space="preserve">2024 </w:t>
      </w:r>
      <w:r>
        <w:rPr>
          <w:rFonts w:ascii="SimHei" w:eastAsia="SimHei" w:hAnsi="SimHei" w:cs="SimHei"/>
          <w:spacing w:val="7"/>
          <w:sz w:val="31"/>
          <w:szCs w:val="31"/>
        </w:rPr>
        <w:t>年展望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78" w:line="218" w:lineRule="auto"/>
        <w:ind w:left="3237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4"/>
          <w:sz w:val="24"/>
          <w:szCs w:val="24"/>
        </w:rPr>
        <w:t>金融机构部</w:t>
      </w:r>
      <w:r>
        <w:rPr>
          <w:rFonts w:ascii="FangSong" w:eastAsia="FangSong" w:hAnsi="FangSong" w:cs="FangSong"/>
          <w:spacing w:val="11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4"/>
          <w:sz w:val="24"/>
          <w:szCs w:val="24"/>
        </w:rPr>
        <w:t>高飞</w:t>
      </w:r>
    </w:p>
    <w:p>
      <w:pPr>
        <w:pStyle w:val="BodyText"/>
        <w:spacing w:before="264" w:line="217" w:lineRule="auto"/>
        <w:ind w:left="36"/>
      </w:pPr>
      <w:r>
        <w:rPr>
          <w:spacing w:val="-12"/>
        </w:rPr>
        <w:t>摘要：</w:t>
      </w:r>
    </w:p>
    <w:p>
      <w:pPr>
        <w:pStyle w:val="BodyText"/>
        <w:spacing w:before="186" w:line="360" w:lineRule="auto"/>
        <w:ind w:left="33"/>
      </w:pPr>
      <w:r>
        <w:rPr>
          <w:spacing w:val="-10"/>
        </w:rPr>
        <w:t>在芯片供应紧张、原材料价格波动等多重因素影响下，</w:t>
      </w:r>
      <w:r>
        <w:rPr>
          <w:spacing w:val="-34"/>
        </w:rPr>
        <w:t xml:space="preserve"> </w:t>
      </w:r>
      <w:r>
        <w:rPr>
          <w:spacing w:val="-10"/>
        </w:rPr>
        <w:t>政策促进与扰动因素对冲，</w:t>
      </w:r>
      <w:r>
        <w:t xml:space="preserve"> </w:t>
      </w:r>
      <w:r>
        <w:rPr>
          <w:spacing w:val="-1"/>
        </w:rPr>
        <w:t>近两年汽车制造行业发展持续承压。在新能源汽车产销量和汽车出口的推动</w:t>
      </w:r>
      <w:r>
        <w:rPr>
          <w:spacing w:val="-2"/>
        </w:rPr>
        <w:t>下，</w:t>
      </w:r>
      <w:r>
        <w:t xml:space="preserve"> </w:t>
      </w:r>
      <w:r>
        <w:rPr>
          <w:rFonts w:ascii="Times New Roman" w:eastAsia="Times New Roman" w:hAnsi="Times New Roman" w:cs="Times New Roman"/>
          <w:spacing w:val="-7"/>
        </w:rPr>
        <w:t>2023</w:t>
      </w:r>
      <w:r>
        <w:rPr>
          <w:spacing w:val="-7"/>
        </w:rPr>
        <w:t>年以来汽车制造行业发展有所好转。近年来，传统燃油汽车市场景气度下降、</w:t>
      </w:r>
      <w:r>
        <w:rPr>
          <w:spacing w:val="9"/>
        </w:rPr>
        <w:t xml:space="preserve"> </w:t>
      </w:r>
      <w:r>
        <w:rPr>
          <w:spacing w:val="-3"/>
        </w:rPr>
        <w:t>产销量增长疲软，汽车金融公司资产规模增速持续收窄。汽车</w:t>
      </w:r>
      <w:r>
        <w:rPr>
          <w:spacing w:val="-4"/>
        </w:rPr>
        <w:t>金融公司业务结构</w:t>
      </w:r>
      <w:r>
        <w:rPr>
          <w:spacing w:val="-4"/>
        </w:rPr>
        <w:t xml:space="preserve"> </w:t>
      </w:r>
      <w:r>
        <w:rPr>
          <w:spacing w:val="-10"/>
        </w:rPr>
        <w:t>仍以零售贷款为主且占比持续增长，</w:t>
      </w:r>
      <w:r>
        <w:rPr>
          <w:spacing w:val="28"/>
        </w:rPr>
        <w:t xml:space="preserve"> </w:t>
      </w:r>
      <w:r>
        <w:rPr>
          <w:spacing w:val="-10"/>
        </w:rPr>
        <w:t>汽车经销商去</w:t>
      </w:r>
      <w:r>
        <w:rPr>
          <w:spacing w:val="-11"/>
        </w:rPr>
        <w:t>库存压力仍在，</w:t>
      </w:r>
      <w:r>
        <w:rPr>
          <w:spacing w:val="-11"/>
        </w:rPr>
        <w:t xml:space="preserve"> </w:t>
      </w:r>
      <w:r>
        <w:rPr>
          <w:spacing w:val="-11"/>
        </w:rPr>
        <w:t>经销商贷款占</w:t>
      </w:r>
      <w:r>
        <w:rPr>
          <w:spacing w:val="-11"/>
        </w:rPr>
        <w:t xml:space="preserve"> </w:t>
      </w:r>
      <w:r>
        <w:rPr>
          <w:spacing w:val="-16"/>
        </w:rPr>
        <w:t>比逐年下降。</w:t>
      </w:r>
      <w:r>
        <w:rPr>
          <w:spacing w:val="38"/>
        </w:rPr>
        <w:t xml:space="preserve"> </w:t>
      </w:r>
      <w:r>
        <w:rPr>
          <w:spacing w:val="-16"/>
        </w:rPr>
        <w:t>汽车金融公司贷款核销政策相对灵活，</w:t>
      </w:r>
      <w:r>
        <w:rPr>
          <w:spacing w:val="35"/>
        </w:rPr>
        <w:t xml:space="preserve"> </w:t>
      </w:r>
      <w:r>
        <w:rPr>
          <w:spacing w:val="-16"/>
        </w:rPr>
        <w:t>整体资产质量维持较好，</w:t>
      </w:r>
      <w:r>
        <w:rPr>
          <w:spacing w:val="26"/>
        </w:rPr>
        <w:t xml:space="preserve"> </w:t>
      </w:r>
      <w:r>
        <w:rPr>
          <w:spacing w:val="-16"/>
        </w:rPr>
        <w:t>在</w:t>
      </w:r>
      <w:r>
        <w:rPr>
          <w:spacing w:val="-16"/>
        </w:rPr>
        <w:t xml:space="preserve"> </w:t>
      </w:r>
      <w:r>
        <w:rPr>
          <w:spacing w:val="-6"/>
        </w:rPr>
        <w:t>经济增速放缓的背景下，汽车金融公司不良贷款规模持续增长，</w:t>
      </w:r>
      <w:r>
        <w:rPr>
          <w:spacing w:val="-6"/>
        </w:rPr>
        <w:t xml:space="preserve"> </w:t>
      </w:r>
      <w:r>
        <w:rPr>
          <w:spacing w:val="-6"/>
        </w:rPr>
        <w:t>不良</w:t>
      </w:r>
      <w:r>
        <w:rPr>
          <w:spacing w:val="-7"/>
        </w:rPr>
        <w:t>率水平有所</w:t>
      </w:r>
    </w:p>
    <w:p>
      <w:pPr>
        <w:pStyle w:val="BodyText"/>
        <w:spacing w:line="226" w:lineRule="auto"/>
        <w:ind w:left="48"/>
      </w:pPr>
      <w:r>
        <w:rPr>
          <w:spacing w:val="-7"/>
        </w:rPr>
        <w:t>波动。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41" w:right="82" w:hanging="8"/>
        <w:jc w:val="both"/>
      </w:pPr>
      <w:r>
        <w:rPr>
          <w:rFonts w:ascii="Times New Roman" w:eastAsia="Times New Roman" w:hAnsi="Times New Roman" w:cs="Times New Roman"/>
          <w:spacing w:val="1"/>
        </w:rPr>
        <w:t>2023</w:t>
      </w:r>
      <w:r>
        <w:rPr>
          <w:spacing w:val="1"/>
        </w:rPr>
        <w:t>年</w:t>
      </w:r>
      <w:r>
        <w:rPr>
          <w:rFonts w:ascii="Times New Roman" w:eastAsia="Times New Roman" w:hAnsi="Times New Roman" w:cs="Times New Roman"/>
          <w:spacing w:val="1"/>
        </w:rPr>
        <w:t>1-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11</w:t>
      </w:r>
      <w:r>
        <w:rPr>
          <w:spacing w:val="1"/>
        </w:rPr>
        <w:t>月，汽车金融行业发行债券的主体共计</w:t>
      </w:r>
      <w:r>
        <w:rPr>
          <w:rFonts w:ascii="Times New Roman" w:eastAsia="Times New Roman" w:hAnsi="Times New Roman" w:cs="Times New Roman"/>
          <w:spacing w:val="1"/>
        </w:rPr>
        <w:t>5</w:t>
      </w:r>
      <w:r>
        <w:rPr>
          <w:spacing w:val="1"/>
        </w:rPr>
        <w:t>家，存续债券</w:t>
      </w:r>
      <w:r>
        <w:t>的发行主体共</w:t>
      </w:r>
      <w:r>
        <w:t xml:space="preserve"> </w:t>
      </w:r>
      <w:r>
        <w:rPr>
          <w:spacing w:val="-8"/>
        </w:rPr>
        <w:t>计</w:t>
      </w:r>
      <w:r>
        <w:rPr>
          <w:rFonts w:ascii="Times New Roman" w:eastAsia="Times New Roman" w:hAnsi="Times New Roman" w:cs="Times New Roman"/>
          <w:spacing w:val="-8"/>
        </w:rPr>
        <w:t>9</w:t>
      </w:r>
      <w:r>
        <w:rPr>
          <w:spacing w:val="-8"/>
        </w:rPr>
        <w:t>家，</w:t>
      </w:r>
      <w:r>
        <w:rPr>
          <w:spacing w:val="-19"/>
        </w:rPr>
        <w:t xml:space="preserve"> </w:t>
      </w:r>
      <w:r>
        <w:rPr>
          <w:spacing w:val="-8"/>
        </w:rPr>
        <w:t>其中主体信用等级为</w:t>
      </w:r>
      <w:r>
        <w:rPr>
          <w:rFonts w:ascii="Times New Roman" w:eastAsia="Times New Roman" w:hAnsi="Times New Roman" w:cs="Times New Roman"/>
          <w:spacing w:val="-8"/>
        </w:rPr>
        <w:t>AAA</w:t>
      </w:r>
      <w:r>
        <w:rPr>
          <w:spacing w:val="-8"/>
        </w:rPr>
        <w:t>级</w:t>
      </w:r>
      <w:r>
        <w:rPr>
          <w:rFonts w:ascii="Times New Roman" w:eastAsia="Times New Roman" w:hAnsi="Times New Roman" w:cs="Times New Roman"/>
          <w:spacing w:val="-8"/>
        </w:rPr>
        <w:t>8</w:t>
      </w:r>
      <w:r>
        <w:rPr>
          <w:spacing w:val="-8"/>
        </w:rPr>
        <w:t>家，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AA+</w:t>
      </w:r>
      <w:r>
        <w:rPr>
          <w:spacing w:val="-8"/>
        </w:rPr>
        <w:t>级</w:t>
      </w:r>
      <w:r>
        <w:rPr>
          <w:rFonts w:ascii="Times New Roman" w:eastAsia="Times New Roman" w:hAnsi="Times New Roman" w:cs="Times New Roman"/>
          <w:spacing w:val="-8"/>
        </w:rPr>
        <w:t>1</w:t>
      </w:r>
      <w:r>
        <w:rPr>
          <w:spacing w:val="-8"/>
        </w:rPr>
        <w:t>家，</w:t>
      </w:r>
      <w:r>
        <w:rPr>
          <w:spacing w:val="-29"/>
        </w:rPr>
        <w:t xml:space="preserve"> </w:t>
      </w:r>
      <w:r>
        <w:rPr>
          <w:spacing w:val="-8"/>
        </w:rPr>
        <w:t>期间行业内无信用等级调</w:t>
      </w:r>
    </w:p>
    <w:p>
      <w:pPr>
        <w:pStyle w:val="BodyText"/>
        <w:spacing w:before="1" w:line="215" w:lineRule="auto"/>
        <w:ind w:left="40"/>
      </w:pPr>
      <w:r>
        <w:rPr>
          <w:spacing w:val="-4"/>
        </w:rPr>
        <w:t>升或调降的发债主体。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79" w:line="360" w:lineRule="auto"/>
        <w:ind w:left="29" w:right="83" w:firstLine="3"/>
        <w:jc w:val="both"/>
      </w:pPr>
      <w:r>
        <w:rPr>
          <w:spacing w:val="-7"/>
        </w:rPr>
        <w:t>展望</w:t>
      </w:r>
      <w:r>
        <w:rPr>
          <w:rFonts w:ascii="Times New Roman" w:eastAsia="Times New Roman" w:hAnsi="Times New Roman" w:cs="Times New Roman"/>
          <w:spacing w:val="-7"/>
        </w:rPr>
        <w:t>2024</w:t>
      </w:r>
      <w:r>
        <w:rPr>
          <w:spacing w:val="-7"/>
        </w:rPr>
        <w:t>年，新能源汽车产销量和贷款业务仍将保持快速增长，</w:t>
      </w:r>
      <w:r>
        <w:rPr>
          <w:spacing w:val="37"/>
        </w:rPr>
        <w:t xml:space="preserve"> </w:t>
      </w:r>
      <w:r>
        <w:rPr>
          <w:spacing w:val="-7"/>
        </w:rPr>
        <w:t>随着新能源汽车</w:t>
      </w:r>
      <w:r>
        <w:t xml:space="preserve"> </w:t>
      </w:r>
      <w:r>
        <w:rPr>
          <w:spacing w:val="-11"/>
        </w:rPr>
        <w:t>领域技术的持续迭代和规模扩大，</w:t>
      </w:r>
      <w:r>
        <w:rPr>
          <w:spacing w:val="31"/>
        </w:rPr>
        <w:t xml:space="preserve"> </w:t>
      </w:r>
      <w:r>
        <w:rPr>
          <w:spacing w:val="-11"/>
        </w:rPr>
        <w:t>相关领域的竞争也将日益加剧</w:t>
      </w:r>
      <w:r>
        <w:rPr>
          <w:spacing w:val="-12"/>
        </w:rPr>
        <w:t>。未来，</w:t>
      </w:r>
      <w:r>
        <w:rPr>
          <w:spacing w:val="25"/>
        </w:rPr>
        <w:t xml:space="preserve"> </w:t>
      </w:r>
      <w:r>
        <w:rPr>
          <w:spacing w:val="-12"/>
        </w:rPr>
        <w:t>股东不</w:t>
      </w:r>
      <w:r>
        <w:t xml:space="preserve"> </w:t>
      </w:r>
      <w:r>
        <w:rPr>
          <w:spacing w:val="-9"/>
        </w:rPr>
        <w:t>具备规模成本优势的汽车金融公司，</w:t>
      </w:r>
      <w:r>
        <w:rPr>
          <w:spacing w:val="-9"/>
        </w:rPr>
        <w:t xml:space="preserve"> </w:t>
      </w:r>
      <w:r>
        <w:rPr>
          <w:spacing w:val="-9"/>
        </w:rPr>
        <w:t>仍面临持续的业务转型压力，</w:t>
      </w:r>
      <w:r>
        <w:rPr>
          <w:spacing w:val="-9"/>
        </w:rPr>
        <w:t xml:space="preserve"> </w:t>
      </w:r>
      <w:r>
        <w:rPr>
          <w:spacing w:val="-9"/>
        </w:rPr>
        <w:t>市场份</w:t>
      </w:r>
      <w:r>
        <w:rPr>
          <w:spacing w:val="-10"/>
        </w:rPr>
        <w:t>额和业</w:t>
      </w:r>
    </w:p>
    <w:p>
      <w:pPr>
        <w:pStyle w:val="BodyText"/>
        <w:spacing w:line="217" w:lineRule="auto"/>
        <w:ind w:left="44"/>
      </w:pPr>
      <w:r>
        <w:rPr>
          <w:spacing w:val="-6"/>
        </w:rPr>
        <w:t>务规模继续承压。</w:t>
      </w:r>
    </w:p>
    <w:p>
      <w:pPr>
        <w:spacing w:line="217" w:lineRule="auto"/>
        <w:sectPr>
          <w:headerReference w:type="default" r:id="rId4"/>
          <w:footerReference w:type="default" r:id="rId5"/>
          <w:pgSz w:w="11907" w:h="16839"/>
          <w:pgMar w:top="1197" w:right="1716" w:bottom="1159" w:left="1771" w:header="608" w:footer="959" w:gutter="0"/>
          <w:cols w:space="708"/>
        </w:sectPr>
      </w:pPr>
    </w:p>
    <w:p>
      <w:pPr>
        <w:spacing w:before="317" w:line="215" w:lineRule="auto"/>
        <w:ind w:left="53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3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pacing w:val="37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3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汽车金融行业回顾</w:t>
      </w:r>
    </w:p>
    <w:p>
      <w:pPr>
        <w:spacing w:before="266" w:line="271" w:lineRule="auto"/>
        <w:ind w:left="526" w:right="62" w:firstLine="476"/>
        <w:jc w:val="both"/>
        <w:rPr>
          <w:rFonts w:ascii="FangSong" w:eastAsia="FangSong" w:hAnsi="FangSong" w:cs="FangSong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(</w:t>
      </w:r>
      <w:r>
        <w:rPr>
          <w:rFonts w:ascii="FangSong" w:eastAsia="FangSong" w:hAnsi="FangSong" w:cs="FangSong"/>
          <w:spacing w:val="-2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)     </w:t>
      </w:r>
      <w:r>
        <w:rPr>
          <w:rFonts w:ascii="FangSong" w:eastAsia="FangSong" w:hAnsi="FangSong" w:cs="FangSong"/>
          <w:spacing w:val="-2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在芯片供应紧张、原材料</w:t>
      </w:r>
      <w:r>
        <w:rPr>
          <w:rFonts w:ascii="FangSong" w:eastAsia="FangSong" w:hAnsi="FangSong" w:cs="FangSong"/>
          <w:spacing w:val="-3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价格波动等多重因素影响下，政策促进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与扰动因素对冲，近两年汽车制造行业发展持续</w:t>
      </w:r>
      <w:r>
        <w:rPr>
          <w:rFonts w:ascii="FangSong" w:eastAsia="FangSong" w:hAnsi="FangSong" w:cs="FangSong"/>
          <w:spacing w:val="-4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承压。在新能源汽车产销量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和汽车出口的推动下，</w:t>
      </w:r>
      <w:r>
        <w:rPr>
          <w:rFonts w:ascii="FangSong" w:eastAsia="FangSong" w:hAnsi="FangSong" w:cs="FangSong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b/>
          <w:bCs/>
          <w:spacing w:val="2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年以来汽车制造行业发展有所好转。</w:t>
      </w:r>
    </w:p>
    <w:p>
      <w:pPr>
        <w:spacing w:before="266" w:line="290" w:lineRule="auto"/>
        <w:ind w:left="33" w:right="62" w:firstLine="479"/>
        <w:jc w:val="both"/>
        <w:rPr>
          <w:rFonts w:ascii="FangSong" w:eastAsia="FangSong" w:hAnsi="FangSong" w:cs="FangSong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2021  </w:t>
      </w:r>
      <w:r>
        <w:rPr>
          <w:rFonts w:ascii="FangSong" w:eastAsia="FangSong" w:hAnsi="FangSong" w:cs="FangSong"/>
          <w:sz w:val="24"/>
          <w:szCs w:val="24"/>
        </w:rPr>
        <w:t>年，国内汽车产销量结束三年连续下降的趋势，全年产销量分别完成</w:t>
      </w:r>
      <w:r>
        <w:rPr>
          <w:rFonts w:ascii="FangSong" w:eastAsia="FangSong" w:hAnsi="FangSong" w:cs="FangSong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2608.2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万辆和</w:t>
      </w:r>
      <w:r>
        <w:rPr>
          <w:rFonts w:ascii="FangSong" w:eastAsia="FangSong" w:hAnsi="FangSong" w:cs="FangSong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2627.5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万辆，</w:t>
      </w:r>
      <w:r>
        <w:rPr>
          <w:rFonts w:ascii="FangSong" w:eastAsia="FangSong" w:hAnsi="FangSong" w:cs="FangSong"/>
          <w:spacing w:val="-8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同比增长</w:t>
      </w:r>
      <w:r>
        <w:rPr>
          <w:rFonts w:ascii="FangSong" w:eastAsia="FangSong" w:hAnsi="FangSong" w:cs="FangSong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3.40%</w:t>
      </w:r>
      <w:r>
        <w:rPr>
          <w:rFonts w:ascii="FangSong" w:eastAsia="FangSong" w:hAnsi="FangSong" w:cs="FangSong"/>
          <w:spacing w:val="-8"/>
          <w:sz w:val="24"/>
          <w:szCs w:val="24"/>
        </w:rPr>
        <w:t>和</w:t>
      </w:r>
      <w:r>
        <w:rPr>
          <w:rFonts w:ascii="FangSong" w:eastAsia="FangSong" w:hAnsi="FangSong" w:cs="FangSong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3.80%</w:t>
      </w:r>
      <w:r>
        <w:rPr>
          <w:rFonts w:ascii="FangSong" w:eastAsia="FangSong" w:hAnsi="FangSong" w:cs="FangSong"/>
          <w:spacing w:val="-8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9"/>
          <w:sz w:val="24"/>
          <w:szCs w:val="24"/>
        </w:rPr>
        <w:t>年，</w:t>
      </w:r>
      <w:r>
        <w:rPr>
          <w:rFonts w:ascii="FangSong" w:eastAsia="FangSong" w:hAnsi="FangSong" w:cs="FangSong"/>
          <w:spacing w:val="-6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9"/>
          <w:sz w:val="24"/>
          <w:szCs w:val="24"/>
        </w:rPr>
        <w:t>受芯片结构性短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缺、动力电池原材料价格高位运行、局部地缘政治冲突</w:t>
      </w:r>
      <w:r>
        <w:rPr>
          <w:rFonts w:ascii="FangSong" w:eastAsia="FangSong" w:hAnsi="FangSong" w:cs="FangSong"/>
          <w:spacing w:val="-8"/>
          <w:sz w:val="24"/>
          <w:szCs w:val="24"/>
        </w:rPr>
        <w:t>等不利因素冲击，</w:t>
      </w:r>
      <w:r>
        <w:rPr>
          <w:rFonts w:ascii="FangSong" w:eastAsia="FangSong" w:hAnsi="FangSong" w:cs="FangSong"/>
          <w:spacing w:val="36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8"/>
          <w:sz w:val="24"/>
          <w:szCs w:val="24"/>
        </w:rPr>
        <w:t>在购置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11"/>
          <w:sz w:val="24"/>
          <w:szCs w:val="24"/>
        </w:rPr>
        <w:t>税减半等一系列稳增长、促消费政策的有效拉动下，全年汽车产销分别完成</w:t>
      </w:r>
      <w:r>
        <w:rPr>
          <w:rFonts w:ascii="FangSong" w:eastAsia="FangSong" w:hAnsi="FangSong" w:cs="FangSong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2702.1</w:t>
      </w:r>
      <w:r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万辆和</w:t>
      </w:r>
      <w:r>
        <w:rPr>
          <w:rFonts w:ascii="FangSong" w:eastAsia="FangSong" w:hAnsi="FangSong" w:cs="FangSong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2686.4</w:t>
      </w:r>
      <w:r>
        <w:rPr>
          <w:rFonts w:ascii="Times New Roman" w:eastAsia="Times New Roman" w:hAnsi="Times New Roman" w:cs="Times New Roman"/>
          <w:spacing w:val="37"/>
          <w:w w:val="10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万辆，分别较上年增长</w:t>
      </w:r>
      <w:r>
        <w:rPr>
          <w:rFonts w:ascii="FangSong" w:eastAsia="FangSong" w:hAnsi="FangSong" w:cs="FangSong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3.4%</w:t>
      </w:r>
      <w:r>
        <w:rPr>
          <w:rFonts w:ascii="FangSong" w:eastAsia="FangSong" w:hAnsi="FangSong" w:cs="FangSong"/>
          <w:spacing w:val="-5"/>
          <w:sz w:val="24"/>
          <w:szCs w:val="24"/>
        </w:rPr>
        <w:t>和</w:t>
      </w:r>
      <w:r>
        <w:rPr>
          <w:rFonts w:ascii="FangSong" w:eastAsia="FangSong" w:hAnsi="FangSong" w:cs="FangSong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2.1%</w:t>
      </w:r>
      <w:r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。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年以来</w:t>
      </w:r>
      <w:r>
        <w:rPr>
          <w:rFonts w:ascii="FangSong" w:eastAsia="FangSong" w:hAnsi="FangSong" w:cs="FangSong"/>
          <w:spacing w:val="-6"/>
          <w:sz w:val="24"/>
          <w:szCs w:val="24"/>
        </w:rPr>
        <w:t>，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在新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能源汽车和汽车出口增长的拉动下，我国汽车产销量维持增长趋势。</w:t>
      </w:r>
      <w:r>
        <w:rPr>
          <w:rFonts w:ascii="FangSong" w:eastAsia="FangSong" w:hAnsi="FangSong" w:cs="FangSong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spacing w:val="55"/>
          <w:w w:val="10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年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月，汽车产销分别完成</w:t>
      </w:r>
      <w:r>
        <w:rPr>
          <w:rFonts w:ascii="FangSong" w:eastAsia="FangSong" w:hAnsi="FangSong" w:cs="FangSong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2401.6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万辆和</w:t>
      </w:r>
      <w:r>
        <w:rPr>
          <w:rFonts w:ascii="FangSong" w:eastAsia="FangSong" w:hAnsi="FangSong" w:cs="FangSong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2396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.7</w:t>
      </w:r>
      <w:r>
        <w:rPr>
          <w:rFonts w:ascii="Times New Roman" w:eastAsia="Times New Roman" w:hAnsi="Times New Roman" w:cs="Times New Roman"/>
          <w:spacing w:val="18"/>
          <w:w w:val="10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万辆，</w:t>
      </w:r>
      <w:r>
        <w:rPr>
          <w:rFonts w:ascii="FangSong" w:eastAsia="FangSong" w:hAnsi="FangSong" w:cs="FangSong"/>
          <w:spacing w:val="-5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较去年同比分别增长</w:t>
      </w:r>
      <w:r>
        <w:rPr>
          <w:rFonts w:ascii="FangSong" w:eastAsia="FangSong" w:hAnsi="FangSong" w:cs="FangSong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8.0%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和</w:t>
      </w:r>
      <w:r>
        <w:rPr>
          <w:rFonts w:ascii="FangSong" w:eastAsia="FangSong" w:hAnsi="FangSong" w:cs="FangSong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9.1%</w:t>
      </w:r>
      <w:r>
        <w:rPr>
          <w:rFonts w:ascii="FangSong" w:eastAsia="FangSong" w:hAnsi="FangSong" w:cs="FangSong"/>
          <w:spacing w:val="-3"/>
          <w:sz w:val="24"/>
          <w:szCs w:val="24"/>
        </w:rPr>
        <w:t>。</w:t>
      </w:r>
    </w:p>
    <w:p>
      <w:pPr>
        <w:spacing w:before="232" w:line="209" w:lineRule="auto"/>
        <w:ind w:left="540"/>
        <w:rPr>
          <w:rFonts w:ascii="STKaiti" w:eastAsia="STKaiti" w:hAnsi="STKaiti" w:cs="STKaiti"/>
          <w:sz w:val="21"/>
          <w:szCs w:val="21"/>
        </w:rPr>
      </w:pPr>
      <w:r>
        <w:rPr>
          <w:rFonts w:ascii="STKaiti" w:eastAsia="STKaiti" w:hAnsi="STKaiti" w:cs="STKaiti"/>
          <w:spacing w:val="-10"/>
          <w:sz w:val="21"/>
          <w:szCs w:val="21"/>
          <w14:textOutline w14:w="3835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rFonts w:ascii="STKaiti" w:eastAsia="STKaiti" w:hAnsi="STKaiti" w:cs="STKaiti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sz w:val="21"/>
          <w:szCs w:val="21"/>
        </w:rPr>
        <w:t>1.</w:t>
      </w:r>
      <w:r>
        <w:rPr>
          <w:rFonts w:ascii="Times New Roman" w:eastAsia="Times New Roman" w:hAnsi="Times New Roman" w:cs="Times New Roman"/>
          <w:b/>
          <w:bCs/>
          <w:spacing w:val="13"/>
          <w:w w:val="101"/>
          <w:sz w:val="21"/>
          <w:szCs w:val="21"/>
        </w:rPr>
        <w:t xml:space="preserve">  </w:t>
      </w:r>
      <w:r>
        <w:rPr>
          <w:rFonts w:ascii="STKaiti" w:eastAsia="STKaiti" w:hAnsi="STKaiti" w:cs="STKaiti"/>
          <w:spacing w:val="-10"/>
          <w:sz w:val="21"/>
          <w:szCs w:val="21"/>
          <w14:textOutline w14:w="3835">
            <w14:solidFill>
              <w14:srgbClr w14:val="000000"/>
            </w14:solidFill>
            <w14:prstDash w14:val="solid"/>
            <w14:miter w14:lim="10"/>
          </w14:textOutline>
        </w:rPr>
        <w:t>汽车产业历年产销量数据情况</w:t>
      </w:r>
      <w:r>
        <w:rPr>
          <w:rFonts w:ascii="STKaiti" w:eastAsia="STKaiti" w:hAnsi="STKaiti" w:cs="STKaiti"/>
          <w:spacing w:val="-10"/>
          <w:sz w:val="21"/>
          <w:szCs w:val="21"/>
        </w:rPr>
        <w:t xml:space="preserve"> </w:t>
      </w:r>
      <w:r>
        <w:rPr>
          <w:rFonts w:ascii="STKaiti" w:eastAsia="STKaiti" w:hAnsi="STKaiti" w:cs="STKaiti"/>
          <w:spacing w:val="-10"/>
          <w:sz w:val="21"/>
          <w:szCs w:val="21"/>
          <w14:textOutline w14:w="3835">
            <w14:solidFill>
              <w14:srgbClr w14:val="000000"/>
            </w14:solidFill>
            <w14:prstDash w14:val="solid"/>
            <w14:miter w14:lim="10"/>
          </w14:textOutline>
        </w:rPr>
        <w:t>（单位：</w:t>
      </w:r>
      <w:r>
        <w:rPr>
          <w:rFonts w:ascii="STKaiti" w:eastAsia="STKaiti" w:hAnsi="STKaiti" w:cs="STKaiti"/>
          <w:spacing w:val="-10"/>
          <w:sz w:val="21"/>
          <w:szCs w:val="21"/>
        </w:rPr>
        <w:t xml:space="preserve">  </w:t>
      </w:r>
      <w:r>
        <w:rPr>
          <w:rFonts w:ascii="STKaiti" w:eastAsia="STKaiti" w:hAnsi="STKaiti" w:cs="STKaiti"/>
          <w:spacing w:val="-11"/>
          <w:sz w:val="21"/>
          <w:szCs w:val="21"/>
          <w14:textOutline w14:w="3835">
            <w14:solidFill>
              <w14:srgbClr w14:val="000000"/>
            </w14:solidFill>
            <w14:prstDash w14:val="solid"/>
            <w14:miter w14:lim="10"/>
          </w14:textOutline>
        </w:rPr>
        <w:t>万辆、</w:t>
      </w:r>
      <w:r>
        <w:rPr>
          <w:rFonts w:ascii="Times New Roman" w:eastAsia="Times New Roman" w:hAnsi="Times New Roman" w:cs="Times New Roman"/>
          <w:b/>
          <w:bCs/>
          <w:spacing w:val="-11"/>
          <w:sz w:val="21"/>
          <w:szCs w:val="21"/>
        </w:rPr>
        <w:t>%</w:t>
      </w:r>
      <w:r>
        <w:rPr>
          <w:rFonts w:ascii="STKaiti" w:eastAsia="STKaiti" w:hAnsi="STKaiti" w:cs="STKaiti"/>
          <w:spacing w:val="-11"/>
          <w:sz w:val="21"/>
          <w:szCs w:val="21"/>
          <w14:textOutline w14:w="3835">
            <w14:solidFill>
              <w14:srgbClr w14:val="000000"/>
            </w14:solidFill>
            <w14:prstDash w14:val="solid"/>
            <w14:miter w14:lim="10"/>
          </w14:textOutline>
        </w:rPr>
        <w:t>）</w:t>
      </w:r>
    </w:p>
    <w:p>
      <w:pPr>
        <w:spacing w:before="83"/>
      </w:pPr>
    </w:p>
    <w:tbl>
      <w:tblPr>
        <w:tblStyle w:val="TableNormal0"/>
        <w:tblW w:w="8329" w:type="dxa"/>
        <w:tblInd w:w="2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15"/>
        <w:gridCol w:w="1068"/>
        <w:gridCol w:w="1082"/>
        <w:gridCol w:w="1083"/>
        <w:gridCol w:w="1083"/>
        <w:gridCol w:w="2891"/>
        <w:gridCol w:w="507"/>
      </w:tblGrid>
      <w:tr>
        <w:tblPrEx>
          <w:tblW w:w="8329" w:type="dxa"/>
          <w:tblInd w:w="2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602"/>
        </w:trPr>
        <w:tc>
          <w:tcPr>
            <w:tcW w:w="61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6" w:lineRule="auto"/>
              <w:ind w:left="135"/>
            </w:pPr>
            <w:r>
              <w:rPr>
                <w:color w:val="595959"/>
                <w:spacing w:val="-2"/>
              </w:rPr>
              <w:t>3,500</w:t>
            </w:r>
          </w:p>
          <w:p>
            <w:pPr>
              <w:pStyle w:val="TableText"/>
              <w:spacing w:before="247" w:line="187" w:lineRule="auto"/>
              <w:ind w:left="135"/>
            </w:pPr>
            <w:r>
              <w:rPr>
                <w:color w:val="595959"/>
                <w:spacing w:val="-2"/>
              </w:rPr>
              <w:t>3,000</w:t>
            </w:r>
          </w:p>
          <w:p>
            <w:pPr>
              <w:pStyle w:val="TableText"/>
              <w:spacing w:before="248" w:line="186" w:lineRule="auto"/>
              <w:ind w:left="131"/>
            </w:pPr>
            <w:r>
              <w:rPr>
                <w:color w:val="595959"/>
                <w:spacing w:val="-1"/>
              </w:rPr>
              <w:t>2,500</w:t>
            </w:r>
          </w:p>
          <w:p>
            <w:pPr>
              <w:pStyle w:val="TableText"/>
              <w:spacing w:before="247" w:line="186" w:lineRule="auto"/>
              <w:ind w:left="131"/>
            </w:pPr>
            <w:r>
              <w:rPr>
                <w:color w:val="595959"/>
                <w:spacing w:val="-1"/>
              </w:rPr>
              <w:t>2,000</w:t>
            </w:r>
          </w:p>
          <w:p>
            <w:pPr>
              <w:pStyle w:val="TableText"/>
              <w:spacing w:before="248" w:line="186" w:lineRule="auto"/>
              <w:ind w:left="148"/>
            </w:pPr>
            <w:r>
              <w:rPr>
                <w:color w:val="595959"/>
                <w:spacing w:val="-5"/>
              </w:rPr>
              <w:t>1,500</w:t>
            </w:r>
          </w:p>
          <w:p>
            <w:pPr>
              <w:pStyle w:val="TableText"/>
              <w:spacing w:before="248" w:line="186" w:lineRule="auto"/>
              <w:ind w:left="148"/>
            </w:pPr>
            <w:r>
              <w:rPr>
                <w:color w:val="595959"/>
                <w:spacing w:val="-5"/>
              </w:rPr>
              <w:t>1,000</w:t>
            </w:r>
          </w:p>
          <w:p>
            <w:pPr>
              <w:pStyle w:val="TableText"/>
              <w:spacing w:before="248" w:line="186" w:lineRule="auto"/>
              <w:ind w:left="271"/>
            </w:pPr>
            <w:r>
              <w:rPr>
                <w:color w:val="595959"/>
                <w:spacing w:val="-3"/>
              </w:rPr>
              <w:t>500</w:t>
            </w:r>
          </w:p>
          <w:p>
            <w:pPr>
              <w:pStyle w:val="TableText"/>
              <w:spacing w:before="249" w:line="186" w:lineRule="auto"/>
              <w:ind w:left="449"/>
            </w:pPr>
            <w:r>
              <w:rPr>
                <w:color w:val="595959"/>
              </w:rPr>
              <w:t>0</w:t>
            </w:r>
          </w:p>
        </w:tc>
        <w:tc>
          <w:tcPr>
            <w:tcW w:w="7207" w:type="dxa"/>
            <w:gridSpan w:val="5"/>
            <w:tcBorders>
              <w:top w:val="single" w:sz="4" w:space="0" w:color="D9D9D9"/>
            </w:tcBorders>
            <w:vAlign w:val="top"/>
          </w:tcPr>
          <w:p>
            <w:pPr>
              <w:spacing w:before="187" w:line="207" w:lineRule="exact"/>
              <w:ind w:left="9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color w:val="595959"/>
                <w:position w:val="-4"/>
                <w:sz w:val="18"/>
                <w:szCs w:val="18"/>
              </w:rPr>
              <w:drawing>
                <wp:inline distT="0" distB="0" distL="0" distR="0">
                  <wp:extent cx="243839" cy="62484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9" cy="62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color w:val="595959"/>
                <w:spacing w:val="-33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pacing w:val="1"/>
                <w:position w:val="1"/>
                <w:sz w:val="18"/>
                <w:szCs w:val="18"/>
              </w:rPr>
              <w:t>汽车产量</w:t>
            </w:r>
            <w:r>
              <w:rPr>
                <w:rFonts w:ascii="SimSun" w:eastAsia="SimSun" w:hAnsi="SimSun" w:cs="SimSun"/>
                <w:color w:val="595959"/>
                <w:spacing w:val="34"/>
                <w:position w:val="1"/>
                <w:sz w:val="18"/>
                <w:szCs w:val="18"/>
              </w:rPr>
              <w:t xml:space="preserve">  </w:t>
            </w:r>
            <w:r>
              <w:rPr>
                <w:position w:val="-4"/>
                <w:sz w:val="18"/>
                <w:szCs w:val="18"/>
              </w:rPr>
              <w:drawing>
                <wp:inline distT="0" distB="0" distL="0" distR="0">
                  <wp:extent cx="243839" cy="62484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9" cy="62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color w:val="595959"/>
                <w:spacing w:val="-43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pacing w:val="1"/>
                <w:position w:val="1"/>
                <w:sz w:val="18"/>
                <w:szCs w:val="18"/>
              </w:rPr>
              <w:t>汽车销量</w:t>
            </w:r>
            <w:r>
              <w:rPr>
                <w:rFonts w:ascii="SimSun" w:eastAsia="SimSun" w:hAnsi="SimSun" w:cs="SimSun"/>
                <w:color w:val="595959"/>
                <w:spacing w:val="17"/>
                <w:position w:val="1"/>
                <w:sz w:val="18"/>
                <w:szCs w:val="18"/>
              </w:rPr>
              <w:t xml:space="preserve">  </w:t>
            </w:r>
            <w:r>
              <w:rPr>
                <w:position w:val="-2"/>
                <w:sz w:val="18"/>
                <w:szCs w:val="18"/>
              </w:rPr>
              <w:drawing>
                <wp:inline distT="0" distB="0" distL="0" distR="0">
                  <wp:extent cx="281940" cy="3810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color w:val="595959"/>
                <w:spacing w:val="-52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pacing w:val="1"/>
                <w:position w:val="1"/>
                <w:sz w:val="18"/>
                <w:szCs w:val="18"/>
              </w:rPr>
              <w:t>同比增速</w:t>
            </w:r>
            <w:r>
              <w:rPr>
                <w:rFonts w:ascii="SimSun" w:eastAsia="SimSun" w:hAnsi="SimSun" w:cs="SimSun"/>
                <w:color w:val="595959"/>
                <w:spacing w:val="18"/>
                <w:position w:val="1"/>
                <w:sz w:val="18"/>
                <w:szCs w:val="18"/>
              </w:rPr>
              <w:t xml:space="preserve">  </w:t>
            </w:r>
            <w:r>
              <w:rPr>
                <w:rFonts w:ascii="Arial" w:eastAsia="Arial" w:hAnsi="Arial" w:cs="Arial"/>
                <w:color w:val="B6C3DC"/>
                <w:spacing w:val="1"/>
                <w:position w:val="1"/>
                <w:sz w:val="36"/>
                <w:szCs w:val="36"/>
              </w:rPr>
              <w:t>—</w:t>
            </w:r>
            <w:r>
              <w:rPr>
                <w:rFonts w:ascii="Arial" w:eastAsia="Arial" w:hAnsi="Arial" w:cs="Arial"/>
                <w:color w:val="B6C3DC"/>
                <w:spacing w:val="-63"/>
                <w:position w:val="1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color w:val="595959"/>
                <w:spacing w:val="1"/>
                <w:position w:val="1"/>
                <w:sz w:val="18"/>
                <w:szCs w:val="18"/>
              </w:rPr>
              <w:t>同比增速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908" w:lineRule="exact"/>
              <w:ind w:firstLine="68"/>
            </w:pPr>
            <w:r>
              <w:rPr>
                <w:position w:val="-58"/>
              </w:rPr>
              <w:drawing>
                <wp:inline distT="0" distB="0" distL="0" distR="0">
                  <wp:extent cx="4488179" cy="184708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8179" cy="1847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  <w:vMerge w:val="restart"/>
            <w:tcBorders>
              <w:top w:val="single" w:sz="4" w:space="0" w:color="D9D9D9"/>
              <w:bottom w:val="nil"/>
              <w:right w:val="single" w:sz="4" w:space="0" w:color="D9D9D9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1" w:line="186" w:lineRule="auto"/>
              <w:ind w:left="80"/>
            </w:pPr>
            <w:r>
              <w:rPr>
                <w:color w:val="595959"/>
                <w:spacing w:val="-1"/>
              </w:rPr>
              <w:t>20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1" w:line="186" w:lineRule="auto"/>
              <w:ind w:left="98"/>
            </w:pPr>
            <w:r>
              <w:rPr>
                <w:color w:val="595959"/>
                <w:spacing w:val="-5"/>
              </w:rPr>
              <w:t>15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1" w:line="186" w:lineRule="auto"/>
              <w:ind w:left="98"/>
            </w:pPr>
            <w:r>
              <w:rPr>
                <w:color w:val="595959"/>
                <w:spacing w:val="-5"/>
              </w:rPr>
              <w:t>10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3" w:lineRule="auto"/>
              <w:ind w:left="85"/>
            </w:pPr>
            <w:r>
              <w:rPr>
                <w:color w:val="595959"/>
              </w:rPr>
              <w:t>5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6" w:lineRule="auto"/>
              <w:ind w:left="83"/>
            </w:pPr>
            <w:r>
              <w:rPr>
                <w:color w:val="595959"/>
              </w:rPr>
              <w:t>0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3" w:line="477" w:lineRule="exact"/>
              <w:ind w:left="84"/>
            </w:pPr>
            <w:r>
              <w:rPr>
                <w:color w:val="FF0000"/>
                <w:spacing w:val="-3"/>
                <w:position w:val="26"/>
              </w:rPr>
              <w:t>(5)</w:t>
            </w:r>
          </w:p>
          <w:p>
            <w:pPr>
              <w:pStyle w:val="TableText"/>
              <w:spacing w:line="190" w:lineRule="auto"/>
              <w:ind w:left="84"/>
            </w:pPr>
            <w:r>
              <w:rPr>
                <w:color w:val="FF0000"/>
                <w:spacing w:val="-2"/>
              </w:rPr>
              <w:t>(10)</w:t>
            </w:r>
          </w:p>
        </w:tc>
      </w:tr>
      <w:tr>
        <w:tblPrEx>
          <w:tblW w:w="8329" w:type="dxa"/>
          <w:tblInd w:w="26" w:type="dxa"/>
          <w:tblLayout w:type="fixed"/>
        </w:tblPrEx>
        <w:trPr>
          <w:trHeight w:val="849"/>
        </w:trPr>
        <w:tc>
          <w:tcPr>
            <w:tcW w:w="615" w:type="dxa"/>
            <w:vMerge/>
            <w:tcBorders>
              <w:top w:val="nil"/>
              <w:left w:val="single" w:sz="4" w:space="0" w:color="D9D9D9"/>
              <w:bottom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tcBorders>
              <w:bottom w:val="single" w:sz="4" w:space="0" w:color="D9D9D9"/>
            </w:tcBorders>
            <w:vAlign w:val="top"/>
          </w:tcPr>
          <w:p>
            <w:pPr>
              <w:spacing w:before="55" w:line="245" w:lineRule="exact"/>
              <w:ind w:firstLine="130"/>
            </w:pPr>
            <w:r>
              <w:rPr>
                <w:position w:val="-4"/>
              </w:rPr>
              <w:drawing>
                <wp:inline distT="0" distB="0" distL="0" distR="0">
                  <wp:extent cx="497966" cy="155321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966" cy="155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2" w:type="dxa"/>
            <w:tcBorders>
              <w:bottom w:val="single" w:sz="4" w:space="0" w:color="D9D9D9"/>
            </w:tcBorders>
            <w:vAlign w:val="top"/>
          </w:tcPr>
          <w:p>
            <w:pPr>
              <w:spacing w:before="49" w:line="251" w:lineRule="exact"/>
              <w:ind w:firstLine="147"/>
            </w:pPr>
            <w:r>
              <w:rPr>
                <w:position w:val="-5"/>
              </w:rPr>
              <w:drawing>
                <wp:inline distT="0" distB="0" distL="0" distR="0">
                  <wp:extent cx="495680" cy="159258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680" cy="159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bottom w:val="single" w:sz="4" w:space="0" w:color="D9D9D9"/>
            </w:tcBorders>
            <w:vAlign w:val="top"/>
          </w:tcPr>
          <w:p>
            <w:pPr>
              <w:spacing w:before="42" w:line="258" w:lineRule="exact"/>
              <w:ind w:firstLine="150"/>
            </w:pPr>
            <w:r>
              <w:rPr>
                <w:position w:val="-5"/>
              </w:rPr>
              <w:drawing>
                <wp:inline distT="0" distB="0" distL="0" distR="0">
                  <wp:extent cx="494410" cy="163829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410" cy="163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3" w:type="dxa"/>
            <w:tcBorders>
              <w:bottom w:val="single" w:sz="4" w:space="0" w:color="D9D9D9"/>
            </w:tcBorders>
            <w:vAlign w:val="top"/>
          </w:tcPr>
          <w:p>
            <w:pPr>
              <w:spacing w:before="42" w:line="258" w:lineRule="exact"/>
              <w:ind w:firstLine="152"/>
            </w:pPr>
            <w:r>
              <w:rPr>
                <w:position w:val="-5"/>
              </w:rPr>
              <w:drawing>
                <wp:inline distT="0" distB="0" distL="0" distR="0">
                  <wp:extent cx="494284" cy="163448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284" cy="163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1" w:type="dxa"/>
            <w:tcBorders>
              <w:bottom w:val="single" w:sz="4" w:space="0" w:color="D9D9D9"/>
            </w:tcBorders>
            <w:vAlign w:val="top"/>
          </w:tcPr>
          <w:p>
            <w:pPr>
              <w:spacing w:before="54" w:line="635" w:lineRule="exact"/>
              <w:ind w:firstLine="155"/>
            </w:pPr>
            <w:r>
              <w:rPr>
                <w:position w:val="-12"/>
              </w:rPr>
              <w:drawing>
                <wp:inline distT="0" distB="0" distL="0" distR="0">
                  <wp:extent cx="1524507" cy="403351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507" cy="403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" w:type="dxa"/>
            <w:vMerge/>
            <w:tcBorders>
              <w:top w:val="nil"/>
              <w:bottom w:val="single" w:sz="4" w:space="0" w:color="D9D9D9"/>
              <w:right w:val="single" w:sz="4" w:space="0" w:color="D9D9D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12" w:lineRule="auto"/>
        <w:rPr>
          <w:rFonts w:ascii="Arial"/>
          <w:sz w:val="21"/>
        </w:rPr>
      </w:pPr>
    </w:p>
    <w:p>
      <w:pPr>
        <w:spacing w:before="59" w:line="215" w:lineRule="auto"/>
        <w:ind w:left="49"/>
        <w:rPr>
          <w:rFonts w:ascii="FangSong" w:eastAsia="FangSong" w:hAnsi="FangSong" w:cs="FangSong"/>
          <w:sz w:val="18"/>
          <w:szCs w:val="18"/>
        </w:rPr>
      </w:pPr>
      <w:r>
        <w:rPr>
          <w:rFonts w:ascii="FangSong" w:eastAsia="FangSong" w:hAnsi="FangSong" w:cs="FangSong"/>
          <w:spacing w:val="-2"/>
          <w:sz w:val="18"/>
          <w:szCs w:val="18"/>
        </w:rPr>
        <w:t>资料来源：中国汽车工业协会</w:t>
      </w:r>
    </w:p>
    <w:p>
      <w:pPr>
        <w:spacing w:before="305" w:line="284" w:lineRule="auto"/>
        <w:ind w:left="526" w:right="62" w:firstLine="476"/>
        <w:jc w:val="both"/>
        <w:rPr>
          <w:rFonts w:ascii="FangSong" w:eastAsia="FangSong" w:hAnsi="FangSong" w:cs="FangSong"/>
          <w:sz w:val="24"/>
          <w:szCs w:val="24"/>
        </w:rPr>
        <w:sectPr>
          <w:headerReference w:type="default" r:id="rId15"/>
          <w:footerReference w:type="default" r:id="rId16"/>
          <w:pgSz w:w="11907" w:h="16839"/>
          <w:pgMar w:top="1197" w:right="1734" w:bottom="1159" w:left="1771" w:header="608" w:footer="959" w:gutter="0"/>
          <w:pgNumType w:start="2"/>
          <w:cols w:space="708"/>
        </w:sect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(</w:t>
      </w:r>
      <w:r>
        <w:rPr>
          <w:rFonts w:ascii="FangSong" w:eastAsia="FangSong" w:hAnsi="FangSong" w:cs="FangSong"/>
          <w:spacing w:val="-3"/>
          <w:sz w:val="24"/>
          <w:szCs w:val="24"/>
        </w:rPr>
        <w:t>二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)     </w:t>
      </w:r>
      <w:r>
        <w:rPr>
          <w:rFonts w:ascii="FangSong" w:eastAsia="FangSong" w:hAnsi="FangSong" w:cs="FangSong"/>
          <w:spacing w:val="-3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近年来，传统燃油汽车市场景气度下降、产销量增长疲软，汽车</w:t>
      </w:r>
      <w:r>
        <w:rPr>
          <w:rFonts w:ascii="FangSong" w:eastAsia="FangSong" w:hAnsi="FangSong" w:cs="FangSong"/>
          <w:spacing w:val="18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4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金融公司资产规模增速持续收窄。汽车金融公司业务结构以零售贷款</w:t>
      </w:r>
      <w:r>
        <w:rPr>
          <w:rFonts w:ascii="FangSong" w:eastAsia="FangSong" w:hAnsi="FangSong" w:cs="FangSong"/>
          <w:spacing w:val="3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为主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且占比持续增长，经销商贷款占比逐年下降。汽</w:t>
      </w:r>
      <w:r>
        <w:rPr>
          <w:rFonts w:ascii="FangSong" w:eastAsia="FangSong" w:hAnsi="FangSong" w:cs="FangSong"/>
          <w:spacing w:val="-4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车金融公司贷款核销政策相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</w:p>
    <w:p>
      <w:pPr>
        <w:spacing w:before="305" w:line="284" w:lineRule="auto"/>
        <w:ind w:left="526" w:right="62" w:firstLine="476"/>
        <w:jc w:val="both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对灵活，整体资产质量维持较好，</w:t>
      </w:r>
      <w:r>
        <w:rPr>
          <w:rFonts w:ascii="FangSong" w:eastAsia="FangSong" w:hAnsi="FangSong" w:cs="FangSong"/>
          <w:spacing w:val="-56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在经济增</w:t>
      </w:r>
      <w:r>
        <w:rPr>
          <w:rFonts w:ascii="FangSong" w:eastAsia="FangSong" w:hAnsi="FangSong" w:cs="FangSong"/>
          <w:spacing w:val="-6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速放缓的背景下，汽车金融公司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不良贷款规模持续增长，</w:t>
      </w:r>
      <w:r>
        <w:rPr>
          <w:rFonts w:ascii="FangSong" w:eastAsia="FangSong" w:hAnsi="FangSong" w:cs="FangSong"/>
          <w:spacing w:val="-6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不良率水平有所波动。</w:t>
      </w:r>
    </w:p>
    <w:p>
      <w:pPr>
        <w:spacing w:before="262" w:line="258" w:lineRule="auto"/>
        <w:ind w:left="44" w:right="86" w:firstLine="483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4"/>
          <w:sz w:val="24"/>
          <w:szCs w:val="24"/>
        </w:rPr>
        <w:t>汽车金融是促进汽车流通与销售的关键环节，金融渗透率的持续提</w:t>
      </w:r>
      <w:r>
        <w:rPr>
          <w:rFonts w:ascii="FangSong" w:eastAsia="FangSong" w:hAnsi="FangSong" w:cs="FangSong"/>
          <w:spacing w:val="-5"/>
          <w:sz w:val="24"/>
          <w:szCs w:val="24"/>
        </w:rPr>
        <w:t>升是汽车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金融公司资产规模维持增长的主要因素。近年来汽车市场景气度下降、产销量增</w:t>
      </w:r>
    </w:p>
    <w:p>
      <w:pPr>
        <w:spacing w:line="258" w:lineRule="auto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z w:val="24"/>
          <w:szCs w:val="24"/>
        </w:rPr>
        <w:br/>
      </w:r>
      <w:r>
        <w:rPr>
          <w:rFonts w:ascii="FangSong" w:eastAsia="FangSong" w:hAnsi="FangSong" w:cs="FangSong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https://d.book118.com/086213130052010042</w:t>
        </w:r>
      </w:hyperlink>
    </w:p>
    <w:p>
      <w:pPr>
        <w:spacing w:line="258" w:lineRule="auto"/>
        <w:rPr>
          <w:rFonts w:ascii="FangSong" w:eastAsia="FangSong" w:hAnsi="FangSong" w:cs="FangSong"/>
          <w:sz w:val="24"/>
          <w:szCs w:val="24"/>
        </w:rPr>
      </w:pPr>
    </w:p>
    <w:sectPr>
      <w:headerReference w:type="default" r:id="rId18"/>
      <w:footerReference w:type="default" r:id="rId19"/>
      <w:type w:val="nextPage"/>
      <w:pgSz w:w="11907" w:h="16839"/>
      <w:pgMar w:top="1197" w:right="1734" w:bottom="1159" w:left="1771" w:header="608" w:footer="959" w:gutter="0"/>
      <w:pgNumType w:start="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403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b/>
        <w:bCs/>
        <w:spacing w:val="-5"/>
        <w:sz w:val="18"/>
        <w:szCs w:val="18"/>
      </w:rPr>
      <w:t>1</w:t>
    </w:r>
    <w:r>
      <w:rPr>
        <w:rFonts w:ascii="Times New Roman" w:eastAsia="Times New Roman" w:hAnsi="Times New Roman" w:cs="Times New Roman"/>
        <w:b/>
        <w:bCs/>
        <w:spacing w:val="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/</w:t>
    </w:r>
    <w:r>
      <w:rPr>
        <w:rFonts w:ascii="Times New Roman" w:eastAsia="Times New Roman" w:hAnsi="Times New Roman" w:cs="Times New Roman"/>
        <w:spacing w:val="10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pacing w:val="-5"/>
        <w:sz w:val="18"/>
        <w:szCs w:val="18"/>
      </w:rPr>
      <w:t>12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40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b/>
        <w:bCs/>
        <w:spacing w:val="-3"/>
        <w:sz w:val="18"/>
        <w:szCs w:val="18"/>
      </w:rPr>
      <w:t>2</w:t>
    </w:r>
    <w:r>
      <w:rPr>
        <w:rFonts w:ascii="Times New Roman" w:eastAsia="Times New Roman" w:hAnsi="Times New Roman" w:cs="Times New Roman"/>
        <w:b/>
        <w:bCs/>
        <w:spacing w:val="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/</w:t>
    </w:r>
    <w:r>
      <w:rPr>
        <w:rFonts w:ascii="Times New Roman" w:eastAsia="Times New Roman" w:hAnsi="Times New Roman" w:cs="Times New Roman"/>
        <w:spacing w:val="10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pacing w:val="-3"/>
        <w:sz w:val="18"/>
        <w:szCs w:val="18"/>
      </w:rPr>
      <w:t>12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40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b/>
        <w:bCs/>
        <w:spacing w:val="-3"/>
        <w:sz w:val="18"/>
        <w:szCs w:val="18"/>
      </w:rPr>
      <w:t>2</w:t>
    </w:r>
    <w:r>
      <w:rPr>
        <w:rFonts w:ascii="Times New Roman" w:eastAsia="Times New Roman" w:hAnsi="Times New Roman" w:cs="Times New Roman"/>
        <w:b/>
        <w:bCs/>
        <w:spacing w:val="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3"/>
        <w:sz w:val="18"/>
        <w:szCs w:val="18"/>
      </w:rPr>
      <w:t>/</w:t>
    </w:r>
    <w:r>
      <w:rPr>
        <w:rFonts w:ascii="Times New Roman" w:eastAsia="Times New Roman" w:hAnsi="Times New Roman" w:cs="Times New Roman"/>
        <w:spacing w:val="10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pacing w:val="-3"/>
        <w:sz w:val="18"/>
        <w:szCs w:val="18"/>
      </w:rPr>
      <w:t>12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9" w:line="219" w:lineRule="auto"/>
      <w:ind w:left="41"/>
      <w:rPr>
        <w:rFonts w:ascii="SimSun" w:eastAsia="SimSun" w:hAnsi="SimSun" w:cs="SimSun"/>
        <w:sz w:val="24"/>
        <w:szCs w:val="24"/>
      </w:rPr>
    </w:pPr>
    <w:r>
      <w:pict>
        <v:shape id="_x0000_s2049" style="width:418.3pt;height:0.75pt;margin-top:59.16pt;margin-left:88.58pt;mso-position-horizontal-relative:page;mso-position-vertical-relative:page;position:absolute;z-index:251659264" coordorigin="0,0" coordsize="8365,15" o:allowincell="f" path="m,14l8365,14l8365,l,l,14xe" filled="t" fillcolor="black" stroked="f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5143210</wp:posOffset>
          </wp:positionH>
          <wp:positionV relativeFrom="page">
            <wp:posOffset>386497</wp:posOffset>
          </wp:positionV>
          <wp:extent cx="1315790" cy="310573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15790" cy="3105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color w:val="093488"/>
        <w:spacing w:val="-3"/>
        <w:sz w:val="24"/>
        <w:szCs w:val="24"/>
        <w14:textOutline w14:w="4356">
          <w14:solidFill>
            <w14:srgbClr w14:val="093488"/>
          </w14:solidFill>
          <w14:prstDash w14:val="solid"/>
          <w14:miter w14:lim="10"/>
        </w14:textOutline>
      </w:rPr>
      <w:t>行业研究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9" w:line="219" w:lineRule="auto"/>
      <w:ind w:left="41"/>
      <w:rPr>
        <w:rFonts w:ascii="SimSun" w:eastAsia="SimSun" w:hAnsi="SimSun" w:cs="SimSun"/>
        <w:sz w:val="24"/>
        <w:szCs w:val="24"/>
      </w:rPr>
    </w:pPr>
    <w:r>
      <w:pict>
        <v:shape id="_x0000_s2050" style="width:418.3pt;height:0.75pt;margin-top:59.16pt;margin-left:88.58pt;mso-position-horizontal-relative:page;mso-position-vertical-relative:page;position:absolute;z-index:251661312" coordorigin="0,0" coordsize="8365,15" o:allowincell="f" path="m,14l8365,14l8365,l,l,14xe" filled="t" fillcolor="black" stroked="f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5143210</wp:posOffset>
          </wp:positionH>
          <wp:positionV relativeFrom="page">
            <wp:posOffset>386497</wp:posOffset>
          </wp:positionV>
          <wp:extent cx="1315790" cy="310573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15790" cy="3105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color w:val="093488"/>
        <w:spacing w:val="-3"/>
        <w:sz w:val="24"/>
        <w:szCs w:val="24"/>
        <w14:textOutline w14:w="4356">
          <w14:solidFill>
            <w14:srgbClr w14:val="093488"/>
          </w14:solidFill>
          <w14:prstDash w14:val="solid"/>
          <w14:miter w14:lim="10"/>
        </w14:textOutline>
      </w:rPr>
      <w:t>行业研究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79" w:line="219" w:lineRule="auto"/>
      <w:ind w:left="41"/>
      <w:rPr>
        <w:rFonts w:ascii="SimSun" w:eastAsia="SimSun" w:hAnsi="SimSun" w:cs="SimSun"/>
        <w:sz w:val="24"/>
        <w:szCs w:val="24"/>
      </w:rPr>
    </w:pPr>
    <w:r>
      <w:pict>
        <v:shape id="_x0000_s2051" style="width:418.3pt;height:0.75pt;margin-top:59.16pt;margin-left:88.58pt;mso-position-horizontal-relative:page;mso-position-vertical-relative:page;position:absolute;z-index:251663360" coordorigin="0,0" coordsize="8365,15" o:allowincell="f" path="m,14l8365,14l8365,l,l,14xe" filled="t" fillcolor="black" stroked="f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5143210</wp:posOffset>
          </wp:positionH>
          <wp:positionV relativeFrom="page">
            <wp:posOffset>386497</wp:posOffset>
          </wp:positionV>
          <wp:extent cx="1315790" cy="310573"/>
          <wp:effectExtent l="0" t="0" r="0" b="0"/>
          <wp:wrapNone/>
          <wp:docPr id="213422883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422883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15790" cy="3105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color w:val="093488"/>
        <w:spacing w:val="-3"/>
        <w:sz w:val="24"/>
        <w:szCs w:val="24"/>
        <w14:textOutline w14:w="4356">
          <w14:solidFill>
            <w14:srgbClr w14:val="093488"/>
          </w14:solidFill>
          <w14:prstDash w14:val="solid"/>
          <w14:miter w14:lim="10"/>
        </w14:textOutline>
      </w:rPr>
      <w:t>行业研究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hyperlink" Target="https://d.book118.com/086213130052010042" TargetMode="External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2024-01-29T19:48:44Z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2024-01-29T19:58:40Z</vt:filetime>
  </property>
  <property fmtid="{D5CDD505-2E9C-101B-9397-08002B2CF9AE}" pid="3" name="CRO">
    <vt:lpwstr>wqlLaW5nc29mdCBQREYgdG8gV1BTIDkw</vt:lpwstr>
  </property>
</Properties>
</file>