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1、[题干]下列哪项不是散发性呆小病的病因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A.甲状腺胚胎发育缺陷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B.甲状腺缺如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C.异位甲状腺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D.母孕期缺碘。E,甲状腺激素合成酶缺陷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2、[单选题]痉病的主脉是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A.浮紧脉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B.紧而弦脉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C.沉迟脉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D.沉而细者。E,浮数脉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3、[题干]呼吸性酸中毒时补给碳酸氢钠引起的主要危害为()。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A.高钠血症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B.氧离曲线右移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C.细胞内酸中毒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D.低钾血症。E,碱中毒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4、[题干]典型麻疹最先出现皮疹的部位是(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A.颈部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B.面颊部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C.耳后发际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D.四肢。E,躯干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5、[单选题]婴儿期的年龄范围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A.0～1岁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B.0～3岁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C.1～2岁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D.1～3岁。E,2～3岁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题干]女婴，2个月。系第1胎第1产，35周早产。出生体重2kg，生后用人工喂养，面色渐苍白，食欲差，两便正常。目前体重仍为2kg，皮下脂肪0.2cm，口唇苍白，心、肺无特殊，肝肋下2cm，脾肋下刚及。血红蛋白80g/L，红细胞数2.9×1012/L，白细胞数7×109/L，中性粒细胞0.35，淋巴细胞0.65，血小板150×109/L，网织红细胞0.002。为明确诊断应进一步化验检查，可出现哪些结果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https://d.book118.com/087012010023006043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87012010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