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224D51">
        <w:rPr>
          <w:rFonts w:ascii="微软雅黑" w:eastAsia="微软雅黑" w:hAnsi="微软雅黑"/>
          <w:b/>
          <w:sz w:val="28"/>
          <w:szCs w:val="28"/>
        </w:rPr>
        <w:t>会计专业社会实践报告100字(13篇)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224D51">
        <w:rPr>
          <w:rFonts w:ascii="微软雅黑" w:eastAsia="微软雅黑" w:hAnsi="微软雅黑"/>
          <w:sz w:val="24"/>
          <w:szCs w:val="24"/>
        </w:rPr>
        <w:t xml:space="preserve">    会计专业社会实践报告100字篇一</w:t>
        <w:br/>
        <w:t xml:space="preserve">    一、会计核算体系</w:t>
        <w:br/>
        <w:t xml:space="preserve">    我在该公司的财务部门主要实习的是会计人员的助理工作，对会计部门的主要核算体系也有了一个大致的了解。</w:t>
        <w:br/>
        <w:t xml:space="preserve">    该公司用的财务软件是金蝶财务软件，日常凭证的制作都是用电脑完成的。</w:t>
        <w:br/>
        <w:t xml:space="preserve">    具体操作方法如下：</w:t>
        <w:br/>
        <w:t xml:space="preserve">    1、记帐凭证的”摘要栏”是对经济业务的简要说明，又是登记帐簿的重要依据，必须针对不同性质的经济业务的特点，考虑到登记帐簿的需要，正确填写，不可漏填或错填。</w:t>
        <w:br/>
        <w:t xml:space="preserve">    2、必须按照会计制度统</w:t>
      </w:r>
      <w:r w:rsidR="00224D51">
        <w:rPr>
          <w:rFonts w:ascii="微软雅黑" w:eastAsia="微软雅黑" w:hAnsi="微软雅黑"/>
          <w:sz w:val="24"/>
          <w:szCs w:val="24"/>
        </w:rPr>
        <w:t>一规定的会计科目，根据经</w:t>
      </w:r>
      <w:r w:rsidR="00224D51">
        <w:rPr>
          <w:rFonts w:ascii="微软雅黑" w:eastAsia="微软雅黑" w:hAnsi="微软雅黑"/>
          <w:sz w:val="24"/>
          <w:szCs w:val="24"/>
        </w:rPr>
        <w:t>济业务的性质，编制会计分录，填入”借方科目”和”贷方科目”栏，”二级或明细科目”是指一级科目所属的二级或明细科目，不需要进行明细核算的一级科目，也可以不填”二级或明细科目”栏。</w:t>
        <w:br/>
        <w:t xml:space="preserve">    3、”金额”栏登记的金额应和”借方科目”或”贷方科目”相对应或与”一级科目”，”二级或明细科目”分别对应。</w:t>
        <w:br/>
        <w:t xml:space="preserve">    4、”过帐符号”栏，是在根据该记帐凭证登记有关帐簿以后，在该栏注明所记帐簿的页数或划”√”，表示已经登记入帐，避免重记，漏记，在没有登帐之前，该栏没有记录。</w:t>
      </w:r>
      <w:r w:rsidR="00224D51">
        <w:rPr>
          <w:rFonts w:ascii="微软雅黑" w:eastAsia="微软雅黑" w:hAnsi="微软雅黑"/>
          <w:sz w:val="24"/>
          <w:szCs w:val="24"/>
        </w:rPr>
        <w:br/>
        <w:t xml:space="preserve">    5、”凭证编号”栏，记帐凭证在</w:t>
      </w:r>
    </w:p>
    <w:p w:rsidR="00707240" w:rsidRPr="006007CE">
      <w:pPr>
        <w:rPr>
          <w:rFonts w:ascii="微软雅黑" w:eastAsia="微软雅黑" w:hAnsi="微软雅黑"/>
          <w:sz w:val="24"/>
          <w:szCs w:val="24"/>
        </w:rPr>
      </w:pPr>
      <w:r w:rsidR="00224D51">
        <w:rPr>
          <w:rFonts w:ascii="微软雅黑" w:eastAsia="微软雅黑" w:hAnsi="微软雅黑"/>
          <w:sz w:val="24"/>
          <w:szCs w:val="24"/>
        </w:rPr>
        <w:t>一个月内应当连续编号，以便查核、收款，付款和转帐凭证分别编号，对于收，付款凭证还要根据收付的现金或银行存款分别编号，如”银收字第_号”，”现付字第_号”，”转字第_号”。一笔经济业务需要编制多张记帐凭证时，可采用”分数编号法”。</w:t>
        <w:br/>
      </w:r>
      <w:r w:rsidR="00224D51">
        <w:rPr>
          <w:rFonts w:ascii="微软雅黑" w:eastAsia="微软雅黑" w:hAnsi="微软雅黑"/>
          <w:sz w:val="24"/>
          <w:szCs w:val="24"/>
        </w:rPr>
        <w:t xml:space="preserve"> </w:t>
      </w:r>
      <w:r w:rsidR="00224D51">
        <w:rPr>
          <w:rFonts w:ascii="微软雅黑" w:eastAsia="微软雅黑" w:hAnsi="微软雅黑"/>
          <w:sz w:val="24"/>
          <w:szCs w:val="24"/>
        </w:rPr>
        <w:t xml:space="preserve"> </w:t>
      </w:r>
      <w:r w:rsidR="00224D51">
        <w:rPr>
          <w:rFonts w:ascii="微软雅黑" w:eastAsia="微软雅黑" w:hAnsi="微软雅黑"/>
          <w:sz w:val="24"/>
          <w:szCs w:val="24"/>
        </w:rPr>
        <w:t xml:space="preserve"> </w:t>
      </w:r>
      <w:r w:rsidR="00224D51">
        <w:rPr>
          <w:rFonts w:ascii="微软雅黑" w:eastAsia="微软雅黑" w:hAnsi="微软雅黑"/>
          <w:sz w:val="24"/>
          <w:szCs w:val="24"/>
        </w:rPr>
        <w:t xml:space="preserve"> 6、记帐凭证右边”附件_张”，是指该记帐凭证所附的原始凭证的张数，在凭证上必须注明，以便查核、如果根据同一原始凭证填制数张记帐凭证时，则应在未附原始凭证的记帐凭证上注明”附件__张，见第__号记帐凭证”，</w:t>
      </w:r>
      <w:r w:rsidR="00224D51">
        <w:rPr>
          <w:rFonts w:ascii="微软雅黑" w:eastAsia="微软雅黑" w:hAnsi="微软雅黑"/>
          <w:sz w:val="24"/>
          <w:szCs w:val="24"/>
        </w:rPr>
        <w:t>如果原始凭证需要另行保管时则应在附件栏目内加以注明。</w:t>
        <w:br/>
        <w:t xml:space="preserve"> </w:t>
      </w:r>
      <w:r w:rsidR="00224D51">
        <w:rPr>
          <w:rFonts w:ascii="微软雅黑" w:eastAsia="微软雅黑" w:hAnsi="微软雅黑"/>
          <w:sz w:val="24"/>
          <w:szCs w:val="24"/>
        </w:rPr>
        <w:t xml:space="preserve">   7、对于收款凭证或付款凭证左上方的”应借科目”或”应贷科目”，必须是”现金”或”银行存款”，不能是其他会计科目。凭证里面的”应借科目”或”应贷科目”是与”现金”或”银行存款”分别对应的科目。</w:t>
        <w:br/>
        <w:t xml:space="preserve">    8、记帐凭证填写完毕应进行复核与检查，并按所使用的记帐方法进行试算平衡。有关人员，均要签名盖章，出纳人员根据收款凭证收款，或根据付款凭证付款时，要在凭证上加盖”收讫”或”付讫”的戳记，以免重收重付，防止差错。制作完记帐凭</w:t>
      </w:r>
      <w:r w:rsidR="00224D51">
        <w:rPr>
          <w:rFonts w:ascii="微软雅黑" w:eastAsia="微软雅黑" w:hAnsi="微软雅黑"/>
          <w:sz w:val="24"/>
          <w:szCs w:val="24"/>
        </w:rPr>
        <w:t>证以后还要必须把凭证一一的打印出来，然后把对应的相关票据贴在打印后的凭证</w:t>
      </w:r>
      <w:r w:rsidR="00224D51">
        <w:rPr>
          <w:rFonts w:ascii="微软雅黑" w:eastAsia="微软雅黑" w:hAnsi="微软雅黑"/>
          <w:sz w:val="24"/>
          <w:szCs w:val="24"/>
        </w:rPr>
        <w:t>后面，具体的操作如下：胶水抹在凭</w:t>
      </w:r>
      <w:r w:rsidR="00224D51">
        <w:rPr>
          <w:rFonts w:ascii="微软雅黑" w:eastAsia="微软雅黑" w:hAnsi="微软雅黑"/>
          <w:sz w:val="24"/>
          <w:szCs w:val="24"/>
        </w:rPr>
        <w:t>证背面的右上角以便贴凭证相应的票据，贴完票据后如果票据比凭证要大的话应按凭证的大小把票据整齐的叠好便与以后的`装订，之后要按凭证业务号的大小有序的把凭证排列整齐，这样如果以后要查找也方便许多。</w:t>
        <w:br/>
        <w:t xml:space="preserve">    二、财务内部控制</w:t>
        <w:br/>
        <w:t xml:space="preserve">    据带我的老师和平时自己的了解，该企业财务部也有明确的分工，以把财务部门的内部风险降低到最小程度。</w:t>
        <w:br/>
        <w:t xml:space="preserve">    总管财务部门的是财务总监，财务总监有一个总</w:t>
      </w:r>
      <w:r w:rsidR="00224D51">
        <w:rPr>
          <w:rFonts w:ascii="微软雅黑" w:eastAsia="微软雅黑" w:hAnsi="微软雅黑"/>
          <w:sz w:val="24"/>
          <w:szCs w:val="24"/>
        </w:rPr>
        <w:t>监助理。财务总监主要负责.在董事会和总经理领导下，总管公司会计、报表、预算工作。制定公司利</w:t>
      </w:r>
      <w:r w:rsidR="00224D51">
        <w:rPr>
          <w:rFonts w:ascii="微软雅黑" w:eastAsia="微软雅黑" w:hAnsi="微软雅黑"/>
          <w:sz w:val="24"/>
          <w:szCs w:val="24"/>
        </w:rPr>
        <w:t>润计划、资本投资、财务规划、销售前景、开支预算或成本标准和管</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https://d.book118.com/087023145106006044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224D51"/>
    <w:rsid w:val="004E3CA6"/>
    <w:rsid w:val="006007C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08702314510600604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3143</Words>
  <Characters>17918</Characters>
  <Application>Microsoft Office Word</Application>
  <DocSecurity>0</DocSecurity>
  <Lines>149</Lines>
  <Paragraphs>42</Paragraphs>
  <ScaleCrop>false</ScaleCrop>
  <Company/>
  <LinksUpToDate>false</LinksUpToDate>
  <CharactersWithSpaces>21019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