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功能性电刺激仪系列项目调研分析报告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一、产业环境分析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二、危险、有害因素辨识与分析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_Toc25191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(七)、建设功能性电刺激仪系列项目对周边环境的影响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(八)、周边环境对建设功能性电刺激仪系列项目的影响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三、投资估算与资金筹措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_Toc1657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四、重点企业调研分析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9" w:history="1">
        <w:r>
          <w:rPr>
            <w:rFonts w:ascii="仿宋" w:eastAsia="仿宋" w:hAnsi="仿宋" w:cs="仿宋" w:hint="eastAsia"/>
            <w:lang w:eastAsia="zh-CN"/>
          </w:rPr>
          <w:t>五、功能性电刺激仪系列项目工艺分析</w:t>
        </w:r>
        <w:r>
          <w:tab/>
        </w:r>
        <w:r>
          <w:fldChar w:fldCharType="begin"/>
        </w:r>
        <w:r>
          <w:instrText xml:space="preserve"> PAGEREF _Toc24379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" w:history="1">
        <w:r>
          <w:rPr>
            <w:rFonts w:ascii="仿宋" w:eastAsia="仿宋" w:hAnsi="仿宋" w:cs="仿宋" w:hint="eastAsia"/>
            <w:lang w:eastAsia="zh-CN"/>
          </w:rPr>
          <w:t>(一)、功能性电刺激仪系列项目建设期原辅材料供应情况</w:t>
        </w:r>
        <w:r>
          <w:tab/>
        </w:r>
        <w:r>
          <w:fldChar w:fldCharType="begin"/>
        </w:r>
        <w:r>
          <w:instrText xml:space="preserve"> PAGEREF _Toc2657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(二)、功能性电刺激仪系列项目运营期原辅材料采购及管理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(四)、功能性电刺激仪系列项目工艺技术设计方案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六、建设背景及必要性分析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(一)、功能性电刺激仪系列项目承办单位背景分析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(五)、功能性电刺激仪系列项目必要性分析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七、风险应对说明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09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_Toc22709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_Toc16622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_Toc10265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九、环境基础状况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6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十、第十二章职业伦理与社会责任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_Toc18113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_Toc12237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(一)、功能性电刺激仪系列项目风险分析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(二)、功能性电刺激仪系列项目风险对策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eastAsia="zh-CN"/>
          </w:rPr>
          <w:t>十三、功能性电刺激仪系列项目进展与里程碑</w:t>
        </w:r>
        <w:r>
          <w:tab/>
        </w:r>
        <w:r>
          <w:fldChar w:fldCharType="begin"/>
        </w:r>
        <w:r>
          <w:instrText xml:space="preserve"> PAGEREF _Toc21345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(一)、功能性电刺激仪系列项目进展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_Toc1925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十四、功能性电刺激仪系列项目招投标方案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9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_Toc5979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(三)、功能性电刺激仪系列项目招投标要求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(四)、功能性电刺激仪系列项目招标方式和招标程序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十五、功能性电刺激仪系列项目管理与团队协作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(一)、功能性电刺激仪系列项目管理方法论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(二)、功能性电刺激仪系列项目计划与进度管理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(五)、功能性电刺激仪系列项目风险管理与应对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eastAsia="zh-CN"/>
          </w:rPr>
          <w:t>十七、公司文化与社会责任</w:t>
        </w:r>
        <w:r>
          <w:tab/>
        </w:r>
        <w:r>
          <w:fldChar w:fldCharType="begin"/>
        </w:r>
        <w:r>
          <w:instrText xml:space="preserve"> PAGEREF _Toc19011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十九、功能性电刺激仪系列人力资源管理方案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(一)、功能性电刺激仪系列人力资源管理原则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7" w:history="1">
        <w:r>
          <w:rPr>
            <w:rFonts w:ascii="仿宋" w:eastAsia="仿宋" w:hAnsi="仿宋" w:cs="仿宋" w:hint="eastAsia"/>
            <w:lang w:eastAsia="zh-CN"/>
          </w:rPr>
          <w:t>(二)、功能性电刺激仪系列人力资源组织架构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eastAsia="zh-CN"/>
          </w:rPr>
          <w:t>(三)、功能性电刺激仪系列人力资源培训与开发方案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(四)、功能性电刺激仪系列人员配置方案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(五)、功能性电刺激仪系列绩效和薪酬管理方案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(六)、功能性电刺激仪系列员工福利管理方案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eastAsia="zh-CN"/>
          </w:rPr>
          <w:t>二十、功能性电刺激仪系列项目工程方案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_Toc12166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_Toc22522 \h </w:instrText>
        </w:r>
        <w:r>
          <w:fldChar w:fldCharType="separate"/>
        </w:r>
        <w:r>
          <w:t>99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7"/>
      <w:r>
        <w:rPr>
          <w:rFonts w:ascii="仿宋" w:eastAsia="仿宋" w:hAnsi="仿宋" w:cs="仿宋" w:hint="eastAsia"/>
          <w:sz w:val="28"/>
          <w:lang w:eastAsia="zh-CN"/>
        </w:rPr>
        <w:t>一、产业环境分析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28"/>
      <w:r>
        <w:rPr>
          <w:rFonts w:ascii="仿宋" w:eastAsia="仿宋" w:hAnsi="仿宋" w:cs="仿宋" w:hint="eastAsia"/>
          <w:lang w:eastAsia="zh-CN"/>
        </w:rPr>
        <w:t>(一)、产业环境分析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秉持扩展总体规模和结构优化的原则，我们旨在实现传统行业的提升和新兴产业的壮大，同时全面规划本市的产业布局。我们将进一步支持和发展现代产业和新兴产业，促进信息技术广泛渗透各个领域，促进第一、第二和第三产业的融合发展，推动产业升级迈向中高端水平，打造更具竞争力的新型产业体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本地资源特点，我们遵循产业发展的内在规律，将产业升级和转型作为主线。通过调整和优化产业布局，我们将形成全新的产业空间布局。在空间布局的基础上，我们将创建一个新的产业发展格局，其特点是“明确定位、产业明晰、各产业优势互补、错位发展”，以推动产业结构的多元化和协调性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https://d.book118.com/087046006160006044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68274C"/>
    <w:rsid w:val="4593521B"/>
    <w:rsid w:val="5168274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46006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2024-02-21T22:47:00Z</dcterms:created>
  <dcterms:modified xsi:type="dcterms:W3CDTF">2024-02-21T22:47:37Z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D7EF00EDAA164178AC1EF08335597B20_11</vt:lpwstr>
  </property>
  <property fmtid="{D5CDD505-2E9C-101B-9397-08002B2CF9AE}" pid="3" name="KSOProductBuildVer">
    <vt:lpwstr>2052-12.1.0.16250</vt:lpwstr>
  </property>
</Properties>
</file>