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0" w:line="458" w:lineRule="exact"/>
        <w:ind w:left="2518" w:right="2703" w:firstLine="0"/>
        <w:jc w:val="center"/>
        <w:rPr>
          <w:rFonts w:ascii="Microsoft JhengHei" w:eastAsia="Microsoft JhengHei"/>
          <w:b/>
          <w:sz w:val="28"/>
        </w:rPr>
      </w:pPr>
      <w:r>
        <w:rPr>
          <w:rFonts w:ascii="Microsoft JhengHei" w:eastAsia="Microsoft JhengHei"/>
          <w:b/>
          <w:w w:val="80"/>
          <w:sz w:val="28"/>
        </w:rPr>
        <w:t>四川</w:t>
      </w:r>
      <w:r>
        <w:rPr>
          <w:rFonts w:ascii="Microsoft JhengHei" w:eastAsia="Microsoft JhengHei"/>
          <w:b/>
          <w:spacing w:val="63"/>
          <w:sz w:val="28"/>
        </w:rPr>
        <w:t xml:space="preserve"> </w:t>
      </w:r>
      <w:r>
        <w:rPr>
          <w:rFonts w:ascii="Microsoft JhengHei" w:eastAsia="Microsoft JhengHei"/>
          <w:b/>
          <w:w w:val="80"/>
          <w:sz w:val="28"/>
        </w:rPr>
        <w:t>XXXXXXXXXXXXXXXXXXX</w:t>
      </w:r>
      <w:r>
        <w:rPr>
          <w:rFonts w:ascii="Microsoft JhengHei" w:eastAsia="Microsoft JhengHei"/>
          <w:b/>
          <w:spacing w:val="64"/>
          <w:sz w:val="28"/>
        </w:rPr>
        <w:t xml:space="preserve"> </w:t>
      </w:r>
      <w:r>
        <w:rPr>
          <w:rFonts w:ascii="Microsoft JhengHei" w:eastAsia="Microsoft JhengHei"/>
          <w:b/>
          <w:w w:val="80"/>
          <w:sz w:val="28"/>
        </w:rPr>
        <w:t>有</w:t>
      </w:r>
      <w:r>
        <w:rPr>
          <w:rFonts w:ascii="Microsoft JhengHei" w:eastAsia="Microsoft JhengHei"/>
          <w:b/>
          <w:w w:val="80"/>
          <w:sz w:val="28"/>
        </w:rPr>
        <w:t>限</w:t>
      </w:r>
      <w:r>
        <w:rPr>
          <w:rFonts w:ascii="Microsoft JhengHei" w:eastAsia="Microsoft JhengHei"/>
          <w:b/>
          <w:w w:val="80"/>
          <w:sz w:val="28"/>
        </w:rPr>
        <w:t>公</w:t>
      </w:r>
      <w:r>
        <w:rPr>
          <w:rFonts w:ascii="Microsoft JhengHei" w:eastAsia="Microsoft JhengHei"/>
          <w:b/>
          <w:spacing w:val="-10"/>
          <w:w w:val="80"/>
          <w:sz w:val="28"/>
        </w:rPr>
        <w:t>司</w:t>
      </w:r>
    </w:p>
    <w:p>
      <w:pPr>
        <w:pStyle w:val="Heading1"/>
        <w:spacing w:line="799" w:lineRule="exact"/>
        <w:ind w:left="2518" w:right="2513"/>
        <w:jc w:val="center"/>
      </w:pPr>
      <w:r>
        <w:rPr>
          <w:spacing w:val="-2"/>
        </w:rPr>
        <w:t>电气工程监理细则</w:t>
      </w:r>
    </w:p>
    <w:p>
      <w:pPr>
        <w:spacing w:before="191"/>
        <w:ind w:left="2518" w:right="2511" w:firstLine="0"/>
        <w:jc w:val="center"/>
        <w:rPr>
          <w:rFonts w:ascii="黑体" w:eastAsia="黑体"/>
          <w:sz w:val="36"/>
        </w:rPr>
      </w:pPr>
      <w:r>
        <w:rPr>
          <w:rFonts w:ascii="黑体" w:eastAsia="黑体"/>
          <w:spacing w:val="-4"/>
          <w:sz w:val="36"/>
        </w:rPr>
        <w:t>目 录</w:t>
      </w:r>
    </w:p>
    <w:sdt>
      <w:sdtPr>
        <w:id w:val="341953828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420"/>
              <w:tab w:val="right" w:leader="underscore" w:pos="9400"/>
            </w:tabs>
            <w:spacing w:before="790"/>
            <w:rPr>
              <w:rFonts w:ascii="Times New Roman" w:eastAsia="Times New Roman"/>
              <w:sz w:val="28"/>
            </w:rPr>
          </w:pPr>
          <w:hyperlink w:anchor="_TOC_250013" w:history="1">
            <w:r>
              <w:t>第一</w:t>
            </w:r>
            <w:r>
              <w:rPr>
                <w:spacing w:val="-10"/>
              </w:rPr>
              <w:t>篇</w:t>
            </w:r>
            <w:r>
              <w:tab/>
              <w:t>施工临时用电安全监理实施细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  <w:sz w:val="28"/>
              </w:rPr>
              <w:t>1</w:t>
            </w:r>
          </w:hyperlink>
        </w:p>
        <w:p>
          <w:pPr>
            <w:pStyle w:val="TOC3"/>
            <w:tabs>
              <w:tab w:val="right" w:leader="underscore" w:pos="9394"/>
            </w:tabs>
            <w:spacing w:before="212"/>
            <w:rPr>
              <w:rFonts w:ascii="Times New Roman" w:eastAsia="Times New Roman"/>
            </w:rPr>
          </w:pPr>
          <w:hyperlink w:anchor="_TOC_250012" w:history="1">
            <w:r>
              <w:t>一、工程概况及专业工程的特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1</w:t>
            </w:r>
          </w:hyperlink>
        </w:p>
        <w:p>
          <w:pPr>
            <w:pStyle w:val="TOC3"/>
            <w:tabs>
              <w:tab w:val="right" w:leader="underscore" w:pos="9394"/>
            </w:tabs>
            <w:rPr>
              <w:rFonts w:ascii="Times New Roman" w:eastAsia="Times New Roman"/>
            </w:rPr>
          </w:pPr>
          <w:hyperlink w:anchor="_TOC_250011" w:history="1">
            <w:r>
              <w:t>二、应遵守的相关安全法规、规</w:t>
            </w:r>
            <w:r>
              <w:rPr>
                <w:spacing w:val="-10"/>
              </w:rPr>
              <w:t>范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3"/>
            <w:tabs>
              <w:tab w:val="right" w:leader="underscore" w:pos="9394"/>
            </w:tabs>
            <w:rPr>
              <w:rFonts w:ascii="Times New Roman" w:eastAsia="Times New Roman"/>
            </w:rPr>
          </w:pPr>
          <w:r>
            <w:t>三、安全监理的主要措</w:t>
          </w:r>
          <w:r>
            <w:rPr>
              <w:spacing w:val="-10"/>
            </w:rPr>
            <w:t>施</w:t>
          </w:r>
          <w:r>
            <w:rPr>
              <w:rFonts w:ascii="Times New Roman" w:eastAsia="Times New Roman"/>
            </w:rPr>
            <w:tab/>
          </w:r>
          <w:r>
            <w:rPr>
              <w:rFonts w:ascii="Times New Roman" w:eastAsia="Times New Roman"/>
              <w:spacing w:val="-10"/>
            </w:rPr>
            <w:t>2</w:t>
          </w:r>
        </w:p>
        <w:p>
          <w:pPr>
            <w:pStyle w:val="TOC3"/>
            <w:tabs>
              <w:tab w:val="right" w:leader="underscore" w:pos="9394"/>
            </w:tabs>
            <w:rPr>
              <w:rFonts w:ascii="Times New Roman" w:eastAsia="Times New Roman"/>
            </w:rPr>
          </w:pPr>
          <w:hyperlink w:anchor="_TOC_250010" w:history="1">
            <w:r>
              <w:t>四、施工临时用电安全监控要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420"/>
              <w:tab w:val="right" w:leader="underscore" w:pos="9540"/>
            </w:tabs>
            <w:rPr>
              <w:rFonts w:ascii="Times New Roman" w:eastAsia="Times New Roman"/>
              <w:sz w:val="28"/>
            </w:rPr>
          </w:pPr>
          <w:hyperlink w:anchor="_TOC_250009" w:history="1">
            <w:r>
              <w:t>第二</w:t>
            </w:r>
            <w:r>
              <w:rPr>
                <w:spacing w:val="-10"/>
              </w:rPr>
              <w:t>篇</w:t>
            </w:r>
            <w:r>
              <w:tab/>
              <w:t>建筑电气分部工程监理实施细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  <w:sz w:val="28"/>
              </w:rPr>
              <w:t>10</w:t>
            </w:r>
          </w:hyperlink>
        </w:p>
        <w:p>
          <w:pPr>
            <w:pStyle w:val="TOC3"/>
            <w:tabs>
              <w:tab w:val="right" w:leader="underscore" w:pos="9534"/>
            </w:tabs>
            <w:spacing w:before="212"/>
            <w:rPr>
              <w:rFonts w:ascii="Times New Roman" w:eastAsia="Times New Roman"/>
            </w:rPr>
          </w:pPr>
          <w:hyperlink w:anchor="_TOC_250008" w:history="1">
            <w:r>
              <w:t>一、专业工程概</w:t>
            </w:r>
            <w:r>
              <w:rPr>
                <w:spacing w:val="-10"/>
              </w:rPr>
              <w:t>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3"/>
            <w:tabs>
              <w:tab w:val="right" w:leader="underscore" w:pos="9534"/>
            </w:tabs>
            <w:rPr>
              <w:rFonts w:ascii="Times New Roman" w:eastAsia="Times New Roman"/>
            </w:rPr>
          </w:pPr>
          <w:hyperlink w:anchor="_TOC_250007" w:history="1">
            <w:r>
              <w:t>二、应执行的主要标准、规</w:t>
            </w:r>
            <w:r>
              <w:rPr>
                <w:spacing w:val="-10"/>
              </w:rPr>
              <w:t>范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3"/>
            <w:tabs>
              <w:tab w:val="right" w:leader="underscore" w:pos="9534"/>
            </w:tabs>
            <w:rPr>
              <w:rFonts w:ascii="Times New Roman" w:eastAsia="Times New Roman"/>
            </w:rPr>
          </w:pPr>
          <w:hyperlink w:anchor="_TOC_250006" w:history="1">
            <w:r>
              <w:t>三、电气安装质量控制监理措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3"/>
            <w:tabs>
              <w:tab w:val="right" w:leader="underscore" w:pos="9534"/>
            </w:tabs>
            <w:rPr>
              <w:rFonts w:ascii="Times New Roman" w:eastAsia="Times New Roman"/>
            </w:rPr>
          </w:pPr>
          <w:hyperlink w:anchor="_TOC_250005" w:history="1">
            <w:r>
              <w:t>四、主要电气材料、设备质量控制要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3"/>
            <w:tabs>
              <w:tab w:val="right" w:leader="underscore" w:pos="9534"/>
            </w:tabs>
            <w:rPr>
              <w:rFonts w:ascii="Times New Roman" w:eastAsia="Times New Roman"/>
            </w:rPr>
          </w:pPr>
          <w:r>
            <w:t>五、分项工程质量控制要点和目标</w:t>
          </w:r>
          <w:r>
            <w:rPr>
              <w:spacing w:val="-10"/>
            </w:rPr>
            <w:t>值</w:t>
          </w:r>
          <w:r>
            <w:rPr>
              <w:rFonts w:ascii="Times New Roman" w:eastAsia="Times New Roman"/>
            </w:rPr>
            <w:tab/>
          </w:r>
          <w:r>
            <w:rPr>
              <w:rFonts w:ascii="Times New Roman" w:eastAsia="Times New Roman"/>
              <w:spacing w:val="-5"/>
            </w:rPr>
            <w:t>14</w:t>
          </w:r>
        </w:p>
        <w:p>
          <w:pPr>
            <w:pStyle w:val="TOC4"/>
            <w:tabs>
              <w:tab w:val="right" w:leader="underscore" w:pos="9534"/>
            </w:tabs>
            <w:rPr>
              <w:rFonts w:ascii="Times New Roman" w:eastAsia="Times New Roman"/>
            </w:rPr>
          </w:pPr>
          <w:hyperlink w:anchor="_TOC_250004" w:history="1">
            <w:r>
              <w:rPr>
                <w:rFonts w:ascii="Times New Roman" w:eastAsia="Times New Roman"/>
              </w:rPr>
              <w:t>1</w:t>
            </w:r>
            <w:r>
              <w:t>、基本要</w:t>
            </w:r>
            <w:r>
              <w:rPr>
                <w:spacing w:val="-10"/>
              </w:rPr>
              <w:t>求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4"/>
            <w:tabs>
              <w:tab w:val="right" w:leader="underscore" w:pos="9534"/>
            </w:tabs>
            <w:rPr>
              <w:rFonts w:ascii="Times New Roman" w:eastAsia="Times New Roman"/>
            </w:rPr>
          </w:pPr>
          <w:r>
            <w:rPr>
              <w:rFonts w:ascii="Times New Roman" w:eastAsia="Times New Roman"/>
            </w:rPr>
            <w:t>2</w:t>
          </w:r>
          <w:r>
            <w:t>、导管敷设分项工</w:t>
          </w:r>
          <w:r>
            <w:rPr>
              <w:spacing w:val="-10"/>
            </w:rPr>
            <w:t>程</w:t>
          </w:r>
          <w:r>
            <w:rPr>
              <w:rFonts w:ascii="Times New Roman" w:eastAsia="Times New Roman"/>
            </w:rPr>
            <w:tab/>
          </w:r>
          <w:r>
            <w:rPr>
              <w:rFonts w:ascii="Times New Roman" w:eastAsia="Times New Roman"/>
              <w:spacing w:val="-5"/>
            </w:rPr>
            <w:t>16</w:t>
          </w:r>
        </w:p>
        <w:p>
          <w:pPr>
            <w:pStyle w:val="TOC4"/>
            <w:tabs>
              <w:tab w:val="right" w:leader="underscore" w:pos="9534"/>
            </w:tabs>
            <w:rPr>
              <w:rFonts w:ascii="Times New Roman" w:eastAsia="Times New Roman"/>
            </w:rPr>
          </w:pPr>
          <w:hyperlink w:anchor="_TOC_250003" w:history="1">
            <w:r>
              <w:rPr>
                <w:rFonts w:ascii="Times New Roman" w:eastAsia="Times New Roman"/>
              </w:rPr>
              <w:t>3</w:t>
            </w:r>
            <w:r>
              <w:t>、电线电缆穿管分项工</w:t>
            </w:r>
            <w:r>
              <w:rPr>
                <w:spacing w:val="-10"/>
              </w:rPr>
              <w:t>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4"/>
            <w:tabs>
              <w:tab w:val="right" w:leader="underscore" w:pos="9534"/>
            </w:tabs>
            <w:spacing w:before="185"/>
            <w:rPr>
              <w:rFonts w:ascii="Times New Roman" w:eastAsia="Times New Roman"/>
            </w:rPr>
          </w:pPr>
          <w:hyperlink w:anchor="_TOC_250002" w:history="1">
            <w:r>
              <w:rPr>
                <w:rFonts w:ascii="Times New Roman" w:eastAsia="Times New Roman"/>
              </w:rPr>
              <w:t>4</w:t>
            </w:r>
            <w:r>
              <w:t>、电缆头制作、接线和线路绝缘测试分项工</w:t>
            </w:r>
            <w:r>
              <w:rPr>
                <w:spacing w:val="-10"/>
              </w:rPr>
              <w:t>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5"/>
            <w:tabs>
              <w:tab w:val="right" w:leader="underscore" w:pos="9543"/>
            </w:tabs>
            <w:rPr>
              <w:rFonts w:ascii="Times New Roman" w:eastAsia="Times New Roman"/>
            </w:rPr>
          </w:pPr>
          <w:hyperlink w:anchor="_TOC_250001" w:history="1">
            <w:r>
              <w:rPr>
                <w:rFonts w:ascii="Times New Roman" w:eastAsia="Times New Roman"/>
              </w:rPr>
              <w:t>5</w:t>
            </w:r>
            <w:r>
              <w:t>、开关、插座安装分项工</w:t>
            </w:r>
            <w:r>
              <w:rPr>
                <w:spacing w:val="-10"/>
              </w:rPr>
              <w:t>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4"/>
            <w:tabs>
              <w:tab w:val="right" w:leader="underscore" w:pos="9520"/>
            </w:tabs>
            <w:ind w:left="1961"/>
            <w:rPr>
              <w:rFonts w:ascii="Times New Roman" w:eastAsia="Times New Roman"/>
            </w:rPr>
          </w:pPr>
          <w:hyperlink w:anchor="_TOC_250000" w:history="1">
            <w:r>
              <w:rPr>
                <w:rFonts w:ascii="Times New Roman" w:eastAsia="Times New Roman"/>
              </w:rPr>
              <w:t>6</w:t>
            </w:r>
            <w:r>
              <w:t>、普通（特殊）灯具安装分项工</w:t>
            </w:r>
            <w:r>
              <w:rPr>
                <w:spacing w:val="-10"/>
              </w:rPr>
              <w:t>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5"/>
          </w:pPr>
          <w:r>
            <w:rPr>
              <w:rFonts w:ascii="Times New Roman" w:eastAsia="Times New Roman"/>
            </w:rPr>
            <w:t>7</w:t>
          </w:r>
          <w:r>
            <w:rPr>
              <w:spacing w:val="14"/>
            </w:rPr>
            <w:t>、成套配电柜、控制柜及电动、照明配电箱安装分项工程</w:t>
          </w:r>
        </w:p>
        <w:p>
          <w:pPr>
            <w:pStyle w:val="TOC2"/>
          </w:pPr>
          <w:r>
            <w:rPr>
              <w:spacing w:val="-5"/>
            </w:rPr>
            <w:t>21</w:t>
          </w:r>
        </w:p>
      </w:sdtContent>
    </w:sdt>
    <w:p>
      <w:pPr>
        <w:spacing w:after="0"/>
        <w:sectPr>
          <w:type w:val="continuous"/>
          <w:pgSz w:w="12240" w:h="15840"/>
          <w:pgMar w:top="1660" w:right="1000" w:bottom="280" w:left="1560" w:header="708" w:footer="708"/>
          <w:cols w:space="708"/>
        </w:sectPr>
      </w:pPr>
    </w:p>
    <w:p>
      <w:pPr>
        <w:tabs>
          <w:tab w:val="left" w:pos="8914"/>
        </w:tabs>
        <w:spacing w:before="36" w:line="363" w:lineRule="exact"/>
        <w:ind w:left="141" w:right="0" w:firstLine="0"/>
        <w:jc w:val="left"/>
        <w:rPr>
          <w:rFonts w:ascii="微软雅黑 Light" w:eastAsia="微软雅黑 Light"/>
          <w:b w:val="0"/>
          <w:sz w:val="21"/>
        </w:rPr>
      </w:pPr>
      <w:r>
        <w:rPr>
          <w:rFonts w:ascii="微软雅黑 Light" w:eastAsia="微软雅黑 Light"/>
          <w:b w:val="0"/>
          <w:sz w:val="21"/>
        </w:rPr>
        <w:t>XXXXXXXXXXXXXXXXXXXXXXX</w:t>
      </w:r>
      <w:r>
        <w:rPr>
          <w:rFonts w:ascii="微软雅黑 Light" w:eastAsia="微软雅黑 Light"/>
          <w:b w:val="0"/>
          <w:spacing w:val="-12"/>
          <w:sz w:val="21"/>
        </w:rPr>
        <w:t xml:space="preserve"> </w:t>
      </w:r>
      <w:r>
        <w:rPr>
          <w:rFonts w:ascii="微软雅黑 Light" w:eastAsia="微软雅黑 Light"/>
          <w:b w:val="0"/>
          <w:sz w:val="21"/>
        </w:rPr>
        <w:t>项目工</w:t>
      </w:r>
      <w:r>
        <w:rPr>
          <w:rFonts w:ascii="微软雅黑 Light" w:eastAsia="微软雅黑 Light"/>
          <w:b w:val="0"/>
          <w:spacing w:val="-10"/>
          <w:sz w:val="21"/>
        </w:rPr>
        <w:t>程</w:t>
      </w:r>
      <w:r>
        <w:rPr>
          <w:rFonts w:ascii="微软雅黑 Light" w:eastAsia="微软雅黑 Light"/>
          <w:b w:val="0"/>
          <w:sz w:val="21"/>
        </w:rPr>
        <w:tab/>
        <w:t>监理</w:t>
      </w:r>
      <w:r>
        <w:rPr>
          <w:rFonts w:ascii="微软雅黑 Light" w:eastAsia="微软雅黑 Light"/>
          <w:b w:val="0"/>
          <w:spacing w:val="-10"/>
          <w:sz w:val="21"/>
        </w:rPr>
        <w:t>细</w:t>
      </w:r>
    </w:p>
    <w:p>
      <w:pPr>
        <w:spacing w:before="0" w:line="363" w:lineRule="exact"/>
        <w:ind w:left="141" w:right="0" w:firstLine="0"/>
        <w:jc w:val="left"/>
        <w:rPr>
          <w:rFonts w:ascii="微软雅黑 Light" w:eastAsia="微软雅黑 Light"/>
          <w:b w:val="0"/>
          <w:sz w:val="21"/>
        </w:rPr>
      </w:pPr>
      <w:r>
        <w:pict>
          <v:line id="_x0000_s1025" style="mso-position-horizontal-relative:page;position:absolute;z-index:251658240" from="83.6pt,18.25pt" to="556.75pt,18.25pt" stroked="t" strokecolor="black" strokeweight="0.75pt">
            <v:stroke dashstyle="solid"/>
          </v:line>
        </w:pict>
      </w:r>
      <w:r>
        <w:rPr>
          <w:rFonts w:ascii="微软雅黑 Light" w:eastAsia="微软雅黑 Light"/>
          <w:b w:val="0"/>
          <w:sz w:val="21"/>
        </w:rPr>
        <w:t>则</w:t>
      </w:r>
    </w:p>
    <w:p>
      <w:pPr>
        <w:pStyle w:val="BodyText"/>
        <w:tabs>
          <w:tab w:val="right" w:leader="underscore" w:pos="9541"/>
        </w:tabs>
        <w:spacing w:before="262"/>
        <w:ind w:left="1981"/>
        <w:rPr>
          <w:rFonts w:ascii="Times New Roman" w:eastAsia="Times New Roman"/>
        </w:rPr>
      </w:pPr>
      <w:r>
        <w:rPr>
          <w:rFonts w:ascii="Times New Roman" w:eastAsia="Times New Roman"/>
        </w:rPr>
        <w:t>8</w:t>
      </w:r>
      <w:r>
        <w:t>、建筑物照明通电试运行分项工</w:t>
      </w:r>
      <w:r>
        <w:rPr>
          <w:spacing w:val="-10"/>
        </w:rPr>
        <w:t>程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  <w:spacing w:val="-5"/>
        </w:rPr>
        <w:t>23</w:t>
      </w:r>
    </w:p>
    <w:p>
      <w:pPr>
        <w:pStyle w:val="BodyText"/>
        <w:tabs>
          <w:tab w:val="right" w:leader="underscore" w:pos="9543"/>
        </w:tabs>
        <w:spacing w:before="186"/>
        <w:ind w:left="1984"/>
        <w:rPr>
          <w:rFonts w:ascii="Times New Roman" w:eastAsia="Times New Roman"/>
        </w:rPr>
      </w:pPr>
      <w:r>
        <w:rPr>
          <w:rFonts w:ascii="Times New Roman" w:eastAsia="Times New Roman"/>
        </w:rPr>
        <w:t>9</w:t>
      </w:r>
      <w:r>
        <w:t>、接地装置安装分项工</w:t>
      </w:r>
      <w:r>
        <w:rPr>
          <w:spacing w:val="-10"/>
        </w:rPr>
        <w:t>程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  <w:spacing w:val="-5"/>
        </w:rPr>
        <w:t>24</w:t>
      </w:r>
    </w:p>
    <w:p>
      <w:pPr>
        <w:pStyle w:val="BodyText"/>
        <w:tabs>
          <w:tab w:val="right" w:leader="underscore" w:pos="9543"/>
        </w:tabs>
        <w:spacing w:before="186"/>
        <w:ind w:left="1984"/>
        <w:rPr>
          <w:rFonts w:ascii="Times New Roman" w:eastAsia="Times New Roman"/>
        </w:rPr>
      </w:pPr>
      <w:r>
        <w:rPr>
          <w:rFonts w:ascii="Times New Roman" w:eastAsia="Times New Roman"/>
        </w:rPr>
        <w:t>10</w:t>
      </w:r>
      <w:r>
        <w:t>、避雷引下线和变配电室接地干线敷设分项工</w:t>
      </w:r>
      <w:r>
        <w:rPr>
          <w:spacing w:val="-10"/>
        </w:rPr>
        <w:t>程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  <w:spacing w:val="-5"/>
        </w:rPr>
        <w:t>25</w:t>
      </w:r>
    </w:p>
    <w:p>
      <w:pPr>
        <w:pStyle w:val="BodyText"/>
        <w:tabs>
          <w:tab w:val="right" w:leader="underscore" w:pos="9543"/>
        </w:tabs>
        <w:spacing w:before="186"/>
        <w:ind w:left="1984"/>
        <w:rPr>
          <w:rFonts w:ascii="Times New Roman" w:eastAsia="Times New Roman"/>
        </w:rPr>
      </w:pPr>
      <w:r>
        <w:rPr>
          <w:rFonts w:ascii="Times New Roman" w:eastAsia="Times New Roman"/>
        </w:rPr>
        <w:t>11</w:t>
      </w:r>
      <w:r>
        <w:t>、接闪器安装分项工</w:t>
      </w:r>
      <w:r>
        <w:rPr>
          <w:spacing w:val="-10"/>
        </w:rPr>
        <w:t>程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  <w:spacing w:val="-5"/>
        </w:rPr>
        <w:t>26</w:t>
      </w:r>
    </w:p>
    <w:p>
      <w:pPr>
        <w:pStyle w:val="BodyText"/>
        <w:tabs>
          <w:tab w:val="right" w:leader="underscore" w:pos="9543"/>
        </w:tabs>
        <w:spacing w:before="186"/>
        <w:ind w:left="1984"/>
        <w:rPr>
          <w:rFonts w:ascii="Times New Roman" w:eastAsia="Times New Roman"/>
        </w:rPr>
      </w:pPr>
      <w:r>
        <w:rPr>
          <w:rFonts w:ascii="Times New Roman" w:eastAsia="Times New Roman"/>
        </w:rPr>
        <w:t>12</w:t>
      </w:r>
      <w:r>
        <w:t>、等电位联结分项工</w:t>
      </w:r>
      <w:r>
        <w:rPr>
          <w:spacing w:val="-10"/>
        </w:rPr>
        <w:t>程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  <w:spacing w:val="-5"/>
        </w:rPr>
        <w:t>26</w:t>
      </w:r>
    </w:p>
    <w:p>
      <w:pPr>
        <w:spacing w:after="0"/>
        <w:rPr>
          <w:rFonts w:ascii="Times New Roman" w:eastAsia="Times New Roman"/>
        </w:rPr>
        <w:sectPr>
          <w:pgSz w:w="12240" w:h="15840"/>
          <w:pgMar w:top="680" w:right="1000" w:bottom="280" w:left="1560" w:header="708" w:footer="708"/>
          <w:pgNumType w:start="2"/>
          <w:cols w:space="708"/>
        </w:sectPr>
      </w:pPr>
    </w:p>
    <w:p>
      <w:pPr>
        <w:pStyle w:val="Heading1"/>
        <w:tabs>
          <w:tab w:val="left" w:pos="2466"/>
        </w:tabs>
      </w:pPr>
      <w:bookmarkStart w:id="0" w:name="_TOC_250013"/>
      <w:r>
        <w:t>第</w:t>
      </w:r>
      <w:r>
        <w:t>一</w:t>
      </w:r>
      <w:r>
        <w:rPr>
          <w:spacing w:val="-10"/>
        </w:rPr>
        <w:t>篇</w:t>
      </w:r>
      <w:r>
        <w:tab/>
        <w:t>施</w:t>
      </w:r>
      <w:r>
        <w:t>工</w:t>
      </w:r>
      <w:r>
        <w:t>临</w:t>
      </w:r>
      <w:r>
        <w:t>时</w:t>
      </w:r>
      <w:r>
        <w:t>用</w:t>
      </w:r>
      <w:r>
        <w:t>电</w:t>
      </w:r>
      <w:r>
        <w:t>安</w:t>
      </w:r>
      <w:r>
        <w:t>全</w:t>
      </w:r>
      <w:r>
        <w:t>监</w:t>
      </w:r>
      <w:r>
        <w:t>理</w:t>
      </w:r>
      <w:r>
        <w:t>实</w:t>
      </w:r>
      <w:r>
        <w:t>施</w:t>
      </w:r>
      <w:r>
        <w:t>细</w:t>
      </w:r>
      <w:bookmarkEnd w:id="0"/>
      <w:r>
        <w:rPr>
          <w:spacing w:val="-10"/>
        </w:rPr>
        <w:t>则</w:t>
      </w:r>
    </w:p>
    <w:p>
      <w:pPr>
        <w:pStyle w:val="Heading3"/>
        <w:spacing w:line="499" w:lineRule="exact"/>
      </w:pPr>
      <w:bookmarkStart w:id="1" w:name="_TOC_250012"/>
      <w:r>
        <w:t>一、</w:t>
      </w:r>
      <w:r>
        <w:rPr>
          <w:spacing w:val="65"/>
          <w:w w:val="150"/>
        </w:rPr>
        <w:t xml:space="preserve"> </w:t>
      </w:r>
      <w:bookmarkEnd w:id="1"/>
      <w:r>
        <w:rPr>
          <w:spacing w:val="-1"/>
        </w:rPr>
        <w:t>工程概况及专业工程的特点</w:t>
      </w:r>
    </w:p>
    <w:p>
      <w:pPr>
        <w:pStyle w:val="BodyText"/>
        <w:spacing w:before="201" w:line="417" w:lineRule="auto"/>
        <w:ind w:left="701" w:right="7364"/>
      </w:pPr>
      <w:r>
        <w:rPr>
          <w:spacing w:val="-2"/>
        </w:rPr>
        <w:t>工程名称：</w:t>
      </w:r>
      <w:r>
        <w:rPr>
          <w:spacing w:val="-2"/>
        </w:rPr>
        <w:t>工程地址：</w:t>
      </w:r>
    </w:p>
    <w:p>
      <w:pPr>
        <w:pStyle w:val="BodyText"/>
        <w:spacing w:line="358" w:lineRule="exact"/>
        <w:ind w:left="701"/>
      </w:pPr>
      <w:r>
        <w:rPr>
          <w:spacing w:val="-2"/>
        </w:rPr>
        <w:t>结构类型：框架结构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701" w:right="4704"/>
      </w:pPr>
      <w:r>
        <w:rPr>
          <w:spacing w:val="-2"/>
        </w:rPr>
        <w:t>建筑规模：总建筑面积：20115</w:t>
      </w:r>
      <w:r>
        <w:rPr>
          <w:spacing w:val="-2"/>
        </w:rPr>
        <w:t>㎡</w:t>
      </w:r>
      <w:r>
        <w:rPr>
          <w:spacing w:val="-2"/>
        </w:rPr>
        <w:t>耐火等级：二级</w:t>
      </w:r>
    </w:p>
    <w:p>
      <w:pPr>
        <w:pStyle w:val="BodyText"/>
        <w:tabs>
          <w:tab w:val="left" w:pos="3220"/>
          <w:tab w:val="left" w:pos="4200"/>
        </w:tabs>
        <w:spacing w:line="417" w:lineRule="auto"/>
        <w:ind w:left="701" w:right="3304"/>
      </w:pPr>
      <w:r>
        <w:rPr>
          <w:spacing w:val="-2"/>
        </w:rPr>
        <w:t>建</w:t>
      </w:r>
      <w:r>
        <w:rPr>
          <w:spacing w:val="-2"/>
        </w:rPr>
        <w:t>筑</w:t>
      </w:r>
      <w:r>
        <w:rPr>
          <w:spacing w:val="-2"/>
        </w:rPr>
        <w:t>等</w:t>
      </w:r>
      <w:r>
        <w:rPr>
          <w:spacing w:val="-2"/>
        </w:rPr>
        <w:t>级</w:t>
      </w:r>
      <w:r>
        <w:rPr>
          <w:spacing w:val="-2"/>
        </w:rPr>
        <w:t>：</w:t>
      </w:r>
      <w:r>
        <w:rPr>
          <w:spacing w:val="-2"/>
        </w:rPr>
        <w:t>教</w:t>
      </w:r>
      <w:r>
        <w:rPr>
          <w:spacing w:val="-2"/>
        </w:rPr>
        <w:t>学</w:t>
      </w:r>
      <w:r>
        <w:rPr>
          <w:spacing w:val="-2"/>
        </w:rPr>
        <w:t>楼</w:t>
      </w:r>
      <w:r>
        <w:tab/>
      </w:r>
      <w:r>
        <w:rPr>
          <w:spacing w:val="-6"/>
        </w:rPr>
        <w:t>二</w:t>
      </w:r>
      <w:r>
        <w:rPr>
          <w:spacing w:val="-6"/>
        </w:rPr>
        <w:t>级</w:t>
      </w:r>
      <w:r>
        <w:tab/>
      </w:r>
      <w:r>
        <w:rPr>
          <w:spacing w:val="-2"/>
        </w:rPr>
        <w:t>其</w:t>
      </w:r>
      <w:r>
        <w:rPr>
          <w:spacing w:val="-2"/>
        </w:rPr>
        <w:t>余</w:t>
      </w:r>
      <w:r>
        <w:rPr>
          <w:spacing w:val="-2"/>
        </w:rPr>
        <w:t>建</w:t>
      </w:r>
      <w:r>
        <w:rPr>
          <w:spacing w:val="-2"/>
        </w:rPr>
        <w:t>筑</w:t>
      </w:r>
      <w:r>
        <w:rPr>
          <w:spacing w:val="-2"/>
        </w:rPr>
        <w:t>为</w:t>
      </w:r>
      <w:r>
        <w:rPr>
          <w:spacing w:val="-2"/>
        </w:rPr>
        <w:t>三</w:t>
      </w:r>
      <w:r>
        <w:rPr>
          <w:spacing w:val="-2"/>
        </w:rPr>
        <w:t>级</w:t>
      </w:r>
      <w:r>
        <w:rPr>
          <w:spacing w:val="-2"/>
        </w:rPr>
        <w:t>屋</w:t>
      </w:r>
      <w:r>
        <w:rPr>
          <w:spacing w:val="-2"/>
        </w:rPr>
        <w:t>面</w:t>
      </w:r>
      <w:r>
        <w:rPr>
          <w:spacing w:val="-2"/>
        </w:rPr>
        <w:t>防</w:t>
      </w:r>
      <w:r>
        <w:rPr>
          <w:spacing w:val="-2"/>
        </w:rPr>
        <w:t>水</w:t>
      </w:r>
      <w:r>
        <w:rPr>
          <w:spacing w:val="-2"/>
        </w:rPr>
        <w:t>等</w:t>
      </w:r>
      <w:r>
        <w:rPr>
          <w:spacing w:val="-2"/>
        </w:rPr>
        <w:t>级</w:t>
      </w:r>
      <w:r>
        <w:rPr>
          <w:spacing w:val="-2"/>
        </w:rPr>
        <w:t>：</w:t>
      </w:r>
      <w:r>
        <w:rPr>
          <w:spacing w:val="-2"/>
        </w:rPr>
        <w:t>三</w:t>
      </w:r>
      <w:r>
        <w:rPr>
          <w:spacing w:val="-2"/>
        </w:rPr>
        <w:t>级</w:t>
      </w:r>
    </w:p>
    <w:p>
      <w:pPr>
        <w:pStyle w:val="BodyText"/>
        <w:spacing w:line="358" w:lineRule="exact"/>
        <w:ind w:left="701"/>
      </w:pPr>
      <w:r>
        <w:t>抗震设防烈度：7</w:t>
      </w:r>
      <w:r>
        <w:rPr>
          <w:spacing w:val="-40"/>
        </w:rPr>
        <w:t xml:space="preserve"> 度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701" w:right="4494"/>
      </w:pPr>
      <w:r>
        <w:rPr>
          <w:spacing w:val="-2"/>
        </w:rPr>
        <w:t>建筑主体结构设计使用年限：50</w:t>
      </w:r>
      <w:r>
        <w:rPr>
          <w:spacing w:val="-36"/>
        </w:rPr>
        <w:t xml:space="preserve"> 年</w:t>
      </w:r>
      <w:r>
        <w:rPr>
          <w:spacing w:val="-2"/>
        </w:rPr>
        <w:t>建设单位：</w:t>
      </w:r>
    </w:p>
    <w:p>
      <w:pPr>
        <w:pStyle w:val="BodyText"/>
        <w:spacing w:line="439" w:lineRule="auto"/>
        <w:ind w:left="701" w:right="7364"/>
      </w:pPr>
      <w:r>
        <w:rPr>
          <w:spacing w:val="-2"/>
        </w:rPr>
        <w:t>设计单位：</w:t>
      </w:r>
      <w:r>
        <w:rPr>
          <w:spacing w:val="-2"/>
        </w:rPr>
        <w:t>地勘单位：</w:t>
      </w:r>
    </w:p>
    <w:p>
      <w:pPr>
        <w:pStyle w:val="BodyText"/>
        <w:spacing w:line="263" w:lineRule="exact"/>
        <w:ind w:left="701"/>
      </w:pPr>
      <w:r>
        <w:rPr>
          <w:spacing w:val="-9"/>
        </w:rPr>
        <w:t xml:space="preserve">监理单位：四川 </w:t>
      </w:r>
      <w:r>
        <w:t>XXXXXXXXXXXXXXXXXXX</w:t>
      </w:r>
      <w:r>
        <w:rPr>
          <w:spacing w:val="-17"/>
        </w:rPr>
        <w:t xml:space="preserve"> 有限公司</w:t>
      </w:r>
    </w:p>
    <w:p>
      <w:pPr>
        <w:spacing w:before="201" w:line="304" w:lineRule="auto"/>
        <w:ind w:left="689" w:right="7364" w:firstLine="11"/>
        <w:jc w:val="left"/>
        <w:rPr>
          <w:sz w:val="28"/>
        </w:rPr>
      </w:pPr>
      <w:r>
        <w:rPr>
          <w:spacing w:val="-2"/>
          <w:sz w:val="28"/>
        </w:rPr>
        <w:t>施工单位：</w:t>
      </w:r>
      <w:r>
        <w:rPr>
          <w:rFonts w:ascii="Microsoft JhengHei" w:eastAsia="Microsoft JhengHei"/>
          <w:b/>
          <w:spacing w:val="-4"/>
          <w:sz w:val="28"/>
        </w:rPr>
        <w:t>工程概况</w:t>
      </w:r>
      <w:r>
        <w:rPr>
          <w:rFonts w:ascii="Microsoft JhengHei" w:eastAsia="Microsoft JhengHei"/>
          <w:b/>
          <w:spacing w:val="40"/>
          <w:sz w:val="28"/>
        </w:rPr>
        <w:t xml:space="preserve"> </w:t>
      </w:r>
      <w:r>
        <w:rPr>
          <w:spacing w:val="-4"/>
          <w:sz w:val="28"/>
        </w:rPr>
        <w:t>结构概况</w:t>
      </w:r>
    </w:p>
    <w:p>
      <w:pPr>
        <w:pStyle w:val="BodyText"/>
        <w:spacing w:before="50" w:line="333" w:lineRule="auto"/>
        <w:ind w:left="141" w:right="338" w:firstLine="560"/>
      </w:pPr>
      <w:r>
        <w:rPr>
          <w:spacing w:val="-15"/>
        </w:rPr>
        <w:t>本工程为框架结构，总建筑面积为20115m</w:t>
      </w:r>
      <w:r>
        <w:rPr>
          <w:spacing w:val="-15"/>
          <w:vertAlign w:val="superscript"/>
        </w:rPr>
        <w:t>2</w:t>
      </w:r>
      <w:r>
        <w:rPr>
          <w:spacing w:val="-15"/>
          <w:vertAlign w:val="baseline"/>
        </w:rPr>
        <w:t>,工程合理使用年限为五十年。</w:t>
      </w:r>
      <w:r>
        <w:rPr>
          <w:spacing w:val="-2"/>
          <w:vertAlign w:val="baseline"/>
        </w:rPr>
        <w:t>采用柱下独立基础，耐火等级为二级。</w:t>
      </w:r>
    </w:p>
    <w:p>
      <w:pPr>
        <w:pStyle w:val="BodyText"/>
        <w:spacing w:before="3" w:line="333" w:lineRule="auto"/>
        <w:ind w:left="141" w:right="252" w:firstLine="560"/>
      </w:pPr>
      <w:r>
        <w:rPr>
          <w:spacing w:val="-5"/>
        </w:rPr>
        <w:t>教学楼高度为21.50</w:t>
      </w:r>
      <w:r>
        <w:rPr>
          <w:spacing w:val="-34"/>
        </w:rPr>
        <w:t xml:space="preserve"> 米，地上</w:t>
      </w:r>
      <w:r>
        <w:rPr>
          <w:spacing w:val="-5"/>
        </w:rPr>
        <w:t>5</w:t>
      </w:r>
      <w:r>
        <w:rPr>
          <w:spacing w:val="-18"/>
        </w:rPr>
        <w:t xml:space="preserve"> 层。基础持力层为硬塑粘土层，地基承载</w:t>
      </w:r>
      <w:r>
        <w:rPr>
          <w:spacing w:val="-7"/>
        </w:rPr>
        <w:t xml:space="preserve">力特征值为 </w:t>
      </w:r>
      <w:r>
        <w:t>180kPa。</w:t>
      </w:r>
    </w:p>
    <w:p>
      <w:pPr>
        <w:pStyle w:val="BodyText"/>
        <w:spacing w:line="321" w:lineRule="auto"/>
        <w:ind w:left="141" w:right="357" w:firstLine="560"/>
      </w:pPr>
      <w:r>
        <w:rPr>
          <w:spacing w:val="-13"/>
        </w:rPr>
        <w:t>综合楼高度为23.15</w:t>
      </w:r>
      <w:r>
        <w:rPr>
          <w:spacing w:val="-29"/>
        </w:rPr>
        <w:t xml:space="preserve"> 米，地上</w:t>
      </w:r>
      <w:r>
        <w:rPr>
          <w:spacing w:val="-13"/>
        </w:rPr>
        <w:t>5</w:t>
      </w:r>
      <w:r>
        <w:rPr>
          <w:spacing w:val="-22"/>
        </w:rPr>
        <w:t xml:space="preserve"> 层。该建筑为底层架空层，±</w:t>
      </w:r>
      <w:r>
        <w:rPr>
          <w:spacing w:val="-13"/>
        </w:rPr>
        <w:t>0.00</w:t>
      </w:r>
      <w:r>
        <w:rPr>
          <w:spacing w:val="-31"/>
        </w:rPr>
        <w:t xml:space="preserve"> 标高为</w:t>
      </w:r>
      <w:r>
        <w:rPr>
          <w:spacing w:val="-13"/>
        </w:rPr>
        <w:t xml:space="preserve"> </w:t>
      </w:r>
      <w:r>
        <w:t>451.50m</w:t>
      </w:r>
      <w:r>
        <w:rPr>
          <w:spacing w:val="-4"/>
        </w:rPr>
        <w:t xml:space="preserve">。地基承载力特征值为 </w:t>
      </w:r>
      <w:r>
        <w:t>180kPa。</w:t>
      </w:r>
    </w:p>
    <w:p>
      <w:pPr>
        <w:spacing w:after="0" w:line="321" w:lineRule="auto"/>
        <w:sectPr>
          <w:headerReference w:type="default" r:id="rId4"/>
          <w:footerReference w:type="default" r:id="rId5"/>
          <w:pgSz w:w="11910" w:h="16840"/>
          <w:pgMar w:top="1680" w:right="880" w:bottom="920" w:left="1560" w:header="889" w:footer="736"/>
          <w:pgNumType w:start="1"/>
          <w:cols w:space="708"/>
        </w:sectPr>
      </w:pPr>
    </w:p>
    <w:p>
      <w:pPr>
        <w:pStyle w:val="BodyText"/>
        <w:spacing w:before="114" w:line="321" w:lineRule="auto"/>
        <w:ind w:left="141" w:right="282" w:firstLine="560"/>
      </w:pPr>
      <w:r>
        <w:rPr>
          <w:spacing w:val="-11"/>
        </w:rPr>
        <w:t>食堂高度为17.60</w:t>
      </w:r>
      <w:r>
        <w:rPr>
          <w:spacing w:val="-23"/>
        </w:rPr>
        <w:t xml:space="preserve"> 米，地上</w:t>
      </w:r>
      <w:r>
        <w:rPr>
          <w:spacing w:val="-11"/>
        </w:rPr>
        <w:t>4</w:t>
      </w:r>
      <w:r>
        <w:rPr>
          <w:spacing w:val="-19"/>
        </w:rPr>
        <w:t xml:space="preserve"> 层。该建筑场地地基土以硬塑粘土及可塑粘</w:t>
      </w:r>
      <w:r>
        <w:rPr>
          <w:spacing w:val="-3"/>
        </w:rPr>
        <w:t xml:space="preserve">土层为主。地基承载力特征值为 </w:t>
      </w:r>
      <w:r>
        <w:t>145kPa。</w:t>
      </w:r>
    </w:p>
    <w:p>
      <w:pPr>
        <w:pStyle w:val="BodyText"/>
        <w:spacing w:line="321" w:lineRule="auto"/>
        <w:ind w:left="141" w:right="364" w:firstLine="560"/>
      </w:pPr>
      <w:r>
        <w:rPr>
          <w:spacing w:val="-13"/>
        </w:rPr>
        <w:t>女生宿舍高度为12.95</w:t>
      </w:r>
      <w:r>
        <w:rPr>
          <w:spacing w:val="-27"/>
        </w:rPr>
        <w:t xml:space="preserve"> 米，地上</w:t>
      </w:r>
      <w:r>
        <w:rPr>
          <w:spacing w:val="-13"/>
        </w:rPr>
        <w:t>3</w:t>
      </w:r>
      <w:r>
        <w:rPr>
          <w:spacing w:val="-22"/>
        </w:rPr>
        <w:t xml:space="preserve"> 层。根据地层结构，硬塑粘土层埋深相</w:t>
      </w:r>
      <w:r>
        <w:rPr>
          <w:spacing w:val="-2"/>
        </w:rPr>
        <w:t xml:space="preserve">对较浅。持力层为强风化泥岩，地基承载力特征值为 </w:t>
      </w:r>
      <w:r>
        <w:t>250KPa。</w:t>
      </w:r>
    </w:p>
    <w:p>
      <w:pPr>
        <w:pStyle w:val="BodyText"/>
        <w:spacing w:line="321" w:lineRule="auto"/>
        <w:ind w:left="141" w:right="322" w:firstLine="560"/>
      </w:pPr>
      <w:r>
        <w:rPr>
          <w:spacing w:val="-11"/>
        </w:rPr>
        <w:t>男生宿舍高度为12.95</w:t>
      </w:r>
      <w:r>
        <w:rPr>
          <w:spacing w:val="-27"/>
        </w:rPr>
        <w:t xml:space="preserve"> 米，地上</w:t>
      </w:r>
      <w:r>
        <w:rPr>
          <w:spacing w:val="-11"/>
        </w:rPr>
        <w:t>3</w:t>
      </w:r>
      <w:r>
        <w:rPr>
          <w:spacing w:val="-20"/>
        </w:rPr>
        <w:t xml:space="preserve"> 层。该建筑场地地基土以硬塑粘土及可</w:t>
      </w:r>
      <w:r>
        <w:rPr>
          <w:spacing w:val="-3"/>
        </w:rPr>
        <w:t xml:space="preserve">塑粘土层为主。地基承载力特征值为 </w:t>
      </w:r>
      <w:r>
        <w:t>145kPa。</w:t>
      </w:r>
    </w:p>
    <w:p>
      <w:pPr>
        <w:pStyle w:val="BodyText"/>
        <w:spacing w:line="357" w:lineRule="exact"/>
        <w:ind w:left="701"/>
      </w:pPr>
      <w:r>
        <w:rPr>
          <w:spacing w:val="-3"/>
        </w:rPr>
        <w:t>建筑概况</w:t>
      </w:r>
    </w:p>
    <w:p>
      <w:pPr>
        <w:pStyle w:val="BodyText"/>
        <w:spacing w:before="118" w:line="321" w:lineRule="auto"/>
        <w:ind w:left="141" w:right="364" w:firstLine="560"/>
        <w:jc w:val="both"/>
      </w:pPr>
      <w:r>
        <w:rPr>
          <w:spacing w:val="-9"/>
        </w:rPr>
        <w:t xml:space="preserve">本工程屋面防水等级为 </w:t>
      </w:r>
      <w:r>
        <w:rPr>
          <w:spacing w:val="-6"/>
        </w:rPr>
        <w:t>SBS</w:t>
      </w:r>
      <w:r>
        <w:rPr>
          <w:spacing w:val="-18"/>
        </w:rPr>
        <w:t xml:space="preserve"> 卷材 </w:t>
      </w:r>
      <w:r>
        <w:rPr>
          <w:spacing w:val="-6"/>
        </w:rPr>
        <w:t>4</w:t>
      </w:r>
      <w:r>
        <w:rPr>
          <w:spacing w:val="-11"/>
        </w:rPr>
        <w:t xml:space="preserve"> 毫米厚。合理使用年限为十年，凡</w:t>
      </w:r>
      <w:r>
        <w:rPr>
          <w:spacing w:val="-6"/>
        </w:rPr>
        <w:t xml:space="preserve">遇泛水处防水层上翻 </w:t>
      </w:r>
      <w:r>
        <w:rPr>
          <w:spacing w:val="-2"/>
        </w:rPr>
        <w:t>250。采取外排水，采用</w:t>
      </w:r>
      <w:r>
        <w:rPr>
          <w:rFonts w:ascii="Arial" w:eastAsia="Arial" w:hAnsi="Arial"/>
          <w:i/>
          <w:spacing w:val="-2"/>
          <w:sz w:val="29"/>
        </w:rPr>
        <w:t>Φ</w:t>
      </w:r>
      <w:r>
        <w:rPr>
          <w:spacing w:val="-2"/>
        </w:rPr>
        <w:t>110PVC</w:t>
      </w:r>
      <w:r>
        <w:rPr>
          <w:spacing w:val="-8"/>
        </w:rPr>
        <w:t xml:space="preserve"> 雨水管，一层就近</w:t>
      </w:r>
      <w:r>
        <w:rPr>
          <w:spacing w:val="-2"/>
        </w:rPr>
        <w:t>接入散水沟。卫生间及有防水要求的房间为聚氨脂防水涂膜。</w:t>
      </w:r>
    </w:p>
    <w:p>
      <w:pPr>
        <w:pStyle w:val="BodyText"/>
        <w:spacing w:line="321" w:lineRule="auto"/>
        <w:ind w:left="141" w:right="364" w:firstLine="560"/>
      </w:pPr>
      <w:r>
        <w:rPr>
          <w:spacing w:val="-2"/>
        </w:rPr>
        <w:t>外墙采用水泥沙浆抹面，聚苯乙烯挤塑板，外罩涂料或饰面砖，内墙</w:t>
      </w:r>
      <w:r>
        <w:rPr>
          <w:spacing w:val="-2"/>
        </w:rPr>
        <w:t>面乳胶漆或瓷砖。</w:t>
      </w:r>
    </w:p>
    <w:p>
      <w:pPr>
        <w:pStyle w:val="BodyText"/>
        <w:spacing w:line="357" w:lineRule="exact"/>
        <w:ind w:left="701"/>
      </w:pPr>
      <w:r>
        <w:rPr>
          <w:spacing w:val="-1"/>
        </w:rPr>
        <w:t>门窗为塑钢，玻璃为普通中空玻璃或钢化玻璃。</w:t>
      </w:r>
    </w:p>
    <w:p>
      <w:pPr>
        <w:pStyle w:val="Heading3"/>
        <w:spacing w:before="58"/>
      </w:pPr>
      <w:bookmarkStart w:id="2" w:name="_TOC_250011"/>
      <w:bookmarkEnd w:id="2"/>
      <w:r>
        <w:rPr>
          <w:spacing w:val="-1"/>
        </w:rPr>
        <w:t>二、应遵守的相关安全法规、规范</w:t>
      </w:r>
    </w:p>
    <w:p>
      <w:pPr>
        <w:pStyle w:val="BodyText"/>
        <w:spacing w:before="201"/>
        <w:ind w:left="701"/>
      </w:pPr>
      <w:r>
        <w:rPr>
          <w:rFonts w:ascii="Times New Roman" w:eastAsia="Times New Roman"/>
        </w:rPr>
        <w:t>1</w:t>
      </w:r>
      <w:r>
        <w:t>、《建设工程安全生产管理条例》（</w:t>
      </w:r>
      <w:r>
        <w:rPr>
          <w:spacing w:val="-14"/>
        </w:rPr>
        <w:t xml:space="preserve">国务院第 </w:t>
      </w:r>
      <w:r>
        <w:rPr>
          <w:rFonts w:ascii="Times New Roman" w:eastAsia="Times New Roman"/>
        </w:rPr>
        <w:t xml:space="preserve">393 </w:t>
      </w:r>
      <w:r>
        <w:t>号令</w:t>
      </w:r>
      <w:r>
        <w:rPr>
          <w:spacing w:val="-10"/>
        </w:rPr>
        <w:t>）</w:t>
      </w:r>
    </w:p>
    <w:p>
      <w:pPr>
        <w:pStyle w:val="BodyText"/>
        <w:spacing w:before="265"/>
        <w:ind w:left="701"/>
      </w:pPr>
      <w:r>
        <w:rPr>
          <w:rFonts w:ascii="Times New Roman" w:eastAsia="Times New Roman"/>
        </w:rPr>
        <w:t>2</w:t>
      </w:r>
      <w:r>
        <w:t>、《特种设备安全监督条例》（</w:t>
      </w:r>
      <w:r>
        <w:rPr>
          <w:spacing w:val="-14"/>
        </w:rPr>
        <w:t xml:space="preserve">国务院第 </w:t>
      </w:r>
      <w:r>
        <w:rPr>
          <w:rFonts w:ascii="Times New Roman" w:eastAsia="Times New Roman"/>
        </w:rPr>
        <w:t xml:space="preserve">373 </w:t>
      </w:r>
      <w:r>
        <w:t>号令</w:t>
      </w:r>
      <w:r>
        <w:rPr>
          <w:spacing w:val="-10"/>
        </w:rPr>
        <w:t>）</w:t>
      </w:r>
    </w:p>
    <w:p>
      <w:pPr>
        <w:pStyle w:val="BodyText"/>
        <w:spacing w:before="266"/>
        <w:ind w:left="701"/>
      </w:pPr>
      <w:r>
        <w:rPr>
          <w:rFonts w:ascii="Times New Roman" w:eastAsia="Times New Roman" w:hAnsi="Times New Roman"/>
          <w:spacing w:val="-2"/>
        </w:rPr>
        <w:t>3</w:t>
      </w:r>
      <w:r>
        <w:rPr>
          <w:spacing w:val="-2"/>
        </w:rPr>
        <w:t>、</w:t>
      </w:r>
      <w:r>
        <w:rPr>
          <w:rFonts w:ascii="Times New Roman" w:eastAsia="Times New Roman" w:hAnsi="Times New Roman"/>
          <w:spacing w:val="-2"/>
        </w:rPr>
        <w:t>JGJ46</w:t>
      </w:r>
      <w:r>
        <w:rPr>
          <w:spacing w:val="-2"/>
        </w:rPr>
        <w:t>—</w:t>
      </w:r>
      <w:r>
        <w:rPr>
          <w:rFonts w:ascii="Times New Roman" w:eastAsia="Times New Roman" w:hAnsi="Times New Roman"/>
          <w:spacing w:val="-2"/>
        </w:rPr>
        <w:t>2005</w:t>
      </w:r>
      <w:r>
        <w:rPr>
          <w:spacing w:val="-3"/>
        </w:rPr>
        <w:t>《施工现场临时用电安全技术规范》</w:t>
      </w:r>
    </w:p>
    <w:p>
      <w:pPr>
        <w:pStyle w:val="BodyText"/>
        <w:spacing w:before="265"/>
        <w:ind w:left="701"/>
      </w:pPr>
      <w:r>
        <w:rPr>
          <w:rFonts w:ascii="Times New Roman" w:eastAsia="Times New Roman" w:hAnsi="Times New Roman"/>
          <w:spacing w:val="-2"/>
        </w:rPr>
        <w:t>4</w:t>
      </w:r>
      <w:r>
        <w:rPr>
          <w:spacing w:val="-2"/>
        </w:rPr>
        <w:t>、</w:t>
      </w:r>
      <w:r>
        <w:rPr>
          <w:rFonts w:ascii="Times New Roman" w:eastAsia="Times New Roman" w:hAnsi="Times New Roman"/>
          <w:spacing w:val="-2"/>
        </w:rPr>
        <w:t>JGJ59</w:t>
      </w:r>
      <w:r>
        <w:rPr>
          <w:spacing w:val="-2"/>
        </w:rPr>
        <w:t>—</w:t>
      </w:r>
      <w:r>
        <w:rPr>
          <w:rFonts w:ascii="Times New Roman" w:eastAsia="Times New Roman" w:hAnsi="Times New Roman"/>
          <w:spacing w:val="-2"/>
        </w:rPr>
        <w:t>99</w:t>
      </w:r>
      <w:r>
        <w:rPr>
          <w:spacing w:val="-3"/>
        </w:rPr>
        <w:t>《建筑施工安全检查标准》</w:t>
      </w:r>
    </w:p>
    <w:p>
      <w:pPr>
        <w:pStyle w:val="BodyText"/>
        <w:spacing w:before="265"/>
        <w:ind w:left="701"/>
      </w:pPr>
      <w:r>
        <w:rPr>
          <w:rFonts w:ascii="Times New Roman" w:eastAsia="Times New Roman" w:hAnsi="Times New Roman"/>
          <w:spacing w:val="-2"/>
        </w:rPr>
        <w:t>5</w:t>
      </w:r>
      <w:r>
        <w:rPr>
          <w:spacing w:val="-2"/>
        </w:rPr>
        <w:t>、</w:t>
      </w:r>
      <w:r>
        <w:rPr>
          <w:rFonts w:ascii="Times New Roman" w:eastAsia="Times New Roman" w:hAnsi="Times New Roman"/>
          <w:spacing w:val="-2"/>
        </w:rPr>
        <w:t>GB50194</w:t>
      </w:r>
      <w:r>
        <w:rPr>
          <w:spacing w:val="-2"/>
        </w:rPr>
        <w:t>—</w:t>
      </w:r>
      <w:r>
        <w:rPr>
          <w:rFonts w:ascii="Times New Roman" w:eastAsia="Times New Roman" w:hAnsi="Times New Roman"/>
          <w:spacing w:val="-2"/>
        </w:rPr>
        <w:t>93</w:t>
      </w:r>
      <w:r>
        <w:rPr>
          <w:spacing w:val="-3"/>
        </w:rPr>
        <w:t>《建设工程施工现场供用电安全规范》</w:t>
      </w:r>
    </w:p>
    <w:p>
      <w:pPr>
        <w:pStyle w:val="BodyText"/>
        <w:spacing w:before="265" w:line="417" w:lineRule="auto"/>
        <w:ind w:left="141" w:right="251" w:firstLine="560"/>
      </w:pPr>
      <w:r>
        <w:rPr>
          <w:rFonts w:ascii="Times New Roman" w:eastAsia="Times New Roman" w:hAnsi="Times New Roman"/>
          <w:spacing w:val="-2"/>
        </w:rPr>
        <w:t>6</w:t>
      </w:r>
      <w:r>
        <w:rPr>
          <w:spacing w:val="-2"/>
        </w:rPr>
        <w:t>、</w:t>
      </w:r>
      <w:r>
        <w:rPr>
          <w:rFonts w:ascii="Times New Roman" w:eastAsia="Times New Roman" w:hAnsi="Times New Roman"/>
          <w:spacing w:val="-2"/>
        </w:rPr>
        <w:t>JGJ33</w:t>
      </w:r>
      <w:r>
        <w:rPr>
          <w:spacing w:val="-2"/>
        </w:rPr>
        <w:t>—</w:t>
      </w:r>
      <w:r>
        <w:rPr>
          <w:rFonts w:ascii="Times New Roman" w:eastAsia="Times New Roman" w:hAnsi="Times New Roman"/>
          <w:spacing w:val="-2"/>
        </w:rPr>
        <w:t>2001</w:t>
      </w:r>
      <w:r>
        <w:rPr>
          <w:spacing w:val="-2"/>
        </w:rPr>
        <w:t>《建筑机械使用安全技术规程》（</w:t>
      </w:r>
      <w:r>
        <w:rPr>
          <w:rFonts w:ascii="Times New Roman" w:eastAsia="Times New Roman" w:hAnsi="Times New Roman"/>
          <w:spacing w:val="-2"/>
        </w:rPr>
        <w:t>3</w:t>
      </w:r>
      <w:r>
        <w:rPr>
          <w:spacing w:val="-2"/>
        </w:rPr>
        <w:t>、动力与电气装置</w:t>
      </w:r>
      <w:r>
        <w:rPr>
          <w:spacing w:val="-2"/>
        </w:rPr>
        <w:t>部分内容）</w:t>
      </w:r>
    </w:p>
    <w:p>
      <w:pPr>
        <w:pStyle w:val="Heading3"/>
        <w:spacing w:line="422" w:lineRule="exact"/>
      </w:pPr>
      <w:r>
        <w:rPr>
          <w:spacing w:val="-1"/>
        </w:rPr>
        <w:t>三、施工临时用电安全监理主要措施</w:t>
      </w:r>
    </w:p>
    <w:p>
      <w:pPr>
        <w:pStyle w:val="BodyText"/>
        <w:spacing w:before="202" w:line="417" w:lineRule="auto"/>
        <w:ind w:left="141" w:right="252" w:firstLine="560"/>
      </w:pPr>
      <w:r>
        <w:rPr>
          <w:rFonts w:ascii="Times New Roman" w:eastAsia="Times New Roman"/>
          <w:spacing w:val="-2"/>
        </w:rPr>
        <w:t>1</w:t>
      </w:r>
      <w:r>
        <w:rPr>
          <w:spacing w:val="-2"/>
        </w:rPr>
        <w:t>、熟悉相关安全生产法规、规范，明确工程监理单位对安全生产施工</w:t>
      </w:r>
      <w:r>
        <w:rPr>
          <w:spacing w:val="-2"/>
        </w:rPr>
        <w:t>的监理责任。</w:t>
      </w:r>
    </w:p>
    <w:p>
      <w:pPr>
        <w:spacing w:after="0" w:line="417" w:lineRule="auto"/>
        <w:sectPr>
          <w:headerReference w:type="default" r:id="rId6"/>
          <w:footerReference w:type="default" r:id="rId7"/>
          <w:pgSz w:w="11910" w:h="16840"/>
          <w:pgMar w:top="1680" w:right="880" w:bottom="920" w:left="1560" w:header="889" w:footer="736"/>
          <w:pgNumType w:start="2"/>
          <w:cols w:space="708"/>
        </w:sectPr>
      </w:pPr>
    </w:p>
    <w:p>
      <w:pPr>
        <w:pStyle w:val="BodyText"/>
        <w:spacing w:before="145" w:line="417" w:lineRule="auto"/>
        <w:ind w:left="141" w:right="252" w:firstLine="560"/>
      </w:pPr>
      <w:r>
        <w:rPr>
          <w:rFonts w:ascii="Times New Roman" w:eastAsia="Times New Roman"/>
          <w:spacing w:val="-2"/>
        </w:rPr>
        <w:t>2</w:t>
      </w:r>
      <w:r>
        <w:rPr>
          <w:spacing w:val="-2"/>
        </w:rPr>
        <w:t>、检查、督促施工单位项目部在现场配齐第二项所列的安全法规、规</w:t>
      </w:r>
      <w:r>
        <w:rPr>
          <w:spacing w:val="-6"/>
        </w:rPr>
        <w:t>范。</w:t>
      </w:r>
    </w:p>
    <w:p>
      <w:pPr>
        <w:pStyle w:val="BodyText"/>
        <w:spacing w:line="358" w:lineRule="exact"/>
        <w:ind w:left="701"/>
      </w:pPr>
      <w:r>
        <w:rPr>
          <w:rFonts w:ascii="Times New Roman" w:eastAsia="Times New Roman"/>
        </w:rPr>
        <w:t>3</w:t>
      </w:r>
      <w:r>
        <w:rPr>
          <w:spacing w:val="-1"/>
        </w:rPr>
        <w:t>、严格审查施工单位提交的临时用电施工方案。</w:t>
      </w:r>
    </w:p>
    <w:p>
      <w:pPr>
        <w:pStyle w:val="BodyText"/>
        <w:spacing w:before="265"/>
        <w:ind w:left="701"/>
      </w:pPr>
      <w:r>
        <w:rPr>
          <w:rFonts w:ascii="Times New Roman" w:eastAsia="Times New Roman"/>
        </w:rPr>
        <w:t>4</w:t>
      </w:r>
      <w:r>
        <w:rPr>
          <w:spacing w:val="-1"/>
        </w:rPr>
        <w:t>、审查并监督施工单位健全、落实：</w:t>
      </w:r>
    </w:p>
    <w:p>
      <w:pPr>
        <w:pStyle w:val="BodyText"/>
        <w:spacing w:before="265" w:line="417" w:lineRule="auto"/>
        <w:ind w:left="141" w:right="364" w:firstLine="560"/>
        <w:jc w:val="both"/>
      </w:pPr>
      <w:r>
        <w:rPr>
          <w:spacing w:val="-2"/>
        </w:rPr>
        <w:t>现场用电安全责任制度；现场用电安全管理制度；安全用电、电焊、</w:t>
      </w:r>
      <w:r>
        <w:rPr>
          <w:spacing w:val="-2"/>
        </w:rPr>
        <w:t>气焊、电气设备的安全操作规程；用电事故紧急处理预案和电气火灾消防</w:t>
      </w:r>
      <w:r>
        <w:rPr>
          <w:spacing w:val="-4"/>
        </w:rPr>
        <w:t>措施。</w:t>
      </w:r>
    </w:p>
    <w:p>
      <w:pPr>
        <w:pStyle w:val="BodyText"/>
        <w:spacing w:line="417" w:lineRule="auto"/>
        <w:ind w:left="141" w:right="252" w:firstLine="560"/>
        <w:jc w:val="both"/>
      </w:pPr>
      <w:r>
        <w:rPr>
          <w:rFonts w:ascii="Times New Roman" w:eastAsia="Times New Roman" w:hAnsi="Times New Roman"/>
          <w:spacing w:val="-2"/>
        </w:rPr>
        <w:t>5</w:t>
      </w:r>
      <w:r>
        <w:rPr>
          <w:spacing w:val="-6"/>
        </w:rPr>
        <w:t xml:space="preserve">、监督施工单位按 </w:t>
      </w:r>
      <w:r>
        <w:rPr>
          <w:rFonts w:ascii="Times New Roman" w:eastAsia="Times New Roman" w:hAnsi="Times New Roman"/>
          <w:spacing w:val="-2"/>
        </w:rPr>
        <w:t>JGJ46</w:t>
      </w:r>
      <w:r>
        <w:rPr>
          <w:spacing w:val="-2"/>
        </w:rPr>
        <w:t>—</w:t>
      </w:r>
      <w:r>
        <w:rPr>
          <w:rFonts w:ascii="Times New Roman" w:eastAsia="Times New Roman" w:hAnsi="Times New Roman"/>
          <w:spacing w:val="-2"/>
        </w:rPr>
        <w:t>2005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spacing w:val="-2"/>
        </w:rPr>
        <w:t>和批准的临时用电施工组织设计（方</w:t>
      </w:r>
      <w:r>
        <w:rPr>
          <w:spacing w:val="-4"/>
        </w:rPr>
        <w:t>案）</w:t>
      </w:r>
      <w:r>
        <w:rPr>
          <w:spacing w:val="-6"/>
        </w:rPr>
        <w:t xml:space="preserve">实施；施工临时用电工程由施工单位按 </w:t>
      </w:r>
      <w:r>
        <w:rPr>
          <w:rFonts w:ascii="Times New Roman" w:eastAsia="Times New Roman" w:hAnsi="Times New Roman"/>
          <w:spacing w:val="-4"/>
        </w:rPr>
        <w:t>JGJ59-99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spacing w:val="-18"/>
        </w:rPr>
        <w:t xml:space="preserve">表 </w:t>
      </w:r>
      <w:r>
        <w:rPr>
          <w:rFonts w:ascii="Times New Roman" w:eastAsia="Times New Roman" w:hAnsi="Times New Roman"/>
          <w:spacing w:val="-4"/>
        </w:rPr>
        <w:t>3.0.8</w:t>
      </w:r>
      <w:r>
        <w:rPr>
          <w:spacing w:val="-4"/>
        </w:rPr>
        <w:t>《施工用电检</w:t>
      </w:r>
      <w:r>
        <w:rPr>
          <w:spacing w:val="-2"/>
        </w:rPr>
        <w:t>查评分表》自检评分合格并报监理检查验收后，方可投入使用。</w:t>
      </w:r>
    </w:p>
    <w:p>
      <w:pPr>
        <w:pStyle w:val="BodyText"/>
        <w:spacing w:line="358" w:lineRule="exact"/>
        <w:ind w:left="701"/>
      </w:pPr>
      <w:r>
        <w:rPr>
          <w:rFonts w:ascii="Times New Roman" w:eastAsia="Times New Roman"/>
        </w:rPr>
        <w:t>6</w:t>
      </w:r>
      <w:r>
        <w:rPr>
          <w:spacing w:val="-1"/>
        </w:rPr>
        <w:t>、监督施工单位项目经理部建立并指定专人管理临电安全技术档案。</w:t>
      </w:r>
    </w:p>
    <w:p>
      <w:pPr>
        <w:pStyle w:val="BodyText"/>
        <w:spacing w:before="265" w:line="417" w:lineRule="auto"/>
        <w:ind w:left="141" w:right="252" w:firstLine="560"/>
        <w:jc w:val="both"/>
      </w:pPr>
      <w:r>
        <w:rPr>
          <w:rFonts w:ascii="Times New Roman" w:eastAsia="Times New Roman"/>
          <w:spacing w:val="-2"/>
        </w:rPr>
        <w:t>7</w:t>
      </w:r>
      <w:r>
        <w:rPr>
          <w:spacing w:val="-2"/>
        </w:rPr>
        <w:t>、监理人员加强巡查，发现事故隐患，应书面要求施工单位整改；情</w:t>
      </w:r>
      <w:r>
        <w:rPr>
          <w:spacing w:val="-2"/>
        </w:rPr>
        <w:t>节严重的，及时报总监下达暂停令，并向业主报告。拒不整改或不停止施</w:t>
      </w:r>
      <w:r>
        <w:rPr>
          <w:spacing w:val="-2"/>
        </w:rPr>
        <w:t>工的，及时报总监，由总监报监理公司向上级主管部门及时报告。</w:t>
      </w:r>
    </w:p>
    <w:p>
      <w:pPr>
        <w:pStyle w:val="Heading3"/>
        <w:spacing w:line="422" w:lineRule="exact"/>
      </w:pPr>
      <w:bookmarkStart w:id="3" w:name="_TOC_250010"/>
      <w:bookmarkEnd w:id="3"/>
      <w:r>
        <w:rPr>
          <w:spacing w:val="-1"/>
        </w:rPr>
        <w:t>四、施工临时用电安全监控要点</w:t>
      </w:r>
    </w:p>
    <w:p>
      <w:pPr>
        <w:pStyle w:val="BodyText"/>
        <w:spacing w:before="201" w:line="417" w:lineRule="auto"/>
        <w:ind w:left="141" w:right="252" w:firstLine="560"/>
      </w:pPr>
      <w:r>
        <w:rPr>
          <w:rFonts w:ascii="Times New Roman" w:eastAsia="Times New Roman" w:hAnsi="Times New Roman"/>
          <w:spacing w:val="-2"/>
        </w:rPr>
        <w:t>1</w:t>
      </w:r>
      <w:r>
        <w:rPr>
          <w:spacing w:val="-2"/>
        </w:rPr>
        <w:t>、箱变的安装：严格按设计图纸和相关验收规范检查验收。（变压器</w:t>
      </w:r>
      <w:r>
        <w:rPr>
          <w:spacing w:val="-2"/>
        </w:rPr>
        <w:t>工作接地电阻≤</w:t>
      </w:r>
      <w:r>
        <w:rPr>
          <w:rFonts w:ascii="Times New Roman" w:eastAsia="Times New Roman" w:hAnsi="Times New Roman"/>
          <w:spacing w:val="-2"/>
        </w:rPr>
        <w:t>4</w:t>
      </w:r>
      <w:r>
        <w:rPr>
          <w:spacing w:val="-2"/>
        </w:rPr>
        <w:t>Ω）</w:t>
      </w:r>
    </w:p>
    <w:p>
      <w:pPr>
        <w:pStyle w:val="BodyText"/>
        <w:spacing w:line="358" w:lineRule="exact"/>
        <w:ind w:left="708"/>
      </w:pPr>
      <w:r>
        <w:rPr>
          <w:rFonts w:ascii="Times New Roman" w:eastAsia="Times New Roman"/>
        </w:rPr>
        <w:t>2</w:t>
      </w:r>
      <w:r>
        <w:rPr>
          <w:spacing w:val="-2"/>
        </w:rPr>
        <w:t>、外电防护：</w:t>
      </w:r>
    </w:p>
    <w:p>
      <w:pPr>
        <w:pStyle w:val="BodyText"/>
        <w:tabs>
          <w:tab w:val="left" w:pos="4325"/>
          <w:tab w:val="left" w:pos="6223"/>
          <w:tab w:val="left" w:pos="8109"/>
        </w:tabs>
        <w:spacing w:before="265" w:line="417" w:lineRule="auto"/>
        <w:ind w:left="141" w:right="284" w:firstLine="920"/>
      </w:pPr>
      <w:r>
        <w:rPr>
          <w:spacing w:val="-2"/>
        </w:rPr>
        <w:t>在</w:t>
      </w:r>
      <w:r>
        <w:rPr>
          <w:spacing w:val="-2"/>
        </w:rPr>
        <w:t>建</w:t>
      </w:r>
      <w:r>
        <w:rPr>
          <w:spacing w:val="-2"/>
        </w:rPr>
        <w:t>工</w:t>
      </w:r>
      <w:r>
        <w:rPr>
          <w:spacing w:val="-2"/>
        </w:rPr>
        <w:t>程</w:t>
      </w:r>
      <w:r>
        <w:rPr>
          <w:spacing w:val="-2"/>
        </w:rPr>
        <w:t>（</w:t>
      </w:r>
      <w:r>
        <w:rPr>
          <w:spacing w:val="-2"/>
        </w:rPr>
        <w:t>含</w:t>
      </w:r>
      <w:r>
        <w:rPr>
          <w:spacing w:val="-2"/>
        </w:rPr>
        <w:t>脚</w:t>
      </w:r>
      <w:r>
        <w:rPr>
          <w:spacing w:val="-2"/>
        </w:rPr>
        <w:t>手</w:t>
      </w:r>
      <w:r>
        <w:rPr>
          <w:spacing w:val="-2"/>
        </w:rPr>
        <w:t>架</w:t>
      </w:r>
      <w:r>
        <w:rPr>
          <w:spacing w:val="-2"/>
        </w:rPr>
        <w:t>具</w:t>
      </w:r>
      <w:r>
        <w:rPr>
          <w:spacing w:val="-2"/>
        </w:rPr>
        <w:t>）</w:t>
      </w:r>
      <w:r>
        <w:rPr>
          <w:spacing w:val="-2"/>
        </w:rPr>
        <w:t>外</w:t>
      </w:r>
      <w:r>
        <w:rPr>
          <w:spacing w:val="-2"/>
        </w:rPr>
        <w:t>侧</w:t>
      </w:r>
      <w:r>
        <w:rPr>
          <w:spacing w:val="-2"/>
        </w:rPr>
        <w:t>边</w:t>
      </w:r>
      <w:r>
        <w:rPr>
          <w:spacing w:val="-2"/>
        </w:rPr>
        <w:t>缘</w:t>
      </w:r>
      <w:r>
        <w:rPr>
          <w:spacing w:val="-2"/>
        </w:rPr>
        <w:t>与</w:t>
      </w:r>
      <w:r>
        <w:rPr>
          <w:spacing w:val="-2"/>
        </w:rPr>
        <w:t>外</w:t>
      </w:r>
      <w:r>
        <w:rPr>
          <w:spacing w:val="-2"/>
        </w:rPr>
        <w:t>电</w:t>
      </w:r>
      <w:r>
        <w:rPr>
          <w:spacing w:val="-2"/>
        </w:rPr>
        <w:t>架</w:t>
      </w:r>
      <w:r>
        <w:rPr>
          <w:spacing w:val="-2"/>
        </w:rPr>
        <w:t>空</w:t>
      </w:r>
      <w:r>
        <w:rPr>
          <w:spacing w:val="-2"/>
        </w:rPr>
        <w:t>线</w:t>
      </w:r>
      <w:r>
        <w:rPr>
          <w:spacing w:val="-2"/>
        </w:rPr>
        <w:t>路</w:t>
      </w:r>
      <w:r>
        <w:rPr>
          <w:spacing w:val="-2"/>
        </w:rPr>
        <w:t>边</w:t>
      </w:r>
      <w:r>
        <w:rPr>
          <w:spacing w:val="-2"/>
        </w:rPr>
        <w:t>缘</w:t>
      </w:r>
      <w:r>
        <w:rPr>
          <w:spacing w:val="-2"/>
        </w:rPr>
        <w:t>的</w:t>
      </w:r>
      <w:r>
        <w:rPr>
          <w:spacing w:val="-2"/>
        </w:rPr>
        <w:t>最</w:t>
      </w:r>
      <w:r>
        <w:rPr>
          <w:spacing w:val="-2"/>
        </w:rPr>
        <w:t>小</w:t>
      </w:r>
      <w:r>
        <w:rPr>
          <w:spacing w:val="-2"/>
        </w:rPr>
        <w:t>安</w:t>
      </w:r>
      <w:r>
        <w:rPr>
          <w:spacing w:val="-2"/>
        </w:rPr>
        <w:t>全</w:t>
      </w:r>
      <w:r>
        <w:t>操作距离： 外电＜</w:t>
      </w:r>
      <w:r>
        <w:rPr>
          <w:rFonts w:ascii="Times New Roman" w:eastAsia="Times New Roman" w:hAnsi="Times New Roman"/>
        </w:rPr>
        <w:t>1KV</w:t>
        <w:tab/>
      </w:r>
      <w:r>
        <w:rPr>
          <w:spacing w:val="-4"/>
        </w:rPr>
        <w:t>≥</w:t>
      </w:r>
      <w:r>
        <w:rPr>
          <w:rFonts w:ascii="Times New Roman" w:eastAsia="Times New Roman" w:hAnsi="Times New Roman"/>
          <w:spacing w:val="-4"/>
        </w:rPr>
        <w:t>4m</w:t>
      </w:r>
      <w:r>
        <w:rPr>
          <w:spacing w:val="-4"/>
        </w:rPr>
        <w:t>；</w:t>
      </w:r>
      <w:r>
        <w:tab/>
      </w:r>
      <w:r>
        <w:rPr>
          <w:rFonts w:ascii="Times New Roman" w:eastAsia="Times New Roman" w:hAnsi="Times New Roman"/>
          <w:spacing w:val="-2"/>
        </w:rPr>
        <w:t>1~10KV</w:t>
      </w:r>
      <w:r>
        <w:rPr>
          <w:rFonts w:ascii="Times New Roman" w:eastAsia="Times New Roman" w:hAnsi="Times New Roman"/>
        </w:rPr>
        <w:tab/>
      </w:r>
      <w:r>
        <w:rPr>
          <w:spacing w:val="-4"/>
        </w:rPr>
        <w:t>≥</w:t>
      </w:r>
      <w:r>
        <w:rPr>
          <w:rFonts w:ascii="Times New Roman" w:eastAsia="Times New Roman" w:hAnsi="Times New Roman"/>
          <w:spacing w:val="-4"/>
        </w:rPr>
        <w:t>6m</w:t>
      </w:r>
      <w:r>
        <w:rPr>
          <w:spacing w:val="-4"/>
        </w:rPr>
        <w:t>。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施工现场机动车道与外电架空线路交叉时的最小垂直距离：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val="left" w:pos="4185"/>
          <w:tab w:val="left" w:pos="6223"/>
          <w:tab w:val="left" w:pos="8179"/>
        </w:tabs>
        <w:ind w:left="1681"/>
      </w:pPr>
      <w:r>
        <w:t>外电</w:t>
      </w:r>
      <w:r>
        <w:rPr>
          <w:spacing w:val="-4"/>
        </w:rPr>
        <w:t>＜</w:t>
      </w:r>
      <w:r>
        <w:rPr>
          <w:rFonts w:ascii="Times New Roman" w:eastAsia="Times New Roman" w:hAnsi="Times New Roman"/>
          <w:spacing w:val="-4"/>
        </w:rPr>
        <w:t>1KV</w:t>
      </w:r>
      <w:r>
        <w:rPr>
          <w:rFonts w:ascii="Times New Roman" w:eastAsia="Times New Roman" w:hAnsi="Times New Roman"/>
        </w:rPr>
        <w:tab/>
      </w:r>
      <w:r>
        <w:rPr>
          <w:spacing w:val="-4"/>
        </w:rPr>
        <w:t>≥</w:t>
      </w:r>
      <w:r>
        <w:rPr>
          <w:rFonts w:ascii="Times New Roman" w:eastAsia="Times New Roman" w:hAnsi="Times New Roman"/>
          <w:spacing w:val="-4"/>
        </w:rPr>
        <w:t>6m</w:t>
      </w:r>
      <w:r>
        <w:rPr>
          <w:spacing w:val="-4"/>
        </w:rPr>
        <w:t>；</w:t>
      </w:r>
      <w:r>
        <w:tab/>
      </w:r>
      <w:r>
        <w:rPr>
          <w:rFonts w:ascii="Times New Roman" w:eastAsia="Times New Roman" w:hAnsi="Times New Roman"/>
          <w:spacing w:val="-2"/>
        </w:rPr>
        <w:t>1~10KV</w:t>
      </w:r>
      <w:r>
        <w:rPr>
          <w:rFonts w:ascii="Times New Roman" w:eastAsia="Times New Roman" w:hAnsi="Times New Roman"/>
        </w:rPr>
        <w:tab/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7m</w:t>
      </w:r>
      <w:r>
        <w:rPr>
          <w:spacing w:val="-10"/>
        </w:rPr>
        <w:t>。</w:t>
      </w:r>
    </w:p>
    <w:p>
      <w:pPr>
        <w:spacing w:after="0"/>
        <w:sectPr>
          <w:headerReference w:type="default" r:id="rId8"/>
          <w:footerReference w:type="default" r:id="rId9"/>
          <w:pgSz w:w="11910" w:h="16840"/>
          <w:pgMar w:top="1680" w:right="880" w:bottom="920" w:left="1560" w:header="889" w:footer="736"/>
          <w:pgNumType w:start="3"/>
          <w:cols w:space="708"/>
        </w:sectPr>
      </w:pPr>
    </w:p>
    <w:p>
      <w:pPr>
        <w:pStyle w:val="BodyText"/>
        <w:spacing w:before="145"/>
        <w:ind w:left="821"/>
      </w:pPr>
      <w:r>
        <w:rPr>
          <w:spacing w:val="-1"/>
        </w:rPr>
        <w:t>达不到上二条规定的最小距离时，必须采取防护措施：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701"/>
      </w:pPr>
      <w:r>
        <w:rPr>
          <w:spacing w:val="-1"/>
        </w:rPr>
        <w:t>增设屏障、遮栏、网栏或保护网；悬挂醒目的警告标志牌。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701"/>
      </w:pPr>
      <w:r>
        <w:rPr>
          <w:spacing w:val="-1"/>
        </w:rPr>
        <w:t>架设防护措施时，应有电气技术人员或专职安全人员负责监护。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981"/>
      </w:pPr>
      <w:r>
        <w:rPr>
          <w:spacing w:val="-2"/>
        </w:rPr>
        <w:t>施工现场开挖非热力管道沟槽边缘与埋地电缆沟槽边缘距离≮</w:t>
      </w:r>
      <w:r>
        <w:rPr>
          <w:rFonts w:ascii="Times New Roman" w:eastAsia="Times New Roman" w:hAnsi="Times New Roman"/>
          <w:spacing w:val="-2"/>
        </w:rPr>
        <w:t>0.5m</w:t>
      </w:r>
      <w:r>
        <w:rPr>
          <w:spacing w:val="-10"/>
        </w:rPr>
        <w:t>。</w:t>
      </w:r>
    </w:p>
    <w:p>
      <w:pPr>
        <w:pStyle w:val="BodyText"/>
        <w:spacing w:before="265"/>
        <w:ind w:left="701"/>
      </w:pPr>
      <w:r>
        <w:rPr>
          <w:rFonts w:ascii="Times New Roman" w:eastAsia="Times New Roman"/>
        </w:rPr>
        <w:t>3</w:t>
      </w:r>
      <w:r>
        <w:rPr>
          <w:spacing w:val="-1"/>
        </w:rPr>
        <w:t>、接地与接零保护系统：</w:t>
      </w:r>
    </w:p>
    <w:p>
      <w:pPr>
        <w:pStyle w:val="BodyText"/>
        <w:spacing w:before="265" w:line="417" w:lineRule="auto"/>
        <w:ind w:left="141" w:right="253" w:firstLine="840"/>
      </w:pPr>
      <w:r>
        <w:rPr>
          <w:spacing w:val="-4"/>
        </w:rPr>
        <w:t xml:space="preserve">变压器的中性点直接接地的电力线路中，必须采用 </w:t>
      </w:r>
      <w:r>
        <w:rPr>
          <w:rFonts w:ascii="Times New Roman" w:eastAsia="Times New Roman" w:hAnsi="Times New Roman"/>
        </w:rPr>
        <w:t>TN</w:t>
      </w:r>
      <w:r>
        <w:t>—</w:t>
      </w:r>
      <w:r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t>接零保护</w:t>
      </w:r>
      <w:r>
        <w:t>系统（三相五线制，</w:t>
      </w:r>
      <w:r>
        <w:rPr>
          <w:rFonts w:ascii="Times New Roman" w:eastAsia="Times New Roman" w:hAnsi="Times New Roman"/>
        </w:rPr>
        <w:t xml:space="preserve">PE </w:t>
      </w:r>
      <w:r>
        <w:rPr>
          <w:spacing w:val="-6"/>
        </w:rPr>
        <w:t xml:space="preserve">线与 </w:t>
      </w:r>
      <w:r>
        <w:rPr>
          <w:rFonts w:ascii="Times New Roman" w:eastAsia="Times New Roman" w:hAnsi="Times New Roman"/>
        </w:rPr>
        <w:t xml:space="preserve">N </w:t>
      </w:r>
      <w:r>
        <w:t>线严格分开）。</w:t>
      </w:r>
    </w:p>
    <w:p>
      <w:pPr>
        <w:pStyle w:val="BodyText"/>
        <w:spacing w:line="358" w:lineRule="exact"/>
        <w:ind w:left="981"/>
      </w:pPr>
      <w:r>
        <w:rPr>
          <w:spacing w:val="-2"/>
        </w:rPr>
        <w:t>保护接零（</w:t>
      </w:r>
      <w:r>
        <w:rPr>
          <w:rFonts w:ascii="Times New Roman" w:eastAsia="Times New Roman"/>
          <w:spacing w:val="-2"/>
        </w:rPr>
        <w:t>PEN</w:t>
      </w:r>
      <w:r>
        <w:rPr>
          <w:spacing w:val="-2"/>
        </w:rPr>
        <w:t>）应单独敷设、专用（严禁他用</w:t>
      </w:r>
      <w:r>
        <w:rPr>
          <w:spacing w:val="-10"/>
        </w:rPr>
        <w:t>）</w:t>
      </w:r>
    </w:p>
    <w:p>
      <w:pPr>
        <w:pStyle w:val="BodyText"/>
        <w:spacing w:before="265" w:line="417" w:lineRule="auto"/>
        <w:ind w:left="141" w:right="252" w:firstLine="560"/>
      </w:pPr>
      <w:r>
        <w:rPr>
          <w:spacing w:val="-6"/>
        </w:rPr>
        <w:t>专用保护接零线（</w:t>
      </w:r>
      <w:r>
        <w:rPr>
          <w:rFonts w:ascii="Times New Roman" w:eastAsia="Times New Roman"/>
          <w:spacing w:val="-6"/>
        </w:rPr>
        <w:t>PEN</w:t>
      </w:r>
      <w:r>
        <w:rPr>
          <w:spacing w:val="-6"/>
        </w:rPr>
        <w:t>）应由工作接地线、配电室零线或第一级漏电保</w:t>
      </w:r>
      <w:r>
        <w:rPr>
          <w:spacing w:val="-2"/>
        </w:rPr>
        <w:t>护器的电源侧引出。</w:t>
      </w:r>
    </w:p>
    <w:p>
      <w:pPr>
        <w:pStyle w:val="BodyText"/>
        <w:spacing w:line="417" w:lineRule="auto"/>
        <w:ind w:left="701" w:right="364"/>
      </w:pPr>
      <w:r>
        <w:rPr>
          <w:spacing w:val="-2"/>
        </w:rPr>
        <w:t>严禁一部分设备保护接零，另一部分设备作保护接地。（严禁混用</w:t>
      </w:r>
      <w:r>
        <w:rPr>
          <w:spacing w:val="-2"/>
        </w:rPr>
        <w:t>）</w:t>
      </w:r>
      <w:r>
        <w:rPr>
          <w:spacing w:val="-2"/>
        </w:rPr>
        <w:t>严禁在一个接零（</w:t>
      </w:r>
      <w:r>
        <w:rPr>
          <w:rFonts w:ascii="Times New Roman" w:eastAsia="Times New Roman"/>
          <w:spacing w:val="-2"/>
        </w:rPr>
        <w:t>PEN</w:t>
      </w:r>
      <w:r>
        <w:rPr>
          <w:spacing w:val="-2"/>
        </w:rPr>
        <w:t>）线中串接几个接零点。（严禁串用）</w:t>
      </w:r>
    </w:p>
    <w:p>
      <w:pPr>
        <w:pStyle w:val="BodyText"/>
        <w:spacing w:line="417" w:lineRule="auto"/>
        <w:ind w:left="981" w:right="4004" w:hanging="280"/>
      </w:pPr>
      <w:r>
        <w:rPr>
          <w:spacing w:val="-2"/>
        </w:rPr>
        <w:t>保护接零线上严禁装设开关、熔断器。</w:t>
      </w:r>
      <w:r>
        <w:rPr>
          <w:spacing w:val="-2"/>
        </w:rPr>
        <w:t>应做保护接零的部位：</w:t>
      </w:r>
    </w:p>
    <w:p>
      <w:pPr>
        <w:pStyle w:val="BodyText"/>
        <w:spacing w:line="417" w:lineRule="auto"/>
        <w:ind w:left="701" w:right="1204"/>
      </w:pPr>
      <w:r>
        <w:rPr>
          <w:spacing w:val="-2"/>
        </w:rPr>
        <w:t>电机、变压器、电器、照明器具、手持电动工具的金属外壳；</w:t>
      </w:r>
      <w:r>
        <w:rPr>
          <w:spacing w:val="-2"/>
        </w:rPr>
        <w:t>电气设备的金属部件、金属框架、金属栏网、金属门；</w:t>
      </w:r>
    </w:p>
    <w:p>
      <w:pPr>
        <w:pStyle w:val="BodyText"/>
        <w:spacing w:line="417" w:lineRule="auto"/>
        <w:ind w:left="701" w:right="2324"/>
      </w:pPr>
      <w:r>
        <w:rPr>
          <w:spacing w:val="-2"/>
        </w:rPr>
        <w:t>电力线路的金属保护管、敷线的钢索、起重机轨道；</w:t>
      </w:r>
      <w:r>
        <w:rPr>
          <w:spacing w:val="-2"/>
        </w:rPr>
        <w:t>电力线路杆上的电气装置的金属外壳、支架。</w:t>
      </w:r>
    </w:p>
    <w:p>
      <w:pPr>
        <w:pStyle w:val="BodyText"/>
        <w:spacing w:line="358" w:lineRule="exact"/>
        <w:ind w:left="981"/>
      </w:pPr>
      <w:r>
        <w:rPr>
          <w:spacing w:val="-2"/>
        </w:rPr>
        <w:t>保护接零（</w:t>
      </w:r>
      <w:r>
        <w:rPr>
          <w:rFonts w:ascii="Times New Roman" w:eastAsia="Times New Roman"/>
          <w:spacing w:val="-2"/>
        </w:rPr>
        <w:t>PEN</w:t>
      </w:r>
      <w:r>
        <w:rPr>
          <w:spacing w:val="-2"/>
        </w:rPr>
        <w:t>）</w:t>
      </w:r>
      <w:r>
        <w:rPr>
          <w:spacing w:val="-3"/>
        </w:rPr>
        <w:t>应重复接地的部位：</w:t>
      </w:r>
    </w:p>
    <w:p>
      <w:pPr>
        <w:pStyle w:val="BodyText"/>
        <w:spacing w:before="264" w:line="417" w:lineRule="auto"/>
        <w:ind w:left="141" w:right="111" w:firstLine="560"/>
      </w:pPr>
      <w:r>
        <w:rPr>
          <w:spacing w:val="-2"/>
        </w:rPr>
        <w:t>配电室、总配电箱处；配电线路的中间处、末端处；塔机、室外电梯、</w:t>
      </w:r>
      <w:r>
        <w:rPr>
          <w:spacing w:val="-2"/>
        </w:rPr>
        <w:t>滑升模板的金属操作平台；需设避雷装置的井字架。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重复接地用与保护接零可靠电气连接。</w:t>
      </w:r>
    </w:p>
    <w:p>
      <w:pPr>
        <w:spacing w:after="0" w:line="358" w:lineRule="exact"/>
        <w:sectPr>
          <w:headerReference w:type="default" r:id="rId10"/>
          <w:footerReference w:type="default" r:id="rId11"/>
          <w:pgSz w:w="11910" w:h="16840"/>
          <w:pgMar w:top="1680" w:right="880" w:bottom="920" w:left="1560" w:header="889" w:footer="736"/>
          <w:pgNumType w:start="4"/>
          <w:cols w:space="708"/>
        </w:sectPr>
      </w:pPr>
    </w:p>
    <w:p>
      <w:pPr>
        <w:pStyle w:val="BodyText"/>
        <w:spacing w:before="145"/>
        <w:ind w:left="821"/>
      </w:pPr>
      <w:r>
        <w:t>保护零线每一重复接地装置接地电阻值≤</w:t>
      </w:r>
      <w:r>
        <w:rPr>
          <w:rFonts w:ascii="Times New Roman" w:eastAsia="Times New Roman" w:hAnsi="Times New Roman"/>
        </w:rPr>
        <w:t>10</w:t>
      </w:r>
      <w:r>
        <w:t>Ω</w:t>
      </w:r>
      <w:r>
        <w:rPr>
          <w:spacing w:val="-10"/>
        </w:rPr>
        <w:t>。</w:t>
      </w:r>
    </w:p>
    <w:p>
      <w:pPr>
        <w:pStyle w:val="BodyText"/>
        <w:spacing w:before="265" w:line="417" w:lineRule="auto"/>
        <w:ind w:left="141" w:right="364" w:firstLine="840"/>
      </w:pPr>
      <w:r>
        <w:rPr>
          <w:spacing w:val="-2"/>
        </w:rPr>
        <w:t>每一接地装置的接地线应采用二根以上导体，在不同点与接地装置</w:t>
      </w:r>
      <w:r>
        <w:rPr>
          <w:spacing w:val="-2"/>
        </w:rPr>
        <w:t>做电气连接。</w:t>
      </w:r>
    </w:p>
    <w:p>
      <w:pPr>
        <w:pStyle w:val="BodyText"/>
        <w:spacing w:line="358" w:lineRule="exact"/>
        <w:ind w:left="981"/>
      </w:pPr>
      <w:r>
        <w:rPr>
          <w:spacing w:val="-9"/>
        </w:rPr>
        <w:t xml:space="preserve">保护接零截面积 </w:t>
      </w:r>
      <w:r>
        <w:rPr>
          <w:rFonts w:ascii="Times New Roman" w:eastAsia="Times New Roman"/>
        </w:rPr>
        <w:t>S</w:t>
      </w:r>
      <w:r>
        <w:rPr>
          <w:rFonts w:ascii="Times New Roman" w:eastAsia="Times New Roman"/>
          <w:spacing w:val="-2"/>
        </w:rPr>
        <w:t xml:space="preserve"> </w:t>
      </w:r>
      <w:r>
        <w:t>规定：应不小于工作零线（</w:t>
      </w:r>
      <w:r>
        <w:rPr>
          <w:rFonts w:ascii="Times New Roman" w:eastAsia="Times New Roman"/>
        </w:rPr>
        <w:t>N</w:t>
      </w:r>
      <w:r>
        <w:t>）</w:t>
      </w:r>
      <w:r>
        <w:rPr>
          <w:spacing w:val="-3"/>
        </w:rPr>
        <w:t>的截面；</w:t>
      </w:r>
    </w:p>
    <w:p>
      <w:pPr>
        <w:pStyle w:val="BodyText"/>
        <w:spacing w:before="265" w:line="417" w:lineRule="auto"/>
        <w:ind w:left="141" w:right="253" w:firstLine="560"/>
      </w:pPr>
      <w:r>
        <w:rPr>
          <w:spacing w:val="-2"/>
        </w:rPr>
        <w:t>当架空敷设档距＞</w:t>
      </w:r>
      <w:r>
        <w:rPr>
          <w:rFonts w:ascii="Times New Roman" w:eastAsia="Times New Roman" w:hAnsi="Times New Roman"/>
          <w:spacing w:val="-2"/>
        </w:rPr>
        <w:t>12m</w:t>
      </w:r>
      <w:r>
        <w:rPr>
          <w:rFonts w:ascii="Times New Roman" w:eastAsia="Times New Roman" w:hAnsi="Times New Roman"/>
          <w:spacing w:val="-16"/>
        </w:rPr>
        <w:t xml:space="preserve"> </w:t>
      </w:r>
      <w:r>
        <w:rPr>
          <w:spacing w:val="-36"/>
        </w:rPr>
        <w:t>时：</w:t>
      </w:r>
      <w:r>
        <w:rPr>
          <w:rFonts w:ascii="Times New Roman" w:eastAsia="Times New Roman" w:hAnsi="Times New Roman"/>
          <w:spacing w:val="-2"/>
        </w:rPr>
        <w:t>S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10mm</w:t>
      </w:r>
      <w:r>
        <w:rPr>
          <w:rFonts w:ascii="Times New Roman" w:eastAsia="Times New Roman" w:hAnsi="Times New Roman"/>
          <w:spacing w:val="-2"/>
          <w:position w:val="8"/>
          <w:sz w:val="18"/>
        </w:rPr>
        <w:t>2</w:t>
      </w:r>
      <w:r>
        <w:rPr>
          <w:spacing w:val="-2"/>
        </w:rPr>
        <w:t>（绝缘铜线）</w:t>
      </w:r>
      <w:r>
        <w:rPr>
          <w:rFonts w:ascii="Times New Roman" w:eastAsia="Times New Roman" w:hAnsi="Times New Roman"/>
          <w:spacing w:val="-2"/>
        </w:rPr>
        <w:t>S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16mm</w:t>
      </w:r>
      <w:r>
        <w:rPr>
          <w:rFonts w:ascii="Times New Roman" w:eastAsia="Times New Roman" w:hAnsi="Times New Roman"/>
          <w:spacing w:val="-2"/>
          <w:position w:val="8"/>
          <w:sz w:val="18"/>
        </w:rPr>
        <w:t>2</w:t>
      </w:r>
      <w:r>
        <w:rPr>
          <w:spacing w:val="-2"/>
        </w:rPr>
        <w:t>（绝缘铝</w:t>
      </w:r>
      <w:r>
        <w:rPr>
          <w:spacing w:val="-6"/>
        </w:rPr>
        <w:t>线）</w:t>
      </w:r>
    </w:p>
    <w:p>
      <w:pPr>
        <w:pStyle w:val="BodyText"/>
        <w:spacing w:line="417" w:lineRule="auto"/>
        <w:ind w:left="701" w:right="1291"/>
      </w:pPr>
      <w:r>
        <w:rPr>
          <w:spacing w:val="-2"/>
        </w:rPr>
        <w:t>与电气设备相连的保护零线：</w:t>
      </w:r>
      <w:r>
        <w:rPr>
          <w:rFonts w:ascii="Times New Roman" w:eastAsia="Times New Roman" w:hAnsi="Times New Roman"/>
          <w:spacing w:val="-2"/>
        </w:rPr>
        <w:t>S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2.5mm</w:t>
      </w:r>
      <w:r>
        <w:rPr>
          <w:rFonts w:ascii="Times New Roman" w:eastAsia="Times New Roman" w:hAnsi="Times New Roman"/>
          <w:spacing w:val="-2"/>
          <w:position w:val="8"/>
          <w:sz w:val="18"/>
        </w:rPr>
        <w:t>2</w:t>
      </w:r>
      <w:r>
        <w:rPr>
          <w:spacing w:val="-2"/>
        </w:rPr>
        <w:t>（绝缘多股铜芯线</w:t>
      </w:r>
      <w:r>
        <w:rPr>
          <w:spacing w:val="-2"/>
        </w:rPr>
        <w:t>）</w:t>
      </w:r>
      <w:r>
        <w:rPr>
          <w:spacing w:val="-2"/>
        </w:rPr>
        <w:t>手持电动工具的保护零线：</w:t>
      </w:r>
      <w:r>
        <w:rPr>
          <w:rFonts w:ascii="Times New Roman" w:eastAsia="Times New Roman" w:hAnsi="Times New Roman"/>
          <w:spacing w:val="-2"/>
        </w:rPr>
        <w:t>S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1.5mm</w:t>
      </w:r>
      <w:r>
        <w:rPr>
          <w:rFonts w:ascii="Times New Roman" w:eastAsia="Times New Roman" w:hAnsi="Times New Roman"/>
          <w:spacing w:val="-2"/>
          <w:position w:val="8"/>
          <w:sz w:val="18"/>
        </w:rPr>
        <w:t>2</w:t>
      </w:r>
      <w:r>
        <w:rPr>
          <w:spacing w:val="-2"/>
        </w:rPr>
        <w:t>（多股铜芯橡皮电缆</w:t>
      </w:r>
      <w:r>
        <w:rPr>
          <w:spacing w:val="-10"/>
        </w:rPr>
        <w:t>）</w:t>
      </w:r>
    </w:p>
    <w:p>
      <w:pPr>
        <w:pStyle w:val="BodyText"/>
        <w:spacing w:line="417" w:lineRule="auto"/>
        <w:ind w:left="141" w:right="364" w:firstLine="840"/>
      </w:pPr>
      <w:r>
        <w:rPr>
          <w:spacing w:val="-2"/>
        </w:rPr>
        <w:t>保护零线采用绿、黄双色线；任何情况下严禁以绿、黄双色线作负</w:t>
      </w:r>
      <w:r>
        <w:rPr>
          <w:spacing w:val="-4"/>
        </w:rPr>
        <w:t>荷线。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Ⅰ类手持电动设备插销应具有专用保护接零触头。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41" w:right="364" w:firstLine="840"/>
      </w:pPr>
      <w:r>
        <w:rPr>
          <w:spacing w:val="-2"/>
        </w:rPr>
        <w:t>施工现场所有用电设备，除作保护接零外，还必须在设备负荷线前</w:t>
      </w:r>
      <w:r>
        <w:rPr>
          <w:spacing w:val="-2"/>
        </w:rPr>
        <w:t>端处设置漏电保护装置。</w:t>
      </w:r>
    </w:p>
    <w:p>
      <w:pPr>
        <w:pStyle w:val="BodyText"/>
        <w:spacing w:line="358" w:lineRule="exact"/>
        <w:ind w:left="981"/>
        <w:rPr>
          <w:rFonts w:ascii="Times New Roman" w:eastAsia="Times New Roman"/>
        </w:rPr>
      </w:pPr>
      <w:r>
        <w:rPr>
          <w:rFonts w:ascii="Times New Roman" w:eastAsia="Times New Roman"/>
        </w:rPr>
        <w:t>h</w:t>
      </w:r>
      <w:r>
        <w:t>＞</w:t>
      </w:r>
      <w:r>
        <w:rPr>
          <w:rFonts w:ascii="Times New Roman" w:eastAsia="Times New Roman"/>
        </w:rPr>
        <w:t xml:space="preserve">20m </w:t>
      </w:r>
      <w:r>
        <w:rPr>
          <w:spacing w:val="-24"/>
        </w:rPr>
        <w:t xml:space="preserve">塔吊、井字架、龙门架等应安装防雷装置；避雷针长度为 </w:t>
      </w:r>
      <w:r>
        <w:rPr>
          <w:rFonts w:ascii="Times New Roman" w:eastAsia="Times New Roman"/>
        </w:rPr>
        <w:t>1-</w:t>
      </w:r>
      <w:r>
        <w:rPr>
          <w:rFonts w:ascii="Times New Roman" w:eastAsia="Times New Roman"/>
          <w:spacing w:val="-5"/>
        </w:rPr>
        <w:t>2m</w:t>
      </w:r>
    </w:p>
    <w:p>
      <w:pPr>
        <w:pStyle w:val="BodyText"/>
        <w:spacing w:before="265" w:line="417" w:lineRule="auto"/>
        <w:ind w:left="701" w:right="924"/>
      </w:pPr>
      <w:r>
        <w:rPr>
          <w:spacing w:val="-2"/>
        </w:rPr>
        <w:t>其电气线路应钢管敷设，并将钢管与设备金属结构体作电气连接</w:t>
      </w:r>
      <w:r>
        <w:rPr>
          <w:spacing w:val="-2"/>
        </w:rPr>
        <w:t>防雷接地的冲击接地电阻≤</w:t>
      </w:r>
      <w:r>
        <w:rPr>
          <w:rFonts w:ascii="Times New Roman" w:eastAsia="Times New Roman" w:hAnsi="Times New Roman"/>
          <w:spacing w:val="-2"/>
        </w:rPr>
        <w:t>30</w:t>
      </w:r>
      <w:r>
        <w:rPr>
          <w:spacing w:val="-2"/>
        </w:rPr>
        <w:t>Ω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作防雷接地的电气设备，必须同时作重复接地；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701"/>
      </w:pPr>
      <w:r>
        <w:rPr>
          <w:rFonts w:ascii="Times New Roman" w:eastAsia="Times New Roman"/>
        </w:rPr>
        <w:t>4</w:t>
      </w:r>
      <w:r>
        <w:rPr>
          <w:spacing w:val="-2"/>
        </w:rPr>
        <w:t>、架空线路：</w:t>
      </w:r>
    </w:p>
    <w:p>
      <w:pPr>
        <w:pStyle w:val="BodyText"/>
        <w:tabs>
          <w:tab w:val="left" w:pos="3158"/>
        </w:tabs>
        <w:spacing w:before="266" w:line="417" w:lineRule="auto"/>
        <w:ind w:left="981" w:right="1764"/>
        <w:rPr>
          <w:rFonts w:ascii="Times New Roman" w:eastAsia="Times New Roman" w:hAnsi="Times New Roman"/>
        </w:rPr>
      </w:pPr>
      <w:r>
        <w:rPr>
          <w:spacing w:val="-2"/>
        </w:rPr>
        <w:t>必</w:t>
      </w:r>
      <w:r>
        <w:rPr>
          <w:spacing w:val="-2"/>
        </w:rPr>
        <w:t>须</w:t>
      </w:r>
      <w:r>
        <w:rPr>
          <w:spacing w:val="-2"/>
        </w:rPr>
        <w:t>设</w:t>
      </w:r>
      <w:r>
        <w:rPr>
          <w:spacing w:val="-2"/>
        </w:rPr>
        <w:t>专</w:t>
      </w:r>
      <w:r>
        <w:rPr>
          <w:spacing w:val="-2"/>
        </w:rPr>
        <w:t>用</w:t>
      </w:r>
      <w:r>
        <w:rPr>
          <w:spacing w:val="-2"/>
        </w:rPr>
        <w:t>电</w:t>
      </w:r>
      <w:r>
        <w:rPr>
          <w:spacing w:val="-2"/>
        </w:rPr>
        <w:t>杆</w:t>
      </w:r>
      <w:r>
        <w:rPr>
          <w:spacing w:val="-2"/>
        </w:rPr>
        <w:t>，</w:t>
      </w:r>
      <w:r>
        <w:rPr>
          <w:spacing w:val="-2"/>
        </w:rPr>
        <w:t>严</w:t>
      </w:r>
      <w:r>
        <w:rPr>
          <w:spacing w:val="-2"/>
        </w:rPr>
        <w:t>禁</w:t>
      </w:r>
      <w:r>
        <w:rPr>
          <w:spacing w:val="-2"/>
        </w:rPr>
        <w:t>搭</w:t>
      </w:r>
      <w:r>
        <w:rPr>
          <w:spacing w:val="-2"/>
        </w:rPr>
        <w:t>设</w:t>
      </w:r>
      <w:r>
        <w:rPr>
          <w:spacing w:val="-2"/>
        </w:rPr>
        <w:t>在</w:t>
      </w:r>
      <w:r>
        <w:rPr>
          <w:spacing w:val="-2"/>
        </w:rPr>
        <w:t>树</w:t>
      </w:r>
      <w:r>
        <w:rPr>
          <w:spacing w:val="-2"/>
        </w:rPr>
        <w:t>木</w:t>
      </w:r>
      <w:r>
        <w:rPr>
          <w:spacing w:val="-2"/>
        </w:rPr>
        <w:t>、</w:t>
      </w:r>
      <w:r>
        <w:rPr>
          <w:spacing w:val="-2"/>
        </w:rPr>
        <w:t>脚</w:t>
      </w:r>
      <w:r>
        <w:rPr>
          <w:spacing w:val="-2"/>
        </w:rPr>
        <w:t>手</w:t>
      </w:r>
      <w:r>
        <w:rPr>
          <w:spacing w:val="-2"/>
        </w:rPr>
        <w:t>架</w:t>
      </w:r>
      <w:r>
        <w:rPr>
          <w:spacing w:val="-2"/>
        </w:rPr>
        <w:t>、</w:t>
      </w:r>
      <w:r>
        <w:rPr>
          <w:spacing w:val="-2"/>
        </w:rPr>
        <w:t>模</w:t>
      </w:r>
      <w:r>
        <w:rPr>
          <w:spacing w:val="-2"/>
        </w:rPr>
        <w:t>板</w:t>
      </w:r>
      <w:r>
        <w:rPr>
          <w:spacing w:val="-2"/>
        </w:rPr>
        <w:t>上</w:t>
      </w:r>
      <w:r>
        <w:rPr>
          <w:spacing w:val="-2"/>
        </w:rPr>
        <w:t>。</w:t>
      </w:r>
      <w:r>
        <w:rPr>
          <w:spacing w:val="-2"/>
        </w:rPr>
        <w:t>档</w:t>
      </w:r>
      <w:r>
        <w:rPr>
          <w:spacing w:val="-2"/>
        </w:rPr>
        <w:t>距</w:t>
      </w:r>
      <w:r>
        <w:rPr>
          <w:spacing w:val="-2"/>
        </w:rPr>
        <w:t>≤</w:t>
      </w:r>
      <w:r>
        <w:rPr>
          <w:rFonts w:ascii="Times New Roman" w:eastAsia="Times New Roman" w:hAnsi="Times New Roman"/>
          <w:spacing w:val="-2"/>
        </w:rPr>
        <w:t>35m</w:t>
      </w:r>
      <w:r>
        <w:rPr>
          <w:rFonts w:ascii="Times New Roman" w:eastAsia="Times New Roman" w:hAnsi="Times New Roman"/>
        </w:rPr>
        <w:tab/>
      </w:r>
      <w:r>
        <w:rPr>
          <w:spacing w:val="-2"/>
        </w:rPr>
        <w:t>线</w:t>
      </w:r>
      <w:r>
        <w:rPr>
          <w:spacing w:val="-2"/>
        </w:rPr>
        <w:t>间</w:t>
      </w:r>
      <w:r>
        <w:rPr>
          <w:spacing w:val="-2"/>
        </w:rPr>
        <w:t>距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0.3m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架空线路与邻近线路、设施的距离：</w:t>
      </w:r>
    </w:p>
    <w:p>
      <w:pPr>
        <w:spacing w:after="0" w:line="358" w:lineRule="exact"/>
        <w:sectPr>
          <w:headerReference w:type="default" r:id="rId12"/>
          <w:footerReference w:type="default" r:id="rId13"/>
          <w:pgSz w:w="11910" w:h="16840"/>
          <w:pgMar w:top="1680" w:right="880" w:bottom="920" w:left="1560" w:header="889" w:footer="736"/>
          <w:pgNumType w:start="5"/>
          <w:cols w:space="708"/>
        </w:sectPr>
      </w:pPr>
    </w:p>
    <w:p>
      <w:pPr>
        <w:pStyle w:val="BodyText"/>
        <w:spacing w:before="145" w:line="417" w:lineRule="auto"/>
        <w:ind w:left="141" w:right="252" w:firstLine="560"/>
      </w:pPr>
      <w:r>
        <w:rPr>
          <w:spacing w:val="-2"/>
        </w:rPr>
        <w:t>最小净空距：过引线、接下线与邻线间≥</w:t>
      </w:r>
      <w:r>
        <w:rPr>
          <w:rFonts w:ascii="Times New Roman" w:eastAsia="Times New Roman" w:hAnsi="Times New Roman"/>
          <w:spacing w:val="-2"/>
        </w:rPr>
        <w:t>0.13m</w:t>
      </w:r>
      <w:r>
        <w:rPr>
          <w:spacing w:val="-2"/>
        </w:rPr>
        <w:t>；架空线与拉线电杆外</w:t>
      </w:r>
      <w:r>
        <w:rPr>
          <w:spacing w:val="-2"/>
        </w:rPr>
        <w:t>缘≥</w:t>
      </w:r>
      <w:r>
        <w:rPr>
          <w:rFonts w:ascii="Times New Roman" w:eastAsia="Times New Roman" w:hAnsi="Times New Roman"/>
          <w:spacing w:val="-2"/>
        </w:rPr>
        <w:t>0.05m</w:t>
      </w:r>
      <w:r>
        <w:rPr>
          <w:spacing w:val="-2"/>
        </w:rPr>
        <w:t>。</w:t>
      </w:r>
    </w:p>
    <w:p>
      <w:pPr>
        <w:pStyle w:val="BodyText"/>
        <w:spacing w:line="417" w:lineRule="auto"/>
        <w:ind w:left="141" w:right="252" w:firstLine="560"/>
      </w:pPr>
      <w:r>
        <w:rPr>
          <w:spacing w:val="-7"/>
        </w:rPr>
        <w:t xml:space="preserve">最大弧垂处距地 </w:t>
      </w:r>
      <w:r>
        <w:rPr>
          <w:rFonts w:ascii="Times New Roman" w:eastAsia="Times New Roman" w:hAnsi="Times New Roman"/>
          <w:spacing w:val="-2"/>
        </w:rPr>
        <w:t>h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4m</w:t>
      </w:r>
      <w:r>
        <w:rPr>
          <w:spacing w:val="-2"/>
        </w:rPr>
        <w:t>（施工现场</w:t>
      </w:r>
      <w:r>
        <w:rPr>
          <w:spacing w:val="-70"/>
        </w:rPr>
        <w:t>）</w:t>
      </w:r>
      <w:r>
        <w:rPr>
          <w:spacing w:val="-32"/>
        </w:rPr>
        <w:t>、≥</w:t>
      </w:r>
      <w:r>
        <w:rPr>
          <w:rFonts w:ascii="Times New Roman" w:eastAsia="Times New Roman" w:hAnsi="Times New Roman"/>
          <w:spacing w:val="-2"/>
        </w:rPr>
        <w:t>6m</w:t>
      </w:r>
      <w:r>
        <w:rPr>
          <w:spacing w:val="-2"/>
        </w:rPr>
        <w:t>（机动车道</w:t>
      </w:r>
      <w:r>
        <w:rPr>
          <w:spacing w:val="-70"/>
        </w:rPr>
        <w:t>）</w:t>
      </w:r>
      <w:r>
        <w:rPr>
          <w:spacing w:val="-32"/>
        </w:rPr>
        <w:t>、≥</w:t>
      </w:r>
      <w:r>
        <w:rPr>
          <w:rFonts w:ascii="Times New Roman" w:eastAsia="Times New Roman" w:hAnsi="Times New Roman"/>
          <w:spacing w:val="-2"/>
        </w:rPr>
        <w:t>2.5m</w:t>
      </w:r>
      <w:r>
        <w:rPr>
          <w:spacing w:val="-2"/>
        </w:rPr>
        <w:t>（</w:t>
      </w:r>
      <w:r>
        <w:rPr>
          <w:spacing w:val="-2"/>
        </w:rPr>
        <w:t>距</w:t>
      </w:r>
      <w:r>
        <w:rPr>
          <w:spacing w:val="-2"/>
        </w:rPr>
        <w:t>临设顶端）。</w:t>
      </w:r>
    </w:p>
    <w:p>
      <w:pPr>
        <w:pStyle w:val="BodyText"/>
        <w:tabs>
          <w:tab w:val="left" w:pos="2800"/>
        </w:tabs>
        <w:spacing w:line="417" w:lineRule="auto"/>
        <w:ind w:left="701" w:right="1615"/>
        <w:rPr>
          <w:rFonts w:ascii="Times New Roman" w:eastAsia="Times New Roman" w:hAnsi="Times New Roman"/>
        </w:rPr>
      </w:pPr>
      <w:r>
        <w:t>与邻近线路交叉≥</w:t>
      </w:r>
      <w:r>
        <w:rPr>
          <w:rFonts w:ascii="Times New Roman" w:eastAsia="Times New Roman" w:hAnsi="Times New Roman"/>
        </w:rPr>
        <w:t>1.2m</w:t>
      </w:r>
      <w:r>
        <w:t>（</w:t>
      </w:r>
      <w:r>
        <w:rPr>
          <w:rFonts w:ascii="Times New Roman" w:eastAsia="Times New Roman" w:hAnsi="Times New Roman"/>
        </w:rPr>
        <w:t>1KV</w:t>
      </w:r>
      <w:r>
        <w:rPr>
          <w:rFonts w:ascii="Times New Roman" w:eastAsia="Times New Roman" w:hAnsi="Times New Roman"/>
          <w:spacing w:val="-18"/>
        </w:rPr>
        <w:t xml:space="preserve"> </w:t>
      </w:r>
      <w:r>
        <w:t>以下）、</w:t>
      </w:r>
      <w:r>
        <w:t>≥</w:t>
      </w:r>
      <w:r>
        <w:rPr>
          <w:rFonts w:ascii="Times New Roman" w:eastAsia="Times New Roman" w:hAnsi="Times New Roman"/>
        </w:rPr>
        <w:t>2.5m</w:t>
      </w:r>
      <w:r>
        <w:t>（</w:t>
      </w:r>
      <w:r>
        <w:rPr>
          <w:rFonts w:ascii="Times New Roman" w:eastAsia="Times New Roman" w:hAnsi="Times New Roman"/>
        </w:rPr>
        <w:t>1-10KV</w:t>
      </w:r>
      <w:r>
        <w:t>）</w:t>
      </w:r>
      <w:r>
        <w:rPr>
          <w:spacing w:val="-2"/>
        </w:rPr>
        <w:t>最</w:t>
      </w:r>
      <w:r>
        <w:rPr>
          <w:spacing w:val="-2"/>
        </w:rPr>
        <w:t>小</w:t>
      </w:r>
      <w:r>
        <w:rPr>
          <w:spacing w:val="-2"/>
        </w:rPr>
        <w:t>水</w:t>
      </w:r>
      <w:r>
        <w:rPr>
          <w:spacing w:val="-2"/>
        </w:rPr>
        <w:t>平</w:t>
      </w:r>
      <w:r>
        <w:rPr>
          <w:spacing w:val="-2"/>
        </w:rPr>
        <w:t>距</w:t>
      </w:r>
      <w:r>
        <w:rPr>
          <w:spacing w:val="-2"/>
        </w:rPr>
        <w:t>离</w:t>
      </w:r>
      <w:r>
        <w:tab/>
      </w:r>
      <w:r>
        <w:rPr>
          <w:spacing w:val="-2"/>
        </w:rPr>
        <w:t>边</w:t>
      </w:r>
      <w:r>
        <w:rPr>
          <w:spacing w:val="-2"/>
        </w:rPr>
        <w:t>线</w:t>
      </w:r>
      <w:r>
        <w:rPr>
          <w:spacing w:val="-2"/>
        </w:rPr>
        <w:t>与</w:t>
      </w:r>
      <w:r>
        <w:rPr>
          <w:spacing w:val="-2"/>
        </w:rPr>
        <w:t>建</w:t>
      </w:r>
      <w:r>
        <w:rPr>
          <w:spacing w:val="-2"/>
        </w:rPr>
        <w:t>筑</w:t>
      </w:r>
      <w:r>
        <w:rPr>
          <w:spacing w:val="-2"/>
        </w:rPr>
        <w:t>物</w:t>
      </w:r>
      <w:r>
        <w:rPr>
          <w:spacing w:val="-2"/>
        </w:rPr>
        <w:t>凸</w:t>
      </w:r>
      <w:r>
        <w:rPr>
          <w:spacing w:val="-2"/>
        </w:rPr>
        <w:t>出</w:t>
      </w:r>
      <w:r>
        <w:rPr>
          <w:spacing w:val="-2"/>
        </w:rPr>
        <w:t>部</w:t>
      </w:r>
      <w:r>
        <w:rPr>
          <w:spacing w:val="-2"/>
        </w:rPr>
        <w:t>分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1m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架空线路导线截面选择要求：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701"/>
        <w:rPr>
          <w:rFonts w:ascii="Times New Roman" w:eastAsia="Times New Roman" w:hAnsi="Times New Roman"/>
        </w:rPr>
      </w:pPr>
      <w:r>
        <w:rPr>
          <w:spacing w:val="-5"/>
        </w:rPr>
        <w:t xml:space="preserve">线路末端电压偏移≤额定电压的 </w:t>
      </w:r>
      <w:r>
        <w:rPr>
          <w:rFonts w:ascii="Times New Roman" w:eastAsia="Times New Roman" w:hAnsi="Times New Roman"/>
          <w:spacing w:val="-5"/>
        </w:rPr>
        <w:t>5%</w:t>
      </w:r>
    </w:p>
    <w:p>
      <w:pPr>
        <w:pStyle w:val="BodyText"/>
        <w:spacing w:before="265"/>
        <w:ind w:left="701"/>
      </w:pPr>
      <w:r>
        <w:rPr>
          <w:spacing w:val="-2"/>
        </w:rPr>
        <w:t>单相线路零线（</w:t>
      </w:r>
      <w:r>
        <w:rPr>
          <w:rFonts w:ascii="Times New Roman" w:eastAsia="Times New Roman"/>
          <w:spacing w:val="-2"/>
        </w:rPr>
        <w:t>N</w:t>
      </w:r>
      <w:r>
        <w:rPr>
          <w:spacing w:val="-2"/>
        </w:rPr>
        <w:t>）截面</w:t>
      </w:r>
      <w:r>
        <w:rPr>
          <w:rFonts w:ascii="Times New Roman" w:eastAsia="Times New Roman"/>
          <w:spacing w:val="-2"/>
        </w:rPr>
        <w:t>=</w:t>
      </w:r>
      <w:r>
        <w:rPr>
          <w:spacing w:val="-4"/>
        </w:rPr>
        <w:t>相线截面</w:t>
      </w:r>
    </w:p>
    <w:p>
      <w:pPr>
        <w:pStyle w:val="BodyText"/>
        <w:spacing w:before="265"/>
        <w:ind w:left="701"/>
        <w:rPr>
          <w:rFonts w:ascii="Times New Roman" w:eastAsia="Times New Roman" w:hAnsi="Times New Roman"/>
        </w:rPr>
      </w:pPr>
      <w:r>
        <w:rPr>
          <w:spacing w:val="-6"/>
        </w:rPr>
        <w:t xml:space="preserve">三相五线制的工作零线 </w:t>
      </w:r>
      <w:r>
        <w:rPr>
          <w:rFonts w:ascii="Times New Roman" w:eastAsia="Times New Roman" w:hAnsi="Times New Roman"/>
          <w:spacing w:val="-2"/>
        </w:rPr>
        <w:t>N</w:t>
      </w:r>
      <w:r>
        <w:rPr>
          <w:spacing w:val="-2"/>
        </w:rPr>
        <w:t>、保护零线（</w:t>
      </w:r>
      <w:r>
        <w:rPr>
          <w:rFonts w:ascii="Times New Roman" w:eastAsia="Times New Roman" w:hAnsi="Times New Roman"/>
          <w:spacing w:val="-2"/>
        </w:rPr>
        <w:t>PEN</w:t>
      </w:r>
      <w:r>
        <w:rPr>
          <w:spacing w:val="-2"/>
        </w:rPr>
        <w:t>）</w:t>
      </w:r>
      <w:r>
        <w:rPr>
          <w:spacing w:val="-7"/>
        </w:rPr>
        <w:t xml:space="preserve">截面≥相线截面的 </w:t>
      </w:r>
      <w:r>
        <w:rPr>
          <w:rFonts w:ascii="Times New Roman" w:eastAsia="Times New Roman" w:hAnsi="Times New Roman"/>
          <w:spacing w:val="-5"/>
        </w:rPr>
        <w:t>50%</w:t>
      </w:r>
    </w:p>
    <w:p>
      <w:pPr>
        <w:pStyle w:val="BodyText"/>
        <w:spacing w:before="265" w:line="417" w:lineRule="auto"/>
        <w:ind w:left="701" w:right="711"/>
        <w:rPr>
          <w:rFonts w:ascii="Times New Roman" w:eastAsia="Times New Roman" w:hAnsi="Times New Roman"/>
          <w:sz w:val="18"/>
        </w:rPr>
      </w:pPr>
      <w:r>
        <w:rPr>
          <w:spacing w:val="-2"/>
        </w:rPr>
        <w:t>绝缘铜芯线截面≥</w:t>
      </w:r>
      <w:r>
        <w:rPr>
          <w:rFonts w:ascii="Times New Roman" w:eastAsia="Times New Roman" w:hAnsi="Times New Roman"/>
          <w:spacing w:val="-2"/>
        </w:rPr>
        <w:t>10mm</w:t>
      </w:r>
      <w:r>
        <w:rPr>
          <w:rFonts w:ascii="Times New Roman" w:eastAsia="Times New Roman" w:hAnsi="Times New Roman"/>
          <w:spacing w:val="-2"/>
          <w:position w:val="8"/>
          <w:sz w:val="18"/>
        </w:rPr>
        <w:t>2</w:t>
      </w:r>
      <w:r>
        <w:rPr>
          <w:spacing w:val="-2"/>
        </w:rPr>
        <w:t>；（跨公路、电力线路档距内</w:t>
      </w:r>
      <w:r>
        <w:rPr>
          <w:spacing w:val="-2"/>
        </w:rPr>
        <w:t>）≥</w:t>
      </w:r>
      <w:r>
        <w:rPr>
          <w:rFonts w:ascii="Times New Roman" w:eastAsia="Times New Roman" w:hAnsi="Times New Roman"/>
          <w:spacing w:val="-2"/>
        </w:rPr>
        <w:t>16mm</w:t>
      </w:r>
      <w:r>
        <w:rPr>
          <w:rFonts w:ascii="Times New Roman" w:eastAsia="Times New Roman" w:hAnsi="Times New Roman"/>
          <w:spacing w:val="-2"/>
          <w:position w:val="8"/>
          <w:sz w:val="18"/>
        </w:rPr>
        <w:t>2</w:t>
      </w:r>
      <w:r>
        <w:t>绝缘铝芯线截面≥</w:t>
      </w:r>
      <w:r>
        <w:rPr>
          <w:rFonts w:ascii="Times New Roman" w:eastAsia="Times New Roman" w:hAnsi="Times New Roman"/>
        </w:rPr>
        <w:t>16mm</w:t>
      </w:r>
      <w:r>
        <w:rPr>
          <w:rFonts w:ascii="Times New Roman" w:eastAsia="Times New Roman" w:hAnsi="Times New Roman"/>
          <w:position w:val="8"/>
          <w:sz w:val="18"/>
        </w:rPr>
        <w:t>2</w:t>
      </w:r>
      <w:r>
        <w:t>；（跨公路、电力线路档距内</w:t>
      </w:r>
      <w:r>
        <w:rPr>
          <w:spacing w:val="-2"/>
        </w:rPr>
        <w:t>）≥</w:t>
      </w:r>
      <w:r>
        <w:rPr>
          <w:rFonts w:ascii="Times New Roman" w:eastAsia="Times New Roman" w:hAnsi="Times New Roman"/>
          <w:spacing w:val="-2"/>
        </w:rPr>
        <w:t>25mm</w:t>
      </w:r>
      <w:r>
        <w:rPr>
          <w:rFonts w:ascii="Times New Roman" w:eastAsia="Times New Roman" w:hAnsi="Times New Roman"/>
          <w:spacing w:val="-2"/>
          <w:position w:val="8"/>
          <w:sz w:val="18"/>
        </w:rPr>
        <w:t>2</w:t>
      </w:r>
    </w:p>
    <w:p>
      <w:pPr>
        <w:pStyle w:val="BodyText"/>
        <w:tabs>
          <w:tab w:val="left" w:pos="2380"/>
          <w:tab w:val="left" w:pos="4278"/>
          <w:tab w:val="left" w:pos="5398"/>
        </w:tabs>
        <w:spacing w:line="417" w:lineRule="auto"/>
        <w:ind w:left="701" w:right="2044" w:firstLine="280"/>
        <w:rPr>
          <w:rFonts w:ascii="Times New Roman" w:eastAsia="Times New Roman" w:hAnsi="Times New Roman"/>
        </w:rPr>
      </w:pPr>
      <w:r>
        <w:rPr>
          <w:spacing w:val="-2"/>
        </w:rPr>
        <w:t>接</w:t>
      </w:r>
      <w:r>
        <w:rPr>
          <w:spacing w:val="-2"/>
        </w:rPr>
        <w:t>户</w:t>
      </w:r>
      <w:r>
        <w:rPr>
          <w:spacing w:val="-2"/>
        </w:rPr>
        <w:t>线</w:t>
      </w:r>
      <w:r>
        <w:rPr>
          <w:spacing w:val="-2"/>
        </w:rPr>
        <w:t>线</w:t>
      </w:r>
      <w:r>
        <w:rPr>
          <w:spacing w:val="-2"/>
        </w:rPr>
        <w:t>间</w:t>
      </w:r>
      <w:r>
        <w:rPr>
          <w:spacing w:val="-2"/>
        </w:rPr>
        <w:t>与</w:t>
      </w:r>
      <w:r>
        <w:rPr>
          <w:spacing w:val="-2"/>
        </w:rPr>
        <w:t>邻</w:t>
      </w:r>
      <w:r>
        <w:rPr>
          <w:spacing w:val="-2"/>
        </w:rPr>
        <w:t>近</w:t>
      </w:r>
      <w:r>
        <w:rPr>
          <w:spacing w:val="-2"/>
        </w:rPr>
        <w:t>线</w:t>
      </w:r>
      <w:r>
        <w:rPr>
          <w:spacing w:val="-2"/>
        </w:rPr>
        <w:t>路</w:t>
      </w:r>
      <w:r>
        <w:rPr>
          <w:spacing w:val="-2"/>
        </w:rPr>
        <w:t>间</w:t>
      </w:r>
      <w:r>
        <w:rPr>
          <w:spacing w:val="-2"/>
        </w:rPr>
        <w:t>的</w:t>
      </w:r>
      <w:r>
        <w:rPr>
          <w:spacing w:val="-2"/>
        </w:rPr>
        <w:t>距</w:t>
      </w:r>
      <w:r>
        <w:rPr>
          <w:spacing w:val="-2"/>
        </w:rPr>
        <w:t>离</w:t>
      </w:r>
      <w:r>
        <w:rPr>
          <w:spacing w:val="-2"/>
        </w:rPr>
        <w:t>、</w:t>
      </w:r>
      <w:r>
        <w:rPr>
          <w:spacing w:val="-2"/>
        </w:rPr>
        <w:t>接</w:t>
      </w:r>
      <w:r>
        <w:rPr>
          <w:spacing w:val="-2"/>
        </w:rPr>
        <w:t>户</w:t>
      </w:r>
      <w:r>
        <w:rPr>
          <w:spacing w:val="-2"/>
        </w:rPr>
        <w:t>线</w:t>
      </w:r>
      <w:r>
        <w:rPr>
          <w:spacing w:val="-2"/>
        </w:rPr>
        <w:t>进</w:t>
      </w:r>
      <w:r>
        <w:rPr>
          <w:spacing w:val="-2"/>
        </w:rPr>
        <w:t>线</w:t>
      </w:r>
      <w:r>
        <w:rPr>
          <w:spacing w:val="-2"/>
        </w:rPr>
        <w:t>高</w:t>
      </w:r>
      <w:r>
        <w:rPr>
          <w:spacing w:val="-2"/>
        </w:rPr>
        <w:t>度</w:t>
      </w:r>
      <w:r>
        <w:rPr>
          <w:spacing w:val="-2"/>
        </w:rPr>
        <w:t>：</w:t>
      </w:r>
      <w:r>
        <w:rPr>
          <w:spacing w:val="-4"/>
        </w:rPr>
        <w:t>架</w:t>
      </w:r>
      <w:r>
        <w:rPr>
          <w:spacing w:val="-4"/>
        </w:rPr>
        <w:t>空</w:t>
      </w:r>
      <w:r>
        <w:rPr>
          <w:spacing w:val="-4"/>
        </w:rPr>
        <w:t>敷</w:t>
      </w:r>
      <w:r>
        <w:rPr>
          <w:spacing w:val="-4"/>
        </w:rPr>
        <w:t>设</w:t>
      </w:r>
      <w:r>
        <w:tab/>
      </w:r>
      <w:r>
        <w:rPr>
          <w:spacing w:val="-2"/>
        </w:rPr>
        <w:t>档</w:t>
      </w:r>
      <w:r>
        <w:rPr>
          <w:spacing w:val="-2"/>
        </w:rPr>
        <w:t>距</w:t>
      </w:r>
      <w:r>
        <w:rPr>
          <w:spacing w:val="-2"/>
        </w:rPr>
        <w:t>≤</w:t>
      </w:r>
      <w:r>
        <w:rPr>
          <w:rFonts w:ascii="Times New Roman" w:eastAsia="Times New Roman" w:hAnsi="Times New Roman"/>
          <w:spacing w:val="-2"/>
        </w:rPr>
        <w:t>25m</w:t>
      </w:r>
      <w:r>
        <w:rPr>
          <w:rFonts w:ascii="Times New Roman" w:eastAsia="Times New Roman" w:hAnsi="Times New Roman"/>
        </w:rPr>
        <w:tab/>
      </w:r>
      <w:r>
        <w:rPr>
          <w:spacing w:val="-4"/>
        </w:rPr>
        <w:t>线</w:t>
      </w:r>
      <w:r>
        <w:rPr>
          <w:spacing w:val="-4"/>
        </w:rPr>
        <w:t>间</w:t>
      </w:r>
      <w:r>
        <w:rPr>
          <w:spacing w:val="-4"/>
        </w:rPr>
        <w:t>距</w:t>
      </w:r>
      <w:r>
        <w:tab/>
      </w:r>
      <w:r>
        <w:rPr>
          <w:rFonts w:ascii="Times New Roman" w:eastAsia="Times New Roman" w:hAnsi="Times New Roman"/>
          <w:spacing w:val="-2"/>
        </w:rPr>
        <w:t>150mm</w:t>
      </w:r>
    </w:p>
    <w:p>
      <w:pPr>
        <w:pStyle w:val="BodyText"/>
        <w:tabs>
          <w:tab w:val="left" w:pos="4340"/>
        </w:tabs>
        <w:spacing w:line="417" w:lineRule="auto"/>
        <w:ind w:left="701" w:right="3147" w:firstLine="1680"/>
        <w:jc w:val="both"/>
        <w:rPr>
          <w:rFonts w:ascii="Times New Roman" w:eastAsia="Times New Roman"/>
        </w:rPr>
      </w:pPr>
      <w:r>
        <w:t>档距＞</w:t>
      </w:r>
      <w:r>
        <w:rPr>
          <w:rFonts w:ascii="Times New Roman" w:eastAsia="Times New Roman"/>
        </w:rPr>
        <w:t>25m</w:t>
      </w:r>
      <w:r>
        <w:rPr>
          <w:rFonts w:ascii="Times New Roman" w:eastAsia="Times New Roman"/>
          <w:spacing w:val="80"/>
        </w:rPr>
        <w:t xml:space="preserve">   </w:t>
      </w:r>
      <w:r>
        <w:t>线间距</w:t>
      </w:r>
      <w:r>
        <w:rPr>
          <w:spacing w:val="80"/>
        </w:rPr>
        <w:t xml:space="preserve"> </w:t>
      </w:r>
      <w:r>
        <w:rPr>
          <w:rFonts w:ascii="Times New Roman" w:eastAsia="Times New Roman"/>
        </w:rPr>
        <w:t>200mm</w:t>
      </w:r>
      <w:r>
        <w:rPr>
          <w:spacing w:val="-2"/>
        </w:rPr>
        <w:t>零</w:t>
      </w:r>
      <w:r>
        <w:rPr>
          <w:spacing w:val="-2"/>
        </w:rPr>
        <w:t>线</w:t>
      </w:r>
      <w:r>
        <w:rPr>
          <w:spacing w:val="-2"/>
        </w:rPr>
        <w:t>和</w:t>
      </w:r>
      <w:r>
        <w:rPr>
          <w:spacing w:val="-2"/>
        </w:rPr>
        <w:t>相</w:t>
      </w:r>
      <w:r>
        <w:rPr>
          <w:spacing w:val="-2"/>
        </w:rPr>
        <w:t>线</w:t>
      </w:r>
      <w:r>
        <w:rPr>
          <w:spacing w:val="-2"/>
        </w:rPr>
        <w:t>交</w:t>
      </w:r>
      <w:r>
        <w:rPr>
          <w:spacing w:val="-2"/>
        </w:rPr>
        <w:t>叉</w:t>
      </w:r>
      <w:r>
        <w:tab/>
        <w:t xml:space="preserve">线间距 </w:t>
      </w:r>
      <w:r>
        <w:rPr>
          <w:rFonts w:ascii="Times New Roman" w:eastAsia="Times New Roman"/>
        </w:rPr>
        <w:t>100mm</w:t>
      </w:r>
      <w:r>
        <w:t>接户线进线处离地高度</w:t>
      </w:r>
      <w:r>
        <w:rPr>
          <w:spacing w:val="80"/>
          <w:w w:val="150"/>
        </w:rPr>
        <w:t xml:space="preserve">    </w:t>
      </w:r>
      <w:r>
        <w:rPr>
          <w:rFonts w:ascii="Times New Roman" w:eastAsia="Times New Roman"/>
        </w:rPr>
        <w:t>h=2.5m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接户线架空或沿槽敷设导线截面选择要求：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tabs>
          <w:tab w:val="left" w:pos="3928"/>
        </w:tabs>
        <w:spacing w:line="417" w:lineRule="auto"/>
        <w:ind w:left="701" w:right="602"/>
      </w:pPr>
      <w:r>
        <w:t>接户线长度≤</w:t>
      </w:r>
      <w:r>
        <w:rPr>
          <w:rFonts w:ascii="Times New Roman" w:eastAsia="Times New Roman" w:hAnsi="Times New Roman"/>
        </w:rPr>
        <w:t xml:space="preserve">10m </w:t>
      </w:r>
      <w:r>
        <w:t>时，</w:t>
        <w:tab/>
      </w:r>
      <w:r>
        <w:rPr>
          <w:rFonts w:ascii="Times New Roman" w:eastAsia="Times New Roman" w:hAnsi="Times New Roman"/>
          <w:spacing w:val="-2"/>
        </w:rPr>
        <w:t>S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2.5mm</w:t>
      </w:r>
      <w:r>
        <w:rPr>
          <w:rFonts w:ascii="Times New Roman" w:eastAsia="Times New Roman" w:hAnsi="Times New Roman"/>
          <w:spacing w:val="-2"/>
          <w:position w:val="8"/>
          <w:sz w:val="18"/>
        </w:rPr>
        <w:t>2</w:t>
      </w:r>
      <w:r>
        <w:rPr>
          <w:spacing w:val="-2"/>
        </w:rPr>
        <w:t>（</w:t>
      </w:r>
      <w:r>
        <w:rPr>
          <w:spacing w:val="-2"/>
        </w:rPr>
        <w:t>铜</w:t>
      </w:r>
      <w:r>
        <w:rPr>
          <w:spacing w:val="-2"/>
        </w:rPr>
        <w:t>线</w:t>
      </w:r>
      <w:r>
        <w:rPr>
          <w:spacing w:val="-2"/>
        </w:rPr>
        <w:t>）；</w:t>
      </w:r>
      <w:r>
        <w:rPr>
          <w:rFonts w:ascii="Times New Roman" w:eastAsia="Times New Roman" w:hAnsi="Times New Roman"/>
          <w:spacing w:val="-2"/>
        </w:rPr>
        <w:t>S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4mm</w:t>
      </w:r>
      <w:r>
        <w:rPr>
          <w:rFonts w:ascii="Times New Roman" w:eastAsia="Times New Roman" w:hAnsi="Times New Roman"/>
          <w:spacing w:val="-2"/>
          <w:position w:val="8"/>
          <w:sz w:val="18"/>
        </w:rPr>
        <w:t>2</w:t>
      </w:r>
      <w:r>
        <w:rPr>
          <w:spacing w:val="-2"/>
        </w:rPr>
        <w:t>（</w:t>
      </w:r>
      <w:r>
        <w:rPr>
          <w:spacing w:val="-2"/>
        </w:rPr>
        <w:t>铝</w:t>
      </w:r>
      <w:r>
        <w:rPr>
          <w:spacing w:val="-2"/>
        </w:rPr>
        <w:t>线</w:t>
      </w:r>
      <w:r>
        <w:rPr>
          <w:spacing w:val="-2"/>
        </w:rPr>
        <w:t>）</w:t>
      </w:r>
      <w:r>
        <w:t>接户线长度</w:t>
      </w:r>
      <w:r>
        <w:rPr>
          <w:spacing w:val="-70"/>
        </w:rPr>
        <w:t xml:space="preserve"> </w:t>
      </w:r>
      <w:r>
        <w:rPr>
          <w:rFonts w:ascii="Times New Roman" w:eastAsia="Times New Roman" w:hAnsi="Times New Roman"/>
        </w:rPr>
        <w:t>1</w:t>
      </w:r>
      <w:r>
        <w:t>0～</w:t>
      </w:r>
      <w:r>
        <w:rPr>
          <w:rFonts w:ascii="Times New Roman" w:eastAsia="Times New Roman" w:hAnsi="Times New Roman"/>
        </w:rPr>
        <w:t>25m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时，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/>
        </w:rPr>
        <w:t>S</w:t>
      </w:r>
      <w:r>
        <w:t>≥</w:t>
      </w:r>
      <w:r>
        <w:rPr>
          <w:rFonts w:ascii="Times New Roman" w:eastAsia="Times New Roman" w:hAnsi="Times New Roman"/>
        </w:rPr>
        <w:t>4mm</w:t>
      </w:r>
      <w:r>
        <w:rPr>
          <w:rFonts w:ascii="Times New Roman" w:eastAsia="Times New Roman" w:hAnsi="Times New Roman"/>
          <w:position w:val="8"/>
          <w:sz w:val="18"/>
        </w:rPr>
        <w:t>2</w:t>
      </w:r>
      <w:r>
        <w:rPr>
          <w:rFonts w:ascii="Times New Roman" w:eastAsia="Times New Roman" w:hAnsi="Times New Roman"/>
          <w:spacing w:val="72"/>
          <w:w w:val="150"/>
          <w:position w:val="8"/>
          <w:sz w:val="18"/>
        </w:rPr>
        <w:t xml:space="preserve"> </w:t>
      </w:r>
      <w:r>
        <w:t>（铜线）；</w:t>
      </w:r>
      <w:r>
        <w:rPr>
          <w:rFonts w:ascii="Times New Roman" w:eastAsia="Times New Roman" w:hAnsi="Times New Roman"/>
        </w:rPr>
        <w:t>S</w:t>
      </w:r>
      <w:r>
        <w:t>≥</w:t>
      </w:r>
      <w:r>
        <w:rPr>
          <w:rFonts w:ascii="Times New Roman" w:eastAsia="Times New Roman" w:hAnsi="Times New Roman"/>
        </w:rPr>
        <w:t>6mm</w:t>
      </w:r>
      <w:r>
        <w:rPr>
          <w:rFonts w:ascii="Times New Roman" w:eastAsia="Times New Roman" w:hAnsi="Times New Roman"/>
          <w:position w:val="8"/>
          <w:sz w:val="18"/>
        </w:rPr>
        <w:t>2</w:t>
      </w:r>
      <w:r>
        <w:t>（铝线</w:t>
      </w:r>
      <w:r>
        <w:rPr>
          <w:spacing w:val="-10"/>
        </w:rPr>
        <w:t>）</w:t>
      </w:r>
    </w:p>
    <w:p>
      <w:pPr>
        <w:pStyle w:val="BodyText"/>
        <w:spacing w:line="358" w:lineRule="exact"/>
        <w:ind w:left="981"/>
      </w:pPr>
      <w:r>
        <w:rPr>
          <w:spacing w:val="-2"/>
        </w:rPr>
        <w:t>线路接头规定：</w:t>
      </w:r>
    </w:p>
    <w:p>
      <w:pPr>
        <w:spacing w:after="0" w:line="358" w:lineRule="exact"/>
        <w:sectPr>
          <w:headerReference w:type="default" r:id="rId14"/>
          <w:footerReference w:type="default" r:id="rId15"/>
          <w:pgSz w:w="11910" w:h="16840"/>
          <w:pgMar w:top="1680" w:right="880" w:bottom="920" w:left="1560" w:header="889" w:footer="736"/>
          <w:pgNumType w:start="6"/>
          <w:cols w:space="708"/>
        </w:sectPr>
      </w:pPr>
    </w:p>
    <w:p>
      <w:pPr>
        <w:pStyle w:val="BodyText"/>
        <w:spacing w:before="145" w:line="417" w:lineRule="auto"/>
        <w:ind w:left="141" w:right="339" w:firstLine="560"/>
      </w:pPr>
      <w:r>
        <w:rPr>
          <w:spacing w:val="-4"/>
        </w:rPr>
        <w:t xml:space="preserve">在一个档距内，每层架空线接头数≤该层导线总数的 </w:t>
      </w:r>
      <w:r>
        <w:rPr>
          <w:rFonts w:ascii="Times New Roman" w:eastAsia="Times New Roman" w:hAnsi="Times New Roman"/>
          <w:spacing w:val="-2"/>
        </w:rPr>
        <w:t>50%</w:t>
      </w:r>
      <w:r>
        <w:rPr>
          <w:spacing w:val="-2"/>
        </w:rPr>
        <w:t>；且一根导</w:t>
      </w:r>
      <w:r>
        <w:rPr>
          <w:spacing w:val="-2"/>
        </w:rPr>
        <w:t>线只允许一个接头；接户线在档距内不得接头。</w:t>
      </w:r>
    </w:p>
    <w:p>
      <w:pPr>
        <w:pStyle w:val="BodyText"/>
        <w:spacing w:line="358" w:lineRule="exact"/>
        <w:ind w:left="701"/>
      </w:pPr>
      <w:r>
        <w:rPr>
          <w:rFonts w:ascii="Times New Roman" w:eastAsia="Times New Roman"/>
        </w:rPr>
        <w:t>4</w:t>
      </w:r>
      <w:r>
        <w:rPr>
          <w:spacing w:val="-2"/>
        </w:rPr>
        <w:t>、电缆线路：</w:t>
      </w:r>
    </w:p>
    <w:p>
      <w:pPr>
        <w:pStyle w:val="BodyText"/>
        <w:spacing w:before="265"/>
        <w:ind w:left="981"/>
      </w:pPr>
      <w:r>
        <w:rPr>
          <w:spacing w:val="-1"/>
        </w:rPr>
        <w:t>埋设地点应避免建筑物、交通要道，保证不受机械损坏。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981"/>
      </w:pPr>
      <w:r>
        <w:t>铺设深度≥</w:t>
      </w:r>
      <w:r>
        <w:rPr>
          <w:rFonts w:ascii="Times New Roman" w:eastAsia="Times New Roman" w:hAnsi="Times New Roman"/>
        </w:rPr>
        <w:t>0.6m</w:t>
      </w:r>
      <w:r>
        <w:t>；上下均铺细砂≥</w:t>
      </w:r>
      <w:r>
        <w:rPr>
          <w:rFonts w:ascii="Times New Roman" w:eastAsia="Times New Roman" w:hAnsi="Times New Roman"/>
        </w:rPr>
        <w:t>50mm</w:t>
      </w:r>
      <w:r>
        <w:rPr>
          <w:spacing w:val="-2"/>
        </w:rPr>
        <w:t>，上覆砖、板保护。</w:t>
      </w:r>
    </w:p>
    <w:p>
      <w:pPr>
        <w:pStyle w:val="BodyText"/>
        <w:spacing w:before="265" w:line="417" w:lineRule="auto"/>
        <w:ind w:left="141" w:right="364" w:firstLine="840"/>
      </w:pPr>
      <w:r>
        <w:rPr>
          <w:spacing w:val="-2"/>
        </w:rPr>
        <w:t>橡皮电缆架空敷设时，应沿墙壁或电杆敷设，严禁以金属裸线做绑</w:t>
      </w:r>
      <w:r>
        <w:rPr>
          <w:spacing w:val="-5"/>
        </w:rPr>
        <w:t xml:space="preserve">线，最大弧垂处距地 </w:t>
      </w:r>
      <w:r>
        <w:rPr>
          <w:rFonts w:ascii="Times New Roman" w:eastAsia="Times New Roman" w:hAnsi="Times New Roman"/>
        </w:rPr>
        <w:t>h</w:t>
      </w:r>
      <w:r>
        <w:t>≥</w:t>
      </w:r>
      <w:r>
        <w:rPr>
          <w:rFonts w:ascii="Times New Roman" w:eastAsia="Times New Roman" w:hAnsi="Times New Roman"/>
        </w:rPr>
        <w:t>2.5m</w:t>
      </w:r>
      <w:r>
        <w:t>。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以下处所，电缆必须加设防护钢套管：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701" w:right="1484"/>
      </w:pPr>
      <w:r>
        <w:rPr>
          <w:spacing w:val="-2"/>
        </w:rPr>
        <w:t>穿越建筑物、构筑物、道路处；穿越易受机械损伤的场所；</w:t>
      </w:r>
      <w:r>
        <w:t>电缆引出地面处（</w:t>
      </w:r>
      <w:r>
        <w:rPr>
          <w:spacing w:val="-8"/>
        </w:rPr>
        <w:t xml:space="preserve">从地下 </w:t>
      </w:r>
      <w:r>
        <w:rPr>
          <w:rFonts w:ascii="Times New Roman" w:eastAsia="Times New Roman"/>
        </w:rPr>
        <w:t xml:space="preserve">0.2m </w:t>
      </w:r>
      <w:r>
        <w:rPr>
          <w:spacing w:val="-8"/>
        </w:rPr>
        <w:t xml:space="preserve">至地上 </w:t>
      </w:r>
      <w:r>
        <w:rPr>
          <w:rFonts w:ascii="Times New Roman" w:eastAsia="Times New Roman"/>
        </w:rPr>
        <w:t xml:space="preserve">2m </w:t>
      </w:r>
      <w:r>
        <w:t>高的一段）</w:t>
      </w:r>
    </w:p>
    <w:p>
      <w:pPr>
        <w:pStyle w:val="BodyText"/>
        <w:spacing w:line="358" w:lineRule="exact"/>
        <w:ind w:left="981"/>
      </w:pPr>
      <w:r>
        <w:rPr>
          <w:spacing w:val="-3"/>
        </w:rPr>
        <w:t>必须使用五芯电缆：严禁采用四芯电缆外加一根导线代替五芯电缆。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981" w:right="1204" w:hanging="2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2"/>
        </w:rPr>
        <w:t>5</w:t>
      </w:r>
      <w:r>
        <w:rPr>
          <w:spacing w:val="-2"/>
        </w:rPr>
        <w:t>、配电系统：严格采用“三级配电二级保护”的配电型式。</w:t>
      </w:r>
      <w:r>
        <w:rPr>
          <w:spacing w:val="-2"/>
        </w:rPr>
        <w:t>漏电保护系统按两级设置，并具有分段分级漏电保护功能。</w:t>
      </w:r>
      <w:r>
        <w:t xml:space="preserve">额定漏电动作电流与额定漏电动作时间的乘积≤ </w:t>
      </w:r>
      <w:r>
        <w:rPr>
          <w:rFonts w:ascii="Times New Roman" w:eastAsia="Times New Roman" w:hAnsi="Times New Roman"/>
        </w:rPr>
        <w:t>30mA</w:t>
      </w:r>
      <w:r>
        <w:t>·</w:t>
      </w:r>
      <w:r>
        <w:rPr>
          <w:rFonts w:ascii="Times New Roman" w:eastAsia="Times New Roman" w:hAnsi="Times New Roman"/>
        </w:rPr>
        <w:t>S</w:t>
      </w:r>
    </w:p>
    <w:p>
      <w:pPr>
        <w:pStyle w:val="BodyText"/>
        <w:tabs>
          <w:tab w:val="left" w:pos="3944"/>
        </w:tabs>
        <w:spacing w:line="358" w:lineRule="exact"/>
        <w:ind w:left="701"/>
        <w:rPr>
          <w:rFonts w:ascii="Times New Roman" w:eastAsia="Times New Roman" w:hAnsi="Times New Roman"/>
        </w:rPr>
      </w:pPr>
      <w:r>
        <w:t>一般场所</w:t>
      </w:r>
      <w:r>
        <w:rPr>
          <w:spacing w:val="-70"/>
        </w:rPr>
        <w:t xml:space="preserve"> </w:t>
      </w:r>
      <w:r>
        <w:rPr>
          <w:rFonts w:ascii="Times New Roman" w:eastAsia="Times New Roman" w:hAnsi="Times New Roman"/>
          <w:spacing w:val="-2"/>
        </w:rPr>
        <w:t>I</w:t>
      </w:r>
      <w:r>
        <w:rPr>
          <w:spacing w:val="-2"/>
        </w:rPr>
        <w:t>≤</w:t>
      </w:r>
      <w:r>
        <w:rPr>
          <w:rFonts w:ascii="Times New Roman" w:eastAsia="Times New Roman" w:hAnsi="Times New Roman"/>
          <w:spacing w:val="-2"/>
        </w:rPr>
        <w:t>30mA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pacing w:val="-2"/>
        </w:rPr>
        <w:t>t</w:t>
      </w:r>
      <w:r>
        <w:rPr>
          <w:spacing w:val="-2"/>
        </w:rPr>
        <w:t>＜</w:t>
      </w:r>
      <w:r>
        <w:rPr>
          <w:rFonts w:ascii="Times New Roman" w:eastAsia="Times New Roman" w:hAnsi="Times New Roman"/>
          <w:spacing w:val="-2"/>
        </w:rPr>
        <w:t>0.1s</w:t>
      </w:r>
    </w:p>
    <w:p>
      <w:pPr>
        <w:pStyle w:val="BodyText"/>
        <w:tabs>
          <w:tab w:val="left" w:pos="5484"/>
        </w:tabs>
        <w:spacing w:before="265"/>
        <w:ind w:left="701"/>
      </w:pPr>
      <w:r>
        <w:t>潮湿或有腐蚀介质现场</w:t>
      </w:r>
      <w:r>
        <w:rPr>
          <w:spacing w:val="-70"/>
        </w:rPr>
        <w:t xml:space="preserve"> </w:t>
      </w:r>
      <w:r>
        <w:rPr>
          <w:rFonts w:ascii="Times New Roman" w:eastAsia="Times New Roman" w:hAnsi="Times New Roman"/>
          <w:spacing w:val="-2"/>
        </w:rPr>
        <w:t>I</w:t>
      </w:r>
      <w:r>
        <w:rPr>
          <w:spacing w:val="-2"/>
        </w:rPr>
        <w:t>≤</w:t>
      </w:r>
      <w:r>
        <w:rPr>
          <w:rFonts w:ascii="Times New Roman" w:eastAsia="Times New Roman" w:hAnsi="Times New Roman"/>
          <w:spacing w:val="-2"/>
        </w:rPr>
        <w:t>15mA</w:t>
      </w:r>
      <w:r>
        <w:rPr>
          <w:rFonts w:ascii="Times New Roman" w:eastAsia="Times New Roman" w:hAnsi="Times New Roman"/>
        </w:rPr>
        <w:tab/>
        <w:t>t</w:t>
      </w:r>
      <w:r>
        <w:t>＜</w:t>
      </w:r>
      <w:r>
        <w:rPr>
          <w:rFonts w:ascii="Times New Roman" w:eastAsia="Times New Roman" w:hAnsi="Times New Roman"/>
        </w:rPr>
        <w:t>0.1S</w:t>
      </w:r>
      <w:r>
        <w:rPr>
          <w:rFonts w:ascii="Times New Roman" w:eastAsia="Times New Roman" w:hAnsi="Times New Roman"/>
          <w:spacing w:val="70"/>
        </w:rPr>
        <w:t xml:space="preserve"> </w:t>
      </w:r>
      <w:r>
        <w:t>并选防溅型</w:t>
      </w:r>
      <w:r>
        <w:rPr>
          <w:spacing w:val="-10"/>
        </w:rPr>
        <w:t>。</w:t>
      </w:r>
    </w:p>
    <w:p>
      <w:pPr>
        <w:pStyle w:val="BodyText"/>
        <w:spacing w:before="266" w:line="417" w:lineRule="auto"/>
        <w:ind w:left="141" w:right="364" w:firstLine="840"/>
      </w:pPr>
      <w:r>
        <w:rPr>
          <w:spacing w:val="-2"/>
        </w:rPr>
        <w:t>电锯、木工刨床、钢筋机械、电焊机、搅拌机、潜水泵和手持电动</w:t>
      </w:r>
      <w:r>
        <w:rPr>
          <w:spacing w:val="-1"/>
        </w:rPr>
        <w:t>工具等，均应在电源开关处装设漏电保护开关，且机具处均应作保护接零</w:t>
      </w:r>
    </w:p>
    <w:p>
      <w:pPr>
        <w:pStyle w:val="BodyText"/>
        <w:spacing w:line="358" w:lineRule="exact"/>
        <w:ind w:left="141"/>
      </w:pPr>
      <w:r>
        <w:rPr>
          <w:spacing w:val="-2"/>
        </w:rPr>
        <w:t>（</w:t>
      </w:r>
      <w:r>
        <w:rPr>
          <w:rFonts w:ascii="Times New Roman" w:eastAsia="Times New Roman"/>
          <w:spacing w:val="-2"/>
        </w:rPr>
        <w:t>PEN</w:t>
      </w:r>
      <w:r>
        <w:rPr>
          <w:spacing w:val="-2"/>
        </w:rPr>
        <w:t>），</w:t>
      </w:r>
      <w:r>
        <w:rPr>
          <w:spacing w:val="-3"/>
        </w:rPr>
        <w:t>其接零支线可从漏电开关电源侧引出。</w:t>
      </w:r>
    </w:p>
    <w:p>
      <w:pPr>
        <w:pStyle w:val="BodyText"/>
        <w:spacing w:before="265"/>
        <w:ind w:left="701"/>
      </w:pPr>
      <w:r>
        <w:rPr>
          <w:rFonts w:ascii="Times New Roman" w:eastAsia="Times New Roman"/>
        </w:rPr>
        <w:t>6</w:t>
      </w:r>
      <w:r>
        <w:rPr>
          <w:spacing w:val="-2"/>
        </w:rPr>
        <w:t>、配电箱与开关箱：</w:t>
      </w:r>
    </w:p>
    <w:p>
      <w:pPr>
        <w:pStyle w:val="BodyText"/>
        <w:spacing w:before="265" w:line="417" w:lineRule="auto"/>
        <w:ind w:left="981" w:right="697"/>
      </w:pPr>
      <w:r>
        <w:rPr>
          <w:spacing w:val="-2"/>
        </w:rPr>
        <w:t>箱体材料：用铁板（δ＜</w:t>
      </w:r>
      <w:r>
        <w:rPr>
          <w:rFonts w:ascii="Times New Roman" w:eastAsia="Times New Roman" w:hAnsi="Times New Roman"/>
          <w:spacing w:val="-2"/>
        </w:rPr>
        <w:t>1.5mm</w:t>
      </w:r>
      <w:r>
        <w:rPr>
          <w:spacing w:val="-2"/>
        </w:rPr>
        <w:t>）或优质绝缘、防火材料制作。</w:t>
      </w:r>
      <w:r>
        <w:rPr>
          <w:spacing w:val="-2"/>
        </w:rPr>
        <w:t>安装位置：</w:t>
      </w:r>
    </w:p>
    <w:p>
      <w:pPr>
        <w:spacing w:after="0" w:line="417" w:lineRule="auto"/>
        <w:sectPr>
          <w:headerReference w:type="default" r:id="rId16"/>
          <w:footerReference w:type="default" r:id="rId17"/>
          <w:pgSz w:w="11910" w:h="16840"/>
          <w:pgMar w:top="1680" w:right="880" w:bottom="920" w:left="1560" w:header="889" w:footer="736"/>
          <w:pgNumType w:start="7"/>
          <w:cols w:space="708"/>
        </w:sectPr>
      </w:pPr>
    </w:p>
    <w:p>
      <w:pPr>
        <w:pStyle w:val="BodyText"/>
        <w:spacing w:before="145" w:line="417" w:lineRule="auto"/>
        <w:ind w:left="141" w:right="112" w:firstLine="560"/>
      </w:pPr>
      <w:r>
        <w:t>分配电箱与开关箱距离≤</w:t>
      </w:r>
      <w:r>
        <w:rPr>
          <w:rFonts w:ascii="Times New Roman" w:eastAsia="Times New Roman" w:hAnsi="Times New Roman"/>
        </w:rPr>
        <w:t>30m</w:t>
      </w:r>
      <w:r>
        <w:rPr>
          <w:spacing w:val="-5"/>
        </w:rPr>
        <w:t>；开关箱与被控固定用电设备距离≤</w:t>
      </w:r>
      <w:r>
        <w:rPr>
          <w:rFonts w:ascii="Times New Roman" w:eastAsia="Times New Roman" w:hAnsi="Times New Roman"/>
          <w:spacing w:val="-5"/>
        </w:rPr>
        <w:t>3</w:t>
      </w:r>
      <w:r>
        <w:rPr>
          <w:rFonts w:ascii="Times New Roman" w:eastAsia="Times New Roman" w:hAnsi="Times New Roman"/>
          <w:spacing w:val="-28"/>
        </w:rPr>
        <w:t>m</w:t>
      </w:r>
      <w:r>
        <w:rPr>
          <w:spacing w:val="-5"/>
        </w:rPr>
        <w:t>；</w:t>
      </w:r>
      <w:r>
        <w:t>配电箱、开关箱应避免受撞击、振动、浸溅、烘烤及有害介质损伤；必须防雨、防尘、上锁且由专人管理。</w:t>
      </w:r>
    </w:p>
    <w:p>
      <w:pPr>
        <w:pStyle w:val="BodyText"/>
        <w:spacing w:line="417" w:lineRule="auto"/>
        <w:ind w:left="141" w:right="311" w:firstLine="840"/>
      </w:pPr>
      <w:r>
        <w:rPr>
          <w:spacing w:val="-2"/>
        </w:rPr>
        <w:t xml:space="preserve">安装高度：固定箱： </w:t>
      </w:r>
      <w:r>
        <w:rPr>
          <w:rFonts w:ascii="Times New Roman" w:eastAsia="Times New Roman"/>
        </w:rPr>
        <w:t>h=1.3</w:t>
      </w:r>
      <w:r>
        <w:t>m～</w:t>
      </w:r>
      <w:r>
        <w:rPr>
          <w:rFonts w:ascii="Times New Roman" w:eastAsia="Times New Roman"/>
        </w:rPr>
        <w:t>1.5m</w:t>
      </w:r>
      <w:r>
        <w:rPr>
          <w:rFonts w:ascii="Times New Roman" w:eastAsia="Times New Roman"/>
          <w:spacing w:val="40"/>
        </w:rPr>
        <w:t xml:space="preserve"> </w:t>
      </w:r>
      <w:r>
        <w:rPr>
          <w:spacing w:val="-2"/>
        </w:rPr>
        <w:t xml:space="preserve">；移动箱： </w:t>
      </w:r>
      <w:r>
        <w:rPr>
          <w:rFonts w:ascii="Times New Roman" w:eastAsia="Times New Roman"/>
        </w:rPr>
        <w:t>h=0.6</w:t>
      </w:r>
      <w:r>
        <w:t>m～</w:t>
      </w:r>
      <w:r>
        <w:rPr>
          <w:rFonts w:ascii="Times New Roman" w:eastAsia="Times New Roman"/>
        </w:rPr>
        <w:t>1.5m</w:t>
      </w:r>
      <w:r>
        <w:t>（</w:t>
      </w:r>
      <w:r>
        <w:t>装</w:t>
      </w:r>
      <w:r>
        <w:rPr>
          <w:spacing w:val="-2"/>
        </w:rPr>
        <w:t>设在固定支架上）</w:t>
      </w:r>
    </w:p>
    <w:p>
      <w:pPr>
        <w:pStyle w:val="BodyText"/>
        <w:spacing w:line="417" w:lineRule="auto"/>
        <w:ind w:left="141" w:right="112" w:firstLine="840"/>
      </w:pPr>
      <w:r>
        <w:rPr>
          <w:spacing w:val="-2"/>
        </w:rPr>
        <w:t>箱内装设要求：动力、照明配电箱宜分别设置。合置一箱时，动力、</w:t>
      </w:r>
      <w:r>
        <w:rPr>
          <w:spacing w:val="-2"/>
        </w:rPr>
        <w:t>照明线路应分别设置。箱内分设工作零线（</w:t>
      </w:r>
      <w:r>
        <w:rPr>
          <w:rFonts w:ascii="Times New Roman" w:eastAsia="Times New Roman"/>
          <w:spacing w:val="-2"/>
        </w:rPr>
        <w:t>N</w:t>
      </w:r>
      <w:r>
        <w:rPr>
          <w:spacing w:val="-2"/>
        </w:rPr>
        <w:t>）、保护零线（</w:t>
      </w:r>
      <w:r>
        <w:rPr>
          <w:rFonts w:ascii="Times New Roman" w:eastAsia="Times New Roman"/>
          <w:spacing w:val="-2"/>
        </w:rPr>
        <w:t>PEN</w:t>
      </w:r>
      <w:r>
        <w:rPr>
          <w:spacing w:val="-2"/>
        </w:rPr>
        <w:t>）接线端</w:t>
      </w:r>
      <w:r>
        <w:rPr>
          <w:spacing w:val="-4"/>
        </w:rPr>
        <w:t>子板；</w:t>
      </w:r>
    </w:p>
    <w:p>
      <w:pPr>
        <w:pStyle w:val="BodyText"/>
        <w:spacing w:line="358" w:lineRule="exact"/>
        <w:ind w:left="701"/>
      </w:pPr>
      <w:r>
        <w:rPr>
          <w:spacing w:val="-1"/>
        </w:rPr>
        <w:t>金属箱体、箱内金属安装板、元件不应带电的金属底座、外壳等均必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41"/>
      </w:pPr>
      <w:r>
        <w:t>须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41" w:right="364" w:firstLine="560"/>
        <w:jc w:val="both"/>
      </w:pPr>
      <w:r>
        <w:rPr>
          <w:spacing w:val="-2"/>
        </w:rPr>
        <w:t>保护接零。总配电箱内应装设：电压表、总电流表、总电度表及其它</w:t>
      </w:r>
      <w:r>
        <w:rPr>
          <w:spacing w:val="-2"/>
        </w:rPr>
        <w:t>仪表；总自动开关、分自动开关；漏电保护器（装设于电源隔离开关的负</w:t>
      </w:r>
      <w:r>
        <w:rPr>
          <w:spacing w:val="-4"/>
        </w:rPr>
        <w:t>荷侧）</w:t>
      </w:r>
    </w:p>
    <w:p>
      <w:pPr>
        <w:pStyle w:val="BodyText"/>
        <w:spacing w:line="358" w:lineRule="exact"/>
        <w:ind w:left="701"/>
      </w:pPr>
      <w:r>
        <w:rPr>
          <w:spacing w:val="-1"/>
        </w:rPr>
        <w:t>分配电箱内应装设：总自动开关、分自动开关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41" w:right="364" w:firstLine="560"/>
      </w:pPr>
      <w:r>
        <w:rPr>
          <w:spacing w:val="-2"/>
        </w:rPr>
        <w:t>开关箱必须实行“一机、一闸、一漏、一箱”制；必须装设：隔离开</w:t>
      </w:r>
      <w:r>
        <w:rPr>
          <w:spacing w:val="-2"/>
        </w:rPr>
        <w:t>关；过负荷、短路、漏电保护装置（后者装于隔离开关负荷侧）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短路、过负荷保护的整定：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41" w:right="252" w:firstLine="560"/>
      </w:pPr>
      <w:r>
        <w:rPr>
          <w:spacing w:val="-7"/>
        </w:rPr>
        <w:t xml:space="preserve">用熔断器作短路保护：熔体额定电流≯导线允许载流量的 </w:t>
      </w:r>
      <w:r>
        <w:rPr>
          <w:rFonts w:ascii="Times New Roman" w:eastAsia="Times New Roman" w:hAnsi="Times New Roman"/>
          <w:spacing w:val="-4"/>
        </w:rPr>
        <w:t>2.5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rPr>
          <w:spacing w:val="-4"/>
        </w:rPr>
        <w:t>倍（穿管</w:t>
      </w:r>
      <w:r>
        <w:t>敷设）；</w:t>
      </w:r>
      <w:r>
        <w:rPr>
          <w:spacing w:val="-2"/>
        </w:rPr>
        <w:t xml:space="preserve">熔体额定电流≯导线允许载流量的 </w:t>
      </w:r>
      <w:r>
        <w:rPr>
          <w:rFonts w:ascii="Times New Roman" w:eastAsia="Times New Roman" w:hAnsi="Times New Roman"/>
        </w:rPr>
        <w:t xml:space="preserve">1.5 </w:t>
      </w:r>
      <w:r>
        <w:t>倍（明敷）。</w:t>
      </w:r>
    </w:p>
    <w:p>
      <w:pPr>
        <w:pStyle w:val="BodyText"/>
        <w:spacing w:line="417" w:lineRule="auto"/>
        <w:ind w:left="141" w:right="252" w:firstLine="560"/>
      </w:pPr>
      <w:r>
        <w:rPr>
          <w:spacing w:val="-2"/>
        </w:rPr>
        <w:t>用自动开关作短路保护：过电流脱扣器电流整定值＜线路末端单相短</w:t>
      </w:r>
      <w:r>
        <w:rPr>
          <w:spacing w:val="-15"/>
        </w:rPr>
        <w:t xml:space="preserve">路电流。装设过负荷保护时：绝缘导线允许载流量应≮熔体额定电流的 </w:t>
      </w:r>
      <w:r>
        <w:rPr>
          <w:rFonts w:ascii="Times New Roman" w:eastAsia="Times New Roman" w:hAnsi="Times New Roman"/>
          <w:spacing w:val="-2"/>
        </w:rPr>
        <w:t>1.25</w:t>
      </w:r>
      <w:r>
        <w:rPr>
          <w:spacing w:val="-2"/>
        </w:rPr>
        <w:t xml:space="preserve">倍，≮长延时过电流脱扣电流整定值的 </w:t>
      </w:r>
      <w:r>
        <w:rPr>
          <w:rFonts w:ascii="Times New Roman" w:eastAsia="Times New Roman" w:hAnsi="Times New Roman"/>
        </w:rPr>
        <w:t xml:space="preserve">1.25 </w:t>
      </w:r>
      <w:r>
        <w:t>倍。</w:t>
      </w:r>
    </w:p>
    <w:p>
      <w:pPr>
        <w:spacing w:after="0" w:line="417" w:lineRule="auto"/>
        <w:sectPr>
          <w:headerReference w:type="default" r:id="rId18"/>
          <w:footerReference w:type="default" r:id="rId19"/>
          <w:pgSz w:w="11910" w:h="16840"/>
          <w:pgMar w:top="1680" w:right="880" w:bottom="920" w:left="1560" w:header="889" w:footer="736"/>
          <w:pgNumType w:start="8"/>
          <w:cols w:space="708"/>
        </w:sectPr>
      </w:pPr>
    </w:p>
    <w:p>
      <w:pPr>
        <w:pStyle w:val="BodyText"/>
        <w:spacing w:before="145" w:line="417" w:lineRule="auto"/>
        <w:ind w:left="141" w:right="524" w:firstLine="680"/>
      </w:pPr>
      <w:r>
        <w:rPr>
          <w:spacing w:val="-2"/>
        </w:rPr>
        <w:t>箱体进出线：只能在箱底下方设进出线口；进、出线应加护套，分</w:t>
      </w:r>
      <w:r>
        <w:rPr>
          <w:spacing w:val="-2"/>
        </w:rPr>
        <w:t>路成束，并做防水弯；移动式开关箱的进、出线必须用橡皮绝缘电缆。</w:t>
      </w:r>
    </w:p>
    <w:p>
      <w:pPr>
        <w:pStyle w:val="BodyText"/>
        <w:spacing w:line="358" w:lineRule="exact"/>
        <w:ind w:left="701"/>
      </w:pPr>
      <w:r>
        <w:rPr>
          <w:rFonts w:ascii="Times New Roman" w:eastAsia="Times New Roman"/>
        </w:rPr>
        <w:t>7</w:t>
      </w:r>
      <w:r>
        <w:rPr>
          <w:spacing w:val="-2"/>
        </w:rPr>
        <w:t>、照明装置</w:t>
      </w:r>
    </w:p>
    <w:p>
      <w:pPr>
        <w:pStyle w:val="BodyText"/>
        <w:spacing w:before="265" w:line="417" w:lineRule="auto"/>
        <w:ind w:left="141" w:right="364" w:firstLine="840"/>
      </w:pPr>
      <w:r>
        <w:rPr>
          <w:spacing w:val="-2"/>
        </w:rPr>
        <w:t>照明开关箱中所有正常不带电的金属部件、所有灯具的金属外壳，</w:t>
      </w:r>
      <w:r>
        <w:rPr>
          <w:spacing w:val="-2"/>
        </w:rPr>
        <w:t>必须作保护接零（</w:t>
      </w:r>
      <w:r>
        <w:rPr>
          <w:rFonts w:ascii="Times New Roman" w:eastAsia="Times New Roman"/>
          <w:spacing w:val="-2"/>
        </w:rPr>
        <w:t>PEN</w:t>
      </w:r>
      <w:r>
        <w:rPr>
          <w:spacing w:val="-2"/>
        </w:rPr>
        <w:t>）。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照明开关箱应设漏电保护器。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41" w:right="339" w:firstLine="840"/>
      </w:pPr>
      <w:r>
        <w:rPr>
          <w:spacing w:val="-11"/>
        </w:rPr>
        <w:t xml:space="preserve">室外灯具距地 </w:t>
      </w:r>
      <w:r>
        <w:rPr>
          <w:rFonts w:ascii="Times New Roman" w:eastAsia="Times New Roman" w:hAnsi="Times New Roman"/>
          <w:spacing w:val="-2"/>
        </w:rPr>
        <w:t>h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3m</w:t>
      </w:r>
      <w:r>
        <w:rPr>
          <w:spacing w:val="-9"/>
        </w:rPr>
        <w:t xml:space="preserve">；室内灯具距地面 </w:t>
      </w:r>
      <w:r>
        <w:rPr>
          <w:rFonts w:ascii="Times New Roman" w:eastAsia="Times New Roman" w:hAnsi="Times New Roman"/>
          <w:spacing w:val="-2"/>
        </w:rPr>
        <w:t>h</w:t>
      </w:r>
      <w:r>
        <w:rPr>
          <w:spacing w:val="-2"/>
        </w:rPr>
        <w:t>≥</w:t>
      </w:r>
      <w:r>
        <w:rPr>
          <w:rFonts w:ascii="Times New Roman" w:eastAsia="Times New Roman" w:hAnsi="Times New Roman"/>
          <w:spacing w:val="-2"/>
        </w:rPr>
        <w:t>2.4m</w:t>
      </w:r>
      <w:r>
        <w:rPr>
          <w:spacing w:val="-2"/>
        </w:rPr>
        <w:t>（</w:t>
      </w:r>
      <w:r>
        <w:rPr>
          <w:spacing w:val="-21"/>
        </w:rPr>
        <w:t xml:space="preserve">低于 </w:t>
      </w:r>
      <w:r>
        <w:rPr>
          <w:rFonts w:ascii="Times New Roman" w:eastAsia="Times New Roman" w:hAnsi="Times New Roman"/>
          <w:spacing w:val="-2"/>
        </w:rPr>
        <w:t>2.4m</w:t>
      </w:r>
      <w:r>
        <w:rPr>
          <w:spacing w:val="-2"/>
        </w:rPr>
        <w:t>，必须</w:t>
      </w:r>
      <w:r>
        <w:t>用≤</w:t>
      </w:r>
      <w:r>
        <w:rPr>
          <w:rFonts w:ascii="Times New Roman" w:eastAsia="Times New Roman" w:hAnsi="Times New Roman"/>
        </w:rPr>
        <w:t xml:space="preserve">36V </w:t>
      </w:r>
      <w:r>
        <w:t>电源。</w:t>
      </w:r>
    </w:p>
    <w:p>
      <w:pPr>
        <w:pStyle w:val="BodyText"/>
        <w:spacing w:line="417" w:lineRule="auto"/>
        <w:ind w:left="981" w:right="1000"/>
      </w:pPr>
      <w:r>
        <w:rPr>
          <w:spacing w:val="-2"/>
        </w:rPr>
        <w:t>夜间施工照明电源和手持照明灯具的照明电源电压≤</w:t>
      </w:r>
      <w:r>
        <w:rPr>
          <w:rFonts w:ascii="Times New Roman" w:eastAsia="Times New Roman" w:hAnsi="Times New Roman"/>
          <w:spacing w:val="-2"/>
        </w:rPr>
        <w:t>36V</w:t>
      </w:r>
      <w:r>
        <w:rPr>
          <w:spacing w:val="-2"/>
        </w:rPr>
        <w:t>。</w:t>
      </w:r>
      <w:r>
        <w:rPr>
          <w:spacing w:val="-2"/>
        </w:rPr>
        <w:t xml:space="preserve"> </w:t>
      </w:r>
      <w:r>
        <w:rPr>
          <w:spacing w:val="-2"/>
        </w:rPr>
        <w:t>危险场所、潮湿、易触及带电体的场所照明电源电压≤</w:t>
      </w:r>
      <w:r>
        <w:rPr>
          <w:rFonts w:ascii="Times New Roman" w:eastAsia="Times New Roman" w:hAnsi="Times New Roman"/>
          <w:spacing w:val="-2"/>
        </w:rPr>
        <w:t>24V</w:t>
      </w:r>
      <w:r>
        <w:rPr>
          <w:spacing w:val="-2"/>
        </w:rPr>
        <w:t>。</w:t>
      </w:r>
    </w:p>
    <w:p>
      <w:pPr>
        <w:pStyle w:val="BodyText"/>
        <w:spacing w:line="417" w:lineRule="auto"/>
        <w:ind w:left="141" w:right="364" w:firstLine="840"/>
      </w:pPr>
      <w:r>
        <w:rPr>
          <w:spacing w:val="-2"/>
        </w:rPr>
        <w:t>使用双座的碘钨灯支座应稳固，使用时必须水平安装，其倾斜度不</w:t>
      </w:r>
      <w:r>
        <w:rPr>
          <w:spacing w:val="-2"/>
        </w:rPr>
        <w:t>得超过±</w:t>
      </w:r>
      <w:r>
        <w:rPr>
          <w:rFonts w:ascii="Times New Roman" w:eastAsia="Times New Roman" w:hAnsi="Times New Roman"/>
          <w:spacing w:val="-2"/>
        </w:rPr>
        <w:t>5º</w:t>
      </w:r>
      <w:r>
        <w:rPr>
          <w:spacing w:val="-2"/>
        </w:rPr>
        <w:t>，并采取接地接零保护。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照明变压器严禁使用自耦变压器。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701"/>
      </w:pPr>
      <w:r>
        <w:rPr>
          <w:rFonts w:ascii="Times New Roman" w:eastAsia="Times New Roman"/>
        </w:rPr>
        <w:t>8</w:t>
      </w:r>
      <w:r>
        <w:rPr>
          <w:spacing w:val="-2"/>
        </w:rPr>
        <w:t>、用电管理：</w:t>
      </w:r>
    </w:p>
    <w:p>
      <w:pPr>
        <w:pStyle w:val="BodyText"/>
        <w:spacing w:before="265"/>
        <w:ind w:left="981"/>
      </w:pPr>
      <w:r>
        <w:rPr>
          <w:spacing w:val="-1"/>
        </w:rPr>
        <w:t>所有配电箱均应标明名称、用途、并有分路标记；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981" w:right="1204"/>
      </w:pPr>
      <w:r>
        <w:rPr>
          <w:spacing w:val="-2"/>
        </w:rPr>
        <w:t>所有配电箱每月检查、维修一次，并作好检查、维修记录；</w:t>
      </w:r>
      <w:r>
        <w:rPr>
          <w:spacing w:val="-2"/>
        </w:rPr>
        <w:t>维修人员必须是专业电工；停、送电必须由专人负责。</w:t>
      </w:r>
    </w:p>
    <w:p>
      <w:pPr>
        <w:pStyle w:val="BodyText"/>
        <w:spacing w:line="417" w:lineRule="auto"/>
        <w:ind w:left="141" w:right="364" w:firstLine="840"/>
      </w:pPr>
      <w:r>
        <w:rPr>
          <w:spacing w:val="-2"/>
        </w:rPr>
        <w:t>检修时必须将前一级相应开关分闸断电，并悬挂“禁止合闸，有人</w:t>
      </w:r>
      <w:r>
        <w:rPr>
          <w:spacing w:val="-2"/>
        </w:rPr>
        <w:t>工作”的标志牌；严禁带电作业。</w:t>
      </w:r>
    </w:p>
    <w:p>
      <w:pPr>
        <w:pStyle w:val="BodyText"/>
        <w:spacing w:line="358" w:lineRule="exact"/>
        <w:ind w:left="981"/>
      </w:pPr>
      <w:r>
        <w:rPr>
          <w:spacing w:val="-2"/>
        </w:rPr>
        <w:t>停电处理：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41" w:right="364" w:firstLine="560"/>
      </w:pPr>
      <w:r>
        <w:rPr>
          <w:spacing w:val="-2"/>
        </w:rPr>
        <w:t>突然停电应立即把所有用电设备的控制器拨至零位，并切断各级负荷</w:t>
      </w:r>
      <w:r>
        <w:rPr>
          <w:spacing w:val="-3"/>
        </w:rPr>
        <w:t xml:space="preserve">开关；停电作业 </w:t>
      </w:r>
      <w:r>
        <w:rPr>
          <w:rFonts w:ascii="Times New Roman" w:eastAsia="Times New Roman"/>
        </w:rPr>
        <w:t xml:space="preserve">1 </w:t>
      </w:r>
      <w:r>
        <w:t>小时以上，应将动力开关箱断电上锁。</w:t>
      </w:r>
    </w:p>
    <w:p>
      <w:pPr>
        <w:spacing w:after="0" w:line="417" w:lineRule="auto"/>
        <w:sectPr>
          <w:headerReference w:type="default" r:id="rId20"/>
          <w:footerReference w:type="default" r:id="rId21"/>
          <w:pgSz w:w="11910" w:h="16840"/>
          <w:pgMar w:top="1680" w:right="880" w:bottom="920" w:left="1560" w:header="889" w:footer="736"/>
          <w:pgNumType w:start="9"/>
          <w:cols w:space="708"/>
        </w:sectPr>
      </w:pPr>
    </w:p>
    <w:p>
      <w:pPr>
        <w:pStyle w:val="BodyText"/>
        <w:spacing w:before="145" w:line="417" w:lineRule="auto"/>
        <w:ind w:left="141" w:right="364" w:firstLine="560"/>
      </w:pPr>
      <w:r>
        <w:rPr>
          <w:spacing w:val="-2"/>
        </w:rPr>
        <w:t>本工程应配置柴油发电机组或备用应急电源，能满足：排水、连续浇</w:t>
      </w:r>
      <w:r>
        <w:rPr>
          <w:spacing w:val="-2"/>
        </w:rPr>
        <w:t>注砼作业和夜间照明用电需要。</w:t>
      </w:r>
    </w:p>
    <w:p>
      <w:pPr>
        <w:pStyle w:val="BodyText"/>
        <w:spacing w:line="358" w:lineRule="exact"/>
        <w:ind w:left="701"/>
      </w:pPr>
      <w:r>
        <w:rPr>
          <w:rFonts w:ascii="Times New Roman" w:eastAsia="Times New Roman"/>
        </w:rPr>
        <w:t>9</w:t>
      </w:r>
      <w:r>
        <w:rPr>
          <w:spacing w:val="-3"/>
        </w:rPr>
        <w:t>、其他：</w:t>
      </w:r>
    </w:p>
    <w:p>
      <w:pPr>
        <w:pStyle w:val="BodyText"/>
        <w:spacing w:before="265"/>
        <w:ind w:left="981"/>
      </w:pPr>
      <w:r>
        <w:rPr>
          <w:spacing w:val="-1"/>
        </w:rPr>
        <w:t>应配置灭火器，并保证消防通道畅通；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41" w:right="324" w:firstLine="840"/>
      </w:pPr>
      <w:r>
        <w:t>应采用干粉灭火器、</w:t>
      </w:r>
      <w:r>
        <w:rPr>
          <w:rFonts w:ascii="Times New Roman" w:eastAsia="Times New Roman"/>
        </w:rPr>
        <w:t>CO2</w:t>
      </w:r>
      <w:r>
        <w:rPr>
          <w:rFonts w:ascii="Times New Roman" w:eastAsia="Times New Roman"/>
          <w:spacing w:val="-18"/>
        </w:rPr>
        <w:t xml:space="preserve"> </w:t>
      </w:r>
      <w:r>
        <w:t>灭火器或用干砂灭火；严禁用水或泡沫灭</w:t>
      </w:r>
      <w:r>
        <w:rPr>
          <w:spacing w:val="-2"/>
        </w:rPr>
        <w:t>火器灭火；</w:t>
      </w:r>
    </w:p>
    <w:p>
      <w:pPr>
        <w:pStyle w:val="BodyText"/>
        <w:spacing w:line="358" w:lineRule="exact"/>
        <w:ind w:left="981"/>
      </w:pPr>
      <w:r>
        <w:rPr>
          <w:spacing w:val="-6"/>
        </w:rPr>
        <w:t xml:space="preserve">施工现场供电安全应符合 </w:t>
      </w:r>
      <w:r>
        <w:rPr>
          <w:rFonts w:ascii="Times New Roman" w:eastAsia="Times New Roman"/>
          <w:spacing w:val="-2"/>
        </w:rPr>
        <w:t>GB50194-</w:t>
      </w:r>
      <w:r>
        <w:rPr>
          <w:rFonts w:ascii="Times New Roman" w:eastAsia="Times New Roman"/>
          <w:spacing w:val="-5"/>
        </w:rPr>
        <w:t>93</w:t>
      </w:r>
      <w:r>
        <w:rPr>
          <w:spacing w:val="-5"/>
        </w:rPr>
        <w:t>；</w:t>
      </w:r>
    </w:p>
    <w:p>
      <w:pPr>
        <w:pStyle w:val="BodyText"/>
        <w:spacing w:before="265" w:line="417" w:lineRule="auto"/>
        <w:ind w:left="981" w:right="806"/>
      </w:pPr>
      <w:r>
        <w:rPr>
          <w:spacing w:val="-5"/>
        </w:rPr>
        <w:t xml:space="preserve">施工机械安全用电技术规程应符合 </w:t>
      </w:r>
      <w:r>
        <w:rPr>
          <w:rFonts w:ascii="Times New Roman" w:eastAsia="Times New Roman"/>
        </w:rPr>
        <w:t>JGJ33-2001</w:t>
      </w:r>
      <w:r>
        <w:rPr>
          <w:rFonts w:ascii="Times New Roman" w:eastAsia="Times New Roman"/>
          <w:spacing w:val="36"/>
        </w:rPr>
        <w:t xml:space="preserve"> </w:t>
      </w:r>
      <w:r>
        <w:t>，</w:t>
      </w:r>
      <w:r>
        <w:rPr>
          <w:rFonts w:ascii="Times New Roman" w:eastAsia="Times New Roman"/>
        </w:rPr>
        <w:t>JGJ46-2005</w:t>
      </w:r>
      <w:r>
        <w:t>；</w:t>
      </w:r>
      <w:r>
        <w:rPr>
          <w:spacing w:val="-4"/>
        </w:rPr>
        <w:t xml:space="preserve">施工安全检查标准应符合 </w:t>
      </w:r>
      <w:r>
        <w:rPr>
          <w:rFonts w:ascii="Times New Roman" w:eastAsia="Times New Roman"/>
        </w:rPr>
        <w:t>JGJ59-99</w:t>
      </w:r>
      <w:r>
        <w:t>。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36"/>
        </w:rPr>
      </w:pPr>
    </w:p>
    <w:p>
      <w:pPr>
        <w:pStyle w:val="Heading1"/>
        <w:tabs>
          <w:tab w:val="left" w:pos="2466"/>
        </w:tabs>
        <w:spacing w:before="1" w:line="794" w:lineRule="exact"/>
      </w:pPr>
      <w:bookmarkStart w:id="4" w:name="_TOC_250009"/>
      <w:r>
        <w:t>第</w:t>
      </w:r>
      <w:r>
        <w:t>二</w:t>
      </w:r>
      <w:r>
        <w:rPr>
          <w:spacing w:val="-10"/>
        </w:rPr>
        <w:t>篇</w:t>
      </w:r>
      <w:r>
        <w:tab/>
        <w:t>建</w:t>
      </w:r>
      <w:r>
        <w:t>筑</w:t>
      </w:r>
      <w:r>
        <w:t>电</w:t>
      </w:r>
      <w:r>
        <w:t>气</w:t>
      </w:r>
      <w:r>
        <w:t>分</w:t>
      </w:r>
      <w:r>
        <w:t>部</w:t>
      </w:r>
      <w:r>
        <w:t>工</w:t>
      </w:r>
      <w:r>
        <w:t>程</w:t>
      </w:r>
      <w:r>
        <w:t>监</w:t>
      </w:r>
      <w:r>
        <w:t>理</w:t>
      </w:r>
      <w:r>
        <w:t>实</w:t>
      </w:r>
      <w:r>
        <w:t>施</w:t>
      </w:r>
      <w:r>
        <w:t>细</w:t>
      </w:r>
      <w:bookmarkEnd w:id="4"/>
      <w:r>
        <w:rPr>
          <w:spacing w:val="-10"/>
        </w:rPr>
        <w:t>则</w:t>
      </w:r>
    </w:p>
    <w:p>
      <w:pPr>
        <w:pStyle w:val="Heading3"/>
        <w:spacing w:line="499" w:lineRule="exact"/>
      </w:pPr>
      <w:bookmarkStart w:id="5" w:name="_TOC_250008"/>
      <w:bookmarkEnd w:id="5"/>
      <w:r>
        <w:rPr>
          <w:spacing w:val="-2"/>
        </w:rPr>
        <w:t>一、专业工程概况</w:t>
      </w:r>
    </w:p>
    <w:p>
      <w:pPr>
        <w:pStyle w:val="BodyText"/>
        <w:spacing w:before="201" w:line="417" w:lineRule="auto"/>
        <w:ind w:left="141" w:right="112" w:firstLine="1120"/>
      </w:pPr>
      <w:r>
        <w:rPr>
          <w:spacing w:val="-19"/>
        </w:rPr>
        <w:t xml:space="preserve">配电方式：树干式，接地系统采用 </w:t>
      </w:r>
      <w:r>
        <w:rPr>
          <w:rFonts w:ascii="Times New Roman" w:eastAsia="Times New Roman" w:hAnsi="Times New Roman"/>
          <w:spacing w:val="-2"/>
        </w:rPr>
        <w:t>TN</w:t>
      </w:r>
      <w:r>
        <w:rPr>
          <w:spacing w:val="-2"/>
        </w:rPr>
        <w:t>—</w:t>
      </w:r>
      <w:r>
        <w:rPr>
          <w:rFonts w:ascii="Times New Roman" w:eastAsia="Times New Roman" w:hAnsi="Times New Roman"/>
          <w:spacing w:val="-2"/>
        </w:rPr>
        <w:t>C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spacing w:val="-2"/>
        </w:rPr>
        <w:t>系统。弱电以广播系统、</w:t>
      </w:r>
      <w:r>
        <w:rPr>
          <w:spacing w:val="-2"/>
        </w:rPr>
        <w:t>残疾卫生间报警系统。</w:t>
      </w:r>
    </w:p>
    <w:p>
      <w:pPr>
        <w:pStyle w:val="BodyText"/>
        <w:spacing w:line="358" w:lineRule="exact"/>
        <w:ind w:left="701"/>
      </w:pPr>
      <w:r>
        <w:rPr>
          <w:spacing w:val="-1"/>
        </w:rPr>
        <w:t>本工程将下列导体作为总等电位联结：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701"/>
      </w:pPr>
      <w:r>
        <w:rPr>
          <w:rFonts w:ascii="Times New Roman" w:eastAsia="Times New Roman"/>
        </w:rPr>
        <w:t>1</w:t>
      </w:r>
      <w:r>
        <w:t>、</w:t>
      </w:r>
      <w:r>
        <w:rPr>
          <w:rFonts w:ascii="Times New Roman" w:eastAsia="Times New Roman"/>
        </w:rPr>
        <w:t>PE</w:t>
      </w:r>
      <w:r>
        <w:t>、</w:t>
      </w:r>
      <w:r>
        <w:rPr>
          <w:rFonts w:ascii="Times New Roman" w:eastAsia="Times New Roman"/>
        </w:rPr>
        <w:t>PEN</w:t>
      </w:r>
      <w:r>
        <w:rPr>
          <w:rFonts w:ascii="Times New Roman" w:eastAsia="Times New Roman"/>
          <w:spacing w:val="-5"/>
        </w:rPr>
        <w:t xml:space="preserve"> </w:t>
      </w:r>
      <w:r>
        <w:rPr>
          <w:spacing w:val="-4"/>
        </w:rPr>
        <w:t>干线；</w:t>
      </w:r>
    </w:p>
    <w:p>
      <w:pPr>
        <w:pStyle w:val="BodyText"/>
        <w:spacing w:before="265"/>
        <w:ind w:left="701"/>
      </w:pPr>
      <w:r>
        <w:rPr>
          <w:rFonts w:ascii="Times New Roman" w:eastAsia="Times New Roman"/>
        </w:rPr>
        <w:t>2</w:t>
      </w:r>
      <w:r>
        <w:rPr>
          <w:spacing w:val="-1"/>
        </w:rPr>
        <w:t>、电气装置接地极的接地干线；</w:t>
      </w:r>
    </w:p>
    <w:p>
      <w:pPr>
        <w:pStyle w:val="BodyText"/>
        <w:spacing w:before="266"/>
        <w:ind w:left="701"/>
      </w:pPr>
      <w:r>
        <w:rPr>
          <w:rFonts w:ascii="Times New Roman" w:eastAsia="Times New Roman"/>
        </w:rPr>
        <w:t>3</w:t>
      </w:r>
      <w:r>
        <w:rPr>
          <w:spacing w:val="-1"/>
        </w:rPr>
        <w:t>、建筑物内水、门窗等金属件。</w:t>
      </w:r>
    </w:p>
    <w:p>
      <w:pPr>
        <w:pStyle w:val="BodyText"/>
        <w:spacing w:before="265"/>
        <w:ind w:left="701"/>
      </w:pPr>
      <w:r>
        <w:rPr>
          <w:rFonts w:ascii="Times New Roman" w:eastAsia="Times New Roman"/>
        </w:rPr>
        <w:t>4</w:t>
      </w:r>
      <w:r>
        <w:rPr>
          <w:spacing w:val="-1"/>
        </w:rPr>
        <w:t>、条件许可的建筑物金属构件等导电体。</w:t>
      </w:r>
    </w:p>
    <w:p>
      <w:pPr>
        <w:spacing w:after="0"/>
        <w:sectPr>
          <w:headerReference w:type="default" r:id="rId22"/>
          <w:footerReference w:type="default" r:id="rId23"/>
          <w:pgSz w:w="11910" w:h="16840"/>
          <w:pgMar w:top="1680" w:right="880" w:bottom="920" w:left="1560" w:header="889" w:footer="736"/>
          <w:pgNumType w:start="10"/>
          <w:cols w:space="708"/>
        </w:sectPr>
      </w:pPr>
    </w:p>
    <w:p>
      <w:pPr>
        <w:pStyle w:val="BodyText"/>
        <w:spacing w:before="145" w:line="417" w:lineRule="auto"/>
        <w:ind w:left="141" w:right="252" w:firstLine="5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46.75pt;height:384.5pt;margin-top:62.91pt;margin-left:88.45pt;mso-position-horizontal-relative:page;position:absolute;z-index:251659264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87"/>
                    <w:gridCol w:w="7738"/>
                  </w:tblGrid>
                  <w:tr>
                    <w:tblPrEx>
                      <w:tblW w:w="0" w:type="auto"/>
                      <w:jc w:val="left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63"/>
                          <w:ind w:left="338" w:right="3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序号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3375" w:right="33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>分项工程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成套配电箱、控制柜、安装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电线导管、电缆导管及线槽敷设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电线、电缆穿管及线槽敷线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电缆头制作、接线和线路绝缘测试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开关、插座、安装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普通（特殊）</w:t>
                        </w:r>
                        <w:r>
                          <w:rPr>
                            <w:spacing w:val="-3"/>
                            <w:sz w:val="24"/>
                          </w:rPr>
                          <w:t>灯具安装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建筑物照明通电试运行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接地装置安装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避雷引下线、变配电室接地干线敷设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338" w:right="328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接闪器安装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30"/>
                      <w:jc w:val="left"/>
                    </w:trPr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before="177"/>
                          <w:ind w:left="338" w:right="328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738" w:type="dxa"/>
                      </w:tcPr>
                      <w:p>
                        <w:pPr>
                          <w:pStyle w:val="TableParagraph"/>
                          <w:spacing w:before="163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建筑物等电位联结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pacing w:val="-2"/>
        </w:rPr>
        <w:t>本建筑电气安装分部工程含供电干线、弱电、电气照明、防雷接地四</w:t>
      </w:r>
      <w:r>
        <w:rPr>
          <w:spacing w:val="-2"/>
        </w:rPr>
        <w:t>个子分部工程。子分部工程中各分项工程检验批的划分如下表：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32"/>
        </w:rPr>
      </w:pPr>
    </w:p>
    <w:p>
      <w:pPr>
        <w:pStyle w:val="Heading3"/>
        <w:spacing w:before="1"/>
      </w:pPr>
      <w:bookmarkStart w:id="6" w:name="_TOC_250007"/>
      <w:bookmarkEnd w:id="6"/>
      <w:r>
        <w:rPr>
          <w:spacing w:val="-1"/>
        </w:rPr>
        <w:t>二、应执行的主要标准、规范</w:t>
      </w:r>
    </w:p>
    <w:p>
      <w:pPr>
        <w:pStyle w:val="BodyText"/>
        <w:spacing w:before="201"/>
        <w:ind w:left="561"/>
      </w:pPr>
      <w:r>
        <w:rPr>
          <w:spacing w:val="-3"/>
        </w:rPr>
        <w:t>规范类：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val="left" w:pos="2861"/>
        </w:tabs>
        <w:spacing w:line="417" w:lineRule="auto"/>
        <w:ind w:left="421" w:right="1281"/>
      </w:pPr>
      <w:r>
        <w:rPr>
          <w:rFonts w:ascii="Times New Roman" w:eastAsia="Times New Roman"/>
          <w:spacing w:val="-2"/>
        </w:rPr>
        <w:t>GB50300-2001</w:t>
      </w:r>
      <w:r>
        <w:rPr>
          <w:rFonts w:ascii="Times New Roman" w:eastAsia="Times New Roman"/>
        </w:rPr>
        <w:tab/>
      </w:r>
      <w:r>
        <w:rPr>
          <w:spacing w:val="-2"/>
        </w:rPr>
        <w:t>建</w:t>
      </w:r>
      <w:r>
        <w:rPr>
          <w:spacing w:val="-2"/>
        </w:rPr>
        <w:t>筑</w:t>
      </w:r>
      <w:r>
        <w:rPr>
          <w:spacing w:val="-2"/>
        </w:rPr>
        <w:t>工</w:t>
      </w:r>
      <w:r>
        <w:rPr>
          <w:spacing w:val="-2"/>
        </w:rPr>
        <w:t>程</w:t>
      </w:r>
      <w:r>
        <w:rPr>
          <w:spacing w:val="-2"/>
        </w:rPr>
        <w:t>施</w:t>
      </w:r>
      <w:r>
        <w:rPr>
          <w:spacing w:val="-2"/>
        </w:rPr>
        <w:t>工</w:t>
      </w:r>
      <w:r>
        <w:rPr>
          <w:spacing w:val="-2"/>
        </w:rPr>
        <w:t>质</w:t>
      </w:r>
      <w:r>
        <w:rPr>
          <w:spacing w:val="-2"/>
        </w:rPr>
        <w:t>量</w:t>
      </w:r>
      <w:r>
        <w:rPr>
          <w:spacing w:val="-2"/>
        </w:rPr>
        <w:t>验</w:t>
      </w:r>
      <w:r>
        <w:rPr>
          <w:spacing w:val="-2"/>
        </w:rPr>
        <w:t>收</w:t>
      </w:r>
      <w:r>
        <w:rPr>
          <w:spacing w:val="-2"/>
        </w:rPr>
        <w:t>统</w:t>
      </w:r>
      <w:r>
        <w:rPr>
          <w:spacing w:val="-2"/>
        </w:rPr>
        <w:t>一</w:t>
      </w:r>
      <w:r>
        <w:rPr>
          <w:spacing w:val="-2"/>
        </w:rPr>
        <w:t>标</w:t>
      </w:r>
      <w:r>
        <w:rPr>
          <w:spacing w:val="-2"/>
        </w:rPr>
        <w:t>准</w:t>
      </w:r>
      <w:r>
        <w:rPr>
          <w:spacing w:val="-2"/>
        </w:rPr>
        <w:t xml:space="preserve">； </w:t>
      </w:r>
      <w:r>
        <w:rPr>
          <w:rFonts w:ascii="Times New Roman" w:eastAsia="Times New Roman"/>
          <w:spacing w:val="-2"/>
        </w:rPr>
        <w:t>GB50303-2002</w:t>
      </w:r>
      <w:r>
        <w:rPr>
          <w:rFonts w:ascii="Times New Roman" w:eastAsia="Times New Roman"/>
        </w:rPr>
        <w:tab/>
      </w:r>
      <w:r>
        <w:rPr>
          <w:spacing w:val="-2"/>
        </w:rPr>
        <w:t>建</w:t>
      </w:r>
      <w:r>
        <w:rPr>
          <w:spacing w:val="-2"/>
        </w:rPr>
        <w:t>筑</w:t>
      </w:r>
      <w:r>
        <w:rPr>
          <w:spacing w:val="-2"/>
        </w:rPr>
        <w:t>电</w:t>
      </w:r>
      <w:r>
        <w:rPr>
          <w:spacing w:val="-2"/>
        </w:rPr>
        <w:t>气</w:t>
      </w:r>
      <w:r>
        <w:rPr>
          <w:spacing w:val="-2"/>
        </w:rPr>
        <w:t>工</w:t>
      </w:r>
      <w:r>
        <w:rPr>
          <w:spacing w:val="-2"/>
        </w:rPr>
        <w:t>程</w:t>
      </w:r>
      <w:r>
        <w:rPr>
          <w:spacing w:val="-2"/>
        </w:rPr>
        <w:t>施</w:t>
      </w:r>
      <w:r>
        <w:rPr>
          <w:spacing w:val="-2"/>
        </w:rPr>
        <w:t>工</w:t>
      </w:r>
      <w:r>
        <w:rPr>
          <w:spacing w:val="-2"/>
        </w:rPr>
        <w:t>质</w:t>
      </w:r>
      <w:r>
        <w:rPr>
          <w:spacing w:val="-2"/>
        </w:rPr>
        <w:t>量</w:t>
      </w:r>
      <w:r>
        <w:rPr>
          <w:spacing w:val="-2"/>
        </w:rPr>
        <w:t>验</w:t>
      </w:r>
      <w:r>
        <w:rPr>
          <w:spacing w:val="-2"/>
        </w:rPr>
        <w:t>收</w:t>
      </w:r>
      <w:r>
        <w:rPr>
          <w:spacing w:val="-2"/>
        </w:rPr>
        <w:t>规</w:t>
      </w:r>
      <w:r>
        <w:rPr>
          <w:spacing w:val="-2"/>
        </w:rPr>
        <w:t>范</w:t>
      </w:r>
      <w:r>
        <w:rPr>
          <w:spacing w:val="-2"/>
        </w:rPr>
        <w:t xml:space="preserve">； </w:t>
      </w:r>
      <w:r>
        <w:rPr>
          <w:rFonts w:ascii="Times New Roman" w:eastAsia="Times New Roman"/>
          <w:spacing w:val="-2"/>
        </w:rPr>
        <w:t>GB50150-91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  <w:spacing w:val="-70"/>
        </w:rPr>
        <w:t xml:space="preserve"> </w:t>
      </w:r>
      <w:r>
        <w:rPr>
          <w:spacing w:val="-2"/>
        </w:rPr>
        <w:t>电</w:t>
      </w:r>
      <w:r>
        <w:rPr>
          <w:spacing w:val="-2"/>
        </w:rPr>
        <w:t>气</w:t>
      </w:r>
      <w:r>
        <w:rPr>
          <w:spacing w:val="-2"/>
        </w:rPr>
        <w:t>装</w:t>
      </w:r>
      <w:r>
        <w:rPr>
          <w:spacing w:val="-2"/>
        </w:rPr>
        <w:t>置</w:t>
      </w:r>
      <w:r>
        <w:rPr>
          <w:spacing w:val="-2"/>
        </w:rPr>
        <w:t>安</w:t>
      </w:r>
      <w:r>
        <w:rPr>
          <w:spacing w:val="-2"/>
        </w:rPr>
        <w:t>装</w:t>
      </w:r>
      <w:r>
        <w:rPr>
          <w:spacing w:val="-2"/>
        </w:rPr>
        <w:t>工</w:t>
      </w:r>
      <w:r>
        <w:rPr>
          <w:spacing w:val="-2"/>
        </w:rPr>
        <w:t>程</w:t>
      </w:r>
      <w:r>
        <w:rPr>
          <w:spacing w:val="-2"/>
        </w:rPr>
        <w:t>电</w:t>
      </w:r>
      <w:r>
        <w:rPr>
          <w:spacing w:val="-2"/>
        </w:rPr>
        <w:t>气</w:t>
      </w:r>
      <w:r>
        <w:rPr>
          <w:spacing w:val="-2"/>
        </w:rPr>
        <w:t>设</w:t>
      </w:r>
      <w:r>
        <w:rPr>
          <w:spacing w:val="-2"/>
        </w:rPr>
        <w:t>备</w:t>
      </w:r>
      <w:r>
        <w:rPr>
          <w:spacing w:val="-2"/>
        </w:rPr>
        <w:t>交</w:t>
      </w:r>
      <w:r>
        <w:rPr>
          <w:spacing w:val="-2"/>
        </w:rPr>
        <w:t>接</w:t>
      </w:r>
      <w:r>
        <w:rPr>
          <w:spacing w:val="-2"/>
        </w:rPr>
        <w:t>试</w:t>
      </w:r>
      <w:r>
        <w:rPr>
          <w:spacing w:val="-2"/>
        </w:rPr>
        <w:t>验</w:t>
      </w:r>
      <w:r>
        <w:rPr>
          <w:spacing w:val="-2"/>
        </w:rPr>
        <w:t>标</w:t>
      </w:r>
      <w:r>
        <w:rPr>
          <w:spacing w:val="-2"/>
        </w:rPr>
        <w:t>准</w:t>
      </w:r>
      <w:r>
        <w:rPr>
          <w:spacing w:val="-2"/>
        </w:rPr>
        <w:t>；</w:t>
      </w:r>
    </w:p>
    <w:p>
      <w:pPr>
        <w:pStyle w:val="BodyText"/>
        <w:tabs>
          <w:tab w:val="left" w:pos="2092"/>
          <w:tab w:val="left" w:pos="2792"/>
          <w:tab w:val="left" w:pos="2862"/>
        </w:tabs>
        <w:spacing w:line="417" w:lineRule="auto"/>
        <w:ind w:left="351" w:right="113" w:firstLine="70"/>
      </w:pPr>
      <w:r>
        <w:rPr>
          <w:rFonts w:ascii="Times New Roman" w:eastAsia="Times New Roman"/>
          <w:spacing w:val="-2"/>
        </w:rPr>
        <w:t>GB50168-92</w:t>
      </w:r>
      <w:r>
        <w:rPr>
          <w:rFonts w:ascii="Times New Roman" w:eastAsia="Times New Roman"/>
        </w:rPr>
        <w:tab/>
        <w:tab/>
        <w:tab/>
      </w:r>
      <w:r>
        <w:rPr>
          <w:spacing w:val="-2"/>
        </w:rPr>
        <w:t>电</w:t>
      </w:r>
      <w:r>
        <w:rPr>
          <w:spacing w:val="-2"/>
        </w:rPr>
        <w:t>气</w:t>
      </w:r>
      <w:r>
        <w:rPr>
          <w:spacing w:val="-2"/>
        </w:rPr>
        <w:t>装</w:t>
      </w:r>
      <w:r>
        <w:rPr>
          <w:spacing w:val="-2"/>
        </w:rPr>
        <w:t>置</w:t>
      </w:r>
      <w:r>
        <w:rPr>
          <w:spacing w:val="-2"/>
        </w:rPr>
        <w:t>安</w:t>
      </w:r>
      <w:r>
        <w:rPr>
          <w:spacing w:val="-2"/>
        </w:rPr>
        <w:t>装</w:t>
      </w:r>
      <w:r>
        <w:rPr>
          <w:spacing w:val="-2"/>
        </w:rPr>
        <w:t>工</w:t>
      </w:r>
      <w:r>
        <w:rPr>
          <w:spacing w:val="-2"/>
        </w:rPr>
        <w:t>程</w:t>
      </w:r>
      <w:r>
        <w:rPr>
          <w:spacing w:val="-2"/>
        </w:rPr>
        <w:t>电</w:t>
      </w:r>
      <w:r>
        <w:rPr>
          <w:spacing w:val="-2"/>
        </w:rPr>
        <w:t>缆</w:t>
      </w:r>
      <w:r>
        <w:rPr>
          <w:spacing w:val="-2"/>
        </w:rPr>
        <w:t>线</w:t>
      </w:r>
      <w:r>
        <w:rPr>
          <w:spacing w:val="-2"/>
        </w:rPr>
        <w:t>路</w:t>
      </w:r>
      <w:r>
        <w:rPr>
          <w:spacing w:val="-2"/>
        </w:rPr>
        <w:t>施</w:t>
      </w:r>
      <w:r>
        <w:rPr>
          <w:spacing w:val="-2"/>
        </w:rPr>
        <w:t>工</w:t>
      </w:r>
      <w:r>
        <w:rPr>
          <w:spacing w:val="-2"/>
        </w:rPr>
        <w:t>及</w:t>
      </w:r>
      <w:r>
        <w:rPr>
          <w:spacing w:val="-2"/>
        </w:rPr>
        <w:t>验</w:t>
      </w:r>
      <w:r>
        <w:rPr>
          <w:spacing w:val="-2"/>
        </w:rPr>
        <w:t>收</w:t>
      </w:r>
      <w:r>
        <w:rPr>
          <w:spacing w:val="-2"/>
        </w:rPr>
        <w:t>规</w:t>
      </w:r>
      <w:r>
        <w:rPr>
          <w:spacing w:val="-2"/>
        </w:rPr>
        <w:t>范</w:t>
      </w:r>
      <w:r>
        <w:rPr>
          <w:spacing w:val="-2"/>
        </w:rPr>
        <w:t xml:space="preserve">； </w:t>
      </w:r>
      <w:r>
        <w:rPr>
          <w:rFonts w:ascii="Times New Roman" w:eastAsia="Times New Roman"/>
          <w:spacing w:val="-2"/>
        </w:rPr>
        <w:t>GB50169-92</w:t>
      </w:r>
      <w:r>
        <w:rPr>
          <w:rFonts w:ascii="Times New Roman" w:eastAsia="Times New Roman"/>
        </w:rPr>
        <w:tab/>
        <w:tab/>
      </w:r>
      <w:r>
        <w:rPr>
          <w:spacing w:val="-2"/>
        </w:rPr>
        <w:t>电</w:t>
      </w:r>
      <w:r>
        <w:rPr>
          <w:spacing w:val="-2"/>
        </w:rPr>
        <w:t>气</w:t>
      </w:r>
      <w:r>
        <w:rPr>
          <w:spacing w:val="-2"/>
        </w:rPr>
        <w:t>装</w:t>
      </w:r>
      <w:r>
        <w:rPr>
          <w:spacing w:val="-2"/>
        </w:rPr>
        <w:t>置</w:t>
      </w:r>
      <w:r>
        <w:rPr>
          <w:spacing w:val="-2"/>
        </w:rPr>
        <w:t>安</w:t>
      </w:r>
      <w:r>
        <w:rPr>
          <w:spacing w:val="-2"/>
        </w:rPr>
        <w:t>装</w:t>
      </w:r>
      <w:r>
        <w:rPr>
          <w:spacing w:val="-2"/>
        </w:rPr>
        <w:t>工</w:t>
      </w:r>
      <w:r>
        <w:rPr>
          <w:spacing w:val="-2"/>
        </w:rPr>
        <w:t>程</w:t>
      </w:r>
      <w:r>
        <w:rPr>
          <w:spacing w:val="-2"/>
        </w:rPr>
        <w:t>接</w:t>
      </w:r>
      <w:r>
        <w:rPr>
          <w:spacing w:val="-2"/>
        </w:rPr>
        <w:t>地</w:t>
      </w:r>
      <w:r>
        <w:rPr>
          <w:spacing w:val="-2"/>
        </w:rPr>
        <w:t>装</w:t>
      </w:r>
      <w:r>
        <w:rPr>
          <w:spacing w:val="-2"/>
        </w:rPr>
        <w:t>置</w:t>
      </w:r>
      <w:r>
        <w:rPr>
          <w:spacing w:val="-2"/>
        </w:rPr>
        <w:t>施</w:t>
      </w:r>
      <w:r>
        <w:rPr>
          <w:spacing w:val="-2"/>
        </w:rPr>
        <w:t>工</w:t>
      </w:r>
      <w:r>
        <w:rPr>
          <w:spacing w:val="-2"/>
        </w:rPr>
        <w:t>及</w:t>
      </w:r>
      <w:r>
        <w:rPr>
          <w:spacing w:val="-2"/>
        </w:rPr>
        <w:t>验</w:t>
      </w:r>
      <w:r>
        <w:rPr>
          <w:spacing w:val="-2"/>
        </w:rPr>
        <w:t>收</w:t>
      </w:r>
      <w:r>
        <w:rPr>
          <w:spacing w:val="-2"/>
        </w:rPr>
        <w:t>规</w:t>
      </w:r>
      <w:r>
        <w:rPr>
          <w:spacing w:val="-2"/>
        </w:rPr>
        <w:t>范</w:t>
      </w:r>
      <w:r>
        <w:rPr>
          <w:spacing w:val="-2"/>
        </w:rPr>
        <w:t xml:space="preserve">； </w:t>
      </w:r>
      <w:r>
        <w:rPr>
          <w:rFonts w:ascii="Times New Roman" w:eastAsia="Times New Roman"/>
          <w:spacing w:val="-2"/>
        </w:rPr>
        <w:t>GB50171-92</w:t>
      </w:r>
      <w:r>
        <w:rPr>
          <w:rFonts w:ascii="Times New Roman" w:eastAsia="Times New Roman"/>
        </w:rPr>
        <w:tab/>
      </w:r>
      <w:r>
        <w:rPr>
          <w:spacing w:val="-2"/>
        </w:rPr>
        <w:t>电</w:t>
      </w:r>
      <w:r>
        <w:rPr>
          <w:spacing w:val="-2"/>
        </w:rPr>
        <w:t>气</w:t>
      </w:r>
      <w:r>
        <w:rPr>
          <w:spacing w:val="-2"/>
        </w:rPr>
        <w:t>装</w:t>
      </w:r>
      <w:r>
        <w:rPr>
          <w:spacing w:val="-2"/>
        </w:rPr>
        <w:t>置</w:t>
      </w:r>
      <w:r>
        <w:rPr>
          <w:spacing w:val="-2"/>
        </w:rPr>
        <w:t>安</w:t>
      </w:r>
      <w:r>
        <w:rPr>
          <w:spacing w:val="-2"/>
        </w:rPr>
        <w:t>装</w:t>
      </w:r>
      <w:r>
        <w:rPr>
          <w:spacing w:val="-2"/>
        </w:rPr>
        <w:t>工</w:t>
      </w:r>
      <w:r>
        <w:rPr>
          <w:spacing w:val="-2"/>
        </w:rPr>
        <w:t>程</w:t>
      </w:r>
      <w:r>
        <w:rPr>
          <w:spacing w:val="-2"/>
        </w:rPr>
        <w:t>盘</w:t>
      </w:r>
      <w:r>
        <w:rPr>
          <w:spacing w:val="-2"/>
        </w:rPr>
        <w:t>、</w:t>
      </w:r>
      <w:r>
        <w:rPr>
          <w:spacing w:val="-2"/>
        </w:rPr>
        <w:t>柜</w:t>
      </w:r>
      <w:r>
        <w:rPr>
          <w:spacing w:val="-2"/>
        </w:rPr>
        <w:t>及</w:t>
      </w:r>
      <w:r>
        <w:rPr>
          <w:spacing w:val="-2"/>
        </w:rPr>
        <w:t>二</w:t>
      </w:r>
      <w:r>
        <w:rPr>
          <w:spacing w:val="-2"/>
        </w:rPr>
        <w:t>次</w:t>
      </w:r>
      <w:r>
        <w:rPr>
          <w:spacing w:val="-2"/>
        </w:rPr>
        <w:t>回</w:t>
      </w:r>
      <w:r>
        <w:rPr>
          <w:spacing w:val="-2"/>
        </w:rPr>
        <w:t>路</w:t>
      </w:r>
      <w:r>
        <w:rPr>
          <w:spacing w:val="-2"/>
        </w:rPr>
        <w:t>结</w:t>
      </w:r>
      <w:r>
        <w:rPr>
          <w:spacing w:val="-2"/>
        </w:rPr>
        <w:t>线</w:t>
      </w:r>
      <w:r>
        <w:rPr>
          <w:spacing w:val="-2"/>
        </w:rPr>
        <w:t>施</w:t>
      </w:r>
      <w:r>
        <w:rPr>
          <w:spacing w:val="-2"/>
        </w:rPr>
        <w:t>工</w:t>
      </w:r>
      <w:r>
        <w:rPr>
          <w:spacing w:val="-2"/>
        </w:rPr>
        <w:t>及</w:t>
      </w:r>
      <w:r>
        <w:rPr>
          <w:spacing w:val="-2"/>
        </w:rPr>
        <w:t>验</w:t>
      </w:r>
      <w:r>
        <w:rPr>
          <w:spacing w:val="-2"/>
        </w:rPr>
        <w:t>收</w:t>
      </w:r>
      <w:r>
        <w:rPr>
          <w:spacing w:val="-2"/>
        </w:rPr>
        <w:t>规</w:t>
      </w:r>
      <w:r>
        <w:rPr>
          <w:spacing w:val="-2"/>
        </w:rPr>
        <w:t>范</w:t>
      </w:r>
      <w:r>
        <w:rPr>
          <w:spacing w:val="-2"/>
        </w:rPr>
        <w:t>；</w:t>
      </w:r>
    </w:p>
    <w:p>
      <w:pPr>
        <w:spacing w:after="0" w:line="417" w:lineRule="auto"/>
        <w:sectPr>
          <w:headerReference w:type="default" r:id="rId24"/>
          <w:footerReference w:type="default" r:id="rId25"/>
          <w:pgSz w:w="11910" w:h="16840"/>
          <w:pgMar w:top="1680" w:right="880" w:bottom="920" w:left="1560" w:header="889" w:footer="736"/>
          <w:pgNumType w:start="11"/>
          <w:cols w:space="708"/>
        </w:sectPr>
      </w:pPr>
    </w:p>
    <w:p>
      <w:pPr>
        <w:pStyle w:val="BodyText"/>
        <w:spacing w:before="145"/>
        <w:ind w:left="421"/>
      </w:pPr>
      <w:r>
        <w:rPr>
          <w:spacing w:val="-3"/>
        </w:rPr>
        <w:t>图集类：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tabs>
          <w:tab w:val="left" w:pos="3796"/>
        </w:tabs>
        <w:spacing w:before="1"/>
        <w:ind w:left="421"/>
      </w:pPr>
      <w:r>
        <w:rPr>
          <w:rFonts w:ascii="Times New Roman" w:eastAsia="Times New Roman"/>
        </w:rPr>
        <w:t>94D101-</w:t>
      </w:r>
      <w:r>
        <w:rPr>
          <w:rFonts w:ascii="Times New Roman" w:eastAsia="Times New Roman"/>
          <w:spacing w:val="-10"/>
        </w:rPr>
        <w:t>5</w:t>
      </w:r>
      <w:r>
        <w:rPr>
          <w:rFonts w:ascii="Times New Roman" w:eastAsia="Times New Roman"/>
        </w:rPr>
        <w:tab/>
        <w:t xml:space="preserve">35KV </w:t>
      </w:r>
      <w:r>
        <w:rPr>
          <w:spacing w:val="-1"/>
        </w:rPr>
        <w:t>及以下电缆线路敷设；</w:t>
      </w:r>
    </w:p>
    <w:p>
      <w:pPr>
        <w:pStyle w:val="BodyText"/>
        <w:tabs>
          <w:tab w:val="left" w:pos="3796"/>
        </w:tabs>
        <w:spacing w:before="265"/>
        <w:ind w:left="421"/>
      </w:pPr>
      <w:r>
        <w:rPr>
          <w:rFonts w:ascii="Times New Roman" w:eastAsia="Times New Roman"/>
        </w:rPr>
        <w:t>03D301-</w:t>
      </w:r>
      <w:r>
        <w:rPr>
          <w:rFonts w:ascii="Times New Roman" w:eastAsia="Times New Roman"/>
          <w:spacing w:val="-10"/>
        </w:rPr>
        <w:t>3</w:t>
      </w:r>
      <w:r>
        <w:rPr>
          <w:rFonts w:ascii="Times New Roman" w:eastAsia="Times New Roman"/>
        </w:rPr>
        <w:tab/>
      </w:r>
      <w:r>
        <w:rPr>
          <w:spacing w:val="-2"/>
        </w:rPr>
        <w:t>钢管配线安装；</w:t>
      </w:r>
    </w:p>
    <w:p>
      <w:pPr>
        <w:pStyle w:val="BodyText"/>
        <w:tabs>
          <w:tab w:val="left" w:pos="2395"/>
          <w:tab w:val="left" w:pos="8582"/>
        </w:tabs>
        <w:spacing w:before="265"/>
        <w:ind w:left="141"/>
      </w:pPr>
      <w:r>
        <w:rPr>
          <w:rFonts w:ascii="Times New Roman" w:eastAsia="Times New Roman"/>
          <w:spacing w:val="-2"/>
        </w:rPr>
        <w:t>99</w:t>
      </w:r>
      <w:r>
        <w:rPr>
          <w:spacing w:val="-2"/>
        </w:rPr>
        <w:t>（</w:t>
      </w:r>
      <w:r>
        <w:rPr>
          <w:rFonts w:ascii="Times New Roman" w:eastAsia="Times New Roman"/>
          <w:spacing w:val="-2"/>
        </w:rPr>
        <w:t>03</w:t>
      </w:r>
      <w:r>
        <w:rPr>
          <w:spacing w:val="-2"/>
        </w:rPr>
        <w:t>）</w:t>
      </w:r>
      <w:r>
        <w:rPr>
          <w:rFonts w:ascii="Times New Roman" w:eastAsia="Times New Roman"/>
          <w:spacing w:val="-2"/>
        </w:rPr>
        <w:t>D501-</w:t>
      </w:r>
      <w:r>
        <w:rPr>
          <w:rFonts w:ascii="Times New Roman" w:eastAsia="Times New Roman"/>
          <w:spacing w:val="-10"/>
        </w:rPr>
        <w:t>1</w:t>
      </w:r>
      <w:r>
        <w:rPr>
          <w:rFonts w:ascii="Times New Roman" w:eastAsia="Times New Roman"/>
        </w:rPr>
        <w:tab/>
      </w:r>
      <w:r>
        <w:t>建筑物防雷设施安装</w:t>
      </w:r>
      <w:r>
        <w:rPr>
          <w:spacing w:val="-70"/>
        </w:rPr>
        <w:t xml:space="preserve"> </w:t>
      </w:r>
      <w:r>
        <w:rPr>
          <w:rFonts w:ascii="Times New Roman" w:eastAsia="Times New Roman"/>
        </w:rPr>
        <w:t xml:space="preserve">2003 </w:t>
      </w:r>
      <w:r>
        <w:t>年局部修改版</w:t>
      </w:r>
      <w:r>
        <w:rPr>
          <w:spacing w:val="-2"/>
        </w:rPr>
        <w:t>（</w:t>
      </w:r>
      <w:r>
        <w:rPr>
          <w:rFonts w:ascii="Times New Roman" w:eastAsia="Times New Roman"/>
          <w:spacing w:val="-2"/>
        </w:rPr>
        <w:t>P2~30</w:t>
      </w:r>
      <w:r>
        <w:rPr>
          <w:rFonts w:ascii="Times New Roman" w:eastAsia="Times New Roman"/>
        </w:rPr>
        <w:tab/>
        <w:t xml:space="preserve">I </w:t>
      </w:r>
      <w:r>
        <w:t>型</w:t>
      </w:r>
      <w:r>
        <w:rPr>
          <w:spacing w:val="-10"/>
        </w:rPr>
        <w:t>）</w:t>
      </w:r>
    </w:p>
    <w:p>
      <w:pPr>
        <w:pStyle w:val="BodyText"/>
        <w:tabs>
          <w:tab w:val="left" w:pos="3936"/>
        </w:tabs>
        <w:spacing w:before="265"/>
        <w:ind w:left="421"/>
      </w:pPr>
      <w:r>
        <w:rPr>
          <w:rFonts w:ascii="Times New Roman" w:eastAsia="Times New Roman"/>
        </w:rPr>
        <w:t>02D501-</w:t>
      </w:r>
      <w:r>
        <w:rPr>
          <w:rFonts w:ascii="Times New Roman" w:eastAsia="Times New Roman"/>
          <w:spacing w:val="-10"/>
        </w:rPr>
        <w:t>2</w:t>
      </w:r>
      <w:r>
        <w:rPr>
          <w:rFonts w:ascii="Times New Roman" w:eastAsia="Times New Roman"/>
        </w:rPr>
        <w:tab/>
      </w:r>
      <w:r>
        <w:rPr>
          <w:spacing w:val="-2"/>
        </w:rPr>
        <w:t>等电位联结安装；</w:t>
      </w:r>
    </w:p>
    <w:p>
      <w:pPr>
        <w:pStyle w:val="BodyText"/>
        <w:tabs>
          <w:tab w:val="left" w:pos="3936"/>
        </w:tabs>
        <w:spacing w:before="266"/>
        <w:ind w:left="421"/>
      </w:pPr>
      <w:r>
        <w:rPr>
          <w:rFonts w:ascii="Times New Roman" w:eastAsia="Times New Roman"/>
        </w:rPr>
        <w:t>03D501-</w:t>
      </w:r>
      <w:r>
        <w:rPr>
          <w:rFonts w:ascii="Times New Roman" w:eastAsia="Times New Roman"/>
          <w:spacing w:val="-10"/>
        </w:rPr>
        <w:t>3</w:t>
      </w:r>
      <w:r>
        <w:rPr>
          <w:rFonts w:ascii="Times New Roman" w:eastAsia="Times New Roman"/>
        </w:rPr>
        <w:tab/>
      </w:r>
      <w:r>
        <w:rPr>
          <w:spacing w:val="-1"/>
        </w:rPr>
        <w:t>利用建筑物金属体做防雷及接地装置安装；</w:t>
      </w:r>
    </w:p>
    <w:p>
      <w:pPr>
        <w:pStyle w:val="BodyText"/>
        <w:tabs>
          <w:tab w:val="left" w:pos="3936"/>
          <w:tab w:val="left" w:pos="7567"/>
        </w:tabs>
        <w:spacing w:before="265"/>
        <w:ind w:left="421"/>
      </w:pPr>
      <w:r>
        <w:rPr>
          <w:rFonts w:ascii="Times New Roman" w:eastAsia="Times New Roman" w:hAnsi="Times New Roman"/>
        </w:rPr>
        <w:t>03D501-</w:t>
      </w:r>
      <w:r>
        <w:rPr>
          <w:rFonts w:ascii="Times New Roman" w:eastAsia="Times New Roman" w:hAnsi="Times New Roman"/>
          <w:spacing w:val="-10"/>
        </w:rPr>
        <w:t>4</w:t>
      </w:r>
      <w:r>
        <w:rPr>
          <w:rFonts w:ascii="Times New Roman" w:eastAsia="Times New Roman" w:hAnsi="Times New Roman"/>
        </w:rPr>
        <w:tab/>
      </w:r>
      <w:r>
        <w:rPr>
          <w:spacing w:val="-2"/>
        </w:rPr>
        <w:t>接</w:t>
      </w:r>
      <w:r>
        <w:rPr>
          <w:spacing w:val="-2"/>
        </w:rPr>
        <w:t>地</w:t>
      </w:r>
      <w:r>
        <w:rPr>
          <w:spacing w:val="-2"/>
        </w:rPr>
        <w:t>装</w:t>
      </w:r>
      <w:r>
        <w:rPr>
          <w:spacing w:val="-2"/>
        </w:rPr>
        <w:t>置</w:t>
      </w:r>
      <w:r>
        <w:rPr>
          <w:spacing w:val="-2"/>
        </w:rPr>
        <w:t>安</w:t>
      </w:r>
      <w:r>
        <w:rPr>
          <w:spacing w:val="-2"/>
        </w:rPr>
        <w:t>装</w:t>
      </w:r>
      <w:r>
        <w:rPr>
          <w:spacing w:val="-2"/>
        </w:rPr>
        <w:t>（</w:t>
      </w:r>
      <w:r>
        <w:rPr>
          <w:rFonts w:ascii="Times New Roman" w:eastAsia="Times New Roman" w:hAnsi="Times New Roman"/>
          <w:spacing w:val="-2"/>
        </w:rPr>
        <w:t>P</w:t>
      </w:r>
      <w:r>
        <w:rPr>
          <w:rFonts w:ascii="Times New Roman" w:eastAsia="Times New Roman" w:hAnsi="Times New Roman"/>
          <w:spacing w:val="-2"/>
          <w:vertAlign w:val="subscript"/>
        </w:rPr>
        <w:t>11</w:t>
      </w:r>
      <w:r>
        <w:rPr>
          <w:spacing w:val="-2"/>
          <w:vertAlign w:val="baseline"/>
        </w:rPr>
        <w:t>、</w:t>
      </w:r>
      <w:r>
        <w:rPr>
          <w:rFonts w:ascii="Times New Roman" w:eastAsia="Times New Roman" w:hAnsi="Times New Roman"/>
          <w:spacing w:val="-5"/>
          <w:vertAlign w:val="baseline"/>
        </w:rPr>
        <w:t>P</w:t>
      </w:r>
      <w:r>
        <w:rPr>
          <w:rFonts w:ascii="Times New Roman" w:eastAsia="Times New Roman" w:hAnsi="Times New Roman"/>
          <w:spacing w:val="-5"/>
          <w:vertAlign w:val="subscript"/>
        </w:rPr>
        <w:t>19</w:t>
      </w:r>
      <w:r>
        <w:rPr>
          <w:rFonts w:ascii="Times New Roman" w:eastAsia="Times New Roman" w:hAnsi="Times New Roman"/>
          <w:vertAlign w:val="baseline"/>
        </w:rPr>
        <w:tab/>
      </w:r>
      <w:r>
        <w:rPr>
          <w:vertAlign w:val="baseline"/>
        </w:rPr>
        <w:t>Ⅱ型</w:t>
      </w:r>
      <w:r>
        <w:rPr>
          <w:spacing w:val="-5"/>
          <w:vertAlign w:val="baseline"/>
        </w:rPr>
        <w:t>）；</w:t>
      </w:r>
    </w:p>
    <w:p>
      <w:pPr>
        <w:pStyle w:val="BodyText"/>
        <w:tabs>
          <w:tab w:val="left" w:pos="3499"/>
        </w:tabs>
        <w:spacing w:before="265"/>
        <w:ind w:left="393"/>
      </w:pPr>
      <w:r>
        <w:rPr>
          <w:rFonts w:ascii="Times New Roman" w:eastAsia="Times New Roman"/>
          <w:spacing w:val="-2"/>
        </w:rPr>
        <w:t>D702-</w:t>
      </w:r>
      <w:r>
        <w:rPr>
          <w:rFonts w:ascii="Times New Roman" w:eastAsia="Times New Roman"/>
          <w:spacing w:val="-5"/>
        </w:rPr>
        <w:t>1~3</w:t>
      </w:r>
      <w:r>
        <w:rPr>
          <w:rFonts w:ascii="Times New Roman" w:eastAsia="Times New Roman"/>
        </w:rPr>
        <w:tab/>
      </w:r>
      <w:r>
        <w:rPr>
          <w:spacing w:val="-1"/>
        </w:rPr>
        <w:t>常用低压配电设备安装；</w:t>
      </w:r>
    </w:p>
    <w:p>
      <w:pPr>
        <w:pStyle w:val="BodyText"/>
        <w:tabs>
          <w:tab w:val="left" w:pos="3639"/>
        </w:tabs>
        <w:spacing w:before="265"/>
        <w:ind w:left="393"/>
      </w:pPr>
      <w:r>
        <w:rPr>
          <w:rFonts w:ascii="Times New Roman" w:eastAsia="Times New Roman"/>
          <w:spacing w:val="-2"/>
        </w:rPr>
        <w:t>D401-</w:t>
      </w:r>
      <w:r>
        <w:rPr>
          <w:rFonts w:ascii="Times New Roman" w:eastAsia="Times New Roman"/>
          <w:spacing w:val="-5"/>
        </w:rPr>
        <w:t>1~3</w:t>
      </w:r>
      <w:r>
        <w:rPr>
          <w:rFonts w:ascii="Times New Roman" w:eastAsia="Times New Roman"/>
        </w:rPr>
        <w:tab/>
      </w:r>
      <w:r>
        <w:rPr>
          <w:spacing w:val="-2"/>
        </w:rPr>
        <w:t>车间线路安装；</w:t>
      </w:r>
    </w:p>
    <w:p>
      <w:pPr>
        <w:pStyle w:val="Heading3"/>
        <w:spacing w:before="173"/>
      </w:pPr>
      <w:bookmarkStart w:id="7" w:name="_TOC_250006"/>
      <w:bookmarkEnd w:id="7"/>
      <w:r>
        <w:rPr>
          <w:spacing w:val="-1"/>
        </w:rPr>
        <w:t>三、电气安装质量控制监理措施</w:t>
      </w:r>
    </w:p>
    <w:p>
      <w:pPr>
        <w:pStyle w:val="BodyText"/>
        <w:spacing w:before="202"/>
        <w:ind w:left="701"/>
      </w:pPr>
      <w:r>
        <w:rPr>
          <w:rFonts w:ascii="Times New Roman" w:eastAsia="Times New Roman"/>
        </w:rPr>
        <w:t>1</w:t>
      </w:r>
      <w:r>
        <w:rPr>
          <w:spacing w:val="-2"/>
        </w:rPr>
        <w:t>、施工准备阶段：</w:t>
      </w:r>
    </w:p>
    <w:p>
      <w:pPr>
        <w:pStyle w:val="BodyText"/>
        <w:spacing w:before="265" w:line="417" w:lineRule="auto"/>
        <w:ind w:left="141" w:right="252" w:firstLine="840"/>
      </w:pPr>
      <w:r>
        <w:rPr>
          <w:spacing w:val="-2"/>
        </w:rPr>
        <w:t>了解施工合同，熟悉监理合同、监理规划，明确本专业监理范围和</w:t>
      </w:r>
      <w:r>
        <w:rPr>
          <w:spacing w:val="-2"/>
        </w:rPr>
        <w:t>工作要求，熟悉本专业应执行的法规、标准、规范。</w:t>
      </w:r>
    </w:p>
    <w:p>
      <w:pPr>
        <w:pStyle w:val="BodyText"/>
        <w:spacing w:line="417" w:lineRule="auto"/>
        <w:ind w:left="141" w:right="252" w:firstLine="840"/>
      </w:pPr>
      <w:r>
        <w:rPr>
          <w:spacing w:val="-2"/>
        </w:rPr>
        <w:t>认真审核电施设计图，找出设计图纸中存在的问题，力求在设计交</w:t>
      </w:r>
      <w:r>
        <w:rPr>
          <w:spacing w:val="-2"/>
        </w:rPr>
        <w:t>底、图纸会审时得以解决。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认真做好电气专业的监理交底。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41" w:right="112" w:firstLine="840"/>
      </w:pPr>
      <w:r>
        <w:rPr>
          <w:spacing w:val="-2"/>
        </w:rPr>
        <w:t>审查电气安装单位资质，查验施工单位电气技术负责人、电气工长、</w:t>
      </w:r>
      <w:r>
        <w:rPr>
          <w:spacing w:val="-2"/>
        </w:rPr>
        <w:t>质检员的资格证和安装电工、焊工、电气调试人员的上岗证。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认真审查电气安装施工方案、技术交底技术文件。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41" w:right="252" w:firstLine="840"/>
        <w:jc w:val="both"/>
      </w:pPr>
      <w:r>
        <w:rPr>
          <w:spacing w:val="-2"/>
        </w:rPr>
        <w:t>协助业主编制非标配电箱、主要电气材料的订货质量要求，审查施</w:t>
      </w:r>
      <w:r>
        <w:rPr>
          <w:spacing w:val="-2"/>
        </w:rPr>
        <w:t>工单位提交的主要电气材料采购计划，严格执行工程材料进场报验制度，</w:t>
      </w:r>
      <w:r>
        <w:rPr>
          <w:spacing w:val="-2"/>
        </w:rPr>
        <w:t>严把进场材料质量关。</w:t>
      </w:r>
    </w:p>
    <w:p>
      <w:pPr>
        <w:spacing w:after="0" w:line="417" w:lineRule="auto"/>
        <w:jc w:val="both"/>
        <w:sectPr>
          <w:headerReference w:type="default" r:id="rId26"/>
          <w:footerReference w:type="default" r:id="rId27"/>
          <w:pgSz w:w="11910" w:h="16840"/>
          <w:pgMar w:top="1680" w:right="880" w:bottom="920" w:left="1560" w:header="889" w:footer="736"/>
          <w:pgNumType w:start="12"/>
          <w:cols w:space="708"/>
        </w:sectPr>
      </w:pPr>
    </w:p>
    <w:p>
      <w:pPr>
        <w:pStyle w:val="BodyText"/>
        <w:spacing w:before="145"/>
        <w:ind w:left="701"/>
      </w:pPr>
      <w:r>
        <w:rPr>
          <w:rFonts w:ascii="Times New Roman" w:eastAsia="Times New Roman"/>
        </w:rPr>
        <w:t>2</w:t>
      </w:r>
      <w:r>
        <w:rPr>
          <w:spacing w:val="-2"/>
        </w:rPr>
        <w:t>、施工阶段：</w:t>
      </w:r>
    </w:p>
    <w:p>
      <w:pPr>
        <w:pStyle w:val="BodyText"/>
        <w:spacing w:before="265" w:line="417" w:lineRule="auto"/>
        <w:ind w:left="141" w:right="252" w:firstLine="840"/>
        <w:jc w:val="both"/>
      </w:pPr>
      <w:r>
        <w:rPr>
          <w:spacing w:val="-2"/>
        </w:rPr>
        <w:t>深入现场巡视检查，监督施工单位严格按设计图纸、经批准的施工</w:t>
      </w:r>
      <w:r>
        <w:rPr>
          <w:spacing w:val="-2"/>
        </w:rPr>
        <w:t>方案施工，并对其施工程序、施工方法和执行施工工艺规程的情况实施监</w:t>
      </w:r>
      <w:r>
        <w:rPr>
          <w:spacing w:val="-2"/>
        </w:rPr>
        <w:t>控。及时发现施工质量问题，督其整改。</w:t>
      </w:r>
    </w:p>
    <w:p>
      <w:pPr>
        <w:pStyle w:val="BodyText"/>
        <w:spacing w:line="417" w:lineRule="auto"/>
        <w:ind w:left="141" w:right="252" w:firstLine="840"/>
      </w:pPr>
      <w:r>
        <w:rPr>
          <w:spacing w:val="-2"/>
        </w:rPr>
        <w:t>查验安装、调试用计量仪表、器具和电气设备上计量、保护仪表的</w:t>
      </w:r>
      <w:r>
        <w:rPr>
          <w:spacing w:val="-2"/>
        </w:rPr>
        <w:t>检定合格证，（并保证投入使用时在有效期内）。</w:t>
      </w:r>
    </w:p>
    <w:p>
      <w:pPr>
        <w:pStyle w:val="BodyText"/>
        <w:spacing w:line="417" w:lineRule="auto"/>
        <w:ind w:left="141" w:right="252" w:firstLine="840"/>
      </w:pPr>
      <w:r>
        <w:rPr>
          <w:spacing w:val="-2"/>
        </w:rPr>
        <w:t>做好电气专业与其它专业之间的协调工作，确保施工质量和外观安</w:t>
      </w:r>
      <w:r>
        <w:rPr>
          <w:spacing w:val="-2"/>
        </w:rPr>
        <w:t>装形位的一致性。</w:t>
      </w:r>
    </w:p>
    <w:p>
      <w:pPr>
        <w:pStyle w:val="BodyText"/>
        <w:spacing w:line="358" w:lineRule="exact"/>
        <w:ind w:left="981"/>
      </w:pPr>
      <w:r>
        <w:rPr>
          <w:spacing w:val="-1"/>
        </w:rPr>
        <w:t>对以下部位、工序实施旁站监理：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701"/>
      </w:pPr>
      <w:r>
        <w:t>·漏电保护装置动作测试（抽验、安装前后均要抽验</w:t>
      </w:r>
      <w:r>
        <w:rPr>
          <w:spacing w:val="-10"/>
        </w:rPr>
        <w:t>）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701"/>
      </w:pPr>
      <w:r>
        <w:t>·线路绝缘电阻测试（抽验</w:t>
      </w:r>
      <w:r>
        <w:rPr>
          <w:spacing w:val="-10"/>
        </w:rPr>
        <w:t>）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701"/>
      </w:pPr>
      <w:r>
        <w:t>·接地电阻测试（全验</w:t>
      </w:r>
      <w:r>
        <w:rPr>
          <w:spacing w:val="-10"/>
        </w:rPr>
        <w:t>）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701"/>
      </w:pPr>
      <w:r>
        <w:t>·等电位联结导通状态测试（抽验</w:t>
      </w:r>
      <w:r>
        <w:rPr>
          <w:spacing w:val="-10"/>
        </w:rPr>
        <w:t>）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701"/>
      </w:pPr>
      <w:r>
        <w:t>·照明负荷试运行（全验</w:t>
      </w:r>
      <w:r>
        <w:rPr>
          <w:spacing w:val="-10"/>
        </w:rPr>
        <w:t>）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41" w:right="112" w:firstLine="980"/>
      </w:pPr>
      <w:r>
        <w:rPr>
          <w:spacing w:val="-18"/>
        </w:rPr>
        <w:t xml:space="preserve">严格按 </w:t>
      </w:r>
      <w:r>
        <w:rPr>
          <w:rFonts w:ascii="Times New Roman" w:eastAsia="Times New Roman"/>
        </w:rPr>
        <w:t>GB50303-2002</w:t>
      </w:r>
      <w:r>
        <w:rPr>
          <w:rFonts w:ascii="Times New Roman" w:eastAsia="Times New Roman"/>
          <w:spacing w:val="-18"/>
        </w:rPr>
        <w:t xml:space="preserve"> </w:t>
      </w:r>
      <w:r>
        <w:rPr>
          <w:spacing w:val="-10"/>
        </w:rPr>
        <w:t>进行工序交接确认、隐蔽工程验收和检验批、</w:t>
      </w:r>
      <w:r>
        <w:rPr>
          <w:spacing w:val="-2"/>
        </w:rPr>
        <w:t>分项工程、子分部工程、分部工程的专业工程验收。</w:t>
      </w:r>
    </w:p>
    <w:p>
      <w:pPr>
        <w:pStyle w:val="BodyText"/>
        <w:spacing w:line="417" w:lineRule="auto"/>
        <w:ind w:left="141" w:right="252" w:firstLine="980"/>
      </w:pPr>
      <w:r>
        <w:rPr>
          <w:spacing w:val="-2"/>
        </w:rPr>
        <w:t>《四川省建设工程施工阶段监理工作用表填写指南》的规定，监督</w:t>
      </w:r>
      <w:r>
        <w:rPr>
          <w:spacing w:val="-2"/>
        </w:rPr>
        <w:t>施工单位及时填报，确保质量控制资料的真实性、完整性。</w:t>
      </w:r>
    </w:p>
    <w:p>
      <w:pPr>
        <w:pStyle w:val="Heading3"/>
        <w:spacing w:line="422" w:lineRule="exact"/>
      </w:pPr>
      <w:bookmarkStart w:id="8" w:name="_TOC_250005"/>
      <w:bookmarkEnd w:id="8"/>
      <w:r>
        <w:rPr>
          <w:spacing w:val="-1"/>
        </w:rPr>
        <w:t>四、主要电气材料、设备质量控制要点</w:t>
      </w:r>
    </w:p>
    <w:p>
      <w:pPr>
        <w:pStyle w:val="BodyText"/>
        <w:spacing w:before="201"/>
        <w:ind w:left="841"/>
      </w:pPr>
      <w:r>
        <w:rPr>
          <w:rFonts w:ascii="Times New Roman" w:eastAsia="Times New Roman"/>
        </w:rPr>
        <w:t>1</w:t>
      </w:r>
      <w:r>
        <w:rPr>
          <w:spacing w:val="-2"/>
        </w:rPr>
        <w:t>、基本原则：</w:t>
      </w:r>
    </w:p>
    <w:p>
      <w:pPr>
        <w:pStyle w:val="BodyText"/>
        <w:spacing w:before="265" w:line="417" w:lineRule="auto"/>
        <w:ind w:left="141" w:right="112" w:firstLine="980"/>
      </w:pPr>
      <w:r>
        <w:rPr>
          <w:spacing w:val="-11"/>
        </w:rPr>
        <w:t>施工单位按批准的采购计划组织材料、设备进场，自检合格后报验，</w:t>
      </w:r>
      <w:r>
        <w:rPr>
          <w:spacing w:val="-2"/>
        </w:rPr>
        <w:t>由专业监理工程师现场查验签认后，才能使用于指定的工程部位。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https://d.book118.com/087124011104006050</w:t>
        </w:r>
      </w:hyperlink>
    </w:p>
    <w:p>
      <w:pPr>
        <w:spacing w:after="0" w:line="417" w:lineRule="auto"/>
      </w:pPr>
    </w:p>
    <w:sectPr>
      <w:headerReference w:type="default" r:id="rId29"/>
      <w:footerReference w:type="default" r:id="rId30"/>
      <w:pgSz w:w="11910" w:h="16840"/>
      <w:pgMar w:top="1680" w:right="880" w:bottom="920" w:left="1560" w:header="889" w:footer="736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微软雅黑 Light">
    <w:altName w:val="微软雅黑 Light"/>
    <w:charset w:val="86"/>
    <w:family w:val="swiss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6pt;height:12pt;margin-top:794.08pt;margin-left:304.33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1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16pt;height:12pt;margin-top:794.08pt;margin-left:304.3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6pt;height:12pt;margin-top:794.08pt;margin-left:304.33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16pt;height:12pt;margin-top:794.08pt;margin-left:304.33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16pt;height:12pt;margin-top:794.08pt;margin-left:304.33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6pt;height:12pt;margin-top:794.08pt;margin-left:304.3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2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6pt;height:12pt;margin-top:794.08pt;margin-left:304.33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3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6pt;height:12pt;margin-top:794.08pt;margin-left:304.3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4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6pt;height:12pt;margin-top:794.08pt;margin-left:304.33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5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6pt;height:12pt;margin-top:794.08pt;margin-left:304.3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6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6pt;height:12pt;margin-top:794.08pt;margin-left:304.33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7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6pt;height:12pt;margin-top:794.08pt;margin-left:304.3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8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6pt;height:12pt;margin-top:794.08pt;margin-left:304.33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18"/>
                  </w:rPr>
                  <w:t>9</w:t>
                </w:r>
                <w:r>
                  <w:rPr>
                    <w:rFonts w:ascii="Times New Roman"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80.5pt;height:16pt;margin-top:43.45pt;margin-left:84.05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50" type="#_x0000_t202" style="width:44pt;height:16pt;margin-top:43.45pt;margin-left:493.5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80.5pt;height:16pt;margin-top:43.45pt;margin-left:84.05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77" type="#_x0000_t202" style="width:44pt;height:16pt;margin-top:43.45pt;margin-left:493.55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80.5pt;height:16pt;margin-top:43.45pt;margin-left:84.05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80" type="#_x0000_t202" style="width:44pt;height:16pt;margin-top:43.45pt;margin-left:493.55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80.5pt;height:16pt;margin-top:43.45pt;margin-left:84.05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83" type="#_x0000_t202" style="width:44pt;height:16pt;margin-top:43.45pt;margin-left:493.55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180.5pt;height:16pt;margin-top:43.45pt;margin-left:84.05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86" type="#_x0000_t202" style="width:44pt;height:16pt;margin-top:43.45pt;margin-left:493.55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80.5pt;height:16pt;margin-top:43.45pt;margin-left:84.05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53" type="#_x0000_t202" style="width:44pt;height:16pt;margin-top:43.45pt;margin-left:493.5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80.5pt;height:16pt;margin-top:43.45pt;margin-left:84.05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56" type="#_x0000_t202" style="width:44pt;height:16pt;margin-top:43.45pt;margin-left:493.55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80.5pt;height:16pt;margin-top:43.45pt;margin-left:84.05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59" type="#_x0000_t202" style="width:44pt;height:16pt;margin-top:43.45pt;margin-left:493.5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80.5pt;height:16pt;margin-top:43.45pt;margin-left:84.05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62" type="#_x0000_t202" style="width:44pt;height:16pt;margin-top:43.45pt;margin-left:493.55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80.5pt;height:16pt;margin-top:43.45pt;margin-left:84.05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65" type="#_x0000_t202" style="width:44pt;height:16pt;margin-top:43.45pt;margin-left:493.55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80.5pt;height:16pt;margin-top:43.45pt;margin-left:84.05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68" type="#_x0000_t202" style="width:44pt;height:16pt;margin-top:43.45pt;margin-left:493.55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80.5pt;height:16pt;margin-top:43.45pt;margin-left:84.05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71" type="#_x0000_t202" style="width:44pt;height:16pt;margin-top:43.45pt;margin-left:493.55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80.5pt;height:16pt;margin-top:43.45pt;margin-left:84.05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1"/>
                    <w:sz w:val="21"/>
                  </w:rPr>
                  <w:t>中江县凯江中学灾后恢复重建项目工程</w:t>
                </w:r>
              </w:p>
            </w:txbxContent>
          </v:textbox>
        </v:shape>
      </w:pict>
    </w:r>
    <w:r>
      <w:pict>
        <v:shape id="_x0000_s2074" type="#_x0000_t202" style="width:44pt;height:16pt;margin-top:43.45pt;margin-left:493.55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9" w:lineRule="exact"/>
                  <w:ind w:left="20" w:right="0" w:firstLine="0"/>
                  <w:jc w:val="left"/>
                  <w:rPr>
                    <w:rFonts w:ascii="微软雅黑 Light" w:eastAsia="微软雅黑 Light"/>
                    <w:b w:val="0"/>
                    <w:sz w:val="21"/>
                  </w:rPr>
                </w:pPr>
                <w:r>
                  <w:rPr>
                    <w:rFonts w:ascii="微软雅黑 Light" w:eastAsia="微软雅黑 Light"/>
                    <w:b w:val="0"/>
                    <w:spacing w:val="-3"/>
                    <w:sz w:val="21"/>
                  </w:rPr>
                  <w:t>监理细则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7D857F"/>
    <w:multiLevelType w:val="hybridMultilevel"/>
    <w:tmpl w:val="00000000"/>
    <w:lvl w:ilvl="0">
      <w:start w:val="1"/>
      <w:numFmt w:val="decimal"/>
      <w:lvlText w:val="%1）"/>
      <w:lvlJc w:val="left"/>
      <w:pPr>
        <w:ind w:left="701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76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53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29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06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8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836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12" w:hanging="421"/>
      </w:pPr>
      <w:rPr>
        <w:rFonts w:hint="default"/>
        <w:lang w:val="en-US" w:eastAsia="zh-CN" w:bidi="ar-SA"/>
      </w:rPr>
    </w:lvl>
  </w:abstractNum>
  <w:abstractNum w:abstractNumId="1">
    <w:nsid w:val="1CD0C858"/>
    <w:multiLevelType w:val="hybridMultilevel"/>
    <w:tmpl w:val="00000000"/>
    <w:lvl w:ilvl="0">
      <w:start w:val="1"/>
      <w:numFmt w:val="decimal"/>
      <w:lvlText w:val="%1）"/>
      <w:lvlJc w:val="left"/>
      <w:pPr>
        <w:ind w:left="112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54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89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23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58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29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7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62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96" w:hanging="421"/>
      </w:pPr>
      <w:rPr>
        <w:rFonts w:hint="default"/>
        <w:lang w:val="en-US" w:eastAsia="zh-CN" w:bidi="ar-SA"/>
      </w:rPr>
    </w:lvl>
  </w:abstractNum>
  <w:abstractNum w:abstractNumId="2">
    <w:nsid w:val="1D35EDEC"/>
    <w:multiLevelType w:val="hybridMultilevel"/>
    <w:tmpl w:val="00000000"/>
    <w:lvl w:ilvl="0">
      <w:start w:val="1"/>
      <w:numFmt w:val="decimal"/>
      <w:lvlText w:val="%1）"/>
      <w:lvlJc w:val="left"/>
      <w:pPr>
        <w:ind w:left="141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72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05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37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70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0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35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68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00" w:hanging="421"/>
      </w:pPr>
      <w:rPr>
        <w:rFonts w:hint="default"/>
        <w:lang w:val="en-US" w:eastAsia="zh-CN" w:bidi="ar-SA"/>
      </w:rPr>
    </w:lvl>
  </w:abstractNum>
  <w:abstractNum w:abstractNumId="3">
    <w:nsid w:val="2E66B43A"/>
    <w:multiLevelType w:val="hybridMultilevel"/>
    <w:tmpl w:val="00000000"/>
    <w:lvl w:ilvl="0">
      <w:start w:val="1"/>
      <w:numFmt w:val="decimal"/>
      <w:lvlText w:val="%1）"/>
      <w:lvlJc w:val="left"/>
      <w:pPr>
        <w:ind w:left="981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2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828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677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525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374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22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071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20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68" w:hanging="421"/>
      </w:pPr>
      <w:rPr>
        <w:rFonts w:hint="default"/>
        <w:lang w:val="en-US" w:eastAsia="zh-CN" w:bidi="ar-SA"/>
      </w:rPr>
    </w:lvl>
  </w:abstractNum>
  <w:abstractNum w:abstractNumId="4">
    <w:nsid w:val="3661682A"/>
    <w:multiLevelType w:val="hybridMultilevel"/>
    <w:tmpl w:val="00000000"/>
    <w:lvl w:ilvl="0">
      <w:start w:val="1"/>
      <w:numFmt w:val="decimal"/>
      <w:lvlText w:val="%1）"/>
      <w:lvlJc w:val="left"/>
      <w:pPr>
        <w:ind w:left="841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1"/>
      <w:numFmt w:val="decimal"/>
      <w:lvlText w:val="%2）"/>
      <w:lvlJc w:val="left"/>
      <w:pPr>
        <w:ind w:left="986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7"/>
        <w:w w:val="100"/>
        <w:sz w:val="26"/>
        <w:szCs w:val="26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22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65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08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51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94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37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580" w:hanging="421"/>
      </w:pPr>
      <w:rPr>
        <w:rFonts w:hint="default"/>
        <w:lang w:val="en-US" w:eastAsia="zh-CN" w:bidi="ar-SA"/>
      </w:rPr>
    </w:lvl>
  </w:abstractNum>
  <w:abstractNum w:abstractNumId="5">
    <w:nsid w:val="3723F50B"/>
    <w:multiLevelType w:val="hybridMultilevel"/>
    <w:tmpl w:val="00000000"/>
    <w:lvl w:ilvl="0">
      <w:start w:val="1"/>
      <w:numFmt w:val="decimal"/>
      <w:lvlText w:val="%1）"/>
      <w:lvlJc w:val="left"/>
      <w:pPr>
        <w:ind w:left="701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576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53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29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06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8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9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836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12" w:hanging="421"/>
      </w:pPr>
      <w:rPr>
        <w:rFonts w:hint="default"/>
        <w:lang w:val="en-US" w:eastAsia="zh-CN" w:bidi="ar-SA"/>
      </w:rPr>
    </w:lvl>
  </w:abstractNum>
  <w:abstractNum w:abstractNumId="6">
    <w:nsid w:val="6721D27C"/>
    <w:multiLevelType w:val="hybridMultilevel"/>
    <w:tmpl w:val="00000000"/>
    <w:lvl w:ilvl="0">
      <w:start w:val="1"/>
      <w:numFmt w:val="decimal"/>
      <w:lvlText w:val="%1）"/>
      <w:lvlJc w:val="left"/>
      <w:pPr>
        <w:ind w:left="141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72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05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37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70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0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35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68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00" w:hanging="421"/>
      </w:pPr>
      <w:rPr>
        <w:rFonts w:hint="default"/>
        <w:lang w:val="en-US" w:eastAsia="zh-CN" w:bidi="ar-SA"/>
      </w:rPr>
    </w:lvl>
  </w:abstractNum>
  <w:abstractNum w:abstractNumId="7">
    <w:nsid w:val="6783CD2C"/>
    <w:multiLevelType w:val="hybridMultilevel"/>
    <w:tmpl w:val="00000000"/>
    <w:lvl w:ilvl="0">
      <w:start w:val="1"/>
      <w:numFmt w:val="decimal"/>
      <w:lvlText w:val="%1）"/>
      <w:lvlJc w:val="left"/>
      <w:pPr>
        <w:ind w:left="112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54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89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23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58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29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7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62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96" w:hanging="421"/>
      </w:pPr>
      <w:rPr>
        <w:rFonts w:hint="default"/>
        <w:lang w:val="en-US" w:eastAsia="zh-CN" w:bidi="ar-SA"/>
      </w:rPr>
    </w:lvl>
  </w:abstractNum>
  <w:abstractNum w:abstractNumId="8">
    <w:nsid w:val="72C5CEE7"/>
    <w:multiLevelType w:val="hybridMultilevel"/>
    <w:tmpl w:val="00000000"/>
    <w:lvl w:ilvl="0">
      <w:start w:val="1"/>
      <w:numFmt w:val="decimal"/>
      <w:lvlText w:val="%1）"/>
      <w:lvlJc w:val="left"/>
      <w:pPr>
        <w:ind w:left="112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54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789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23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58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29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7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62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96" w:hanging="421"/>
      </w:pPr>
      <w:rPr>
        <w:rFonts w:hint="default"/>
        <w:lang w:val="en-US" w:eastAsia="zh-CN" w:bidi="ar-SA"/>
      </w:rPr>
    </w:lvl>
  </w:abstractNum>
  <w:abstractNum w:abstractNumId="9">
    <w:nsid w:val="7473E708"/>
    <w:multiLevelType w:val="hybridMultilevel"/>
    <w:tmpl w:val="00000000"/>
    <w:lvl w:ilvl="0">
      <w:start w:val="1"/>
      <w:numFmt w:val="decimal"/>
      <w:lvlText w:val="（%1）"/>
      <w:lvlJc w:val="left"/>
      <w:pPr>
        <w:ind w:left="141" w:hanging="701"/>
        <w:jc w:val="righ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72" w:hanging="7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05" w:hanging="7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37" w:hanging="7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70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03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35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68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00" w:hanging="701"/>
      </w:pPr>
      <w:rPr>
        <w:rFonts w:hint="default"/>
        <w:lang w:val="en-US" w:eastAsia="zh-CN" w:bidi="ar-SA"/>
      </w:rPr>
    </w:lvl>
  </w:abstractNum>
  <w:abstractNum w:abstractNumId="10">
    <w:nsid w:val="7A652CC2"/>
    <w:multiLevelType w:val="hybridMultilevel"/>
    <w:tmpl w:val="00000000"/>
    <w:lvl w:ilvl="0">
      <w:start w:val="1"/>
      <w:numFmt w:val="decimal"/>
      <w:lvlText w:val="%1）"/>
      <w:lvlJc w:val="left"/>
      <w:pPr>
        <w:ind w:left="141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72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05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937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70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0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35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68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00" w:hanging="421"/>
      </w:pPr>
      <w:rPr>
        <w:rFonts w:hint="default"/>
        <w:lang w:val="en-US" w:eastAsia="zh-CN" w:bidi="ar-SA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</w:num>
  <w:num w:numId="5">
    <w:abstractNumId w:val="6"/>
  </w:num>
  <w:num w:numId="6">
    <w:abstractNumId w:val="2"/>
  </w:num>
  <w:num w:numId="7">
    <w:abstractNumId w:val="7"/>
  </w:num>
  <w:num w:numId="8">
    <w:abstractNumId w:val="5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line="692" w:lineRule="exact"/>
      <w:ind w:left="701"/>
      <w:outlineLvl w:val="0"/>
    </w:pPr>
    <w:rPr>
      <w:rFonts w:ascii="Microsoft JhengHei" w:eastAsia="Microsoft JhengHei" w:hAnsi="Microsoft JhengHei" w:cs="Microsoft JhengHei"/>
      <w:b/>
      <w:bCs/>
      <w:sz w:val="44"/>
      <w:szCs w:val="44"/>
      <w:lang w:val="en-US" w:eastAsia="zh-CN" w:bidi="ar-SA"/>
    </w:rPr>
  </w:style>
  <w:style w:type="paragraph" w:styleId="Heading2">
    <w:name w:val="heading 2"/>
    <w:basedOn w:val="Normal"/>
    <w:uiPriority w:val="1"/>
    <w:qFormat/>
    <w:pPr>
      <w:ind w:left="1519" w:right="1631"/>
      <w:jc w:val="center"/>
      <w:outlineLvl w:val="1"/>
    </w:pPr>
    <w:rPr>
      <w:rFonts w:ascii="Microsoft JhengHei" w:eastAsia="Microsoft JhengHei" w:hAnsi="Microsoft JhengHei" w:cs="Microsoft JhengHei"/>
      <w:b/>
      <w:bCs/>
      <w:sz w:val="30"/>
      <w:szCs w:val="30"/>
      <w:lang w:val="en-US" w:eastAsia="zh-CN" w:bidi="ar-SA"/>
    </w:rPr>
  </w:style>
  <w:style w:type="paragraph" w:styleId="Heading3">
    <w:name w:val="heading 3"/>
    <w:basedOn w:val="Normal"/>
    <w:uiPriority w:val="1"/>
    <w:qFormat/>
    <w:pPr>
      <w:ind w:left="141"/>
      <w:outlineLvl w:val="2"/>
    </w:pPr>
    <w:rPr>
      <w:rFonts w:ascii="Microsoft JhengHei" w:eastAsia="Microsoft JhengHei" w:hAnsi="Microsoft JhengHei" w:cs="Microsoft JhengHei"/>
      <w:b/>
      <w:bCs/>
      <w:sz w:val="28"/>
      <w:szCs w:val="28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86"/>
      <w:ind w:left="141"/>
    </w:pPr>
    <w:rPr>
      <w:rFonts w:ascii="黑体" w:eastAsia="黑体" w:hAnsi="黑体" w:cs="黑体"/>
      <w:sz w:val="32"/>
      <w:szCs w:val="32"/>
      <w:lang w:val="en-US" w:eastAsia="zh-CN" w:bidi="ar-SA"/>
    </w:rPr>
  </w:style>
  <w:style w:type="paragraph" w:styleId="TOC2">
    <w:name w:val="toc 2"/>
    <w:basedOn w:val="Normal"/>
    <w:uiPriority w:val="1"/>
    <w:qFormat/>
    <w:pPr>
      <w:spacing w:before="182"/>
      <w:ind w:left="637"/>
    </w:pPr>
    <w:rPr>
      <w:rFonts w:ascii="Times New Roman" w:eastAsia="Times New Roman" w:hAnsi="Times New Roman" w:cs="Times New Roman"/>
      <w:sz w:val="28"/>
      <w:szCs w:val="28"/>
      <w:lang w:val="en-US" w:eastAsia="zh-CN" w:bidi="ar-SA"/>
    </w:rPr>
  </w:style>
  <w:style w:type="paragraph" w:styleId="TOC3">
    <w:name w:val="toc 3"/>
    <w:basedOn w:val="Normal"/>
    <w:uiPriority w:val="1"/>
    <w:qFormat/>
    <w:pPr>
      <w:spacing w:before="186"/>
      <w:ind w:left="1415"/>
    </w:pPr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OC4">
    <w:name w:val="toc 4"/>
    <w:basedOn w:val="Normal"/>
    <w:uiPriority w:val="1"/>
    <w:qFormat/>
    <w:pPr>
      <w:spacing w:before="186"/>
      <w:ind w:left="1975"/>
    </w:pPr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OC5">
    <w:name w:val="toc 5"/>
    <w:basedOn w:val="Normal"/>
    <w:uiPriority w:val="1"/>
    <w:qFormat/>
    <w:pPr>
      <w:spacing w:before="186"/>
      <w:ind w:left="1983"/>
    </w:pPr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122" w:hanging="421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87124011104006050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2024-03-04T13:40:45Z</dcterms:created>
  <dcterms:modified xsi:type="dcterms:W3CDTF">2024-03-04T13:40:45Z</dcterms:modified>
</cp:coreProperties>
</file>