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2024年改性PC行业分析报告及未来五到十年行业发展趋势报告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570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_Toc30570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824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_Toc28247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4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_Toc13746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_Toc1968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6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_Toc21561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8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_Toc14083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2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_Toc17826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86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_Toc1086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3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_Toc6833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0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_Toc27509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5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_Toc23552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85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_Toc17485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28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_Toc30281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2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_Toc5527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_Toc30232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7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_Toc16070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17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_Toc30171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20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_Toc28207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4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_Toc31148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04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_Toc21043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66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07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_Toc9407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_Toc27975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9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_Toc27591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44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_Toc13744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33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_Toc24233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_Toc2766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94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_Toc8094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79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_Toc10790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9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_Toc12695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_Toc24664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01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_Toc5701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51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_Toc14751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45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_Toc7450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950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_Toc29503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_Toc29565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3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_Toc7533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22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_Toc18322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2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_Toc6520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1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_Toc6716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3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_Toc15930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89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_Toc589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31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_Toc32031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73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_Toc29173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58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_Toc29758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771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_Toc22771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4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_Toc32342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_Toc4377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7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_Toc6070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321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_Toc12321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4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_Toc26448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89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_Toc28894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09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_Toc30097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_Toc14164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9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_Toc9897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647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_Toc3647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5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_Toc31852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0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_Toc12809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7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_Toc1017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36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_Toc7236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60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_Toc13760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586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_Toc23586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0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改性PC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_Toc680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39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改性PC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_Toc11139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410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_Toc24410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044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_Toc28044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372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_Toc26372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67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_Toc27367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604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_Toc14604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7" w:history="1">
        <w:r>
          <w:rPr>
            <w:rFonts w:eastAsia="微软雅黑" w:hint="eastAsia"/>
            <w:snapToGrid/>
            <w:lang w:val="en-US" w:eastAsia="zh-CN"/>
          </w:rPr>
          <w:t>2、创新促进行业更高品质的发展</w:t>
        </w:r>
        <w:r>
          <w:tab/>
        </w:r>
        <w:r>
          <w:fldChar w:fldCharType="begin"/>
        </w:r>
        <w:r>
          <w:instrText xml:space="preserve"> PAGEREF _Toc287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https://d.book118.com/087146146105006026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87146146105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