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儿童甲状旁腺功能减退症研究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2987153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儿童甲状旁腺功能减退症概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临床表现与诊断标</w:t>
            </w:r>
            <w:r>
              <w:rPr>
                <w:spacing w:val="-10"/>
              </w:rPr>
              <w:t>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病因学研究进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影响因素分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治疗方法及原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药物治疗策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手术治疗的适应证和禁忌</w:t>
            </w:r>
            <w:r>
              <w:rPr>
                <w:spacing w:val="-10"/>
              </w:rPr>
              <w:t>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预后评估与长期管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儿</w:t>
      </w:r>
      <w:r>
        <w:t>童</w:t>
      </w:r>
      <w:r>
        <w:t>甲</w:t>
      </w:r>
      <w:r>
        <w:t>状</w:t>
      </w:r>
      <w:r>
        <w:t>旁</w:t>
      </w:r>
      <w:r>
        <w:t>腺</w:t>
      </w:r>
      <w:r>
        <w:t>功</w:t>
      </w:r>
      <w:r>
        <w:t>能</w:t>
      </w:r>
      <w:r>
        <w:t>减</w:t>
      </w:r>
      <w:r>
        <w:t>退</w:t>
      </w:r>
      <w:r>
        <w:t>症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3"/>
        <w:gridCol w:w="552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3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3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【儿童甲状旁腺功能减退症</w:t>
            </w:r>
            <w:r>
              <w:rPr>
                <w:spacing w:val="-2"/>
                <w:sz w:val="21"/>
              </w:rPr>
              <w:t>的定义】：</w:t>
            </w:r>
          </w:p>
        </w:tc>
        <w:tc>
          <w:tcPr>
            <w:tcW w:w="552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儿童甲状旁腺功能减退症是指甲状腺旁腺激素（</w:t>
            </w:r>
            <w:r>
              <w:rPr>
                <w:rFonts w:ascii="Times New Roman" w:eastAsia="Times New Roman"/>
                <w:spacing w:val="-2"/>
                <w:sz w:val="21"/>
              </w:rPr>
              <w:t>PTH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2"/>
                <w:sz w:val="21"/>
              </w:rPr>
              <w:t>分泌减少或作用减弱导致钙磷代谢异常的一种疾病。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该病症通常表现为低钙血症和高磷血症，严重时可引起</w:t>
            </w:r>
            <w:r>
              <w:rPr>
                <w:spacing w:val="-2"/>
                <w:sz w:val="21"/>
              </w:rPr>
              <w:t>神经系统症状如抽搐、肌肉痉挛等。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儿童时期发病可能影响骨骼发育和生长，因此需要及时</w:t>
            </w:r>
            <w:r>
              <w:rPr>
                <w:spacing w:val="-2"/>
                <w:sz w:val="21"/>
              </w:rPr>
              <w:t>诊断和治疗。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【儿童甲状旁腺功能减退症的病因】：</w:t>
            </w:r>
          </w:p>
        </w:tc>
      </w:tr>
    </w:tbl>
    <w:p>
      <w:pPr>
        <w:pStyle w:val="BodyText"/>
        <w:spacing w:before="136" w:line="417" w:lineRule="auto"/>
        <w:ind w:left="120" w:right="378" w:firstLine="560"/>
        <w:jc w:val="both"/>
      </w:pPr>
      <w:r>
        <w:rPr>
          <w:spacing w:val="-2"/>
        </w:rPr>
        <w:t>儿童甲状旁腺功能减退症（childhood</w:t>
      </w:r>
      <w:r>
        <w:rPr>
          <w:spacing w:val="-33"/>
        </w:rPr>
        <w:t xml:space="preserve"> </w:t>
      </w:r>
      <w:r>
        <w:rPr>
          <w:spacing w:val="-2"/>
        </w:rPr>
        <w:t>hypoparathyroidism）</w:t>
      </w:r>
      <w:r>
        <w:rPr>
          <w:spacing w:val="-2"/>
        </w:rPr>
        <w:t>是</w:t>
      </w:r>
      <w:r>
        <w:rPr>
          <w:spacing w:val="-11"/>
        </w:rPr>
        <w:t>一种罕见的内分泌疾病，主要由于甲状腺下部的四个甲状旁腺激素分</w:t>
      </w:r>
      <w:r>
        <w:rPr>
          <w:spacing w:val="-4"/>
        </w:rPr>
        <w:t>泌不足导致。这种疾病在儿童中发病率较低，但其临床表现和并发症</w:t>
      </w:r>
      <w:r>
        <w:rPr>
          <w:spacing w:val="-2"/>
        </w:rPr>
        <w:t>可能对患者的身体健康和发育造成严重影响。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儿童甲状旁腺功能减退症的主要病因可分为先天性和获得性两大类。</w:t>
      </w:r>
      <w:r>
        <w:rPr>
          <w:spacing w:val="-9"/>
        </w:rPr>
        <w:t>先天性原因主要包括基因突变、染色体异常以及胚胎期甲状旁腺发育</w:t>
      </w:r>
      <w:r>
        <w:rPr>
          <w:spacing w:val="-2"/>
        </w:rPr>
        <w:t xml:space="preserve"> </w:t>
      </w:r>
      <w:r>
        <w:rPr>
          <w:spacing w:val="-2"/>
        </w:rPr>
        <w:t>不良等；而获得性原因则包括手术切除、自身免疫性疾病、感染、药</w:t>
      </w:r>
      <w:r>
        <w:rPr>
          <w:spacing w:val="-2"/>
        </w:rPr>
        <w:t xml:space="preserve"> </w:t>
      </w:r>
      <w:r>
        <w:rPr>
          <w:spacing w:val="-2"/>
        </w:rPr>
        <w:t>物影响等因素。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本病的发病机制主要涉及钙离子代谢失衡。甲状旁腺激素的主要功能</w:t>
      </w:r>
      <w:r>
        <w:rPr>
          <w:spacing w:val="-4"/>
        </w:rPr>
        <w:t>是调节血钙水平，当其分泌减少时，会导致血钙降低和血磷升高。这</w:t>
      </w:r>
      <w:r>
        <w:rPr>
          <w:spacing w:val="-4"/>
        </w:rPr>
        <w:t>将引发一系列生理反应，如神经系统兴奋性增强、肌肉痉挛、骨质疏</w:t>
      </w:r>
      <w:r>
        <w:rPr>
          <w:spacing w:val="-2"/>
        </w:rPr>
        <w:t>松等症状。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8"/>
        </w:rPr>
        <w:t>儿童甲状旁腺功能减退症的临床表现多样化，常见的症状有手足搐搦、</w:t>
      </w:r>
    </w:p>
    <w:p>
      <w:pPr>
        <w:spacing w:after="0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抽搐、疲乏、头痛、肌无力等。此外，由于长期低钙血症可能导致神</w:t>
      </w:r>
      <w:r>
        <w:rPr>
          <w:spacing w:val="-2"/>
        </w:rPr>
        <w:t>经肌肉兴奋性增加，因此部分患者可能出现癫痫发作。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04"/>
      </w:pPr>
      <w:r>
        <w:rPr>
          <w:spacing w:val="-6"/>
        </w:rPr>
        <w:t>诊断儿童甲状旁腺功能减退症需要综合考虑患者的临床表现、实验室</w:t>
      </w:r>
      <w:r>
        <w:rPr>
          <w:spacing w:val="-2"/>
        </w:rPr>
        <w:t xml:space="preserve"> </w:t>
      </w:r>
      <w:r>
        <w:rPr>
          <w:spacing w:val="-2"/>
        </w:rPr>
        <w:t>检查结果和影像学资料。实验室检查中，血钙降低、血磷升高的现象</w:t>
      </w:r>
      <w:r>
        <w:rPr>
          <w:spacing w:val="-2"/>
        </w:rPr>
        <w:t xml:space="preserve"> </w:t>
      </w:r>
      <w:r>
        <w:rPr>
          <w:spacing w:val="-3"/>
        </w:rPr>
        <w:t xml:space="preserve">是最基本的指标。同时，检测血清 </w:t>
      </w:r>
      <w:r>
        <w:t>PTH</w:t>
      </w:r>
      <w:r>
        <w:rPr>
          <w:spacing w:val="-7"/>
        </w:rPr>
        <w:t xml:space="preserve"> 水平可以帮助排除其他类似疾</w:t>
      </w:r>
      <w:r>
        <w:t xml:space="preserve"> </w:t>
      </w:r>
      <w:r>
        <w:rPr>
          <w:spacing w:val="-2"/>
        </w:rPr>
        <w:t>病的可能。若怀疑为先天性原因，还应进行基因检测和染色体分析。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5"/>
        </w:rPr>
        <w:t xml:space="preserve">治疗儿童甲状旁腺功能减退症主要是补充钙剂和维生素 </w:t>
      </w:r>
      <w:r>
        <w:rPr>
          <w:spacing w:val="-4"/>
        </w:rPr>
        <w:t>D。钙剂主要</w:t>
      </w:r>
      <w:r>
        <w:rPr>
          <w:spacing w:val="-8"/>
        </w:rPr>
        <w:t xml:space="preserve">用于纠正低钙血症，维生素 </w:t>
      </w:r>
      <w:r>
        <w:rPr>
          <w:spacing w:val="-6"/>
        </w:rPr>
        <w:t>D</w:t>
      </w:r>
      <w:r>
        <w:rPr>
          <w:spacing w:val="-11"/>
        </w:rPr>
        <w:t xml:space="preserve"> 则可促进肠道对钙的吸收。对于无法通</w:t>
      </w:r>
      <w:r>
        <w:rPr>
          <w:spacing w:val="-11"/>
        </w:rPr>
        <w:t>过药物控制病情的患者，可以考虑进行甲状旁腺移植或使用生物人工</w:t>
      </w:r>
      <w:r>
        <w:rPr>
          <w:spacing w:val="-2"/>
        </w:rPr>
        <w:t>甲状旁腺等治疗方法。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值得注意的是，儿童甲状旁腺功能减退症的患者需定期随访，并监测</w:t>
      </w:r>
      <w:r>
        <w:rPr>
          <w:spacing w:val="-10"/>
        </w:rPr>
        <w:t xml:space="preserve">血钙、血磷和 </w:t>
      </w:r>
      <w:r>
        <w:rPr>
          <w:spacing w:val="-6"/>
        </w:rPr>
        <w:t>PTH</w:t>
      </w:r>
      <w:r>
        <w:rPr>
          <w:spacing w:val="-11"/>
        </w:rPr>
        <w:t xml:space="preserve"> 水平。适当的生活方式调整和饮食管理也是维持病</w:t>
      </w:r>
      <w:r>
        <w:rPr>
          <w:spacing w:val="-2"/>
        </w:rPr>
        <w:t>情稳定的重要手段。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总之，儿童甲状旁腺功能减退症是一种复杂的内分泌疾病，对儿童的</w:t>
      </w:r>
      <w:r>
        <w:rPr>
          <w:spacing w:val="-4"/>
        </w:rPr>
        <w:t>生长发育和生活质量具有较大影响。早期识别、正确诊断和及时治疗</w:t>
      </w:r>
      <w:r>
        <w:rPr>
          <w:spacing w:val="-2"/>
        </w:rPr>
        <w:t>至关重要，以避免出现严重的并发症并改善患者的预后。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临</w:t>
      </w:r>
      <w:r>
        <w:t>床</w:t>
      </w:r>
      <w:r>
        <w:t>表</w:t>
      </w:r>
      <w:r>
        <w:t>现</w:t>
      </w:r>
      <w:r>
        <w:t>与</w:t>
      </w:r>
      <w:r>
        <w:t>诊</w:t>
      </w:r>
      <w:r>
        <w:t>断</w:t>
      </w:r>
      <w:r>
        <w:t>标</w:t>
      </w:r>
      <w:bookmarkEnd w:id="1"/>
      <w:r>
        <w:rPr>
          <w:spacing w:val="-10"/>
        </w:rPr>
        <w:t>准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2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儿童甲状腺旁腺功能减退症</w:t>
            </w:r>
            <w:r>
              <w:rPr>
                <w:spacing w:val="-2"/>
                <w:sz w:val="21"/>
              </w:rPr>
              <w:t>的临床表现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低钙血症症状：儿童甲状腺旁腺功能减退症常常表现为</w:t>
            </w:r>
            <w:r>
              <w:rPr>
                <w:spacing w:val="-2"/>
                <w:sz w:val="21"/>
              </w:rPr>
              <w:t>低钙血症，包括手脚抽搐、肌肉痉挛、口唇和手足麻木等。</w:t>
            </w:r>
            <w:r>
              <w:rPr>
                <w:spacing w:val="-2"/>
                <w:sz w:val="21"/>
              </w:rPr>
              <w:t>在严重情况下，可能会出现喉部痉挛或呼吸困难。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骨骼异常：由于钙代谢失衡，患者可能出现骨骼发育不</w:t>
            </w:r>
            <w:r>
              <w:rPr>
                <w:spacing w:val="-2"/>
                <w:sz w:val="21"/>
              </w:rPr>
              <w:t>良、骨质疏松和骨折等症状。此外，生长迟缓和身材矮小</w:t>
            </w:r>
            <w:r>
              <w:rPr>
                <w:spacing w:val="-2"/>
                <w:sz w:val="21"/>
              </w:rPr>
              <w:t>也是可能的症状之一。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神经系统症状：神经肌肉兴奋性增高可能导致精神状态</w:t>
            </w:r>
            <w:r>
              <w:rPr>
                <w:spacing w:val="-2"/>
                <w:sz w:val="21"/>
              </w:rPr>
              <w:t>改变，如焦虑、抑郁、记忆力下降等。在极端情况下，可</w:t>
            </w:r>
            <w:r>
              <w:rPr>
                <w:spacing w:val="-2"/>
                <w:sz w:val="21"/>
              </w:rPr>
              <w:t>能会发生癫痫发作。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诊断标准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血液检查：检测血液中的钙、磷、镁以及碱性磷酸酶水</w:t>
            </w:r>
            <w:r>
              <w:rPr>
                <w:spacing w:val="-2"/>
                <w:sz w:val="21"/>
              </w:rPr>
              <w:t>平是重要的诊断依据。通常，患者的血钙水平会降低，而</w:t>
            </w:r>
            <w:r>
              <w:rPr>
                <w:spacing w:val="-2"/>
                <w:sz w:val="21"/>
              </w:rPr>
              <w:t>血磷和碱性磷酸酶水平则会上升。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甲状腺激素测定：评估甲状腺功能有助于排除其他相关</w:t>
            </w:r>
            <w:r>
              <w:rPr>
                <w:spacing w:val="-2"/>
                <w:sz w:val="21"/>
              </w:rPr>
              <w:t>疾病，并且对治疗方案的选择至关重要。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5"/>
                <w:sz w:val="21"/>
              </w:rPr>
              <w:t xml:space="preserve">影像学检查：通过 </w:t>
            </w:r>
            <w:r>
              <w:rPr>
                <w:rFonts w:ascii="Times New Roman" w:eastAsia="Times New Roman"/>
                <w:spacing w:val="-2"/>
                <w:sz w:val="21"/>
              </w:rPr>
              <w:t>X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线、</w:t>
            </w:r>
            <w:r>
              <w:rPr>
                <w:rFonts w:ascii="Times New Roman" w:eastAsia="Times New Roman"/>
                <w:spacing w:val="-2"/>
                <w:sz w:val="21"/>
              </w:rPr>
              <w:t>CT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13"/>
                <w:sz w:val="21"/>
              </w:rPr>
              <w:t xml:space="preserve">或 </w:t>
            </w:r>
            <w:r>
              <w:rPr>
                <w:rFonts w:ascii="Times New Roman" w:eastAsia="Times New Roman"/>
                <w:spacing w:val="-2"/>
                <w:sz w:val="21"/>
              </w:rPr>
              <w:t>MRI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等影像学检查可以</w:t>
            </w:r>
            <w:r>
              <w:rPr>
                <w:spacing w:val="-2"/>
                <w:sz w:val="21"/>
              </w:rPr>
              <w:t>观察到骨骼病变，进一步支持诊断。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实验室检查指标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血清钙浓度：持续性低钙血症是主要的实验室检查指标</w:t>
            </w:r>
            <w:r>
              <w:rPr>
                <w:spacing w:val="-4"/>
                <w:sz w:val="21"/>
              </w:rPr>
              <w:t>之一。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血清磷浓度：高血磷可能是甲状腺旁腺功能减退症的表</w:t>
            </w:r>
            <w:r>
              <w:rPr>
                <w:spacing w:val="-6"/>
                <w:sz w:val="21"/>
              </w:rPr>
              <w:t>现。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血清甲状旁腺激素（</w:t>
            </w:r>
            <w:r>
              <w:rPr>
                <w:rFonts w:ascii="Times New Roman" w:eastAsia="Times New Roman"/>
                <w:spacing w:val="-2"/>
                <w:sz w:val="21"/>
              </w:rPr>
              <w:t>PTH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5"/>
                <w:sz w:val="21"/>
              </w:rPr>
              <w:t xml:space="preserve">水平：虽然某些情况下 </w:t>
            </w:r>
            <w:r>
              <w:rPr>
                <w:rFonts w:ascii="Times New Roman" w:eastAsia="Times New Roman"/>
                <w:spacing w:val="-2"/>
                <w:sz w:val="21"/>
              </w:rPr>
              <w:t>PTH</w:t>
            </w:r>
            <w:r>
              <w:rPr>
                <w:sz w:val="21"/>
              </w:rPr>
              <w:t>水平可正常或轻度升高，但在大多数病例中，</w:t>
            </w:r>
            <w:r>
              <w:rPr>
                <w:rFonts w:ascii="Times New Roman" w:eastAsia="Times New Roman"/>
                <w:sz w:val="21"/>
              </w:rPr>
              <w:t xml:space="preserve">PTH </w:t>
            </w:r>
            <w:r>
              <w:rPr>
                <w:sz w:val="21"/>
              </w:rPr>
              <w:t>水平显</w:t>
            </w:r>
            <w:r>
              <w:rPr>
                <w:spacing w:val="-2"/>
                <w:sz w:val="21"/>
              </w:rPr>
              <w:t>著降低或不可测。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病史采集与体格检查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病史了解：关注家族史、既往病史以及症状发展的过程，</w:t>
            </w:r>
            <w:r>
              <w:rPr>
                <w:spacing w:val="-2"/>
                <w:sz w:val="21"/>
              </w:rPr>
              <w:t>特别是涉及钙代谢异常的情况。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体格检查：全身性的体检以发现任何异常体征，如肌肉</w:t>
            </w:r>
            <w:r>
              <w:rPr>
                <w:spacing w:val="-2"/>
                <w:sz w:val="21"/>
              </w:rPr>
              <w:t>痉挛、出牙延迟、生长缓慢等。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鉴别诊断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8" w:right="64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其他内分泌疾病：例如维生素 </w:t>
            </w:r>
            <w:r>
              <w:rPr>
                <w:rFonts w:ascii="Times New Roman" w:eastAsia="Times New Roman"/>
                <w:sz w:val="21"/>
              </w:rPr>
              <w:t>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缺乏症、肾性佝偻病、</w:t>
            </w:r>
            <w:r>
              <w:rPr>
                <w:spacing w:val="-2"/>
                <w:sz w:val="21"/>
              </w:rPr>
              <w:t>慢性肾脏疾病等。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遗传性疾病：例如遗传性低钙血症或多发性内分泌腺瘤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综合征等。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8"/>
          <w:pgSz w:w="11910" w:h="16840"/>
          <w:pgMar w:top="150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2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9"/>
                <w:sz w:val="21"/>
              </w:rPr>
              <w:t xml:space="preserve"> </w:t>
            </w:r>
            <w:r>
              <w:rPr>
                <w:sz w:val="21"/>
              </w:rPr>
              <w:t>药物引起的低钙血症：某些药物如某些抗生素、抗惊厥</w:t>
            </w:r>
            <w:r>
              <w:rPr>
                <w:spacing w:val="-2"/>
                <w:sz w:val="21"/>
              </w:rPr>
              <w:t>药等可能导致低钙血症。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辅助检查方法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7"/>
                <w:sz w:val="21"/>
              </w:rPr>
              <w:t xml:space="preserve">维生素 </w:t>
            </w:r>
            <w:r>
              <w:rPr>
                <w:rFonts w:ascii="Times New Roman" w:eastAsia="Times New Roman"/>
                <w:spacing w:val="-4"/>
                <w:sz w:val="21"/>
              </w:rPr>
              <w:t>D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 xml:space="preserve">及其代谢产物检测：评估维生素 </w:t>
            </w:r>
            <w:r>
              <w:rPr>
                <w:rFonts w:ascii="Times New Roman" w:eastAsia="Times New Roman"/>
                <w:spacing w:val="-4"/>
                <w:sz w:val="21"/>
              </w:rPr>
              <w:t>D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是否充足以</w:t>
            </w:r>
            <w:r>
              <w:rPr>
                <w:spacing w:val="-2"/>
                <w:sz w:val="21"/>
              </w:rPr>
              <w:t>及其代谢情况。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69" w:lineRule="exact"/>
              <w:ind w:left="370" w:right="-15" w:hanging="263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尿钙和尿磷测定：了解钙磷排泄情况，为诊断提供参考。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骨密度检测：评估骨质疏松程度及骨折风险。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7"/>
        </w:rPr>
        <w:t>儿童甲状旁腺功能减退症是一种罕见的内分泌疾病，由于体内甲</w:t>
      </w:r>
      <w:r>
        <w:rPr>
          <w:spacing w:val="-2"/>
        </w:rPr>
        <w:t>状旁腺激素（PTH）分泌减少或不足导致。本病临床表现多样化，诊</w:t>
      </w:r>
      <w:r>
        <w:rPr>
          <w:spacing w:val="-4"/>
        </w:rPr>
        <w:t>断标准严格，需要综合考虑患者的症状、实验室检查结果及影像学资</w:t>
      </w:r>
      <w:r>
        <w:rPr>
          <w:spacing w:val="-6"/>
        </w:rPr>
        <w:t>料。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一、临床表现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代谢性骨病：表现为骨骼疼痛、脆性骨折和生长发育障碍。骨密</w:t>
      </w:r>
      <w:r>
        <w:rPr>
          <w:spacing w:val="-2"/>
          <w:sz w:val="28"/>
        </w:rPr>
        <w:t>度降低，出现假性骨折线。</w:t>
      </w: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肌肉无力：四肢肌力减弱，严重时可出现呼吸困难和吞咽困难。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神经系统症状：表现为智力发育迟缓、癫痫发作和脑电图异常。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消化系统症状：如恶心、呕吐、便秘等消化道症状。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心血管系统症状：如心动过速、低血压和心律失常等。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其他症状：如皮肤色素沉着、出汗过多、口渴、多尿等。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二、诊断标准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临床表现：存在上述一种或多种临床表现。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0"/>
          <w:type w:val="nextPage"/>
          <w:pgSz w:w="11910" w:h="16840"/>
          <w:pgMar w:top="1400" w:right="1420" w:bottom="1380" w:left="1680" w:header="0" w:footer="1198"/>
          <w:pgNumType w:start="6"/>
          <w:cols w:space="708"/>
          <w:titlePg w:val="0"/>
        </w:sect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实验室检查：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8"/>
        </w:numPr>
        <w:tabs>
          <w:tab w:val="left" w:pos="822"/>
        </w:tabs>
        <w:spacing w:before="1" w:after="0" w:line="240" w:lineRule="auto"/>
        <w:ind w:left="821" w:right="0" w:hanging="282"/>
        <w:jc w:val="left"/>
        <w:rPr>
          <w:sz w:val="28"/>
        </w:rPr>
      </w:pPr>
      <w:r>
        <w:rPr>
          <w:sz w:val="28"/>
        </w:rPr>
        <w:t>血钙降低：血清总钙浓度＜8.0</w:t>
      </w:r>
      <w:r>
        <w:rPr>
          <w:spacing w:val="9"/>
          <w:sz w:val="28"/>
        </w:rPr>
        <w:t xml:space="preserve"> </w:t>
      </w:r>
      <w:r>
        <w:rPr>
          <w:sz w:val="28"/>
        </w:rPr>
        <w:t>mg/dL 或离子钙＜3.0</w:t>
      </w:r>
      <w:r>
        <w:rPr>
          <w:spacing w:val="10"/>
          <w:sz w:val="28"/>
        </w:rPr>
        <w:t xml:space="preserve"> </w:t>
      </w:r>
      <w:r>
        <w:rPr>
          <w:sz w:val="28"/>
        </w:rPr>
        <w:t>mmol/L</w:t>
      </w:r>
      <w:r>
        <w:rPr>
          <w:spacing w:val="-10"/>
          <w:sz w:val="28"/>
        </w:rPr>
        <w:t>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8"/>
        </w:numPr>
        <w:tabs>
          <w:tab w:val="left" w:pos="820"/>
        </w:tabs>
        <w:spacing w:before="1" w:after="0" w:line="240" w:lineRule="auto"/>
        <w:ind w:left="820" w:right="0" w:hanging="280"/>
        <w:jc w:val="left"/>
        <w:rPr>
          <w:sz w:val="28"/>
        </w:rPr>
      </w:pPr>
      <w:r>
        <w:rPr>
          <w:sz w:val="28"/>
        </w:rPr>
        <w:t>血磷增高：血清磷浓度＞5.5 mg/dL 或＞1.75 mmol/L</w:t>
      </w:r>
      <w:r>
        <w:rPr>
          <w:spacing w:val="-10"/>
          <w:sz w:val="28"/>
        </w:rPr>
        <w:t>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8"/>
        </w:numPr>
        <w:tabs>
          <w:tab w:val="left" w:pos="785"/>
        </w:tabs>
        <w:spacing w:before="1" w:after="0" w:line="417" w:lineRule="auto"/>
        <w:ind w:left="120" w:right="378" w:firstLine="420"/>
        <w:jc w:val="left"/>
        <w:rPr>
          <w:sz w:val="28"/>
        </w:rPr>
      </w:pPr>
      <w:r>
        <w:rPr>
          <w:spacing w:val="-2"/>
          <w:sz w:val="28"/>
        </w:rPr>
        <w:t>PTH</w:t>
      </w:r>
      <w:r>
        <w:rPr>
          <w:spacing w:val="-39"/>
          <w:sz w:val="28"/>
        </w:rPr>
        <w:t xml:space="preserve"> 降低：血清 </w:t>
      </w:r>
      <w:r>
        <w:rPr>
          <w:spacing w:val="-2"/>
          <w:sz w:val="28"/>
        </w:rPr>
        <w:t>PTH</w:t>
      </w:r>
      <w:r>
        <w:rPr>
          <w:spacing w:val="-10"/>
          <w:sz w:val="28"/>
        </w:rPr>
        <w:t xml:space="preserve"> 水平低于正常范围，或者与年龄相符的参考</w:t>
      </w:r>
      <w:r>
        <w:rPr>
          <w:spacing w:val="-6"/>
          <w:sz w:val="28"/>
        </w:rPr>
        <w:t>值。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影像学检查：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28"/>
        </w:numPr>
        <w:tabs>
          <w:tab w:val="left" w:pos="822"/>
        </w:tabs>
        <w:spacing w:before="0" w:after="0" w:line="417" w:lineRule="auto"/>
        <w:ind w:left="120" w:right="98" w:firstLine="420"/>
        <w:jc w:val="left"/>
        <w:rPr>
          <w:sz w:val="28"/>
        </w:rPr>
      </w:pPr>
      <w:r>
        <w:rPr>
          <w:spacing w:val="-22"/>
          <w:sz w:val="28"/>
        </w:rPr>
        <w:t xml:space="preserve">骨骼 </w:t>
      </w:r>
      <w:r>
        <w:rPr>
          <w:sz w:val="28"/>
        </w:rPr>
        <w:t>X</w:t>
      </w:r>
      <w:r>
        <w:rPr>
          <w:spacing w:val="-9"/>
          <w:sz w:val="28"/>
        </w:rPr>
        <w:t xml:space="preserve"> 线：可见特征性的骨骼改变，如扁平椎体、扩大的髓腔、</w:t>
      </w:r>
      <w:r>
        <w:rPr>
          <w:spacing w:val="-2"/>
          <w:sz w:val="28"/>
        </w:rPr>
        <w:t>假性骨折线等。</w:t>
      </w:r>
    </w:p>
    <w:p>
      <w:pPr>
        <w:pStyle w:val="ListParagraph"/>
        <w:numPr>
          <w:ilvl w:val="1"/>
          <w:numId w:val="28"/>
        </w:numPr>
        <w:tabs>
          <w:tab w:val="left" w:pos="820"/>
        </w:tabs>
        <w:spacing w:before="0" w:after="0" w:line="358" w:lineRule="exact"/>
        <w:ind w:left="820" w:right="0" w:hanging="280"/>
        <w:jc w:val="left"/>
        <w:rPr>
          <w:sz w:val="28"/>
        </w:rPr>
      </w:pPr>
      <w:r>
        <w:rPr>
          <w:spacing w:val="-3"/>
          <w:sz w:val="28"/>
        </w:rPr>
        <w:t>彩超或CT/MRI</w:t>
      </w:r>
      <w:r>
        <w:rPr>
          <w:spacing w:val="-4"/>
          <w:sz w:val="28"/>
        </w:rPr>
        <w:t>：甲状腺区未见肿大或形态异常的甲状旁腺组织。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三、排除其他疾病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8"/>
        </w:rPr>
        <w:t>在确定儿童甲状旁腺功能减退症前，应排除以下可能引起相似临床表</w:t>
      </w:r>
      <w:r>
        <w:rPr>
          <w:spacing w:val="-2"/>
        </w:rPr>
        <w:t>现和实验室指标异常的疾病：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6"/>
          <w:sz w:val="28"/>
        </w:rPr>
        <w:t xml:space="preserve">原发性低钙血症：如维生素 </w:t>
      </w:r>
      <w:r>
        <w:rPr>
          <w:sz w:val="28"/>
        </w:rPr>
        <w:t>D</w:t>
      </w:r>
      <w:r>
        <w:rPr>
          <w:spacing w:val="-10"/>
          <w:sz w:val="28"/>
        </w:rPr>
        <w:t xml:space="preserve"> 缺乏、肾小管酸中毒等。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继发性低钙血症：如恶性肿瘤、慢性肾脏病、服用某些药物等引起</w:t>
      </w:r>
      <w:r>
        <w:rPr>
          <w:spacing w:val="-11"/>
          <w:sz w:val="28"/>
        </w:rPr>
        <w:t xml:space="preserve">的 </w:t>
      </w:r>
      <w:r>
        <w:rPr>
          <w:sz w:val="28"/>
        </w:rPr>
        <w:t>PTH</w:t>
      </w:r>
      <w:r>
        <w:rPr>
          <w:spacing w:val="-5"/>
          <w:sz w:val="28"/>
        </w:rPr>
        <w:t xml:space="preserve"> 分泌下降。</w:t>
      </w:r>
    </w:p>
    <w:p>
      <w:pPr>
        <w:pStyle w:val="ListParagraph"/>
        <w:numPr>
          <w:ilvl w:val="0"/>
          <w:numId w:val="27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假性甲旁减：遗传性低钙血症、范科尼综合征等。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四、诊断流程</w:t>
      </w:r>
    </w:p>
    <w:p>
      <w:pPr>
        <w:spacing w:after="0"/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ListParagraph"/>
        <w:numPr>
          <w:ilvl w:val="0"/>
          <w:numId w:val="26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根据患者临床表现及实验室检查初步判断是否存在低钙血症。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2"/>
          <w:sz w:val="28"/>
        </w:rPr>
        <w:t xml:space="preserve">进一步进行 </w:t>
      </w:r>
      <w:r>
        <w:rPr>
          <w:sz w:val="28"/>
        </w:rPr>
        <w:t>PTH</w:t>
      </w:r>
      <w:r>
        <w:rPr>
          <w:spacing w:val="-10"/>
          <w:sz w:val="28"/>
        </w:rPr>
        <w:t xml:space="preserve"> 检测以明确是否为甲状旁腺功能减退症。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对于可疑病例，通过影像学检查辅助诊断。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排除其他可能的病因后，结合临床特点，做出最终诊断。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04"/>
      </w:pPr>
      <w:r>
        <w:rPr>
          <w:spacing w:val="-2"/>
        </w:rPr>
        <w:t>总之，儿童甲状旁腺功能减退症的临床表现多样，诊断标准需结合临</w:t>
      </w:r>
      <w:r>
        <w:rPr>
          <w:spacing w:val="-2"/>
        </w:rPr>
        <w:t xml:space="preserve"> </w:t>
      </w:r>
      <w:r>
        <w:rPr>
          <w:spacing w:val="-2"/>
        </w:rPr>
        <w:t>床表现、实验室检查及影像学资料，并排除其他可能导致类似症状的</w:t>
      </w:r>
      <w:r>
        <w:rPr>
          <w:spacing w:val="-2"/>
        </w:rPr>
        <w:t xml:space="preserve"> </w:t>
      </w:r>
      <w:r>
        <w:rPr>
          <w:spacing w:val="-2"/>
        </w:rPr>
        <w:t>疾病。对于确诊的病例，及时进行有效的治疗对改善预后至关重要。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病</w:t>
      </w:r>
      <w:r>
        <w:t>因</w:t>
      </w:r>
      <w:r>
        <w:t>学</w:t>
      </w:r>
      <w:r>
        <w:t>研</w:t>
      </w:r>
      <w:r>
        <w:t>究</w:t>
      </w:r>
      <w:r>
        <w:t>进</w:t>
      </w:r>
      <w:bookmarkEnd w:id="2"/>
      <w:r>
        <w:rPr>
          <w:spacing w:val="-10"/>
        </w:rPr>
        <w:t>展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4"/>
        <w:gridCol w:w="552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2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pacing w:val="-1"/>
                <w:sz w:val="21"/>
              </w:rPr>
              <w:t>【基因突变】：</w:t>
            </w:r>
            <w:r>
              <w:rPr>
                <w:rFonts w:ascii="Times New Roman" w:eastAsia="Times New Roman"/>
                <w:spacing w:val="-5"/>
                <w:sz w:val="21"/>
              </w:rPr>
              <w:t>,</w:t>
            </w:r>
          </w:p>
        </w:tc>
        <w:tc>
          <w:tcPr>
            <w:tcW w:w="552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7"/>
              </w:tabs>
              <w:spacing w:before="0" w:after="0" w:line="278" w:lineRule="auto"/>
              <w:ind w:left="107" w:right="97" w:firstLine="0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遗传性甲状旁腺功能减退症主要由 </w:t>
            </w:r>
            <w:r>
              <w:rPr>
                <w:rFonts w:ascii="Times New Roman" w:eastAsia="Times New Roman"/>
                <w:sz w:val="21"/>
              </w:rPr>
              <w:t>PTH</w:t>
            </w:r>
            <w:r>
              <w:rPr>
                <w:rFonts w:ascii="Times New Roman" w:eastAsia="Times New Roman"/>
                <w:spacing w:val="37"/>
                <w:sz w:val="21"/>
              </w:rPr>
              <w:t xml:space="preserve"> </w:t>
            </w:r>
            <w:r>
              <w:rPr>
                <w:sz w:val="21"/>
              </w:rPr>
              <w:t>基因或其调节</w:t>
            </w:r>
            <w:r>
              <w:rPr>
                <w:spacing w:val="-4"/>
                <w:sz w:val="21"/>
              </w:rPr>
              <w:t xml:space="preserve">基因的突变引起，这些突变可能导致 </w:t>
            </w:r>
            <w:r>
              <w:rPr>
                <w:rFonts w:ascii="Times New Roman" w:eastAsia="Times New Roman"/>
                <w:spacing w:val="-2"/>
                <w:sz w:val="21"/>
              </w:rPr>
              <w:t>PTH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合成障碍或分泌</w:t>
            </w:r>
            <w:r>
              <w:rPr>
                <w:spacing w:val="-4"/>
                <w:sz w:val="21"/>
              </w:rPr>
              <w:t>减少。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400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除了 </w:t>
            </w:r>
            <w:r>
              <w:rPr>
                <w:rFonts w:ascii="Times New Roman" w:eastAsia="Times New Roman"/>
                <w:sz w:val="21"/>
              </w:rPr>
              <w:t>PTH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pacing w:val="11"/>
                <w:sz w:val="21"/>
              </w:rPr>
              <w:t xml:space="preserve">基因突变外， 其他相关基因如 </w:t>
            </w:r>
            <w:r>
              <w:rPr>
                <w:rFonts w:ascii="Times New Roman" w:eastAsia="Times New Roman"/>
                <w:sz w:val="21"/>
              </w:rPr>
              <w:t>CLCN7</w:t>
            </w:r>
            <w:r>
              <w:rPr>
                <w:sz w:val="21"/>
              </w:rPr>
              <w:t xml:space="preserve">、 </w:t>
            </w:r>
            <w:r>
              <w:rPr>
                <w:rFonts w:ascii="Times New Roman" w:eastAsia="Times New Roman"/>
                <w:sz w:val="21"/>
              </w:rPr>
              <w:t xml:space="preserve">TMEM67 </w:t>
            </w:r>
            <w:r>
              <w:rPr>
                <w:spacing w:val="-1"/>
                <w:sz w:val="21"/>
              </w:rPr>
              <w:t>等也可能导致儿童甲状旁腺功能减退症的发生。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对这些基因的研究有助于深入了解疾病发病机制，并为</w:t>
            </w:r>
            <w:r>
              <w:rPr>
                <w:spacing w:val="-2"/>
                <w:sz w:val="21"/>
              </w:rPr>
              <w:t>遗传咨询和治疗提供依据。</w:t>
            </w:r>
          </w:p>
          <w:p>
            <w:pPr>
              <w:pStyle w:val="TableParagraph"/>
              <w:spacing w:line="269" w:lineRule="exact"/>
              <w:ind w:left="107"/>
              <w:rPr>
                <w:rFonts w:ascii="Times New Roman" w:eastAsia="Times New Roman"/>
                <w:sz w:val="21"/>
              </w:rPr>
            </w:pPr>
            <w:r>
              <w:rPr>
                <w:spacing w:val="-1"/>
                <w:sz w:val="21"/>
              </w:rPr>
              <w:t>【环境因素】：</w:t>
            </w:r>
            <w:r>
              <w:rPr>
                <w:rFonts w:ascii="Times New Roman" w:eastAsia="Times New Roman"/>
                <w:spacing w:val="-5"/>
                <w:sz w:val="21"/>
              </w:rPr>
              <w:t>,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t xml:space="preserve">儿童甲状旁腺功能减退症（Hypoparathyroidism in </w:t>
      </w:r>
      <w:r>
        <w:t xml:space="preserve">Children, </w:t>
      </w:r>
      <w:r>
        <w:rPr>
          <w:spacing w:val="-2"/>
        </w:rPr>
        <w:t>HPC）是一种罕见的内分泌疾病，主要表现为血钙水平降低和血磷水</w:t>
      </w:r>
      <w:r>
        <w:rPr>
          <w:spacing w:val="-4"/>
        </w:rPr>
        <w:t>平升高。其病因学研究是探索该病发病机制、制定有效治疗方案以及</w:t>
      </w:r>
      <w:r>
        <w:rPr>
          <w:spacing w:val="-2"/>
        </w:rPr>
        <w:t>进行遗传咨询的重要依据。近年来，随着分子生物学技术的发展，</w:t>
      </w:r>
      <w:r>
        <w:rPr>
          <w:spacing w:val="-11"/>
        </w:rPr>
        <w:t xml:space="preserve">对 </w:t>
      </w:r>
      <w:r>
        <w:t>HPC</w:t>
      </w:r>
      <w:r>
        <w:rPr>
          <w:spacing w:val="-5"/>
        </w:rPr>
        <w:t xml:space="preserve"> 病因学的研究取得了显著进展。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基因突变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基因突变是导致HPC</w:t>
      </w:r>
      <w:r>
        <w:rPr>
          <w:spacing w:val="-20"/>
        </w:rPr>
        <w:t xml:space="preserve"> 的主要原因。已知与</w:t>
      </w:r>
      <w:r>
        <w:rPr>
          <w:spacing w:val="-2"/>
        </w:rPr>
        <w:t>HPC</w:t>
      </w:r>
      <w:r>
        <w:rPr>
          <w:spacing w:val="-8"/>
        </w:rPr>
        <w:t xml:space="preserve"> 相关的基因包括</w:t>
      </w:r>
      <w:r>
        <w:rPr>
          <w:spacing w:val="-2"/>
        </w:rPr>
        <w:t>PTH（</w:t>
      </w:r>
      <w:r>
        <w:rPr>
          <w:spacing w:val="-2"/>
        </w:rPr>
        <w:t>甲</w:t>
      </w:r>
      <w:r>
        <w:t>状旁腺激素</w:t>
      </w:r>
      <w:r>
        <w:rPr>
          <w:spacing w:val="-132"/>
        </w:rPr>
        <w:t>）</w:t>
      </w:r>
      <w:r>
        <w:t>、CASR（钙离子感受器</w:t>
      </w:r>
      <w:r>
        <w:rPr>
          <w:spacing w:val="-132"/>
        </w:rPr>
        <w:t>）</w:t>
      </w:r>
      <w:r>
        <w:t>、CLCN7（</w:t>
      </w:r>
      <w:r>
        <w:rPr>
          <w:spacing w:val="2"/>
        </w:rPr>
        <w:t xml:space="preserve">氯通道 </w:t>
      </w:r>
      <w:r>
        <w:t>7）</w:t>
      </w:r>
      <w:r>
        <w:rPr>
          <w:spacing w:val="5"/>
        </w:rPr>
        <w:t xml:space="preserve">和 </w:t>
      </w:r>
      <w:r>
        <w:rPr>
          <w:spacing w:val="-2"/>
        </w:rPr>
        <w:t>ABCC9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10"/>
        </w:rPr>
        <w:t>（ATP</w:t>
      </w:r>
      <w:r>
        <w:rPr>
          <w:spacing w:val="-14"/>
        </w:rPr>
        <w:t xml:space="preserve"> 结合盒转运子 </w:t>
      </w:r>
      <w:r>
        <w:rPr>
          <w:spacing w:val="35"/>
        </w:rPr>
        <w:t>C</w:t>
      </w:r>
      <w:r>
        <w:rPr>
          <w:spacing w:val="36"/>
        </w:rPr>
        <w:t>9</w:t>
      </w:r>
      <w:r>
        <w:rPr>
          <w:spacing w:val="-103"/>
        </w:rPr>
        <w:t>）</w:t>
      </w:r>
      <w:r>
        <w:rPr>
          <w:spacing w:val="-11"/>
        </w:rPr>
        <w:t xml:space="preserve">。这些基因编码的蛋白质在 </w:t>
      </w:r>
      <w:r>
        <w:rPr>
          <w:spacing w:val="-10"/>
        </w:rPr>
        <w:t>PTH</w:t>
      </w:r>
      <w:r>
        <w:rPr>
          <w:spacing w:val="-13"/>
        </w:rPr>
        <w:t xml:space="preserve"> 合成、分泌</w:t>
      </w:r>
      <w:r>
        <w:rPr>
          <w:spacing w:val="-15"/>
        </w:rPr>
        <w:t>以及靶器官对其响应中发挥关键作用。据估计，在散发性和家族性</w:t>
      </w:r>
      <w:r>
        <w:t>HPC</w:t>
      </w:r>
      <w:r>
        <w:rPr>
          <w:spacing w:val="-3"/>
        </w:rPr>
        <w:t xml:space="preserve">患者中，由基因突变引起的病例占 </w:t>
      </w:r>
      <w:r>
        <w:t>40%-50%[1]。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其中，PTH</w:t>
      </w:r>
      <w:r>
        <w:rPr>
          <w:spacing w:val="-12"/>
        </w:rPr>
        <w:t xml:space="preserve"> 基因突变是最常见的致病因素之一，尤其是发生在 </w:t>
      </w:r>
      <w:r>
        <w:rPr>
          <w:spacing w:val="-6"/>
        </w:rPr>
        <w:t>PTH</w:t>
      </w:r>
      <w:r>
        <w:rPr>
          <w:spacing w:val="-16"/>
        </w:rPr>
        <w:t xml:space="preserve"> 信</w:t>
      </w:r>
      <w:r>
        <w:rPr>
          <w:spacing w:val="-8"/>
        </w:rPr>
        <w:t xml:space="preserve">号肽区域的突变。这些突变导致 </w:t>
      </w:r>
      <w:r>
        <w:rPr>
          <w:spacing w:val="-6"/>
        </w:rPr>
        <w:t>PTH</w:t>
      </w:r>
      <w:r>
        <w:rPr>
          <w:spacing w:val="-11"/>
        </w:rPr>
        <w:t xml:space="preserve"> 前体蛋白无法正常分泌，从而引</w:t>
      </w:r>
      <w:r>
        <w:rPr>
          <w:spacing w:val="-18"/>
        </w:rPr>
        <w:t xml:space="preserve">起 </w:t>
      </w:r>
      <w:r>
        <w:rPr>
          <w:spacing w:val="-8"/>
        </w:rPr>
        <w:t>HPC</w:t>
      </w:r>
      <w:r>
        <w:rPr>
          <w:spacing w:val="-25"/>
        </w:rPr>
        <w:t xml:space="preserve"> 的发生。一项针对散发性 </w:t>
      </w:r>
      <w:r>
        <w:rPr>
          <w:spacing w:val="-8"/>
        </w:rPr>
        <w:t>HPC</w:t>
      </w:r>
      <w:r>
        <w:rPr>
          <w:spacing w:val="-23"/>
        </w:rPr>
        <w:t xml:space="preserve"> 患者的基因测序研究发现，约 </w:t>
      </w:r>
      <w:r>
        <w:rPr>
          <w:spacing w:val="-8"/>
        </w:rPr>
        <w:t>23</w:t>
      </w:r>
      <w:r>
        <w:rPr>
          <w:spacing w:val="-8"/>
        </w:rPr>
        <w:t>%</w:t>
      </w:r>
      <w:r>
        <w:rPr>
          <w:spacing w:val="-4"/>
        </w:rPr>
        <w:t xml:space="preserve">的患者存在 </w:t>
      </w:r>
      <w:r>
        <w:t>PTH</w:t>
      </w:r>
      <w:r>
        <w:rPr>
          <w:spacing w:val="-5"/>
        </w:rPr>
        <w:t xml:space="preserve"> 基因突变</w:t>
      </w:r>
      <w:r>
        <w:t>[2]。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此外，CASR</w:t>
      </w:r>
      <w:r>
        <w:rPr>
          <w:spacing w:val="-13"/>
        </w:rPr>
        <w:t xml:space="preserve"> 基因突变也是 </w:t>
      </w:r>
      <w:r>
        <w:rPr>
          <w:spacing w:val="-4"/>
        </w:rPr>
        <w:t>HPC</w:t>
      </w:r>
      <w:r>
        <w:rPr>
          <w:spacing w:val="-10"/>
        </w:rPr>
        <w:t xml:space="preserve"> 的一个重要原因。</w:t>
      </w:r>
      <w:r>
        <w:rPr>
          <w:spacing w:val="-4"/>
        </w:rPr>
        <w:t>CASR</w:t>
      </w:r>
      <w:r>
        <w:rPr>
          <w:spacing w:val="-10"/>
        </w:rPr>
        <w:t xml:space="preserve"> 编码的钙离子</w:t>
      </w:r>
      <w:r>
        <w:rPr>
          <w:spacing w:val="-11"/>
        </w:rPr>
        <w:t xml:space="preserve">感受器负责检测血液中的钙离子浓度，并通过调节 </w:t>
      </w:r>
      <w:r>
        <w:rPr>
          <w:spacing w:val="-4"/>
        </w:rPr>
        <w:t>PTH</w:t>
      </w:r>
      <w:r>
        <w:rPr>
          <w:spacing w:val="-9"/>
        </w:rPr>
        <w:t xml:space="preserve"> 的分泌来维持</w:t>
      </w:r>
      <w:r>
        <w:rPr>
          <w:spacing w:val="-8"/>
        </w:rPr>
        <w:t xml:space="preserve">钙代谢平衡。研究表明，大约 </w:t>
      </w:r>
      <w:r>
        <w:rPr>
          <w:spacing w:val="-6"/>
        </w:rPr>
        <w:t>10%-15%</w:t>
      </w:r>
      <w:r>
        <w:rPr>
          <w:spacing w:val="-8"/>
        </w:rPr>
        <w:t xml:space="preserve">的散发性和家族性 </w:t>
      </w:r>
      <w:r>
        <w:rPr>
          <w:spacing w:val="-6"/>
        </w:rPr>
        <w:t>HPC</w:t>
      </w:r>
      <w:r>
        <w:rPr>
          <w:spacing w:val="-11"/>
        </w:rPr>
        <w:t xml:space="preserve"> 患者存在 </w:t>
      </w:r>
      <w:r>
        <w:t>CASR</w:t>
      </w:r>
      <w:r>
        <w:rPr>
          <w:spacing w:val="-5"/>
        </w:rPr>
        <w:t xml:space="preserve"> 基因突变</w:t>
      </w:r>
      <w:r>
        <w:t>[3]。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先天性异常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t xml:space="preserve">先天性甲状腺发育不全（Congenital Hypothyroidism, CH）是导致 </w:t>
      </w:r>
      <w:r>
        <w:rPr>
          <w:spacing w:val="-2"/>
        </w:rPr>
        <w:t>HPC</w:t>
      </w:r>
      <w:r>
        <w:rPr>
          <w:spacing w:val="-9"/>
        </w:rPr>
        <w:t xml:space="preserve"> 的一种常见原因。当甲状腺未能正常发育或移位时，可能导致甲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9"/>
        </w:rPr>
        <w:t>状旁腺功能障碍。根据文献报道，</w:t>
      </w:r>
      <w:r>
        <w:t>CH</w:t>
      </w:r>
      <w:r>
        <w:rPr>
          <w:spacing w:val="-16"/>
        </w:rPr>
        <w:t xml:space="preserve"> 患者中有 </w:t>
      </w:r>
      <w:r>
        <w:t>1-8%</w:t>
      </w:r>
      <w:r>
        <w:rPr>
          <w:spacing w:val="-10"/>
        </w:rPr>
        <w:t xml:space="preserve">可合并 </w:t>
      </w:r>
      <w:r>
        <w:t>HPC[4]</w:t>
      </w:r>
      <w:r>
        <w:rPr>
          <w:spacing w:val="-10"/>
        </w:rPr>
        <w:t>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1"/>
        </w:rPr>
        <w:t xml:space="preserve">除了 </w:t>
      </w:r>
      <w:r>
        <w:t>CH</w:t>
      </w:r>
      <w:r>
        <w:rPr>
          <w:spacing w:val="17"/>
        </w:rPr>
        <w:t xml:space="preserve"> 外， 其他先天性疾病如多发性内分泌腺瘤综合征Ⅰ型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t>（Multiple</w:t>
      </w:r>
      <w:r>
        <w:rPr>
          <w:spacing w:val="-35"/>
        </w:rPr>
        <w:t xml:space="preserve"> </w:t>
      </w:r>
      <w:r>
        <w:t>Endocrine</w:t>
      </w:r>
      <w:r>
        <w:rPr>
          <w:spacing w:val="-35"/>
        </w:rPr>
        <w:t xml:space="preserve"> </w:t>
      </w:r>
      <w:r>
        <w:t>Neoplasia</w:t>
      </w:r>
      <w:r>
        <w:rPr>
          <w:spacing w:val="-35"/>
        </w:rPr>
        <w:t xml:space="preserve"> </w:t>
      </w:r>
      <w:r>
        <w:t>Type</w:t>
      </w:r>
      <w:r>
        <w:rPr>
          <w:spacing w:val="-35"/>
        </w:rPr>
        <w:t xml:space="preserve"> </w:t>
      </w:r>
      <w:r>
        <w:t>1,</w:t>
      </w:r>
      <w:r>
        <w:rPr>
          <w:spacing w:val="-35"/>
        </w:rPr>
        <w:t xml:space="preserve"> </w:t>
      </w:r>
      <w:r>
        <w:rPr>
          <w:spacing w:val="28"/>
        </w:rPr>
        <w:t>MEN1</w:t>
      </w:r>
      <w:r>
        <w:rPr>
          <w:spacing w:val="-112"/>
        </w:rPr>
        <w:t>）</w:t>
      </w:r>
      <w:r>
        <w:rPr>
          <w:spacing w:val="-14"/>
        </w:rPr>
        <w:t>、迪格奥尔格综合</w:t>
      </w:r>
      <w:r>
        <w:t>症（DiGeorge Syndrome, DGS）</w:t>
      </w:r>
      <w:r>
        <w:rPr>
          <w:spacing w:val="-6"/>
        </w:rPr>
        <w:t xml:space="preserve">等也可能伴有 </w:t>
      </w:r>
      <w:r>
        <w:t>HPC。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手术相关因素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 xml:space="preserve">颈部手术是获得性 </w:t>
      </w:r>
      <w:r>
        <w:rPr>
          <w:spacing w:val="-4"/>
        </w:rPr>
        <w:t>HPC</w:t>
      </w:r>
      <w:r>
        <w:rPr>
          <w:spacing w:val="-16"/>
        </w:rPr>
        <w:t xml:space="preserve"> 的主要原因之一，尤其在甲状腺手术中尤为常</w:t>
      </w:r>
      <w:r>
        <w:rPr>
          <w:spacing w:val="-3"/>
        </w:rPr>
        <w:t xml:space="preserve">见。据统计，甲状腺手术后 </w:t>
      </w:r>
      <w:r>
        <w:t>HPC</w:t>
      </w:r>
      <w:r>
        <w:rPr>
          <w:spacing w:val="-11"/>
        </w:rPr>
        <w:t xml:space="preserve"> 的发生率为 </w:t>
      </w:r>
      <w:r>
        <w:t>0.1%-0.5%[5]。其发生</w:t>
      </w:r>
      <w:r>
        <w:rPr>
          <w:spacing w:val="-2"/>
        </w:rPr>
        <w:t>主要是由于手术过程中误切或损伤了甲状旁腺组织。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 xml:space="preserve">最近的一项 </w:t>
      </w:r>
      <w:r>
        <w:rPr>
          <w:spacing w:val="-2"/>
        </w:rPr>
        <w:t>meta</w:t>
      </w:r>
      <w:r>
        <w:rPr>
          <w:spacing w:val="-8"/>
        </w:rPr>
        <w:t xml:space="preserve"> 分析显示，预防性保留甲状旁腺的手术方法可以显</w:t>
      </w:r>
      <w:r>
        <w:rPr>
          <w:spacing w:val="-4"/>
        </w:rPr>
        <w:t xml:space="preserve">著降低术后 </w:t>
      </w:r>
      <w:r>
        <w:t>HPC</w:t>
      </w:r>
      <w:r>
        <w:rPr>
          <w:spacing w:val="-6"/>
        </w:rPr>
        <w:t xml:space="preserve"> 的风险</w:t>
      </w:r>
      <w:r>
        <w:t>[6]。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自身免疫性疾病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9"/>
          <w:w w:val="90"/>
        </w:rPr>
        <w:t xml:space="preserve">自 身 免 疫 性 疾 病 ， 如 自 身 免 疫 性 甲 状 腺 炎 </w:t>
      </w:r>
      <w:r>
        <w:rPr>
          <w:w w:val="90"/>
        </w:rPr>
        <w:t>（</w:t>
      </w:r>
      <w:r>
        <w:rPr>
          <w:spacing w:val="-9"/>
          <w:w w:val="90"/>
        </w:rPr>
        <w:t xml:space="preserve"> </w:t>
      </w:r>
      <w:r>
        <w:rPr>
          <w:w w:val="90"/>
        </w:rPr>
        <w:t xml:space="preserve">Autoimmune </w:t>
      </w:r>
      <w:r>
        <w:rPr>
          <w:spacing w:val="-6"/>
        </w:rPr>
        <w:t>Thyroiditis,</w:t>
      </w:r>
      <w:r>
        <w:rPr>
          <w:spacing w:val="-29"/>
        </w:rPr>
        <w:t xml:space="preserve"> </w:t>
      </w:r>
      <w:r>
        <w:rPr>
          <w:spacing w:val="21"/>
        </w:rPr>
        <w:t>AIT</w:t>
      </w:r>
      <w:r>
        <w:rPr>
          <w:spacing w:val="-117"/>
        </w:rPr>
        <w:t>）</w:t>
      </w:r>
      <w:r>
        <w:rPr>
          <w:spacing w:val="-7"/>
        </w:rPr>
        <w:t xml:space="preserve">，也可导致 </w:t>
      </w:r>
      <w:r>
        <w:rPr>
          <w:spacing w:val="-6"/>
        </w:rPr>
        <w:t>HPC</w:t>
      </w:r>
      <w:r>
        <w:rPr>
          <w:spacing w:val="-14"/>
        </w:rPr>
        <w:t xml:space="preserve"> 的发生。一些 </w:t>
      </w:r>
      <w:r>
        <w:rPr>
          <w:spacing w:val="-6"/>
        </w:rPr>
        <w:t>AIT</w:t>
      </w:r>
      <w:r>
        <w:rPr>
          <w:spacing w:val="-11"/>
        </w:rPr>
        <w:t xml:space="preserve"> 患者可能会产</w:t>
      </w:r>
      <w:r>
        <w:rPr>
          <w:spacing w:val="-16"/>
        </w:rPr>
        <w:t>生抗甲状旁腺抗体，攻击并破坏正常的甲状旁腺组织。研究发现，</w:t>
      </w:r>
      <w:r>
        <w:rPr>
          <w:spacing w:val="-4"/>
        </w:rPr>
        <w:t>AI</w:t>
      </w:r>
      <w:r>
        <w:rPr>
          <w:spacing w:val="-4"/>
        </w:rPr>
        <w:t>T</w:t>
      </w:r>
      <w:r>
        <w:rPr>
          <w:spacing w:val="-5"/>
        </w:rPr>
        <w:t xml:space="preserve">患者中 </w:t>
      </w:r>
      <w:r>
        <w:t>HPC</w:t>
      </w:r>
      <w:r>
        <w:rPr>
          <w:spacing w:val="-6"/>
        </w:rPr>
        <w:t xml:space="preserve"> 的发生率为 </w:t>
      </w:r>
      <w:r>
        <w:t>0.5%-3%[7]。</w:t>
      </w:r>
    </w:p>
    <w:p>
      <w:pPr>
        <w:spacing w:after="0" w:line="417" w:lineRule="auto"/>
        <w:jc w:val="both"/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t>综上所述，HPC</w:t>
      </w:r>
      <w:r>
        <w:rPr>
          <w:spacing w:val="-7"/>
        </w:rPr>
        <w:t xml:space="preserve"> 的病因主要包括基因突变、先天性异常、手术相关因</w:t>
      </w:r>
      <w:r>
        <w:t xml:space="preserve"> </w:t>
      </w:r>
      <w:r>
        <w:rPr>
          <w:spacing w:val="-2"/>
        </w:rPr>
        <w:t>素和自身免疫性疾病等。深入探讨这些病因有助于我们更好地理解</w:t>
      </w:r>
      <w:r>
        <w:rPr>
          <w:spacing w:val="40"/>
        </w:rPr>
        <w:t xml:space="preserve"> </w:t>
      </w:r>
      <w:r>
        <w:t>HPC</w:t>
      </w:r>
      <w:r>
        <w:rPr>
          <w:spacing w:val="-6"/>
        </w:rPr>
        <w:t xml:space="preserve"> 的发病机制，为疾病的诊断、治疗及预防提供科学依据。未来，</w:t>
      </w:r>
      <w:r>
        <w:rPr>
          <w:spacing w:val="-2"/>
        </w:rPr>
        <w:t xml:space="preserve">随着科学技术的进步，我们有望揭示更多关于 </w:t>
      </w:r>
      <w:r>
        <w:t>HPC</w:t>
      </w:r>
      <w:r>
        <w:rPr>
          <w:spacing w:val="-7"/>
        </w:rPr>
        <w:t xml:space="preserve"> 病因的细节，从而</w:t>
      </w:r>
      <w:r>
        <w:t xml:space="preserve"> </w:t>
      </w:r>
      <w:r>
        <w:rPr>
          <w:spacing w:val="-2"/>
        </w:rPr>
        <w:t>提高临床诊疗水平。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影</w:t>
      </w:r>
      <w:r>
        <w:t>响</w:t>
      </w:r>
      <w:r>
        <w:t>因</w:t>
      </w:r>
      <w:r>
        <w:t>素</w:t>
      </w:r>
      <w:r>
        <w:t>分</w:t>
      </w:r>
      <w:bookmarkEnd w:id="3"/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【遗传因素】：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遗传易感性：儿童甲状旁腺功能减退症可能与特定基因</w:t>
            </w:r>
            <w:r>
              <w:rPr>
                <w:sz w:val="21"/>
              </w:rPr>
              <w:t>突变相关，例如钙离子通道、</w:t>
            </w:r>
            <w:r>
              <w:rPr>
                <w:rFonts w:ascii="Times New Roman" w:eastAsia="Times New Roman"/>
                <w:sz w:val="21"/>
              </w:rPr>
              <w:t>PTH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合成和分泌相关的基因</w:t>
            </w:r>
            <w:r>
              <w:rPr>
                <w:spacing w:val="-2"/>
                <w:sz w:val="21"/>
              </w:rPr>
              <w:t>等。这些遗传变异可能导致甲状旁腺功能障碍。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家族聚集性：在一些家庭中，多个成员出现甲状旁腺功</w:t>
            </w:r>
            <w:r>
              <w:rPr>
                <w:spacing w:val="-2"/>
                <w:sz w:val="21"/>
              </w:rPr>
              <w:t>能减退症的情况，这提示了该病可能存在家族遗传倾向。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研究进展：随着基因测序技术的发展，对甲状旁腺功能</w:t>
            </w:r>
            <w:r>
              <w:rPr>
                <w:spacing w:val="-2"/>
                <w:sz w:val="21"/>
              </w:rPr>
              <w:t>减退症的遗传机制有更深入的认识，有助于早期诊断和预</w:t>
            </w:r>
            <w:r>
              <w:rPr>
                <w:spacing w:val="-6"/>
                <w:sz w:val="21"/>
              </w:rPr>
              <w:t>防。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【环境因素】：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影响因素分析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儿童甲状旁腺功能减退症（Hypoparathyroidism,</w:t>
      </w:r>
      <w:r>
        <w:rPr>
          <w:spacing w:val="-33"/>
        </w:rPr>
        <w:t xml:space="preserve"> </w:t>
      </w:r>
      <w:r>
        <w:rPr>
          <w:spacing w:val="-2"/>
        </w:rPr>
        <w:t>HP）是一种罕见的</w:t>
      </w:r>
      <w:r>
        <w:t>内分泌疾病，主要表现为血钙水平降低和血磷水平升高。HP 的发病</w:t>
      </w:r>
      <w:r>
        <w:rPr>
          <w:spacing w:val="-4"/>
        </w:rPr>
        <w:t xml:space="preserve">机制复杂，涉及遗传、免疫、环境等多方面的因素。本文将针对儿童 </w:t>
      </w:r>
      <w:r>
        <w:t>HP 的影响因素进行深入探讨。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遗传因素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https://d.book118.com/088006043127006042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6"/>
      <w:pgSz w:w="11910" w:h="16840"/>
      <w:pgMar w:top="1520" w:right="142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C271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EAE3B3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145AFD9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1481445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1547E1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5">
    <w:nsid w:val="1F978ED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6">
    <w:nsid w:val="21D96CA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7">
    <w:nsid w:val="22D584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8">
    <w:nsid w:val="2D57B3E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2D9BF11B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9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10">
    <w:nsid w:val="2FE0B6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11">
    <w:nsid w:val="316D31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12">
    <w:nsid w:val="33C510C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3">
    <w:nsid w:val="39F790A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4">
    <w:nsid w:val="3CC07C5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5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6" w:hanging="272"/>
      </w:pPr>
      <w:rPr>
        <w:rFonts w:hint="default"/>
        <w:lang w:val="en-US" w:eastAsia="zh-CN" w:bidi="ar-SA"/>
      </w:rPr>
    </w:lvl>
  </w:abstractNum>
  <w:abstractNum w:abstractNumId="15">
    <w:nsid w:val="3E9544F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3ED22DC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3FB619E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8">
    <w:nsid w:val="423329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4237736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0">
    <w:nsid w:val="424EDA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453F4E6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8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76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95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13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32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50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69" w:hanging="282"/>
      </w:pPr>
      <w:rPr>
        <w:rFonts w:hint="default"/>
        <w:lang w:val="en-US" w:eastAsia="zh-CN" w:bidi="ar-SA"/>
      </w:rPr>
    </w:lvl>
  </w:abstractNum>
  <w:abstractNum w:abstractNumId="22">
    <w:nsid w:val="46B7BDD5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2"/>
      </w:pPr>
      <w:rPr>
        <w:rFonts w:hint="default"/>
        <w:lang w:val="en-US" w:eastAsia="zh-CN" w:bidi="ar-SA"/>
      </w:rPr>
    </w:lvl>
  </w:abstractNum>
  <w:abstractNum w:abstractNumId="23">
    <w:nsid w:val="478678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5071C30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5">
    <w:nsid w:val="5375A27A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280"/>
      </w:pPr>
      <w:rPr>
        <w:rFonts w:hint="default"/>
        <w:lang w:val="en-US" w:eastAsia="zh-CN" w:bidi="ar-SA"/>
      </w:rPr>
    </w:lvl>
  </w:abstractNum>
  <w:abstractNum w:abstractNumId="26">
    <w:nsid w:val="548534EB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5875BDA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8">
    <w:nsid w:val="5A94CD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6145166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30">
    <w:nsid w:val="628AFD9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1">
    <w:nsid w:val="678F542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2">
    <w:nsid w:val="7706DA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0" w:hanging="264"/>
      </w:pPr>
      <w:rPr>
        <w:rFonts w:hint="default"/>
        <w:lang w:val="en-US" w:eastAsia="zh-CN" w:bidi="ar-SA"/>
      </w:rPr>
    </w:lvl>
  </w:abstractNum>
  <w:abstractNum w:abstractNumId="33">
    <w:nsid w:val="7805F23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7A7B36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9"/>
      </w:pPr>
      <w:rPr>
        <w:rFonts w:hint="default"/>
        <w:lang w:val="en-US" w:eastAsia="zh-CN" w:bidi="ar-SA"/>
      </w:rPr>
    </w:lvl>
  </w:abstractNum>
  <w:abstractNum w:abstractNumId="35">
    <w:nsid w:val="7DA0F9F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num w:numId="1">
    <w:abstractNumId w:val="22"/>
  </w:num>
  <w:num w:numId="2">
    <w:abstractNumId w:val="9"/>
  </w:num>
  <w:num w:numId="3">
    <w:abstractNumId w:val="19"/>
  </w:num>
  <w:num w:numId="4">
    <w:abstractNumId w:val="28"/>
  </w:num>
  <w:num w:numId="5">
    <w:abstractNumId w:val="20"/>
  </w:num>
  <w:num w:numId="6">
    <w:abstractNumId w:val="23"/>
  </w:num>
  <w:num w:numId="7">
    <w:abstractNumId w:val="16"/>
  </w:num>
  <w:num w:numId="8">
    <w:abstractNumId w:val="26"/>
  </w:num>
  <w:num w:numId="9">
    <w:abstractNumId w:val="0"/>
  </w:num>
  <w:num w:numId="10">
    <w:abstractNumId w:val="8"/>
  </w:num>
  <w:num w:numId="11">
    <w:abstractNumId w:val="24"/>
  </w:num>
  <w:num w:numId="12">
    <w:abstractNumId w:val="35"/>
  </w:num>
  <w:num w:numId="13">
    <w:abstractNumId w:val="17"/>
  </w:num>
  <w:num w:numId="14">
    <w:abstractNumId w:val="27"/>
  </w:num>
  <w:num w:numId="15">
    <w:abstractNumId w:val="3"/>
  </w:num>
  <w:num w:numId="16">
    <w:abstractNumId w:val="33"/>
  </w:num>
  <w:num w:numId="17">
    <w:abstractNumId w:val="1"/>
  </w:num>
  <w:num w:numId="18">
    <w:abstractNumId w:val="15"/>
  </w:num>
  <w:num w:numId="19">
    <w:abstractNumId w:val="2"/>
  </w:num>
  <w:num w:numId="20">
    <w:abstractNumId w:val="18"/>
  </w:num>
  <w:num w:numId="21">
    <w:abstractNumId w:val="14"/>
  </w:num>
  <w:num w:numId="22">
    <w:abstractNumId w:val="31"/>
  </w:num>
  <w:num w:numId="23">
    <w:abstractNumId w:val="4"/>
  </w:num>
  <w:num w:numId="24">
    <w:abstractNumId w:val="13"/>
  </w:num>
  <w:num w:numId="25">
    <w:abstractNumId w:val="34"/>
  </w:num>
  <w:num w:numId="26">
    <w:abstractNumId w:val="12"/>
  </w:num>
  <w:num w:numId="27">
    <w:abstractNumId w:val="25"/>
  </w:num>
  <w:num w:numId="28">
    <w:abstractNumId w:val="21"/>
  </w:num>
  <w:num w:numId="29">
    <w:abstractNumId w:val="30"/>
  </w:num>
  <w:num w:numId="30">
    <w:abstractNumId w:val="10"/>
  </w:num>
  <w:num w:numId="31">
    <w:abstractNumId w:val="29"/>
  </w:num>
  <w:num w:numId="32">
    <w:abstractNumId w:val="11"/>
  </w:num>
  <w:num w:numId="33">
    <w:abstractNumId w:val="7"/>
  </w:num>
  <w:num w:numId="34">
    <w:abstractNumId w:val="5"/>
  </w:num>
  <w:num w:numId="35">
    <w:abstractNumId w:val="6"/>
  </w:num>
  <w:num w:numId="3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18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088006043127006042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2024-03-05T04:35:18Z</dcterms:created>
  <dcterms:modified xsi:type="dcterms:W3CDTF">2024-03-05T04:35:18Z</dcterms:modified>
</cp:coreProperties>
</file>