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pStyle w:val="Title"/>
        <w:spacing w:line="242" w:lineRule="auto"/>
      </w:pPr>
      <w:r>
        <w:rPr>
          <w:w w:val="95"/>
        </w:rPr>
        <w:t>水泥混凝土道路施工方案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spacing w:before="24" w:line="364" w:lineRule="auto"/>
        <w:ind w:left="3473" w:right="8444" w:firstLine="0"/>
        <w:jc w:val="both"/>
        <w:rPr>
          <w:b/>
          <w:sz w:val="54"/>
        </w:rPr>
      </w:pPr>
      <w:r>
        <w:rPr>
          <w:b/>
          <w:spacing w:val="-7"/>
          <w:sz w:val="54"/>
        </w:rPr>
        <w:t>编制： 审核： 审批：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spacing w:before="24"/>
        <w:ind w:left="0" w:right="391" w:firstLine="0"/>
        <w:jc w:val="center"/>
        <w:rPr>
          <w:b/>
          <w:sz w:val="54"/>
        </w:rPr>
      </w:pPr>
      <w:r>
        <w:rPr>
          <w:b/>
          <w:spacing w:val="-69"/>
          <w:sz w:val="54"/>
        </w:rPr>
        <w:t xml:space="preserve">二 </w:t>
      </w:r>
      <w:r>
        <w:rPr>
          <w:b/>
          <w:sz w:val="54"/>
        </w:rPr>
        <w:t>O</w:t>
      </w:r>
      <w:r>
        <w:rPr>
          <w:b/>
          <w:spacing w:val="-20"/>
          <w:sz w:val="54"/>
        </w:rPr>
        <w:t xml:space="preserve"> 一五年十二月</w:t>
      </w:r>
    </w:p>
    <w:p>
      <w:pPr>
        <w:spacing w:after="0"/>
        <w:jc w:val="center"/>
        <w:rPr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340" w:right="1960" w:bottom="2020" w:left="2360" w:header="1088" w:footer="1831"/>
          <w:cols w:space="708"/>
        </w:sectPr>
      </w:pPr>
    </w:p>
    <w:p>
      <w:pPr>
        <w:pStyle w:val="BodyText"/>
        <w:spacing w:line="42" w:lineRule="exact"/>
        <w:ind w:left="2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976250" cy="26860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6250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b/>
          <w:sz w:val="24"/>
        </w:rPr>
      </w:pPr>
    </w:p>
    <w:p>
      <w:pPr>
        <w:tabs>
          <w:tab w:val="left" w:pos="1205"/>
        </w:tabs>
        <w:spacing w:before="17"/>
        <w:ind w:left="0" w:right="398" w:firstLine="0"/>
        <w:jc w:val="center"/>
        <w:rPr>
          <w:b/>
          <w:sz w:val="60"/>
        </w:rPr>
      </w:pPr>
      <w:r>
        <w:rPr>
          <w:b/>
          <w:sz w:val="60"/>
        </w:rPr>
        <w:t>目</w:t>
        <w:tab/>
        <w:t>录</w:t>
      </w:r>
    </w:p>
    <w:p>
      <w:pPr>
        <w:pStyle w:val="BodyText"/>
        <w:rPr>
          <w:b/>
          <w:sz w:val="60"/>
        </w:rPr>
      </w:pPr>
    </w:p>
    <w:sdt>
      <w:sdtPr>
        <w:id w:val="3724085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455"/>
            </w:tabs>
            <w:spacing w:before="516"/>
          </w:pPr>
          <w:hyperlink w:anchor="_TOC_250006" w:history="1">
            <w:r>
              <w:t>一、编制依据</w:t>
              <w:tab/>
              <w:t>1</w:t>
            </w:r>
          </w:hyperlink>
        </w:p>
        <w:p>
          <w:pPr>
            <w:pStyle w:val="TOC1"/>
            <w:tabs>
              <w:tab w:val="right" w:leader="dot" w:pos="12455"/>
            </w:tabs>
          </w:pPr>
          <w:hyperlink w:anchor="_TOC_250005" w:history="1">
            <w:r>
              <w:t>二、工程概况</w:t>
              <w:tab/>
              <w:t>1</w:t>
            </w:r>
          </w:hyperlink>
        </w:p>
        <w:p>
          <w:pPr>
            <w:pStyle w:val="TOC1"/>
            <w:tabs>
              <w:tab w:val="right" w:leader="dot" w:pos="12455"/>
            </w:tabs>
          </w:pPr>
          <w:hyperlink w:anchor="_TOC_250004" w:history="1">
            <w:r>
              <w:t>三、施工准备</w:t>
              <w:tab/>
              <w:t>1</w:t>
            </w:r>
          </w:hyperlink>
        </w:p>
        <w:p>
          <w:pPr>
            <w:pStyle w:val="TOC1"/>
            <w:tabs>
              <w:tab w:val="right" w:leader="dot" w:pos="12456"/>
            </w:tabs>
            <w:ind w:right="399"/>
          </w:pPr>
          <w:hyperlink w:anchor="_TOC_250003" w:history="1">
            <w:r>
              <w:t>四、土方开挖施工</w:t>
              <w:tab/>
              <w:t>3</w:t>
            </w:r>
          </w:hyperlink>
        </w:p>
        <w:p>
          <w:pPr>
            <w:pStyle w:val="TOC1"/>
            <w:tabs>
              <w:tab w:val="right" w:leader="dot" w:pos="12455"/>
            </w:tabs>
            <w:spacing w:before="322"/>
          </w:pPr>
          <w:hyperlink w:anchor="_TOC_250002" w:history="1">
            <w:r>
              <w:t>五、粗纱垫层</w:t>
              <w:tab/>
              <w:t>4</w:t>
            </w:r>
          </w:hyperlink>
        </w:p>
        <w:p>
          <w:pPr>
            <w:pStyle w:val="TOC1"/>
            <w:tabs>
              <w:tab w:val="right" w:leader="dot" w:pos="12460"/>
            </w:tabs>
            <w:ind w:right="395"/>
          </w:pPr>
          <w:hyperlink w:anchor="_TOC_250001" w:history="1">
            <w:r>
              <w:t>六、石灰土路基施工方法</w:t>
              <w:tab/>
              <w:t>5</w:t>
            </w:r>
          </w:hyperlink>
        </w:p>
        <w:p>
          <w:pPr>
            <w:pStyle w:val="TOC1"/>
            <w:tabs>
              <w:tab w:val="right" w:leader="dot" w:pos="12463"/>
            </w:tabs>
            <w:ind w:right="393"/>
          </w:pPr>
          <w:hyperlink w:anchor="_TOC_250000" w:history="1">
            <w:r>
              <w:t>七、水泥混凝土路面施工方案</w:t>
              <w:tab/>
              <w:t>7</w:t>
            </w:r>
          </w:hyperlink>
        </w:p>
        <w:p>
          <w:pPr>
            <w:pStyle w:val="TOC1"/>
            <w:tabs>
              <w:tab w:val="right" w:leader="dot" w:pos="12460"/>
            </w:tabs>
            <w:ind w:right="395"/>
          </w:pPr>
          <w:r>
            <w:t>八、质量安全环保措施</w:t>
            <w:tab/>
            <w:t>14</w:t>
          </w:r>
        </w:p>
        <w:p>
          <w:pPr>
            <w:pStyle w:val="TOC1"/>
            <w:tabs>
              <w:tab w:val="right" w:leader="dot" w:pos="12455"/>
            </w:tabs>
          </w:pPr>
          <w:r>
            <w:t>九、应急预案</w:t>
            <w:tab/>
            <w:t>16</w:t>
          </w:r>
        </w:p>
      </w:sdtContent>
    </w:sdt>
    <w:p>
      <w:pPr>
        <w:spacing w:after="0"/>
        <w:sectPr>
          <w:headerReference w:type="default" r:id="rId7"/>
          <w:footerReference w:type="default" r:id="rId8"/>
          <w:pgSz w:w="17860" w:h="25260"/>
          <w:pgMar w:top="1340" w:right="1960" w:bottom="2020" w:left="2360" w:header="1088" w:footer="1831"/>
          <w:pgNumType w:start="2"/>
          <w:cols w:space="708"/>
        </w:sectPr>
      </w:pPr>
    </w:p>
    <w:p>
      <w:pPr>
        <w:spacing w:before="241"/>
        <w:ind w:left="0" w:right="411" w:firstLine="0"/>
        <w:jc w:val="center"/>
        <w:rPr>
          <w:b/>
          <w:sz w:val="60"/>
        </w:rPr>
      </w:pPr>
      <w:r>
        <w:rPr>
          <w:b/>
          <w:sz w:val="60"/>
        </w:rPr>
        <w:t>水泥混凝土道路施工方案</w:t>
      </w:r>
    </w:p>
    <w:p>
      <w:pPr>
        <w:pStyle w:val="Heading1"/>
        <w:spacing w:before="394"/>
      </w:pPr>
      <w:bookmarkStart w:id="0" w:name="_TOC_250006"/>
      <w:bookmarkEnd w:id="0"/>
      <w:r>
        <w:t>一、编制依据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ind w:left="1255"/>
      </w:pPr>
      <w:r>
        <w:t>1、业主提供的本工程的施工图纸</w:t>
      </w:r>
    </w:p>
    <w:p>
      <w:pPr>
        <w:pStyle w:val="BodyText"/>
        <w:rPr>
          <w:sz w:val="31"/>
        </w:rPr>
      </w:pPr>
    </w:p>
    <w:p>
      <w:pPr>
        <w:pStyle w:val="BodyText"/>
        <w:ind w:left="1255"/>
      </w:pPr>
      <w:r>
        <w:t>2、《公路水泥混凝土路面施工技术规范》JTG F30—2014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55"/>
      </w:pPr>
      <w:r>
        <w:t>3、《公路工程质量检验评定标准》JTGF80/1-2012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55"/>
      </w:pPr>
      <w:r>
        <w:t>4、《公路工程施工安全技术规程》JTGF9-2015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55"/>
      </w:pPr>
      <w:r>
        <w:t>5、设计主要依据的规范、规定和标准</w:t>
      </w:r>
    </w:p>
    <w:p>
      <w:pPr>
        <w:pStyle w:val="Heading1"/>
        <w:spacing w:before="354"/>
      </w:pPr>
      <w:bookmarkStart w:id="1" w:name="_TOC_250005"/>
      <w:bookmarkEnd w:id="1"/>
      <w:r>
        <w:rPr>
          <w:w w:val="95"/>
        </w:rPr>
        <w:t>二、工程概况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175" w:right="353" w:firstLine="831"/>
      </w:pPr>
      <w:r>
        <w:rPr>
          <w:spacing w:val="-12"/>
        </w:rPr>
        <w:t xml:space="preserve">本工程地面道路有 </w:t>
      </w:r>
      <w:r>
        <w:rPr>
          <w:spacing w:val="-4"/>
        </w:rPr>
        <w:t>4m</w:t>
      </w:r>
      <w:r>
        <w:rPr>
          <w:spacing w:val="-36"/>
        </w:rPr>
        <w:t>、</w:t>
      </w:r>
      <w:r>
        <w:t>7m</w:t>
      </w:r>
      <w:r>
        <w:rPr>
          <w:spacing w:val="-6"/>
        </w:rPr>
        <w:t xml:space="preserve"> 宽两种，面积分别为</w:t>
      </w:r>
      <w:r>
        <w:t>3872</w:t>
      </w:r>
      <w:r>
        <w:rPr>
          <w:spacing w:val="-47"/>
        </w:rPr>
        <w:t xml:space="preserve"> ㎡、</w:t>
      </w:r>
      <w:r>
        <w:t>9970</w:t>
      </w:r>
      <w:r>
        <w:rPr>
          <w:spacing w:val="-39"/>
        </w:rPr>
        <w:t xml:space="preserve"> ㎡。</w:t>
      </w:r>
      <w:r>
        <w:rPr>
          <w:spacing w:val="-13"/>
        </w:rPr>
        <w:t xml:space="preserve">路面结构为 </w:t>
      </w:r>
      <w:r>
        <w:t>150</w:t>
      </w:r>
      <w:r>
        <w:rPr>
          <w:spacing w:val="-11"/>
        </w:rPr>
        <w:t xml:space="preserve"> 厚粗纱垫层， </w:t>
      </w:r>
      <w:r>
        <w:t>150mm</w:t>
      </w:r>
      <w:r>
        <w:rPr>
          <w:spacing w:val="-17"/>
        </w:rPr>
        <w:t xml:space="preserve"> 厚石灰土基层以及 </w:t>
      </w:r>
      <w:r>
        <w:t>200mm</w:t>
      </w:r>
      <w:r>
        <w:rPr>
          <w:spacing w:val="-48"/>
        </w:rPr>
        <w:t xml:space="preserve"> 厚 </w:t>
      </w:r>
      <w:r>
        <w:t>C25 混凝土面层。</w:t>
      </w:r>
    </w:p>
    <w:p>
      <w:pPr>
        <w:pStyle w:val="Heading1"/>
        <w:spacing w:line="532" w:lineRule="exact"/>
      </w:pPr>
      <w:bookmarkStart w:id="2" w:name="_TOC_250004"/>
      <w:bookmarkEnd w:id="2"/>
      <w:r>
        <w:rPr>
          <w:w w:val="95"/>
        </w:rPr>
        <w:t>三、施工准备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ind w:left="715"/>
      </w:pPr>
      <w:r>
        <w:rPr>
          <w:spacing w:val="-1"/>
        </w:rPr>
        <w:t>1、技术准备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75" w:right="305" w:firstLine="838"/>
      </w:pPr>
      <w:r>
        <w:t xml:space="preserve">施工前，要充分熟悉图纸，由项目技术负责人组织相关专业工长 </w:t>
      </w:r>
      <w:r>
        <w:rPr>
          <w:spacing w:val="-1"/>
        </w:rPr>
        <w:t xml:space="preserve">以及质检员、施工作业班组负责人等人员，进行全面详细的技术交底， </w:t>
      </w:r>
      <w:r>
        <w:t>并将本方案下发到相关部门和个人。由专业工长组织所有施工作业队 伍人员，根据本方案要求进行详尽的施工质量技术交底，并形成书面 记录，签字齐全。</w:t>
      </w:r>
    </w:p>
    <w:p>
      <w:pPr>
        <w:pStyle w:val="BodyText"/>
        <w:spacing w:line="494" w:lineRule="exact"/>
        <w:ind w:left="1013"/>
      </w:pPr>
      <w:r>
        <w:t>2、劳动力及机械准备</w:t>
      </w:r>
    </w:p>
    <w:p>
      <w:pPr>
        <w:pStyle w:val="BodyText"/>
        <w:spacing w:before="225" w:line="417" w:lineRule="auto"/>
        <w:ind w:left="175" w:right="726" w:firstLine="838"/>
        <w:jc w:val="both"/>
      </w:pPr>
      <w:r>
        <w:t>针对本工程工期紧、协调难度大的现状，准备选调一支有丰富施工经验协调能力强，善打硬仗的优秀施工队伍，并配以足够的技术管理人员。</w:t>
      </w:r>
    </w:p>
    <w:p>
      <w:pPr>
        <w:spacing w:after="0" w:line="417" w:lineRule="auto"/>
        <w:jc w:val="both"/>
        <w:sectPr>
          <w:headerReference w:type="default" r:id="rId9"/>
          <w:footerReference w:type="default" r:id="rId10"/>
          <w:pgSz w:w="17860" w:h="25260"/>
          <w:pgMar w:top="1400" w:right="1960" w:bottom="2020" w:left="236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5" w:right="730" w:firstLine="8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1124204</wp:posOffset>
            </wp:positionV>
            <wp:extent cx="7823200" cy="24638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4146804</wp:posOffset>
            </wp:positionV>
            <wp:extent cx="7803642" cy="5472684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3642" cy="5472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根据工程数量和现场施工条件，我项目部计划安排充足的人员和机械设备，投入主要技术人员和劳动力安排如下：</w:t>
      </w:r>
    </w:p>
    <w:p>
      <w:pPr>
        <w:pStyle w:val="BodyText"/>
        <w:spacing w:before="2"/>
        <w:rPr>
          <w:sz w:val="11"/>
        </w:rPr>
      </w:pPr>
    </w:p>
    <w:tbl>
      <w:tblPr>
        <w:tblStyle w:val="TableNormal0"/>
        <w:tblW w:w="0" w:type="auto"/>
        <w:jc w:val="left"/>
        <w:tblInd w:w="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1683"/>
        <w:gridCol w:w="2311"/>
        <w:gridCol w:w="3976"/>
        <w:gridCol w:w="2562"/>
      </w:tblGrid>
      <w:tr>
        <w:tblPrEx>
          <w:tblW w:w="0" w:type="auto"/>
          <w:jc w:val="left"/>
          <w:tblInd w:w="5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10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683" w:type="dxa"/>
          </w:tcPr>
          <w:p>
            <w:pPr>
              <w:pStyle w:val="TableParagraph"/>
              <w:spacing w:line="359" w:lineRule="exact"/>
              <w:ind w:left="135" w:right="260"/>
              <w:jc w:val="center"/>
              <w:rPr>
                <w:sz w:val="31"/>
              </w:rPr>
            </w:pPr>
            <w:r>
              <w:rPr>
                <w:sz w:val="31"/>
              </w:rPr>
              <w:t>工种</w:t>
            </w:r>
          </w:p>
        </w:tc>
        <w:tc>
          <w:tcPr>
            <w:tcW w:w="2311" w:type="dxa"/>
          </w:tcPr>
          <w:p>
            <w:pPr>
              <w:pStyle w:val="TableParagraph"/>
              <w:spacing w:line="359" w:lineRule="exact"/>
              <w:ind w:left="269"/>
              <w:rPr>
                <w:sz w:val="31"/>
              </w:rPr>
            </w:pPr>
            <w:r>
              <w:rPr>
                <w:sz w:val="31"/>
              </w:rPr>
              <w:t>数量（人）</w:t>
            </w:r>
          </w:p>
        </w:tc>
        <w:tc>
          <w:tcPr>
            <w:tcW w:w="6538" w:type="dxa"/>
            <w:gridSpan w:val="2"/>
          </w:tcPr>
          <w:p>
            <w:pPr>
              <w:pStyle w:val="TableParagraph"/>
              <w:spacing w:line="359" w:lineRule="exact"/>
              <w:ind w:left="1270" w:right="1184"/>
              <w:jc w:val="center"/>
              <w:rPr>
                <w:sz w:val="31"/>
              </w:rPr>
            </w:pPr>
            <w:r>
              <w:rPr>
                <w:sz w:val="31"/>
              </w:rPr>
              <w:t>工作内容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08" w:type="dxa"/>
          </w:tcPr>
          <w:p>
            <w:pPr>
              <w:pStyle w:val="TableParagraph"/>
              <w:spacing w:before="192"/>
              <w:ind w:left="28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683" w:type="dxa"/>
          </w:tcPr>
          <w:p>
            <w:pPr>
              <w:pStyle w:val="TableParagraph"/>
              <w:spacing w:before="192"/>
              <w:ind w:left="135" w:right="260"/>
              <w:jc w:val="center"/>
              <w:rPr>
                <w:sz w:val="31"/>
              </w:rPr>
            </w:pPr>
            <w:r>
              <w:rPr>
                <w:sz w:val="31"/>
              </w:rPr>
              <w:t>测量员</w:t>
            </w:r>
          </w:p>
        </w:tc>
        <w:tc>
          <w:tcPr>
            <w:tcW w:w="2311" w:type="dxa"/>
          </w:tcPr>
          <w:p>
            <w:pPr>
              <w:pStyle w:val="TableParagraph"/>
              <w:spacing w:before="192"/>
              <w:ind w:right="27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6538" w:type="dxa"/>
            <w:gridSpan w:val="2"/>
          </w:tcPr>
          <w:p>
            <w:pPr>
              <w:pStyle w:val="TableParagraph"/>
              <w:spacing w:before="192"/>
              <w:ind w:left="1283" w:right="1184"/>
              <w:jc w:val="center"/>
              <w:rPr>
                <w:sz w:val="31"/>
              </w:rPr>
            </w:pPr>
            <w:r>
              <w:rPr>
                <w:sz w:val="31"/>
              </w:rPr>
              <w:t>道路测量定位几标高的控制等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0"/>
          <w:jc w:val="left"/>
        </w:trPr>
        <w:tc>
          <w:tcPr>
            <w:tcW w:w="1108" w:type="dxa"/>
          </w:tcPr>
          <w:p>
            <w:pPr>
              <w:pStyle w:val="TableParagraph"/>
              <w:spacing w:before="194"/>
              <w:ind w:left="287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683" w:type="dxa"/>
          </w:tcPr>
          <w:p>
            <w:pPr>
              <w:pStyle w:val="TableParagraph"/>
              <w:spacing w:before="194"/>
              <w:ind w:left="135" w:right="260"/>
              <w:jc w:val="center"/>
              <w:rPr>
                <w:sz w:val="31"/>
              </w:rPr>
            </w:pPr>
            <w:r>
              <w:rPr>
                <w:sz w:val="31"/>
              </w:rPr>
              <w:t>砼工</w:t>
            </w:r>
          </w:p>
        </w:tc>
        <w:tc>
          <w:tcPr>
            <w:tcW w:w="2311" w:type="dxa"/>
          </w:tcPr>
          <w:p>
            <w:pPr>
              <w:pStyle w:val="TableParagraph"/>
              <w:spacing w:before="194"/>
              <w:ind w:left="844" w:right="1116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6538" w:type="dxa"/>
            <w:gridSpan w:val="2"/>
          </w:tcPr>
          <w:p>
            <w:pPr>
              <w:pStyle w:val="TableParagraph"/>
              <w:spacing w:before="194"/>
              <w:ind w:left="471"/>
              <w:rPr>
                <w:sz w:val="31"/>
              </w:rPr>
            </w:pPr>
            <w:r>
              <w:rPr>
                <w:sz w:val="31"/>
              </w:rPr>
              <w:t>砼浇筑，料斗卸料、输送泵辅工、砼覆盖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1"/>
          <w:jc w:val="left"/>
        </w:trPr>
        <w:tc>
          <w:tcPr>
            <w:tcW w:w="1108" w:type="dxa"/>
          </w:tcPr>
          <w:p>
            <w:pPr>
              <w:pStyle w:val="TableParagraph"/>
              <w:spacing w:before="183"/>
              <w:ind w:left="287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683" w:type="dxa"/>
          </w:tcPr>
          <w:p>
            <w:pPr>
              <w:pStyle w:val="TableParagraph"/>
              <w:spacing w:before="183"/>
              <w:ind w:left="135" w:right="260"/>
              <w:jc w:val="center"/>
              <w:rPr>
                <w:sz w:val="31"/>
              </w:rPr>
            </w:pPr>
            <w:r>
              <w:rPr>
                <w:sz w:val="31"/>
              </w:rPr>
              <w:t>木工</w:t>
            </w:r>
          </w:p>
        </w:tc>
        <w:tc>
          <w:tcPr>
            <w:tcW w:w="2311" w:type="dxa"/>
          </w:tcPr>
          <w:p>
            <w:pPr>
              <w:pStyle w:val="TableParagraph"/>
              <w:spacing w:before="183"/>
              <w:ind w:right="27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6538" w:type="dxa"/>
            <w:gridSpan w:val="2"/>
          </w:tcPr>
          <w:p>
            <w:pPr>
              <w:pStyle w:val="TableParagraph"/>
              <w:spacing w:before="183"/>
              <w:ind w:left="154"/>
              <w:rPr>
                <w:sz w:val="31"/>
              </w:rPr>
            </w:pPr>
            <w:r>
              <w:rPr>
                <w:sz w:val="31"/>
              </w:rPr>
              <w:t>模板支设及看护，必要的模板校正、关浇筑口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65" w:line="335" w:lineRule="exact"/>
              <w:ind w:left="142" w:right="260"/>
              <w:jc w:val="center"/>
              <w:rPr>
                <w:sz w:val="31"/>
              </w:rPr>
            </w:pPr>
            <w:r>
              <w:rPr>
                <w:sz w:val="31"/>
              </w:rPr>
              <w:t>值班电工</w:t>
            </w:r>
          </w:p>
        </w:tc>
        <w:tc>
          <w:tcPr>
            <w:tcW w:w="2311" w:type="dxa"/>
          </w:tcPr>
          <w:p>
            <w:pPr>
              <w:pStyle w:val="TableParagraph"/>
              <w:spacing w:before="165" w:line="335" w:lineRule="exact"/>
              <w:ind w:right="27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6538" w:type="dxa"/>
            <w:gridSpan w:val="2"/>
          </w:tcPr>
          <w:p>
            <w:pPr>
              <w:pStyle w:val="TableParagraph"/>
              <w:spacing w:before="165" w:line="335" w:lineRule="exact"/>
              <w:ind w:left="1270" w:right="1184"/>
              <w:jc w:val="center"/>
              <w:rPr>
                <w:sz w:val="31"/>
              </w:rPr>
            </w:pPr>
            <w:r>
              <w:rPr>
                <w:sz w:val="31"/>
              </w:rPr>
              <w:t>用电、用水保障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"/>
          <w:jc w:val="left"/>
        </w:trPr>
        <w:tc>
          <w:tcPr>
            <w:tcW w:w="11640" w:type="dxa"/>
            <w:gridSpan w:val="5"/>
          </w:tcPr>
          <w:p>
            <w:pPr>
              <w:pStyle w:val="TableParagraph"/>
              <w:spacing w:before="332" w:line="459" w:lineRule="exact"/>
              <w:ind w:left="424"/>
              <w:rPr>
                <w:sz w:val="42"/>
              </w:rPr>
            </w:pPr>
            <w:r>
              <w:rPr>
                <w:sz w:val="42"/>
              </w:rPr>
              <w:t>跟据本工程特点：结合本公司的实际情况，选择如下机械：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3"/>
          <w:jc w:val="left"/>
        </w:trPr>
        <w:tc>
          <w:tcPr>
            <w:tcW w:w="1108" w:type="dxa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before="1"/>
              <w:ind w:left="24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before="1"/>
              <w:ind w:left="1891"/>
              <w:rPr>
                <w:sz w:val="36"/>
              </w:rPr>
            </w:pPr>
            <w:r>
              <w:rPr>
                <w:sz w:val="36"/>
              </w:rPr>
              <w:t>设备名称</w:t>
            </w:r>
          </w:p>
        </w:tc>
        <w:tc>
          <w:tcPr>
            <w:tcW w:w="3976" w:type="dxa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before="1"/>
              <w:ind w:left="1573" w:right="559"/>
              <w:jc w:val="center"/>
              <w:rPr>
                <w:sz w:val="36"/>
              </w:rPr>
            </w:pPr>
            <w:r>
              <w:rPr>
                <w:sz w:val="36"/>
              </w:rPr>
              <w:t>型号</w:t>
            </w:r>
          </w:p>
        </w:tc>
        <w:tc>
          <w:tcPr>
            <w:tcW w:w="2562" w:type="dxa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before="1"/>
              <w:ind w:left="608" w:right="114"/>
              <w:jc w:val="center"/>
              <w:rPr>
                <w:sz w:val="36"/>
              </w:rPr>
            </w:pPr>
            <w:r>
              <w:rPr>
                <w:sz w:val="36"/>
              </w:rPr>
              <w:t>数量（台）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1108" w:type="dxa"/>
          </w:tcPr>
          <w:p>
            <w:pPr>
              <w:pStyle w:val="TableParagraph"/>
              <w:spacing w:before="305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5"/>
              <w:ind w:left="2071"/>
              <w:rPr>
                <w:sz w:val="36"/>
              </w:rPr>
            </w:pPr>
            <w:r>
              <w:rPr>
                <w:sz w:val="36"/>
              </w:rPr>
              <w:t>压路机</w:t>
            </w:r>
          </w:p>
        </w:tc>
        <w:tc>
          <w:tcPr>
            <w:tcW w:w="3976" w:type="dxa"/>
          </w:tcPr>
          <w:p>
            <w:pPr>
              <w:pStyle w:val="TableParagraph"/>
              <w:spacing w:before="305"/>
              <w:ind w:left="1573" w:right="559"/>
              <w:jc w:val="center"/>
              <w:rPr>
                <w:sz w:val="36"/>
              </w:rPr>
            </w:pPr>
            <w:r>
              <w:rPr>
                <w:sz w:val="36"/>
              </w:rPr>
              <w:t>BW202AD-2</w:t>
            </w:r>
          </w:p>
        </w:tc>
        <w:tc>
          <w:tcPr>
            <w:tcW w:w="2562" w:type="dxa"/>
          </w:tcPr>
          <w:p>
            <w:pPr>
              <w:pStyle w:val="TableParagraph"/>
              <w:spacing w:before="305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1108" w:type="dxa"/>
          </w:tcPr>
          <w:p>
            <w:pPr>
              <w:pStyle w:val="TableParagraph"/>
              <w:spacing w:before="305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5"/>
              <w:ind w:left="2071"/>
              <w:rPr>
                <w:sz w:val="36"/>
              </w:rPr>
            </w:pPr>
            <w:r>
              <w:rPr>
                <w:sz w:val="36"/>
              </w:rPr>
              <w:t>挖掘机</w:t>
            </w:r>
          </w:p>
        </w:tc>
        <w:tc>
          <w:tcPr>
            <w:tcW w:w="3976" w:type="dxa"/>
          </w:tcPr>
          <w:p>
            <w:pPr>
              <w:pStyle w:val="TableParagraph"/>
              <w:spacing w:before="305"/>
              <w:ind w:left="1576" w:right="559"/>
              <w:jc w:val="center"/>
              <w:rPr>
                <w:sz w:val="36"/>
              </w:rPr>
            </w:pPr>
            <w:r>
              <w:rPr>
                <w:sz w:val="36"/>
              </w:rPr>
              <w:t>小松 PC200</w:t>
            </w:r>
          </w:p>
        </w:tc>
        <w:tc>
          <w:tcPr>
            <w:tcW w:w="2562" w:type="dxa"/>
          </w:tcPr>
          <w:p>
            <w:pPr>
              <w:pStyle w:val="TableParagraph"/>
              <w:spacing w:before="305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1"/>
          <w:jc w:val="left"/>
        </w:trPr>
        <w:tc>
          <w:tcPr>
            <w:tcW w:w="1108" w:type="dxa"/>
          </w:tcPr>
          <w:p>
            <w:pPr>
              <w:pStyle w:val="TableParagraph"/>
              <w:spacing w:before="305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5"/>
              <w:ind w:left="1711"/>
              <w:rPr>
                <w:sz w:val="36"/>
              </w:rPr>
            </w:pPr>
            <w:r>
              <w:rPr>
                <w:sz w:val="36"/>
              </w:rPr>
              <w:t>轮式平地机</w:t>
            </w:r>
          </w:p>
        </w:tc>
        <w:tc>
          <w:tcPr>
            <w:tcW w:w="397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62" w:type="dxa"/>
          </w:tcPr>
          <w:p>
            <w:pPr>
              <w:pStyle w:val="TableParagraph"/>
              <w:spacing w:before="305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1"/>
          <w:jc w:val="left"/>
        </w:trPr>
        <w:tc>
          <w:tcPr>
            <w:tcW w:w="1108" w:type="dxa"/>
          </w:tcPr>
          <w:p>
            <w:pPr>
              <w:pStyle w:val="TableParagraph"/>
              <w:spacing w:before="304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4"/>
              <w:ind w:left="2071"/>
              <w:rPr>
                <w:sz w:val="36"/>
              </w:rPr>
            </w:pPr>
            <w:r>
              <w:rPr>
                <w:sz w:val="36"/>
              </w:rPr>
              <w:t>水准仪</w:t>
            </w:r>
          </w:p>
        </w:tc>
        <w:tc>
          <w:tcPr>
            <w:tcW w:w="3976" w:type="dxa"/>
          </w:tcPr>
          <w:p>
            <w:pPr>
              <w:pStyle w:val="TableParagraph"/>
              <w:spacing w:before="304"/>
              <w:ind w:left="1573" w:right="559"/>
              <w:jc w:val="center"/>
              <w:rPr>
                <w:sz w:val="36"/>
              </w:rPr>
            </w:pPr>
            <w:r>
              <w:rPr>
                <w:sz w:val="36"/>
              </w:rPr>
              <w:t>DSZ2</w:t>
            </w:r>
          </w:p>
        </w:tc>
        <w:tc>
          <w:tcPr>
            <w:tcW w:w="2562" w:type="dxa"/>
          </w:tcPr>
          <w:p>
            <w:pPr>
              <w:pStyle w:val="TableParagraph"/>
              <w:spacing w:before="304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1108" w:type="dxa"/>
          </w:tcPr>
          <w:p>
            <w:pPr>
              <w:pStyle w:val="TableParagraph"/>
              <w:spacing w:before="305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5"/>
              <w:ind w:left="2071"/>
              <w:rPr>
                <w:sz w:val="36"/>
              </w:rPr>
            </w:pPr>
            <w:r>
              <w:rPr>
                <w:sz w:val="36"/>
              </w:rPr>
              <w:t>全站仪</w:t>
            </w:r>
          </w:p>
        </w:tc>
        <w:tc>
          <w:tcPr>
            <w:tcW w:w="3976" w:type="dxa"/>
          </w:tcPr>
          <w:p>
            <w:pPr>
              <w:pStyle w:val="TableParagraph"/>
              <w:spacing w:before="305"/>
              <w:ind w:left="1573" w:right="559"/>
              <w:jc w:val="center"/>
              <w:rPr>
                <w:sz w:val="36"/>
              </w:rPr>
            </w:pPr>
            <w:r>
              <w:rPr>
                <w:sz w:val="36"/>
              </w:rPr>
              <w:t>RTS112RL</w:t>
            </w:r>
          </w:p>
        </w:tc>
        <w:tc>
          <w:tcPr>
            <w:tcW w:w="2562" w:type="dxa"/>
          </w:tcPr>
          <w:p>
            <w:pPr>
              <w:pStyle w:val="TableParagraph"/>
              <w:spacing w:before="305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1108" w:type="dxa"/>
          </w:tcPr>
          <w:p>
            <w:pPr>
              <w:pStyle w:val="TableParagraph"/>
              <w:spacing w:before="305"/>
              <w:ind w:left="93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05"/>
              <w:ind w:left="1530"/>
              <w:rPr>
                <w:sz w:val="36"/>
              </w:rPr>
            </w:pPr>
            <w:r>
              <w:rPr>
                <w:sz w:val="36"/>
              </w:rPr>
              <w:t>插入式振动器</w:t>
            </w:r>
          </w:p>
        </w:tc>
        <w:tc>
          <w:tcPr>
            <w:tcW w:w="397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62" w:type="dxa"/>
          </w:tcPr>
          <w:p>
            <w:pPr>
              <w:pStyle w:val="TableParagraph"/>
              <w:spacing w:before="305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</w:tr>
      <w:tr>
        <w:tblPrEx>
          <w:tblW w:w="0" w:type="auto"/>
          <w:jc w:val="left"/>
          <w:tblInd w:w="5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1108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9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994" w:type="dxa"/>
            <w:gridSpan w:val="2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1389"/>
              <w:rPr>
                <w:sz w:val="31"/>
              </w:rPr>
            </w:pPr>
            <w:r>
              <w:rPr>
                <w:sz w:val="31"/>
              </w:rPr>
              <w:t>2.2KW 平板振动器</w:t>
            </w:r>
          </w:p>
        </w:tc>
        <w:tc>
          <w:tcPr>
            <w:tcW w:w="397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62" w:type="dxa"/>
          </w:tcPr>
          <w:p>
            <w:pPr>
              <w:pStyle w:val="TableParagraph"/>
              <w:spacing w:before="305" w:line="404" w:lineRule="exact"/>
              <w:ind w:left="4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</w:tbl>
    <w:p>
      <w:pPr>
        <w:pStyle w:val="BodyText"/>
        <w:spacing w:before="9"/>
        <w:rPr>
          <w:sz w:val="38"/>
        </w:rPr>
      </w:pPr>
    </w:p>
    <w:p>
      <w:pPr>
        <w:pStyle w:val="BodyText"/>
        <w:spacing w:before="1"/>
        <w:ind w:left="1017"/>
      </w:pPr>
      <w:r>
        <w:t>3、材料的准备及其性能检验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1858"/>
        </w:tabs>
        <w:spacing w:before="0" w:after="0" w:line="240" w:lineRule="auto"/>
        <w:ind w:left="1857" w:right="0" w:hanging="1053"/>
        <w:jc w:val="left"/>
        <w:rPr>
          <w:sz w:val="42"/>
        </w:rPr>
      </w:pPr>
      <w:r>
        <w:rPr>
          <w:sz w:val="42"/>
        </w:rPr>
        <w:t>、石灰：选用Ⅱ级生石灰。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1872"/>
        </w:tabs>
        <w:spacing w:before="0" w:after="0" w:line="417" w:lineRule="auto"/>
        <w:ind w:left="175" w:right="257" w:firstLine="629"/>
        <w:jc w:val="left"/>
        <w:rPr>
          <w:sz w:val="42"/>
        </w:rPr>
      </w:pPr>
      <w:r>
        <w:rPr>
          <w:sz w:val="42"/>
        </w:rPr>
        <w:t>、砂：质地坚硬、耐光、洁净、符合规定级配，粗纱，含泥 量（冲洗法）</w:t>
      </w:r>
      <w:r>
        <w:rPr>
          <w:spacing w:val="15"/>
          <w:sz w:val="42"/>
        </w:rPr>
        <w:t>不大于</w:t>
      </w:r>
      <w:r>
        <w:rPr>
          <w:sz w:val="42"/>
        </w:rPr>
        <w:t>5%，有机含量（比色法）</w:t>
      </w:r>
      <w:r>
        <w:rPr>
          <w:spacing w:val="-2"/>
          <w:sz w:val="42"/>
        </w:rPr>
        <w:t>不深与标准溶液的颜色。</w:t>
      </w:r>
    </w:p>
    <w:p>
      <w:pPr>
        <w:pStyle w:val="ListParagraph"/>
        <w:numPr>
          <w:ilvl w:val="0"/>
          <w:numId w:val="7"/>
        </w:numPr>
        <w:tabs>
          <w:tab w:val="left" w:pos="1858"/>
        </w:tabs>
        <w:spacing w:before="0" w:after="0" w:line="537" w:lineRule="exact"/>
        <w:ind w:left="1857" w:right="0" w:hanging="1053"/>
        <w:jc w:val="left"/>
        <w:rPr>
          <w:sz w:val="42"/>
        </w:rPr>
      </w:pPr>
      <w:r>
        <w:rPr>
          <w:sz w:val="42"/>
        </w:rPr>
        <w:t>、混凝土：配合比经验证的商品混凝土。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1872"/>
        </w:tabs>
        <w:spacing w:before="1" w:after="0" w:line="240" w:lineRule="auto"/>
        <w:ind w:left="1871" w:right="0" w:hanging="1067"/>
        <w:jc w:val="left"/>
        <w:rPr>
          <w:sz w:val="42"/>
        </w:rPr>
      </w:pPr>
      <w:r>
        <w:rPr>
          <w:sz w:val="42"/>
        </w:rPr>
        <w:t>、根据施工进度计划，组织好各种材料的进场。并对已进场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3"/>
          <w:footerReference w:type="default" r:id="rId14"/>
          <w:pgSz w:w="17860" w:h="25260"/>
          <w:pgMar w:top="1400" w:right="1960" w:bottom="2020" w:left="236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5" w:right="726"/>
      </w:pPr>
      <w:r>
        <w:t>的砂、生石灰要进行性能检验，若有不符合要求的，应另选或采取补救措施。</w:t>
      </w:r>
    </w:p>
    <w:p>
      <w:pPr>
        <w:spacing w:before="0" w:line="537" w:lineRule="exact"/>
        <w:ind w:left="175" w:right="0" w:firstLine="0"/>
        <w:jc w:val="left"/>
        <w:rPr>
          <w:b/>
          <w:sz w:val="42"/>
        </w:rPr>
      </w:pPr>
      <w:bookmarkStart w:id="3" w:name="_TOC_250003"/>
      <w:bookmarkEnd w:id="3"/>
      <w:r>
        <w:rPr>
          <w:b/>
          <w:sz w:val="42"/>
        </w:rPr>
        <w:t>四、土方开挖施工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013"/>
      </w:pPr>
      <w:r>
        <w:t>1、路基场地清理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7"/>
        </w:numPr>
        <w:tabs>
          <w:tab w:val="left" w:pos="1645"/>
        </w:tabs>
        <w:spacing w:before="0" w:after="0" w:line="417" w:lineRule="auto"/>
        <w:ind w:left="175" w:right="305" w:firstLine="838"/>
        <w:jc w:val="left"/>
        <w:rPr>
          <w:sz w:val="42"/>
        </w:rPr>
      </w:pPr>
      <w:r>
        <w:rPr>
          <w:sz w:val="42"/>
        </w:rPr>
        <w:t>路基开工前首先对图纸所示的各类植被、垃圾、有机杂物等进</w:t>
      </w:r>
      <w:r>
        <w:rPr>
          <w:spacing w:val="-1"/>
          <w:sz w:val="42"/>
        </w:rPr>
        <w:t>行现场核对和补充调查，发现与图纸不符，及时报告监理工程师核查。</w:t>
      </w:r>
    </w:p>
    <w:p>
      <w:pPr>
        <w:pStyle w:val="ListParagraph"/>
        <w:numPr>
          <w:ilvl w:val="1"/>
          <w:numId w:val="7"/>
        </w:numPr>
        <w:tabs>
          <w:tab w:val="left" w:pos="1645"/>
        </w:tabs>
        <w:spacing w:before="1" w:after="0" w:line="417" w:lineRule="auto"/>
        <w:ind w:left="175" w:right="569" w:firstLine="838"/>
        <w:jc w:val="left"/>
        <w:rPr>
          <w:sz w:val="42"/>
        </w:rPr>
      </w:pPr>
      <w:r>
        <w:rPr>
          <w:spacing w:val="-1"/>
          <w:sz w:val="42"/>
        </w:rPr>
        <w:t xml:space="preserve">将用地范围内的所有垃圾、有机杂物等和原地面顶部 </w:t>
      </w:r>
      <w:r>
        <w:rPr>
          <w:sz w:val="42"/>
        </w:rPr>
        <w:t>20cm</w:t>
      </w:r>
      <w:r>
        <w:rPr>
          <w:spacing w:val="-7"/>
          <w:sz w:val="42"/>
        </w:rPr>
        <w:t xml:space="preserve"> 范</w:t>
      </w:r>
      <w:r>
        <w:rPr>
          <w:sz w:val="42"/>
        </w:rPr>
        <w:t>围内草皮和表土进行砍伐和清除运走，符合设计图纸及监理工程师的要求。</w:t>
      </w:r>
    </w:p>
    <w:p>
      <w:pPr>
        <w:pStyle w:val="ListParagraph"/>
        <w:numPr>
          <w:ilvl w:val="1"/>
          <w:numId w:val="7"/>
        </w:numPr>
        <w:tabs>
          <w:tab w:val="left" w:pos="1645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所有清除的杂物均放在路基用地范围以外不防碍施工的设计指</w:t>
      </w:r>
      <w:r>
        <w:rPr>
          <w:sz w:val="42"/>
        </w:rPr>
        <w:t>定位置作备用或废弃，以堆放稳定、不干扰交通和污染环境、整齐美观为原则。</w:t>
      </w:r>
    </w:p>
    <w:p>
      <w:pPr>
        <w:pStyle w:val="ListParagraph"/>
        <w:numPr>
          <w:ilvl w:val="1"/>
          <w:numId w:val="7"/>
        </w:numPr>
        <w:tabs>
          <w:tab w:val="left" w:pos="1649"/>
        </w:tabs>
        <w:spacing w:before="0" w:after="0" w:line="417" w:lineRule="auto"/>
        <w:ind w:left="175" w:right="517" w:firstLine="838"/>
        <w:jc w:val="left"/>
        <w:rPr>
          <w:sz w:val="42"/>
        </w:rPr>
      </w:pPr>
      <w:r>
        <w:rPr>
          <w:spacing w:val="-1"/>
          <w:sz w:val="42"/>
        </w:rPr>
        <w:t>清理完毕后，自检合格并经监理工程师同意后即可进行下一道</w:t>
      </w:r>
      <w:r>
        <w:rPr>
          <w:sz w:val="42"/>
        </w:rPr>
        <w:t>工序施工。</w:t>
      </w:r>
    </w:p>
    <w:p>
      <w:pPr>
        <w:pStyle w:val="BodyText"/>
        <w:spacing w:line="537" w:lineRule="exact"/>
        <w:ind w:left="1013"/>
      </w:pPr>
      <w:r>
        <w:t>2、路基土方开挖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val="left" w:pos="1645"/>
        </w:tabs>
        <w:spacing w:before="1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开挖采取自上而下分层开挖，不得乱挖或超挖。开挖时如发现</w:t>
      </w:r>
      <w:r>
        <w:rPr>
          <w:sz w:val="42"/>
        </w:rPr>
        <w:t>土层性质有变化时，应修改施工方案及挖方边坡，并及时报监理工程师批准。</w:t>
      </w:r>
    </w:p>
    <w:p>
      <w:pPr>
        <w:pStyle w:val="ListParagraph"/>
        <w:numPr>
          <w:ilvl w:val="0"/>
          <w:numId w:val="6"/>
        </w:numPr>
        <w:tabs>
          <w:tab w:val="left" w:pos="1645"/>
        </w:tabs>
        <w:spacing w:before="0" w:after="0" w:line="240" w:lineRule="auto"/>
        <w:ind w:left="1644" w:right="0" w:hanging="632"/>
        <w:jc w:val="left"/>
        <w:rPr>
          <w:sz w:val="42"/>
        </w:rPr>
      </w:pPr>
      <w:r>
        <w:rPr>
          <w:spacing w:val="-13"/>
          <w:sz w:val="42"/>
        </w:rPr>
        <w:t>根据开挖地段的路基中线，标高和横断面，精确定出开挖边线。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1645"/>
        </w:tabs>
        <w:spacing w:before="0" w:after="0" w:line="240" w:lineRule="auto"/>
        <w:ind w:left="1644" w:right="0" w:hanging="632"/>
        <w:jc w:val="left"/>
        <w:rPr>
          <w:sz w:val="42"/>
        </w:rPr>
      </w:pPr>
      <w:r>
        <w:rPr>
          <w:spacing w:val="-11"/>
          <w:sz w:val="42"/>
        </w:rPr>
        <w:t>路基开挖逐层施工，土方开挖以挖掘机配自卸式汽车进行挖运。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807"/>
        </w:tabs>
        <w:spacing w:before="0" w:after="0" w:line="417" w:lineRule="auto"/>
        <w:ind w:left="175" w:right="545" w:firstLine="0"/>
        <w:jc w:val="left"/>
        <w:rPr>
          <w:sz w:val="42"/>
        </w:rPr>
      </w:pPr>
      <w:r>
        <w:rPr>
          <w:spacing w:val="-1"/>
          <w:sz w:val="42"/>
        </w:rPr>
        <w:t xml:space="preserve">挖方标高应按照设计标高开挖避免超挖，挖好的土方路堑 </w:t>
      </w:r>
      <w:r>
        <w:rPr>
          <w:sz w:val="42"/>
        </w:rPr>
        <w:t>30cm 范</w:t>
      </w:r>
      <w:r>
        <w:rPr>
          <w:spacing w:val="14"/>
          <w:sz w:val="42"/>
        </w:rPr>
        <w:t>围内的压实度以</w:t>
      </w:r>
      <w:r>
        <w:rPr>
          <w:sz w:val="42"/>
        </w:rPr>
        <w:t>GB-T50123-1999（2007</w:t>
      </w:r>
      <w:r>
        <w:rPr>
          <w:spacing w:val="-49"/>
          <w:sz w:val="42"/>
        </w:rPr>
        <w:t xml:space="preserve"> 版</w:t>
      </w:r>
      <w:r>
        <w:rPr>
          <w:sz w:val="42"/>
        </w:rPr>
        <w:t>）</w:t>
      </w:r>
      <w:r>
        <w:rPr>
          <w:spacing w:val="-2"/>
          <w:sz w:val="42"/>
        </w:rPr>
        <w:t>土工实验方法标准进行检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5"/>
          <w:footerReference w:type="default" r:id="rId16"/>
          <w:pgSz w:w="17860" w:h="25260"/>
          <w:pgMar w:top="1400" w:right="1960" w:bottom="2020" w:left="236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5" w:right="726"/>
        <w:jc w:val="both"/>
      </w:pPr>
      <w:r>
        <w:t>验，若不符合则进行翻松碾压，使压实度达到要求。若挖方路床以下土质不良时，将按图纸所示或监理工程师指示的深度和范围，采取挖除，换填或其它措施进行处理并压实。</w:t>
      </w:r>
    </w:p>
    <w:p>
      <w:pPr>
        <w:spacing w:before="0" w:line="537" w:lineRule="exact"/>
        <w:ind w:left="175" w:right="0" w:firstLine="0"/>
        <w:jc w:val="left"/>
        <w:rPr>
          <w:b/>
          <w:sz w:val="42"/>
        </w:rPr>
      </w:pPr>
      <w:bookmarkStart w:id="4" w:name="_TOC_250002"/>
      <w:bookmarkEnd w:id="4"/>
      <w:r>
        <w:rPr>
          <w:b/>
          <w:sz w:val="42"/>
        </w:rPr>
        <w:t>五、粗纱垫层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805"/>
      </w:pPr>
      <w:r>
        <w:t>1、将开挖验收后基面清理干净，用水准仪测量基础面高程。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75" w:right="724" w:firstLine="629"/>
      </w:pPr>
      <w:r>
        <w:t>2、完成原材料的常规试验，确定填料的相对密度，填料粗砂的含泥量应小于 5%，粗砂中不应含有泥块、石块、树根等杂物。</w:t>
      </w:r>
    </w:p>
    <w:p>
      <w:pPr>
        <w:pStyle w:val="BodyText"/>
        <w:spacing w:before="1"/>
        <w:ind w:left="805"/>
      </w:pPr>
      <w:r>
        <w:t>3、施工机械、人员均已进场，满足施工要求。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75" w:right="305" w:firstLine="629"/>
      </w:pPr>
      <w:r>
        <w:rPr>
          <w:spacing w:val="5"/>
        </w:rPr>
        <w:t>4</w:t>
      </w:r>
      <w:r>
        <w:t xml:space="preserve">、铺设粗砂垫层。在管沟中心处定出标高控制桩，用石灰线将其 划分为多个格子，通过中线桩定出施工平面，以控制填料厚度，根据 标高、填筑面积及松铺厚度，确定填料方量。采用机械辅助人工摊铺 </w:t>
      </w:r>
      <w:r>
        <w:rPr>
          <w:spacing w:val="-1"/>
        </w:rPr>
        <w:t xml:space="preserve">的方法进行施工，即先用挖机将粗纱放入沟底，然后用人工进行铺设， </w:t>
      </w:r>
      <w:r>
        <w:rPr>
          <w:spacing w:val="-7"/>
        </w:rPr>
        <w:t xml:space="preserve">确保松铺厚度均匀。松铺厚度不得超过 </w:t>
      </w:r>
      <w:r>
        <w:t>25cm。</w:t>
      </w:r>
    </w:p>
    <w:p>
      <w:pPr>
        <w:pStyle w:val="BodyText"/>
        <w:spacing w:line="417" w:lineRule="auto"/>
        <w:ind w:left="175" w:right="469" w:firstLine="629"/>
      </w:pPr>
      <w:r>
        <w:t>5</w:t>
      </w:r>
      <w:r>
        <w:rPr>
          <w:spacing w:val="-1"/>
        </w:rPr>
        <w:t xml:space="preserve">、粗沙垫层的压实。用 </w:t>
      </w:r>
      <w:r>
        <w:t>2.2KW 平板振动器进行压实，含水量一般</w:t>
      </w:r>
      <w:r>
        <w:rPr>
          <w:spacing w:val="-24"/>
        </w:rPr>
        <w:t xml:space="preserve">控制在 </w:t>
      </w:r>
      <w:r>
        <w:t>6%-8</w:t>
      </w:r>
      <w:r>
        <w:rPr>
          <w:spacing w:val="-2"/>
        </w:rPr>
        <w:t>%，必要时通过洒水车洒水调整粗砂含水量。</w:t>
      </w:r>
      <w:r>
        <w:t>2.2KW</w:t>
      </w:r>
      <w:r>
        <w:rPr>
          <w:spacing w:val="-26"/>
        </w:rPr>
        <w:t xml:space="preserve"> 平板振</w:t>
      </w:r>
      <w:r>
        <w:rPr>
          <w:spacing w:val="-21"/>
        </w:rPr>
        <w:t>动器进行压实时，行走轨迹重叠</w:t>
      </w:r>
      <w:r>
        <w:t>1/3-1/2</w:t>
      </w:r>
      <w:r>
        <w:rPr>
          <w:spacing w:val="-2"/>
        </w:rPr>
        <w:t>，并采用交错进退碾压，碾压</w:t>
      </w:r>
      <w:r>
        <w:rPr>
          <w:spacing w:val="-16"/>
        </w:rPr>
        <w:t xml:space="preserve">速度控制在 </w:t>
      </w:r>
      <w:r>
        <w:t>1～2km/h</w:t>
      </w:r>
      <w:r>
        <w:rPr>
          <w:spacing w:val="-11"/>
        </w:rPr>
        <w:t xml:space="preserve"> 以内，避免过快过慢，影响压实效果。压实方法</w:t>
      </w:r>
      <w:r>
        <w:rPr>
          <w:spacing w:val="-7"/>
        </w:rPr>
        <w:t xml:space="preserve">为压实 </w:t>
      </w:r>
      <w:r>
        <w:t>3-4 遍，根据现场压实痕迹初步判断压实度，痕迹较小无下沉时开始检测压实度，当压实度满足设计要求时，停止压实，进行人工收面，并报监理工程师检查。</w:t>
      </w:r>
    </w:p>
    <w:p>
      <w:pPr>
        <w:pStyle w:val="BodyText"/>
        <w:spacing w:line="417" w:lineRule="auto"/>
        <w:ind w:left="175" w:right="724" w:firstLine="629"/>
      </w:pPr>
      <w:r>
        <w:t>6、试验段总结报告：将试验成果进行整理，并根据实验成果写出试验段总结报告（总结出松铺系数、压路机行走速度、碾压遍数、碾</w:t>
      </w:r>
    </w:p>
    <w:p>
      <w:pPr>
        <w:spacing w:after="0" w:line="417" w:lineRule="auto"/>
        <w:sectPr>
          <w:headerReference w:type="default" r:id="rId17"/>
          <w:footerReference w:type="default" r:id="rId18"/>
          <w:pgSz w:w="17860" w:h="25260"/>
          <w:pgMar w:top="1400" w:right="1960" w:bottom="2020" w:left="2360" w:header="1088" w:footer="183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5" w:right="305"/>
      </w:pPr>
      <w:r>
        <w:t>压方式、含水量等），根据总结报告，调整初步确定的施工工艺参数， 进行施工工艺的优化，对施工提出合理化建议。</w:t>
      </w:r>
    </w:p>
    <w:p>
      <w:pPr>
        <w:spacing w:before="0" w:line="537" w:lineRule="exact"/>
        <w:ind w:left="175" w:right="0" w:firstLine="0"/>
        <w:jc w:val="left"/>
        <w:rPr>
          <w:b/>
          <w:sz w:val="42"/>
        </w:rPr>
      </w:pPr>
      <w:bookmarkStart w:id="5" w:name="_TOC_250001"/>
      <w:bookmarkEnd w:id="5"/>
      <w:r>
        <w:rPr>
          <w:b/>
          <w:sz w:val="42"/>
        </w:rPr>
        <w:t>六、石灰土路基施工方法</w:t>
      </w:r>
    </w:p>
    <w:p>
      <w:pPr>
        <w:spacing w:before="374"/>
        <w:ind w:left="895" w:right="0" w:firstLine="0"/>
        <w:jc w:val="left"/>
        <w:rPr>
          <w:sz w:val="36"/>
        </w:rPr>
      </w:pPr>
      <w:r>
        <w:pict>
          <v:group id="_x0000_s1025" style="width:139pt;height:459pt;margin-top:46.93pt;margin-left:359pt;mso-position-horizontal-relative:page;mso-wrap-distance-left:0;mso-wrap-distance-right:0;position:absolute;z-index:-251656192" coordorigin="7180,939" coordsize="2780,9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80;height:9180;left:7180;position:absolute;top:938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7694;position:absolute;top:12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施工准备</w:t>
                    </w:r>
                  </w:p>
                </w:txbxContent>
              </v:textbox>
            </v:shape>
            <v:shape id="_x0000_s1028" type="#_x0000_t202" style="width:2126;height:422;left:7550;position:absolute;top:29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运土及焖料</w:t>
                    </w:r>
                  </w:p>
                </w:txbxContent>
              </v:textbox>
            </v:shape>
            <v:shape id="_x0000_s1029" type="#_x0000_t202" style="width:1705;height:422;left:7759;position:absolute;top:45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施工放样</w:t>
                    </w:r>
                  </w:p>
                </w:txbxContent>
              </v:textbox>
            </v:shape>
            <v:shape id="_x0000_s1030" type="#_x0000_t202" style="width:442;height:422;left:7867;position:absolute;top:6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拌</w:t>
                    </w:r>
                  </w:p>
                </w:txbxContent>
              </v:textbox>
            </v:shape>
            <v:shape id="_x0000_s1031" type="#_x0000_t202" style="width:442;height:422;left:8915;position:absolute;top:6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和</w:t>
                    </w:r>
                  </w:p>
                </w:txbxContent>
              </v:textbox>
            </v:shape>
            <v:shape id="_x0000_s1032" type="#_x0000_t202" style="width:2126;height:422;left:7550;position:absolute;top:78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整平和碾压</w:t>
                    </w:r>
                  </w:p>
                </w:txbxContent>
              </v:textbox>
            </v:shape>
            <v:shape id="_x0000_s1033" type="#_x0000_t202" style="width:442;height:422;left:7867;position:absolute;top:94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养</w:t>
                    </w:r>
                  </w:p>
                </w:txbxContent>
              </v:textbox>
            </v:shape>
            <v:shape id="_x0000_s1034" type="#_x0000_t202" style="width:442;height:422;left:8915;position:absolute;top:94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护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（一）、工艺流程</w:t>
      </w:r>
    </w:p>
    <w:p>
      <w:pPr>
        <w:spacing w:before="0" w:line="398" w:lineRule="exact"/>
        <w:ind w:left="895" w:right="0" w:firstLine="0"/>
        <w:jc w:val="left"/>
        <w:rPr>
          <w:sz w:val="36"/>
        </w:rPr>
      </w:pPr>
      <w:r>
        <w:rPr>
          <w:sz w:val="36"/>
        </w:rPr>
        <w:t>（二）、施工准备：</w:t>
      </w:r>
    </w:p>
    <w:p>
      <w:pPr>
        <w:spacing w:before="240" w:line="362" w:lineRule="auto"/>
        <w:ind w:left="175" w:right="582" w:firstLine="719"/>
        <w:jc w:val="left"/>
        <w:rPr>
          <w:sz w:val="36"/>
        </w:rPr>
      </w:pPr>
      <w:r>
        <w:rPr>
          <w:sz w:val="36"/>
        </w:rPr>
        <w:t>1、土基、底基层和其中的各种雨、电力管等隐蔽构造物，经过自检合格，报监理工程师检验、签字认可后，铺筑其上面的基层。</w:t>
      </w:r>
    </w:p>
    <w:p>
      <w:pPr>
        <w:spacing w:before="8" w:line="364" w:lineRule="auto"/>
        <w:ind w:left="175" w:right="568" w:firstLine="719"/>
        <w:jc w:val="both"/>
        <w:rPr>
          <w:sz w:val="36"/>
        </w:rPr>
      </w:pPr>
      <w:r>
        <w:rPr>
          <w:sz w:val="36"/>
        </w:rPr>
        <w:t>2、灰土施工时先采用集中堆放泥土，掺入 14</w:t>
      </w:r>
      <w:r>
        <w:rPr>
          <w:spacing w:val="-1"/>
          <w:sz w:val="36"/>
        </w:rPr>
        <w:t>%比例的石灰，加以焖料处理并</w:t>
      </w:r>
      <w:r>
        <w:rPr>
          <w:spacing w:val="-14"/>
          <w:sz w:val="36"/>
        </w:rPr>
        <w:t>采取防雨淋措施，严格控制好焖料时间，待焖灰达到要求后才能分层摊铺，加灰拌</w:t>
      </w:r>
      <w:r>
        <w:rPr>
          <w:sz w:val="36"/>
        </w:rPr>
        <w:t>和与碾压。</w:t>
      </w:r>
    </w:p>
    <w:p>
      <w:pPr>
        <w:spacing w:before="0" w:line="458" w:lineRule="exact"/>
        <w:ind w:left="895" w:right="0" w:firstLine="0"/>
        <w:jc w:val="left"/>
        <w:rPr>
          <w:sz w:val="36"/>
        </w:rPr>
      </w:pPr>
      <w:r>
        <w:rPr>
          <w:sz w:val="36"/>
        </w:rPr>
        <w:t>3、材料:</w:t>
      </w:r>
    </w:p>
    <w:p>
      <w:pPr>
        <w:pStyle w:val="ListParagraph"/>
        <w:numPr>
          <w:ilvl w:val="1"/>
          <w:numId w:val="6"/>
        </w:numPr>
        <w:tabs>
          <w:tab w:val="left" w:pos="1436"/>
        </w:tabs>
        <w:spacing w:before="241" w:after="0" w:line="364" w:lineRule="auto"/>
        <w:ind w:left="175" w:right="569" w:firstLine="719"/>
        <w:jc w:val="both"/>
        <w:rPr>
          <w:sz w:val="36"/>
        </w:rPr>
      </w:pPr>
      <w:r>
        <w:rPr>
          <w:sz w:val="36"/>
        </w:rPr>
        <w:t>、石灰：本标段采用石灰掺量 14%的石灰土路基加固方案，石灰质量需满足Ⅱ级以上块灰技术指标，其活性氧化物（MgO+CaO）</w:t>
      </w:r>
      <w:r>
        <w:rPr>
          <w:spacing w:val="1"/>
          <w:sz w:val="36"/>
        </w:rPr>
        <w:t xml:space="preserve">含量不得低于 </w:t>
      </w:r>
      <w:r>
        <w:rPr>
          <w:sz w:val="36"/>
        </w:rPr>
        <w:t>70%；</w:t>
      </w:r>
      <w:r>
        <w:rPr>
          <w:spacing w:val="-6"/>
          <w:sz w:val="36"/>
        </w:rPr>
        <w:t>石灰进</w:t>
      </w:r>
      <w:r>
        <w:rPr>
          <w:sz w:val="36"/>
        </w:rPr>
        <w:t>场后须对石灰进行技术指标检测，符合规范要求方可使用；</w:t>
      </w:r>
    </w:p>
    <w:p>
      <w:pPr>
        <w:pStyle w:val="ListParagraph"/>
        <w:numPr>
          <w:ilvl w:val="1"/>
          <w:numId w:val="6"/>
        </w:numPr>
        <w:tabs>
          <w:tab w:val="left" w:pos="1436"/>
        </w:tabs>
        <w:spacing w:before="0" w:after="0" w:line="362" w:lineRule="auto"/>
        <w:ind w:left="175" w:right="566" w:firstLine="719"/>
        <w:jc w:val="both"/>
        <w:rPr>
          <w:sz w:val="36"/>
        </w:rPr>
      </w:pPr>
      <w:r>
        <w:rPr>
          <w:spacing w:val="-5"/>
          <w:sz w:val="36"/>
        </w:rPr>
        <w:t xml:space="preserve">、土：以就地取材为原则，塑性指数 </w:t>
      </w:r>
      <w:r>
        <w:rPr>
          <w:sz w:val="36"/>
        </w:rPr>
        <w:t>7～17</w:t>
      </w:r>
      <w:r>
        <w:rPr>
          <w:spacing w:val="-11"/>
          <w:sz w:val="36"/>
        </w:rPr>
        <w:t xml:space="preserve"> 为最好，土中不得含有树根、</w:t>
      </w:r>
      <w:r>
        <w:rPr>
          <w:spacing w:val="-14"/>
          <w:sz w:val="36"/>
        </w:rPr>
        <w:t>杂草等杂物。鉴于本标段垃圾土较多的实际情况，我标段的大量石灰土土方采用外</w:t>
      </w:r>
    </w:p>
    <w:p>
      <w:pPr>
        <w:spacing w:after="0" w:line="362" w:lineRule="auto"/>
        <w:jc w:val="both"/>
        <w:rPr>
          <w:sz w:val="36"/>
        </w:rPr>
        <w:sectPr>
          <w:headerReference w:type="default" r:id="rId20"/>
          <w:footerReference w:type="default" r:id="rId21"/>
          <w:pgSz w:w="17860" w:h="25260"/>
          <w:pgMar w:top="1400" w:right="1960" w:bottom="2020" w:left="2360" w:header="1088" w:footer="1831"/>
          <w:pgNumType w:start="7"/>
          <w:cols w:space="708"/>
        </w:sectPr>
      </w:pPr>
    </w:p>
    <w:p>
      <w:pPr>
        <w:pStyle w:val="BodyText"/>
        <w:spacing w:before="11"/>
        <w:rPr>
          <w:sz w:val="24"/>
        </w:rPr>
      </w:pPr>
    </w:p>
    <w:p>
      <w:pPr>
        <w:spacing w:before="49"/>
        <w:ind w:left="175" w:right="0" w:firstLine="0"/>
        <w:jc w:val="left"/>
        <w:rPr>
          <w:sz w:val="36"/>
        </w:rPr>
      </w:pPr>
      <w:r>
        <w:rPr>
          <w:sz w:val="36"/>
        </w:rPr>
        <w:t>运的方式补充。</w:t>
      </w:r>
    </w:p>
    <w:p>
      <w:pPr>
        <w:pStyle w:val="ListParagraph"/>
        <w:numPr>
          <w:ilvl w:val="1"/>
          <w:numId w:val="8"/>
        </w:numPr>
        <w:tabs>
          <w:tab w:val="left" w:pos="1436"/>
        </w:tabs>
        <w:spacing w:before="242" w:after="0" w:line="362" w:lineRule="auto"/>
        <w:ind w:left="895" w:right="3102" w:firstLine="0"/>
        <w:jc w:val="left"/>
        <w:rPr>
          <w:sz w:val="36"/>
        </w:rPr>
      </w:pPr>
      <w:r>
        <w:rPr>
          <w:spacing w:val="-1"/>
          <w:sz w:val="36"/>
        </w:rPr>
        <w:t>、水：采用一般饮用水或不含油质、杂质的干净水均可。</w:t>
      </w:r>
      <w:r>
        <w:rPr>
          <w:sz w:val="36"/>
        </w:rPr>
        <w:t>4、配合比：</w:t>
      </w:r>
    </w:p>
    <w:p>
      <w:pPr>
        <w:spacing w:before="7" w:line="364" w:lineRule="auto"/>
        <w:ind w:left="175" w:right="385" w:firstLine="719"/>
        <w:jc w:val="left"/>
        <w:rPr>
          <w:sz w:val="36"/>
        </w:rPr>
      </w:pPr>
      <w:r>
        <w:rPr>
          <w:spacing w:val="-6"/>
          <w:sz w:val="36"/>
        </w:rPr>
        <w:t>本标段在施工中将采用检验合格的块灰与素土混合料按重量比：石灰：土</w:t>
      </w:r>
      <w:r>
        <w:rPr>
          <w:spacing w:val="-4"/>
          <w:sz w:val="36"/>
        </w:rPr>
        <w:t xml:space="preserve">=12： </w:t>
      </w:r>
      <w:r>
        <w:rPr>
          <w:sz w:val="36"/>
        </w:rPr>
        <w:t>100</w:t>
      </w:r>
      <w:r>
        <w:rPr>
          <w:spacing w:val="-12"/>
          <w:sz w:val="36"/>
        </w:rPr>
        <w:t xml:space="preserve"> 重量比集中拌合，再闷料 </w:t>
      </w:r>
      <w:r>
        <w:rPr>
          <w:sz w:val="36"/>
        </w:rPr>
        <w:t>3－5</w:t>
      </w:r>
      <w:r>
        <w:rPr>
          <w:spacing w:val="-8"/>
          <w:sz w:val="36"/>
        </w:rPr>
        <w:t xml:space="preserve"> 天，待块灰充分消解并保证混合料有一定的湿度（达到最佳含水量）后再进行摊铺。</w:t>
      </w:r>
    </w:p>
    <w:p>
      <w:pPr>
        <w:spacing w:before="0" w:line="457" w:lineRule="exact"/>
        <w:ind w:left="895" w:right="0" w:firstLine="0"/>
        <w:jc w:val="left"/>
        <w:rPr>
          <w:sz w:val="36"/>
        </w:rPr>
      </w:pPr>
      <w:r>
        <w:rPr>
          <w:sz w:val="36"/>
        </w:rPr>
        <w:t>（三）、施工放样</w:t>
      </w:r>
    </w:p>
    <w:p>
      <w:pPr>
        <w:spacing w:before="241" w:line="364" w:lineRule="auto"/>
        <w:ind w:left="175" w:right="567" w:firstLine="719"/>
        <w:jc w:val="left"/>
        <w:rPr>
          <w:sz w:val="36"/>
        </w:rPr>
      </w:pPr>
      <w:r>
        <w:rPr>
          <w:sz w:val="36"/>
        </w:rPr>
        <w:t>1</w:t>
      </w:r>
      <w:r>
        <w:rPr>
          <w:spacing w:val="-10"/>
          <w:sz w:val="36"/>
        </w:rPr>
        <w:t xml:space="preserve">、恢复中心线，每 </w:t>
      </w:r>
      <w:r>
        <w:rPr>
          <w:sz w:val="36"/>
        </w:rPr>
        <w:t>10m</w:t>
      </w:r>
      <w:r>
        <w:rPr>
          <w:spacing w:val="-11"/>
          <w:sz w:val="36"/>
        </w:rPr>
        <w:t xml:space="preserve"> 设标桩，桩上划出基层的设计高程和基层的松铺的厚</w:t>
      </w:r>
      <w:r>
        <w:rPr>
          <w:sz w:val="36"/>
        </w:rPr>
        <w:t>度。松铺厚度=压实厚度×松铺系数。</w:t>
      </w:r>
    </w:p>
    <w:p>
      <w:pPr>
        <w:spacing w:before="0" w:line="364" w:lineRule="auto"/>
        <w:ind w:left="175" w:right="582" w:firstLine="719"/>
        <w:jc w:val="left"/>
        <w:rPr>
          <w:sz w:val="36"/>
        </w:rPr>
      </w:pPr>
      <w:r>
        <w:rPr>
          <w:sz w:val="36"/>
        </w:rPr>
        <w:t>2、中心线两侧按设计标桩，测出基层设计高，在标桩上划出基层高和松铺高度，这样做是为了使基层的高度、厚度和平整度达到质量标准。</w:t>
      </w:r>
    </w:p>
    <w:p>
      <w:pPr>
        <w:spacing w:before="0" w:line="459" w:lineRule="exact"/>
        <w:ind w:left="895" w:right="0" w:firstLine="0"/>
        <w:jc w:val="left"/>
        <w:rPr>
          <w:sz w:val="36"/>
        </w:rPr>
      </w:pPr>
      <w:r>
        <w:rPr>
          <w:sz w:val="36"/>
        </w:rPr>
        <w:t>（四）、拌合</w:t>
      </w:r>
    </w:p>
    <w:p>
      <w:pPr>
        <w:spacing w:before="239" w:line="362" w:lineRule="auto"/>
        <w:ind w:left="175" w:right="493" w:firstLine="809"/>
        <w:jc w:val="left"/>
        <w:rPr>
          <w:sz w:val="36"/>
        </w:rPr>
      </w:pPr>
      <w:r>
        <w:rPr>
          <w:sz w:val="36"/>
        </w:rPr>
        <w:t>本工程石灰土采用集中拌灰，注意将 5 ㎝以上的土块打碎。土干时应随拌随洒水，以最佳含水量控制，要求拌合均匀，色泽一致，无花白现象。</w:t>
      </w:r>
    </w:p>
    <w:p>
      <w:pPr>
        <w:spacing w:before="8"/>
        <w:ind w:left="895" w:right="0" w:firstLine="0"/>
        <w:jc w:val="left"/>
        <w:rPr>
          <w:sz w:val="36"/>
        </w:rPr>
      </w:pPr>
      <w:r>
        <w:rPr>
          <w:sz w:val="36"/>
        </w:rPr>
        <w:t>（五）、摊铺</w:t>
      </w:r>
    </w:p>
    <w:p>
      <w:pPr>
        <w:spacing w:before="237" w:line="364" w:lineRule="auto"/>
        <w:ind w:left="175" w:right="640" w:firstLine="658"/>
        <w:jc w:val="left"/>
        <w:rPr>
          <w:sz w:val="36"/>
        </w:rPr>
      </w:pPr>
      <w:r>
        <w:rPr>
          <w:sz w:val="36"/>
        </w:rPr>
        <w:t>1、摊铺前应保持路床湿润，填土路床两侧应培土夯实，以保证灰土边缘部分的压实度。</w:t>
      </w:r>
    </w:p>
    <w:p>
      <w:pPr>
        <w:spacing w:before="0" w:line="460" w:lineRule="exact"/>
        <w:ind w:left="895" w:right="0" w:firstLine="0"/>
        <w:jc w:val="left"/>
        <w:rPr>
          <w:sz w:val="36"/>
        </w:rPr>
      </w:pPr>
      <w:r>
        <w:rPr>
          <w:sz w:val="36"/>
        </w:rPr>
        <w:t>2、石灰土混合料摊铺施工时，应清除表层植物根茎、碎石子等杂质，</w:t>
      </w:r>
    </w:p>
    <w:p>
      <w:pPr>
        <w:spacing w:before="241" w:line="364" w:lineRule="auto"/>
        <w:ind w:left="175" w:right="565" w:firstLine="719"/>
        <w:jc w:val="both"/>
        <w:rPr>
          <w:sz w:val="36"/>
        </w:rPr>
      </w:pPr>
      <w:r>
        <w:rPr>
          <w:sz w:val="36"/>
        </w:rPr>
        <w:t>3</w:t>
      </w:r>
      <w:r>
        <w:rPr>
          <w:spacing w:val="-8"/>
          <w:sz w:val="36"/>
        </w:rPr>
        <w:t xml:space="preserve">、然后对路槽以下 </w:t>
      </w:r>
      <w:r>
        <w:rPr>
          <w:sz w:val="36"/>
        </w:rPr>
        <w:t>40cm</w:t>
      </w:r>
      <w:r>
        <w:rPr>
          <w:spacing w:val="-15"/>
          <w:sz w:val="36"/>
        </w:rPr>
        <w:t xml:space="preserve"> 深度范围内的土层分 </w:t>
      </w:r>
      <w:r>
        <w:rPr>
          <w:sz w:val="36"/>
        </w:rPr>
        <w:t>2</w:t>
      </w:r>
      <w:r>
        <w:rPr>
          <w:spacing w:val="-34"/>
          <w:sz w:val="36"/>
        </w:rPr>
        <w:t xml:space="preserve"> 层</w:t>
      </w:r>
      <w:r>
        <w:rPr>
          <w:sz w:val="36"/>
        </w:rPr>
        <w:t>（</w:t>
      </w:r>
      <w:r>
        <w:rPr>
          <w:spacing w:val="-9"/>
          <w:sz w:val="36"/>
        </w:rPr>
        <w:t xml:space="preserve">每层处理深度约 </w:t>
      </w:r>
      <w:r>
        <w:rPr>
          <w:spacing w:val="-3"/>
          <w:sz w:val="36"/>
        </w:rPr>
        <w:t xml:space="preserve">20cm） </w:t>
      </w:r>
      <w:r>
        <w:rPr>
          <w:spacing w:val="-13"/>
          <w:sz w:val="36"/>
        </w:rPr>
        <w:t>进行石灰加固处理；现状土层标高不足处以路基适用土回填，统一处理后再进行石</w:t>
      </w:r>
      <w:r>
        <w:rPr>
          <w:sz w:val="36"/>
        </w:rPr>
        <w:t>灰土加固处理。</w:t>
      </w:r>
    </w:p>
    <w:p>
      <w:pPr>
        <w:spacing w:before="0" w:line="457" w:lineRule="exact"/>
        <w:ind w:left="895" w:right="0" w:firstLine="0"/>
        <w:jc w:val="left"/>
        <w:rPr>
          <w:sz w:val="36"/>
        </w:rPr>
      </w:pPr>
      <w:r>
        <w:rPr>
          <w:sz w:val="36"/>
        </w:rPr>
        <w:t>（六）、碾压和养护</w:t>
      </w:r>
    </w:p>
    <w:p>
      <w:pPr>
        <w:spacing w:before="241" w:line="362" w:lineRule="auto"/>
        <w:ind w:left="175" w:right="568" w:firstLine="899"/>
        <w:jc w:val="left"/>
        <w:rPr>
          <w:sz w:val="36"/>
        </w:rPr>
      </w:pPr>
      <w:r>
        <w:rPr>
          <w:sz w:val="36"/>
        </w:rPr>
        <w:t>1</w:t>
      </w:r>
      <w:r>
        <w:rPr>
          <w:spacing w:val="-15"/>
          <w:sz w:val="36"/>
        </w:rPr>
        <w:t>、碾压应在石灰土接近最佳含水量下进行，摊铺好的石灰土应争取当日碾压</w:t>
      </w:r>
      <w:r>
        <w:rPr>
          <w:sz w:val="36"/>
        </w:rPr>
        <w:t>完毕。</w:t>
      </w:r>
    </w:p>
    <w:p>
      <w:pPr>
        <w:spacing w:before="8"/>
        <w:ind w:left="985" w:right="0" w:firstLine="0"/>
        <w:jc w:val="left"/>
        <w:rPr>
          <w:sz w:val="36"/>
        </w:rPr>
      </w:pPr>
      <w:r>
        <w:rPr>
          <w:sz w:val="36"/>
        </w:rPr>
        <w:t>2、碾压要执行“先轻后重，先稳后振，先慢后快，先边后中”的原则，先用</w:t>
      </w:r>
    </w:p>
    <w:p>
      <w:pPr>
        <w:spacing w:before="241" w:line="364" w:lineRule="auto"/>
        <w:ind w:left="445" w:right="391" w:firstLine="0"/>
        <w:jc w:val="both"/>
        <w:rPr>
          <w:sz w:val="36"/>
        </w:rPr>
      </w:pPr>
      <w:r>
        <w:pict>
          <v:group id="_x0000_s1035" style="width:395pt;height:58pt;margin-top:98.98pt;margin-left:329pt;mso-position-horizontal-relative:page;position:absolute;z-index:-251655168" coordorigin="6580,1980" coordsize="7900,1160">
            <v:shape id="_x0000_s1036" type="#_x0000_t75" style="width:3400;height:900;left:6580;position:absolute;top:1979" stroked="f">
              <v:imagedata r:id="rId22" o:title=""/>
            </v:shape>
            <v:shape id="_x0000_s1037" type="#_x0000_t75" style="width:480;height:680;left:10040;position:absolute;top:2219" stroked="f">
              <v:imagedata r:id="rId23" o:title=""/>
            </v:shape>
            <v:shape id="_x0000_s1038" type="#_x0000_t75" style="width:1780;height:1160;left:10580;position:absolute;top:1979" stroked="f">
              <v:imagedata r:id="rId24" o:title=""/>
            </v:shape>
            <v:shape id="_x0000_s1039" type="#_x0000_t75" style="width:2060;height:700;left:12420;position:absolute;top:2199" stroked="f">
              <v:imagedata r:id="rId25" o:title=""/>
            </v:shape>
          </v:group>
        </w:pict>
      </w:r>
      <w:r>
        <w:rPr>
          <w:sz w:val="36"/>
        </w:rPr>
        <w:t>8T</w:t>
      </w:r>
      <w:r>
        <w:rPr>
          <w:spacing w:val="-7"/>
          <w:sz w:val="36"/>
        </w:rPr>
        <w:t xml:space="preserve"> 的压路机碾压</w:t>
      </w:r>
      <w:r>
        <w:rPr>
          <w:sz w:val="36"/>
        </w:rPr>
        <w:t>2遍，再用12T</w:t>
      </w:r>
      <w:r>
        <w:rPr>
          <w:spacing w:val="-7"/>
          <w:sz w:val="36"/>
        </w:rPr>
        <w:t xml:space="preserve"> 的振动压路机碾压</w:t>
      </w:r>
      <w:r>
        <w:rPr>
          <w:sz w:val="36"/>
        </w:rPr>
        <w:t>4～6遍。压路机的碾压速度， 头两遍以1.5--1.7km/h</w:t>
      </w:r>
      <w:r>
        <w:rPr>
          <w:spacing w:val="-22"/>
          <w:sz w:val="36"/>
        </w:rPr>
        <w:t xml:space="preserve"> 为宜，以后用</w:t>
      </w:r>
      <w:r>
        <w:rPr>
          <w:sz w:val="36"/>
        </w:rPr>
        <w:t>2.0--2.5km/h</w:t>
      </w:r>
      <w:r>
        <w:rPr>
          <w:spacing w:val="-11"/>
          <w:sz w:val="36"/>
        </w:rPr>
        <w:t>。确保碾压速度均匀，碾压轮</w:t>
      </w:r>
      <w:r>
        <w:rPr>
          <w:spacing w:val="-13"/>
          <w:sz w:val="36"/>
        </w:rPr>
        <w:t>迹重叠，前后两次轮迹要重叠</w:t>
      </w:r>
      <w:r>
        <w:rPr>
          <w:sz w:val="36"/>
        </w:rPr>
        <w:t>20～30cm。两个施工段时，压路机碾压轮必须超过该两个施工段的接茬处。凡压路机不能作业的地方，应采用机夯进行压实，直至</w:t>
      </w:r>
      <w:r>
        <w:rPr>
          <w:spacing w:val="-17"/>
          <w:sz w:val="36"/>
        </w:rPr>
        <w:t>获得规定的压实度为止，并且填筑压实宽度不小于设计宽度。并在铺筑下层之前，</w:t>
      </w:r>
    </w:p>
    <w:p>
      <w:pPr>
        <w:spacing w:after="0" w:line="364" w:lineRule="auto"/>
        <w:jc w:val="both"/>
        <w:rPr>
          <w:sz w:val="36"/>
        </w:rPr>
        <w:sectPr>
          <w:headerReference w:type="default" r:id="rId26"/>
          <w:footerReference w:type="default" r:id="rId27"/>
          <w:pgSz w:w="17860" w:h="25260"/>
          <w:pgMar w:top="1400" w:right="1960" w:bottom="2020" w:left="2360" w:header="1088" w:footer="1831"/>
          <w:pgNumType w:start="8"/>
          <w:cols w:space="708"/>
        </w:sectPr>
      </w:pPr>
    </w:p>
    <w:p>
      <w:pPr>
        <w:pStyle w:val="BodyText"/>
        <w:spacing w:before="11"/>
        <w:rPr>
          <w:sz w:val="24"/>
        </w:rPr>
      </w:pPr>
    </w:p>
    <w:p>
      <w:pPr>
        <w:spacing w:before="49" w:line="364" w:lineRule="auto"/>
        <w:ind w:left="445" w:right="472" w:firstLine="0"/>
        <w:jc w:val="left"/>
        <w:rPr>
          <w:sz w:val="36"/>
        </w:rPr>
      </w:pPr>
      <w:r>
        <w:rPr>
          <w:sz w:val="36"/>
        </w:rPr>
        <w:t>按规范要求的压实度压实，且在其顶面预留1%的单向横坡，每填一层后及时用施工机械整平到平行于路基表面后，再开始碾压。</w:t>
      </w:r>
    </w:p>
    <w:p>
      <w:pPr>
        <w:spacing w:before="0" w:line="364" w:lineRule="auto"/>
        <w:ind w:left="445" w:right="492" w:firstLine="1018"/>
        <w:jc w:val="right"/>
        <w:rPr>
          <w:sz w:val="36"/>
        </w:rPr>
      </w:pPr>
      <w:r>
        <w:rPr>
          <w:sz w:val="36"/>
        </w:rPr>
        <w:t>严禁压路机在已完成的或正在碾压的路段上“调头”和急刹车，以保证土层表面不受破坏。碾压过程中，如有“弹簧”、松散、起皮等现象，应及时翻开重新拌和或用其他方法处理，使其达到质量要求。在碾压结束之前，用平地机再终平一次，使其纵向顺适，路拱和超高符合要求。终平应仔细进行，必须将局部高出部分刮除并扫出路外，对局部低洼处，不再进行找补，留待下一层再处理。 3、石灰土的找平工作应在碾压 1～2 遍后即细致检查平整度和高程，找补时</w:t>
      </w:r>
    </w:p>
    <w:p>
      <w:pPr>
        <w:spacing w:before="0" w:line="364" w:lineRule="auto"/>
        <w:ind w:left="175" w:right="401" w:firstLine="0"/>
        <w:jc w:val="left"/>
        <w:rPr>
          <w:sz w:val="36"/>
        </w:rPr>
      </w:pPr>
      <w:r>
        <w:rPr>
          <w:spacing w:val="-12"/>
          <w:sz w:val="36"/>
        </w:rPr>
        <w:t xml:space="preserve">应将原表皮翻松 </w:t>
      </w:r>
      <w:r>
        <w:rPr>
          <w:sz w:val="36"/>
        </w:rPr>
        <w:t>8～10</w:t>
      </w:r>
      <w:r>
        <w:rPr>
          <w:spacing w:val="-11"/>
          <w:sz w:val="36"/>
        </w:rPr>
        <w:t xml:space="preserve"> ㎝，然后再填补新灰土，整平后压实。达到表面坚实平整， </w:t>
      </w:r>
      <w:r>
        <w:rPr>
          <w:sz w:val="36"/>
        </w:rPr>
        <w:t>无起皮、波浪等现象，达到要求压实度。</w:t>
      </w:r>
    </w:p>
    <w:p>
      <w:pPr>
        <w:spacing w:before="0" w:line="362" w:lineRule="auto"/>
        <w:ind w:left="175" w:right="567" w:firstLine="899"/>
        <w:jc w:val="left"/>
        <w:rPr>
          <w:sz w:val="36"/>
        </w:rPr>
      </w:pPr>
      <w:r>
        <w:rPr>
          <w:sz w:val="36"/>
        </w:rPr>
        <w:t>4</w:t>
      </w:r>
      <w:r>
        <w:rPr>
          <w:spacing w:val="-9"/>
          <w:sz w:val="36"/>
        </w:rPr>
        <w:t xml:space="preserve">、石灰土碾压完毕后 </w:t>
      </w:r>
      <w:r>
        <w:rPr>
          <w:sz w:val="36"/>
        </w:rPr>
        <w:t>5～7</w:t>
      </w:r>
      <w:r>
        <w:rPr>
          <w:spacing w:val="-11"/>
          <w:sz w:val="36"/>
        </w:rPr>
        <w:t xml:space="preserve"> 天内，必须保持一定的湿度，以利强度的形成， </w:t>
      </w:r>
      <w:r>
        <w:rPr>
          <w:sz w:val="36"/>
        </w:rPr>
        <w:t>避免发生缩裂和松散现象。</w:t>
      </w:r>
    </w:p>
    <w:p>
      <w:pPr>
        <w:spacing w:before="4" w:line="362" w:lineRule="auto"/>
        <w:ind w:left="175" w:right="575" w:firstLine="899"/>
        <w:jc w:val="left"/>
        <w:rPr>
          <w:sz w:val="36"/>
        </w:rPr>
      </w:pPr>
      <w:r>
        <w:rPr>
          <w:sz w:val="36"/>
        </w:rPr>
        <w:t>5、经处理压实的石灰土土基回弹模量值应大于等于 25MPa,方能进行路面垫层施工。</w:t>
      </w:r>
    </w:p>
    <w:p>
      <w:pPr>
        <w:spacing w:before="7"/>
        <w:ind w:left="895" w:right="0" w:firstLine="0"/>
        <w:jc w:val="left"/>
        <w:rPr>
          <w:sz w:val="36"/>
        </w:rPr>
      </w:pPr>
      <w:r>
        <w:rPr>
          <w:sz w:val="36"/>
        </w:rPr>
        <w:t>（七）、接缝和调头处理</w:t>
      </w:r>
    </w:p>
    <w:p>
      <w:pPr>
        <w:spacing w:before="237" w:line="364" w:lineRule="auto"/>
        <w:ind w:left="175" w:right="402" w:firstLine="719"/>
        <w:jc w:val="left"/>
        <w:rPr>
          <w:sz w:val="36"/>
        </w:rPr>
      </w:pPr>
      <w:r>
        <w:rPr>
          <w:spacing w:val="-3"/>
          <w:sz w:val="36"/>
        </w:rPr>
        <w:t xml:space="preserve">两工作段搭接部分，采用对接形式，一段碾压结束后，留未端 </w:t>
      </w:r>
      <w:r>
        <w:rPr>
          <w:sz w:val="36"/>
        </w:rPr>
        <w:t>5m</w:t>
      </w:r>
      <w:r>
        <w:rPr>
          <w:spacing w:val="-15"/>
          <w:sz w:val="36"/>
        </w:rPr>
        <w:t xml:space="preserve"> 不碾压，第二天施工时，将前一段留下未压部分一起拌和碾压。若第二天不能继续施工的， </w:t>
      </w:r>
      <w:r>
        <w:rPr>
          <w:spacing w:val="-21"/>
          <w:sz w:val="36"/>
        </w:rPr>
        <w:t>则在当天最后一端的未端待混合料拌和结束，挖一条与路基宽度一致的槽，槽内放</w:t>
      </w:r>
      <w:r>
        <w:rPr>
          <w:spacing w:val="-24"/>
          <w:sz w:val="36"/>
        </w:rPr>
        <w:t xml:space="preserve">与压实度等厚的方木，方木另一侧用素土回填 </w:t>
      </w:r>
      <w:r>
        <w:rPr>
          <w:sz w:val="36"/>
        </w:rPr>
        <w:t>3m</w:t>
      </w:r>
      <w:r>
        <w:rPr>
          <w:spacing w:val="-10"/>
          <w:sz w:val="36"/>
        </w:rPr>
        <w:t xml:space="preserve"> 长，然后整型碾压，待继续施工</w:t>
      </w:r>
      <w:r>
        <w:rPr>
          <w:spacing w:val="-11"/>
          <w:sz w:val="36"/>
        </w:rPr>
        <w:t>下段时，紧接作业段拌和结束后，除去方木，用混合料回填槽口，造近方木未能拌和部分应人工进行拌和。拌和机和其它机械应尽量避免在压成型的灰土上调头，否</w:t>
      </w:r>
      <w:r>
        <w:rPr>
          <w:spacing w:val="-18"/>
          <w:sz w:val="36"/>
        </w:rPr>
        <w:t xml:space="preserve">则需在调头区铺盖一层 </w:t>
      </w:r>
      <w:r>
        <w:rPr>
          <w:sz w:val="36"/>
        </w:rPr>
        <w:t>10cm</w:t>
      </w:r>
      <w:r>
        <w:rPr>
          <w:spacing w:val="-10"/>
          <w:sz w:val="36"/>
        </w:rPr>
        <w:t xml:space="preserve"> 厚的砂砾，以防损坏灰土表面。保证施工接茬处要表面平整稳定、密实，无坑洼。</w:t>
      </w:r>
    </w:p>
    <w:p>
      <w:pPr>
        <w:spacing w:before="0" w:line="455" w:lineRule="exact"/>
        <w:ind w:left="895" w:right="0" w:firstLine="0"/>
        <w:jc w:val="left"/>
        <w:rPr>
          <w:sz w:val="36"/>
        </w:rPr>
      </w:pPr>
      <w:r>
        <w:rPr>
          <w:sz w:val="36"/>
        </w:rPr>
        <w:t>（八）、石灰土路基主要质量标准：</w:t>
      </w:r>
    </w:p>
    <w:p>
      <w:pPr>
        <w:pStyle w:val="BodyText"/>
        <w:spacing w:before="11"/>
        <w:rPr>
          <w:sz w:val="22"/>
        </w:rPr>
      </w:pPr>
    </w:p>
    <w:tbl>
      <w:tblPr>
        <w:tblStyle w:val="TableNormal1"/>
        <w:tblW w:w="0" w:type="auto"/>
        <w:jc w:val="left"/>
        <w:tblInd w:w="8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711"/>
        <w:gridCol w:w="1440"/>
        <w:gridCol w:w="2930"/>
      </w:tblGrid>
      <w:tr>
        <w:tblPrEx>
          <w:tblW w:w="0" w:type="auto"/>
          <w:jc w:val="left"/>
          <w:tblInd w:w="8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670" w:type="dxa"/>
          </w:tcPr>
          <w:p>
            <w:pPr>
              <w:pStyle w:val="TableParagraph"/>
              <w:spacing w:line="411" w:lineRule="exact"/>
              <w:ind w:left="30" w:right="159"/>
              <w:jc w:val="center"/>
              <w:rPr>
                <w:sz w:val="36"/>
              </w:rPr>
            </w:pPr>
            <w:r>
              <w:rPr>
                <w:sz w:val="36"/>
              </w:rPr>
              <w:t>中线高程</w:t>
            </w:r>
          </w:p>
        </w:tc>
        <w:tc>
          <w:tcPr>
            <w:tcW w:w="1711" w:type="dxa"/>
          </w:tcPr>
          <w:p>
            <w:pPr>
              <w:pStyle w:val="TableParagraph"/>
              <w:spacing w:line="411" w:lineRule="exact"/>
              <w:ind w:left="116" w:right="295"/>
              <w:jc w:val="center"/>
              <w:rPr>
                <w:sz w:val="36"/>
              </w:rPr>
            </w:pPr>
            <w:r>
              <w:rPr>
                <w:sz w:val="36"/>
              </w:rPr>
              <w:t>±20 ㎜</w:t>
            </w:r>
          </w:p>
        </w:tc>
        <w:tc>
          <w:tcPr>
            <w:tcW w:w="1440" w:type="dxa"/>
          </w:tcPr>
          <w:p>
            <w:pPr>
              <w:pStyle w:val="TableParagraph"/>
              <w:spacing w:line="411" w:lineRule="exact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厚度</w:t>
            </w:r>
          </w:p>
        </w:tc>
        <w:tc>
          <w:tcPr>
            <w:tcW w:w="2930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＋20 ㎜，－10%</w:t>
            </w:r>
          </w:p>
        </w:tc>
      </w:tr>
      <w:tr>
        <w:tblPrEx>
          <w:tblW w:w="0" w:type="auto"/>
          <w:jc w:val="left"/>
          <w:tblInd w:w="8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670" w:type="dxa"/>
          </w:tcPr>
          <w:p>
            <w:pPr>
              <w:pStyle w:val="TableParagraph"/>
              <w:spacing w:before="120" w:line="391" w:lineRule="exact"/>
              <w:ind w:left="30" w:right="159"/>
              <w:jc w:val="center"/>
              <w:rPr>
                <w:sz w:val="36"/>
              </w:rPr>
            </w:pPr>
            <w:r>
              <w:rPr>
                <w:sz w:val="36"/>
              </w:rPr>
              <w:t>平整度</w:t>
            </w:r>
          </w:p>
        </w:tc>
        <w:tc>
          <w:tcPr>
            <w:tcW w:w="1711" w:type="dxa"/>
          </w:tcPr>
          <w:p>
            <w:pPr>
              <w:pStyle w:val="TableParagraph"/>
              <w:spacing w:before="120" w:line="391" w:lineRule="exact"/>
              <w:ind w:left="116" w:right="295"/>
              <w:jc w:val="center"/>
              <w:rPr>
                <w:sz w:val="36"/>
              </w:rPr>
            </w:pPr>
            <w:r>
              <w:rPr>
                <w:sz w:val="36"/>
              </w:rPr>
              <w:t>10 ㎜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0" w:line="391" w:lineRule="exact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宽度</w:t>
            </w:r>
          </w:p>
        </w:tc>
        <w:tc>
          <w:tcPr>
            <w:tcW w:w="2930" w:type="dxa"/>
          </w:tcPr>
          <w:p>
            <w:pPr>
              <w:pStyle w:val="TableParagraph"/>
              <w:spacing w:before="120" w:line="391" w:lineRule="exact"/>
              <w:ind w:left="359"/>
              <w:rPr>
                <w:sz w:val="36"/>
              </w:rPr>
            </w:pPr>
            <w:r>
              <w:rPr>
                <w:sz w:val="36"/>
              </w:rPr>
              <w:t>不小于设计规定</w:t>
            </w:r>
          </w:p>
        </w:tc>
      </w:tr>
    </w:tbl>
    <w:p>
      <w:pPr>
        <w:pStyle w:val="BodyText"/>
        <w:spacing w:before="7"/>
        <w:rPr>
          <w:sz w:val="33"/>
        </w:rPr>
      </w:pPr>
    </w:p>
    <w:p>
      <w:pPr>
        <w:spacing w:before="1"/>
        <w:ind w:left="175" w:right="0" w:firstLine="0"/>
        <w:jc w:val="left"/>
        <w:rPr>
          <w:b/>
          <w:sz w:val="42"/>
        </w:rPr>
      </w:pPr>
      <w:bookmarkStart w:id="6" w:name="_TOC_250000"/>
      <w:bookmarkEnd w:id="6"/>
      <w:r>
        <w:rPr>
          <w:b/>
          <w:sz w:val="42"/>
        </w:rPr>
        <w:t>七、水泥混凝土路面施工方案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013"/>
      </w:pPr>
      <w:r>
        <w:t>（一）、施工放样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6"/>
        </w:numPr>
        <w:tabs>
          <w:tab w:val="left" w:pos="2081"/>
          <w:tab w:val="left" w:pos="12550"/>
        </w:tabs>
        <w:spacing w:before="0" w:after="0" w:line="240" w:lineRule="auto"/>
        <w:ind w:left="2080" w:right="0" w:hanging="1068"/>
        <w:jc w:val="left"/>
        <w:rPr>
          <w:sz w:val="42"/>
        </w:rPr>
      </w:pPr>
      <w:r>
        <w:rPr>
          <w:sz w:val="42"/>
        </w:rPr>
        <w:t>、在路面基层验收合格后进行施工放样工作，直线每段</w:t>
        <w:tab/>
        <w:t>20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8"/>
          <w:footerReference w:type="default" r:id="rId29"/>
          <w:pgSz w:w="17860" w:h="25260"/>
          <w:pgMar w:top="1400" w:right="1960" w:bottom="2020" w:left="2360" w:header="1088" w:footer="1831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5" w:right="320"/>
      </w:pPr>
      <w:r>
        <w:rPr>
          <w:spacing w:val="-12"/>
        </w:rPr>
        <w:t xml:space="preserve">米一桩，曲线段每 </w:t>
      </w:r>
      <w:r>
        <w:t>4</w:t>
      </w:r>
      <w:r>
        <w:rPr>
          <w:spacing w:val="-23"/>
        </w:rPr>
        <w:t xml:space="preserve"> 米一桩</w:t>
      </w:r>
      <w:r>
        <w:t>（与模板长度同）</w:t>
      </w:r>
      <w:r>
        <w:rPr>
          <w:spacing w:val="-2"/>
        </w:rPr>
        <w:t xml:space="preserve">。同时要设胀缝，缩缝， </w:t>
      </w:r>
      <w:r>
        <w:t>锥坡转折点等中心桩，并相应在路边各设一边桩。</w:t>
      </w:r>
    </w:p>
    <w:p>
      <w:pPr>
        <w:pStyle w:val="ListParagraph"/>
        <w:numPr>
          <w:ilvl w:val="2"/>
          <w:numId w:val="9"/>
        </w:numPr>
        <w:tabs>
          <w:tab w:val="left" w:pos="2066"/>
        </w:tabs>
        <w:spacing w:before="0" w:after="0" w:line="417" w:lineRule="auto"/>
        <w:ind w:left="175" w:right="341" w:firstLine="838"/>
        <w:jc w:val="left"/>
        <w:rPr>
          <w:sz w:val="42"/>
        </w:rPr>
      </w:pPr>
      <w:r>
        <w:rPr>
          <w:spacing w:val="-14"/>
          <w:sz w:val="42"/>
        </w:rPr>
        <w:t>、根据放好的中心线及边桩，在现场核对施工图的砼分块线</w:t>
      </w:r>
      <w:r>
        <w:rPr>
          <w:spacing w:val="-4"/>
          <w:sz w:val="42"/>
        </w:rPr>
        <w:t>。对于曲线段，必须保持横向分块线与路中心线垂直。</w:t>
      </w:r>
    </w:p>
    <w:p>
      <w:pPr>
        <w:pStyle w:val="ListParagraph"/>
        <w:numPr>
          <w:ilvl w:val="2"/>
          <w:numId w:val="9"/>
        </w:numPr>
        <w:tabs>
          <w:tab w:val="left" w:pos="2066"/>
        </w:tabs>
        <w:spacing w:before="0" w:after="0" w:line="537" w:lineRule="exact"/>
        <w:ind w:left="2066" w:right="0" w:hanging="1053"/>
        <w:jc w:val="left"/>
        <w:rPr>
          <w:sz w:val="42"/>
        </w:rPr>
      </w:pPr>
      <w:r>
        <w:rPr>
          <w:sz w:val="42"/>
        </w:rPr>
        <w:t>、测量放样必须经常复核，做到勤测，勤核、勤纠偏。</w:t>
      </w:r>
    </w:p>
    <w:p>
      <w:pPr>
        <w:pStyle w:val="BodyText"/>
        <w:rPr>
          <w:sz w:val="31"/>
        </w:rPr>
      </w:pPr>
    </w:p>
    <w:p>
      <w:pPr>
        <w:pStyle w:val="BodyText"/>
        <w:ind w:left="1013"/>
      </w:pPr>
      <w:r>
        <w:t>（二）、路面基层处理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5"/>
        </w:numPr>
        <w:tabs>
          <w:tab w:val="left" w:pos="2066"/>
        </w:tabs>
        <w:spacing w:before="1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 xml:space="preserve">、所有挤碎、隆起、空鼓的基层应清除，并使用素砼重铺， </w:t>
      </w:r>
      <w:r>
        <w:rPr>
          <w:sz w:val="42"/>
        </w:rPr>
        <w:t>同时设胀缝板横向隔开，胀缝板应与路面胀缝和缩缝上下对齐。</w:t>
      </w:r>
    </w:p>
    <w:p>
      <w:pPr>
        <w:pStyle w:val="ListParagraph"/>
        <w:numPr>
          <w:ilvl w:val="0"/>
          <w:numId w:val="5"/>
        </w:numPr>
        <w:tabs>
          <w:tab w:val="left" w:pos="2066"/>
        </w:tabs>
        <w:spacing w:before="0" w:after="0" w:line="537" w:lineRule="exact"/>
        <w:ind w:left="2066" w:right="0" w:hanging="1053"/>
        <w:jc w:val="left"/>
        <w:rPr>
          <w:sz w:val="42"/>
        </w:rPr>
      </w:pPr>
      <w:r>
        <w:rPr>
          <w:spacing w:val="-16"/>
          <w:sz w:val="42"/>
        </w:rPr>
        <w:t>、当基层产生非扩展性温缩，干缩裂缝时，应进行密封防水。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5"/>
        </w:numPr>
        <w:tabs>
          <w:tab w:val="left" w:pos="2066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、基层产生较大纵向扩展裂缝时，应分析原因，采用有效的</w:t>
      </w:r>
      <w:r>
        <w:rPr>
          <w:sz w:val="42"/>
        </w:rPr>
        <w:t>路基稳固措施进行处理。</w:t>
      </w:r>
    </w:p>
    <w:p>
      <w:pPr>
        <w:pStyle w:val="ListParagraph"/>
        <w:numPr>
          <w:ilvl w:val="0"/>
          <w:numId w:val="5"/>
        </w:numPr>
        <w:tabs>
          <w:tab w:val="left" w:pos="2066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、对部分地段的基层需要进行大面积填补时，应以水泥稳定</w:t>
      </w:r>
      <w:r>
        <w:rPr>
          <w:sz w:val="42"/>
        </w:rPr>
        <w:t>碎石作为基层。</w:t>
      </w:r>
    </w:p>
    <w:p>
      <w:pPr>
        <w:pStyle w:val="BodyText"/>
        <w:ind w:left="1013"/>
      </w:pPr>
      <w:r>
        <w:t>（三）、安装模板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"/>
        </w:numPr>
        <w:tabs>
          <w:tab w:val="left" w:pos="2066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z w:val="42"/>
        </w:rPr>
        <w:t>、模板必须具有足够的强度和刚度，（</w:t>
      </w:r>
      <w:r>
        <w:rPr>
          <w:spacing w:val="-2"/>
          <w:sz w:val="42"/>
        </w:rPr>
        <w:t>模板的高度与砼路面</w:t>
      </w:r>
      <w:r>
        <w:rPr>
          <w:sz w:val="42"/>
        </w:rPr>
        <w:t>等厚）对于变形的模板须纠正后在进行使用。</w:t>
      </w:r>
    </w:p>
    <w:p>
      <w:pPr>
        <w:pStyle w:val="ListParagraph"/>
        <w:numPr>
          <w:ilvl w:val="0"/>
          <w:numId w:val="4"/>
        </w:numPr>
        <w:tabs>
          <w:tab w:val="left" w:pos="2066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、模板应安装稳固、顺直、平整、无扭曲，相邻模板连接应</w:t>
      </w:r>
      <w:r>
        <w:rPr>
          <w:sz w:val="42"/>
        </w:rPr>
        <w:t>紧密平顺，不得有漏浆，前后错茬、高低错台等现象。模板应能保证摊铺、振实、整平设备的负载行进、冲击和振动是不发生移位。</w:t>
      </w:r>
    </w:p>
    <w:p>
      <w:pPr>
        <w:pStyle w:val="ListParagraph"/>
        <w:numPr>
          <w:ilvl w:val="0"/>
          <w:numId w:val="4"/>
        </w:numPr>
        <w:tabs>
          <w:tab w:val="left" w:pos="2066"/>
        </w:tabs>
        <w:spacing w:before="0" w:after="0" w:line="240" w:lineRule="auto"/>
        <w:ind w:left="2066" w:right="0" w:hanging="1053"/>
        <w:jc w:val="left"/>
        <w:rPr>
          <w:sz w:val="42"/>
        </w:rPr>
      </w:pPr>
      <w:r>
        <w:rPr>
          <w:sz w:val="42"/>
        </w:rPr>
        <w:t>、平曲线路段采用短模板。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"/>
        </w:numPr>
        <w:tabs>
          <w:tab w:val="left" w:pos="2066"/>
        </w:tabs>
        <w:spacing w:before="0" w:after="0" w:line="417" w:lineRule="auto"/>
        <w:ind w:left="175" w:right="521" w:firstLine="838"/>
        <w:jc w:val="left"/>
        <w:rPr>
          <w:sz w:val="42"/>
        </w:rPr>
      </w:pPr>
      <w:r>
        <w:rPr>
          <w:spacing w:val="-1"/>
          <w:sz w:val="42"/>
        </w:rPr>
        <w:t>、内侧固定钢钎和外侧受力钢钎均不得高于模板，以利振动</w:t>
      </w:r>
      <w:r>
        <w:rPr>
          <w:sz w:val="42"/>
        </w:rPr>
        <w:t>梁能通过。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https://d.book118.com/088010124007006042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headerReference w:type="default" r:id="rId31"/>
      <w:footerReference w:type="default" r:id="rId32"/>
      <w:pgSz w:w="17860" w:h="25260"/>
      <w:pgMar w:top="1400" w:right="1960" w:bottom="2020" w:left="2360" w:header="1088" w:footer="1831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25.7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25.7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25.7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25.7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25.7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25.7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25.7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25.7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300908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0908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38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72047945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47945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38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3244580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45802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38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20809394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93945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38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150577595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77595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38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9352354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2354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38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6891585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1585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38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1574800</wp:posOffset>
          </wp:positionH>
          <wp:positionV relativeFrom="page">
            <wp:posOffset>850900</wp:posOffset>
          </wp:positionV>
          <wp:extent cx="8204200" cy="38100"/>
          <wp:effectExtent l="0" t="0" r="0" b="0"/>
          <wp:wrapNone/>
          <wp:docPr id="4357048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70482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04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38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53137"/>
    <w:multiLevelType w:val="hybridMultilevel"/>
    <w:tmpl w:val="00000000"/>
    <w:lvl w:ilvl="0">
      <w:start w:val="2"/>
      <w:numFmt w:val="decimal"/>
      <w:lvlText w:val="%1"/>
      <w:lvlJc w:val="left"/>
      <w:pPr>
        <w:ind w:left="175" w:hanging="735"/>
        <w:jc w:val="left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175" w:hanging="73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1013" w:hanging="1053"/>
        <w:jc w:val="left"/>
      </w:pPr>
      <w:rPr>
        <w:rFonts w:hint="default"/>
        <w:spacing w:val="-2"/>
        <w:w w:val="100"/>
      </w:rPr>
    </w:lvl>
    <w:lvl w:ilvl="3">
      <w:start w:val="0"/>
      <w:numFmt w:val="bullet"/>
      <w:lvlText w:val="•"/>
      <w:lvlJc w:val="left"/>
      <w:pPr>
        <w:ind w:left="380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7" w:hanging="1053"/>
      </w:pPr>
      <w:rPr>
        <w:rFonts w:hint="default"/>
      </w:rPr>
    </w:lvl>
  </w:abstractNum>
  <w:abstractNum w:abstractNumId="1">
    <w:nsid w:val="1D4EA851"/>
    <w:multiLevelType w:val="hybridMultilevel"/>
    <w:tmpl w:val="00000000"/>
    <w:lvl w:ilvl="0">
      <w:start w:val="1"/>
      <w:numFmt w:val="decimal"/>
      <w:lvlText w:val="%1）"/>
      <w:lvlJc w:val="left"/>
      <w:pPr>
        <w:ind w:left="175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75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2080" w:hanging="1067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626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6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3" w:hanging="1067"/>
      </w:pPr>
      <w:rPr>
        <w:rFonts w:hint="default"/>
      </w:rPr>
    </w:lvl>
  </w:abstractNum>
  <w:abstractNum w:abstractNumId="2">
    <w:nsid w:val="223CF1A3"/>
    <w:multiLevelType w:val="hybridMultilevel"/>
    <w:tmpl w:val="00000000"/>
    <w:lvl w:ilvl="0">
      <w:start w:val="1"/>
      <w:numFmt w:val="decimal"/>
      <w:lvlText w:val="（%1）"/>
      <w:lvlJc w:val="left"/>
      <w:pPr>
        <w:ind w:left="1857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75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15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4" w:hanging="631"/>
      </w:pPr>
      <w:rPr>
        <w:rFonts w:hint="default"/>
      </w:rPr>
    </w:lvl>
  </w:abstractNum>
  <w:abstractNum w:abstractNumId="3">
    <w:nsid w:val="2437539E"/>
    <w:multiLevelType w:val="hybridMultilevel"/>
    <w:tmpl w:val="00000000"/>
    <w:lvl w:ilvl="0">
      <w:start w:val="1"/>
      <w:numFmt w:val="decimal"/>
      <w:lvlText w:val="%1）"/>
      <w:lvlJc w:val="left"/>
      <w:pPr>
        <w:ind w:left="175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75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2080" w:hanging="1067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626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6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3" w:hanging="1067"/>
      </w:pPr>
      <w:rPr>
        <w:rFonts w:hint="default"/>
      </w:rPr>
    </w:lvl>
  </w:abstractNum>
  <w:abstractNum w:abstractNumId="4">
    <w:nsid w:val="3B677AAA"/>
    <w:multiLevelType w:val="hybridMultilevel"/>
    <w:tmpl w:val="00000000"/>
    <w:lvl w:ilvl="0">
      <w:start w:val="1"/>
      <w:numFmt w:val="decimal"/>
      <w:lvlText w:val="%1）"/>
      <w:lvlJc w:val="left"/>
      <w:pPr>
        <w:ind w:left="175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75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2080" w:hanging="1067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626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6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3" w:hanging="1067"/>
      </w:pPr>
      <w:rPr>
        <w:rFonts w:hint="default"/>
      </w:rPr>
    </w:lvl>
  </w:abstractNum>
  <w:abstractNum w:abstractNumId="5">
    <w:nsid w:val="3F42499E"/>
    <w:multiLevelType w:val="hybridMultilevel"/>
    <w:tmpl w:val="00000000"/>
    <w:lvl w:ilvl="0">
      <w:start w:val="1"/>
      <w:numFmt w:val="decimal"/>
      <w:lvlText w:val="（%1）"/>
      <w:lvlJc w:val="left"/>
      <w:pPr>
        <w:ind w:left="175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7" w:hanging="1053"/>
      </w:pPr>
      <w:rPr>
        <w:rFonts w:hint="default"/>
      </w:rPr>
    </w:lvl>
  </w:abstractNum>
  <w:abstractNum w:abstractNumId="6">
    <w:nsid w:val="4B9009E6"/>
    <w:multiLevelType w:val="hybridMultilevel"/>
    <w:tmpl w:val="00000000"/>
    <w:lvl w:ilvl="0">
      <w:start w:val="1"/>
      <w:numFmt w:val="decimal"/>
      <w:lvlText w:val="（%1）"/>
      <w:lvlJc w:val="left"/>
      <w:pPr>
        <w:ind w:left="2066" w:hanging="1053"/>
        <w:jc w:val="lef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320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3" w:hanging="1053"/>
      </w:pPr>
      <w:rPr>
        <w:rFonts w:hint="default"/>
      </w:rPr>
    </w:lvl>
  </w:abstractNum>
  <w:abstractNum w:abstractNumId="7">
    <w:nsid w:val="4C951124"/>
    <w:multiLevelType w:val="hybridMultilevel"/>
    <w:tmpl w:val="00000000"/>
    <w:lvl w:ilvl="0">
      <w:start w:val="1"/>
      <w:numFmt w:val="decimal"/>
      <w:lvlText w:val="（%1）"/>
      <w:lvlJc w:val="left"/>
      <w:pPr>
        <w:ind w:left="175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7" w:hanging="1053"/>
      </w:pPr>
      <w:rPr>
        <w:rFonts w:hint="default"/>
      </w:rPr>
    </w:lvl>
  </w:abstractNum>
  <w:abstractNum w:abstractNumId="8">
    <w:nsid w:val="5571FC6F"/>
    <w:multiLevelType w:val="hybridMultilevel"/>
    <w:tmpl w:val="00000000"/>
    <w:lvl w:ilvl="0">
      <w:start w:val="1"/>
      <w:numFmt w:val="decimal"/>
      <w:lvlText w:val="（%1）"/>
      <w:lvlJc w:val="left"/>
      <w:pPr>
        <w:ind w:left="175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7" w:hanging="1053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75"/>
      <w:outlineLvl w:val="0"/>
    </w:pPr>
    <w:rPr>
      <w:rFonts w:ascii="楷体" w:eastAsia="楷体" w:hAnsi="楷体" w:cs="楷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21"/>
      <w:ind w:right="400"/>
      <w:jc w:val="center"/>
    </w:pPr>
    <w:rPr>
      <w:rFonts w:ascii="楷体" w:eastAsia="楷体" w:hAnsi="楷体" w:cs="楷体"/>
      <w:sz w:val="48"/>
      <w:szCs w:val="48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Title">
    <w:name w:val="Title"/>
    <w:basedOn w:val="Normal"/>
    <w:uiPriority w:val="1"/>
    <w:qFormat/>
    <w:pPr>
      <w:ind w:left="6209" w:right="6609"/>
      <w:jc w:val="both"/>
    </w:pPr>
    <w:rPr>
      <w:rFonts w:ascii="楷体" w:eastAsia="楷体" w:hAnsi="楷体" w:cs="楷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75" w:hanging="105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088010124007006042" TargetMode="External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2024-02-01T19:54:10Z</dcterms:created>
  <dcterms:modified xsi:type="dcterms:W3CDTF">2024-02-01T19:54:10Z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2024-02-01T00:00:00Z</vt:filetime>
  </property>
</Properties>
</file>