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36D6E">
      <w:pPr>
        <w:spacing w:before="63" w:line="317" w:lineRule="exact"/>
        <w:ind w:left="118"/>
        <w:rPr>
          <w:rFonts w:ascii="Arial Unicode MS"/>
          <w:sz w:val="21"/>
          <w:lang w:eastAsia="zh-CN"/>
        </w:rPr>
      </w:pPr>
      <w:r>
        <w:rPr>
          <w:noProof/>
          <w:lang w:eastAsia="zh-CN"/>
        </w:rPr>
        <w:drawing>
          <wp:anchor distT="0" distB="0" distL="0" distR="0" simplePos="0" relativeHeight="251658240" behindDoc="0" locked="0" layoutInCell="1" allowOverlap="1">
            <wp:simplePos x="0" y="0"/>
            <wp:positionH relativeFrom="page">
              <wp:posOffset>215900</wp:posOffset>
            </wp:positionH>
            <wp:positionV relativeFrom="page">
              <wp:posOffset>5245100</wp:posOffset>
            </wp:positionV>
            <wp:extent cx="7112000" cy="487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Times New Roman"/>
          <w:b/>
          <w:sz w:val="21"/>
          <w:lang w:eastAsia="zh-CN"/>
        </w:rPr>
        <w:t xml:space="preserve">ICS </w:t>
      </w:r>
      <w:r>
        <w:rPr>
          <w:rFonts w:ascii="Arial Unicode MS"/>
          <w:sz w:val="21"/>
          <w:lang w:eastAsia="zh-CN"/>
        </w:rPr>
        <w:t>1 3.020. 10</w:t>
      </w:r>
    </w:p>
    <w:p w:rsidR="00A36D6E">
      <w:pPr>
        <w:tabs>
          <w:tab w:val="right" w:pos="8866"/>
        </w:tabs>
        <w:spacing w:line="1261" w:lineRule="exact"/>
        <w:ind w:left="118"/>
        <w:rPr>
          <w:rFonts w:ascii="Comic Sans MS"/>
          <w:sz w:val="94"/>
          <w:lang w:eastAsia="zh-CN"/>
        </w:rPr>
      </w:pPr>
      <w:r>
        <w:pict>
          <v:shape id="_x0000_s1025" style="width:62.65pt;height:30.75pt;margin-top:18.1pt;margin-left:376.2pt;mso-position-horizontal-relative:page;position:absolute;z-index:-251657216" coordorigin="7524,362" coordsize="1253,615" o:spt="100" adj="0,,0" path="m8129,427l8126,415l8124,405l8119,396l8112,386l8093,372l8081,364l8066,362l7918,362l7918,463l7918,883l7915,890l7913,900l7906,907l7898,912l7745,912l7745,434l7891,434l7901,436l7908,441l7915,451l7918,463l7918,362l7524,362l7524,976l8076,976l8086,974l8095,969l8105,962l8112,957l8119,948l8124,938l8126,928l8129,916l8129,912l8129,434l8129,427xm8777,412l8772,400l8767,391l8760,384l8755,376l8746,369l8738,367l8729,362l8556,362l8556,453l8556,616l8556,729l8556,892l8551,900l8546,904l8539,909l8530,912l8386,912l8386,708l8534,708l8542,710l8549,715l8554,720l8556,729l8556,616l8551,624l8546,628l8539,633l8530,636l8386,636l8386,432l8534,432l8542,434l8549,439l8554,444l8556,453l8556,362l8170,362l8170,976l8724,976l8743,972l8758,962l8770,950l8777,936l8777,912l8777,717l8772,708l8770,703l8760,688l8755,684l8748,679l8741,676l8731,672l8746,662l8758,650l8769,636l8777,626l8777,432l8777,412xe" fillcolor="black" stroked="f">
            <v:stroke joinstyle="round"/>
            <v:formulas/>
            <v:path arrowok="t" o:connecttype="segments" textboxrect="-7524,-362,-6271,253"/>
          </v:shape>
        </w:pict>
      </w:r>
      <w:r>
        <w:rPr>
          <w:rFonts w:ascii="Times New Roman"/>
          <w:b/>
          <w:spacing w:val="4"/>
          <w:sz w:val="21"/>
          <w:lang w:eastAsia="zh-CN"/>
        </w:rPr>
        <w:t>CCS</w:t>
      </w:r>
      <w:r>
        <w:rPr>
          <w:rFonts w:ascii="Times New Roman"/>
          <w:b/>
          <w:spacing w:val="51"/>
          <w:sz w:val="21"/>
          <w:lang w:eastAsia="zh-CN"/>
        </w:rPr>
        <w:t xml:space="preserve"> </w:t>
      </w:r>
      <w:r>
        <w:rPr>
          <w:rFonts w:ascii="Arial Unicode MS"/>
          <w:sz w:val="21"/>
          <w:lang w:eastAsia="zh-CN"/>
        </w:rPr>
        <w:t>Z</w:t>
      </w:r>
      <w:r>
        <w:rPr>
          <w:rFonts w:ascii="Arial Unicode MS"/>
          <w:spacing w:val="54"/>
          <w:sz w:val="21"/>
          <w:lang w:eastAsia="zh-CN"/>
        </w:rPr>
        <w:t xml:space="preserve"> </w:t>
      </w:r>
      <w:r>
        <w:rPr>
          <w:rFonts w:ascii="Arial Unicode MS"/>
          <w:spacing w:val="7"/>
          <w:sz w:val="21"/>
          <w:lang w:eastAsia="zh-CN"/>
        </w:rPr>
        <w:t>00</w:t>
      </w:r>
      <w:r>
        <w:rPr>
          <w:rFonts w:ascii="Arial Unicode MS"/>
          <w:spacing w:val="7"/>
          <w:sz w:val="21"/>
          <w:lang w:eastAsia="zh-CN"/>
        </w:rPr>
        <w:tab/>
      </w:r>
      <w:r w:rsidR="00C03664">
        <w:rPr>
          <w:noProof/>
          <w:lang w:eastAsia="zh-CN"/>
        </w:rPr>
        <w:drawing>
          <wp:inline distT="0" distB="0" distL="0" distR="0">
            <wp:extent cx="3419475" cy="6572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xmlns:r="http://schemas.openxmlformats.org/officeDocument/2006/relationships" r:embed="rId5"/>
                    <a:stretch>
                      <a:fillRect/>
                    </a:stretch>
                  </pic:blipFill>
                  <pic:spPr>
                    <a:xfrm>
                      <a:off x="0" y="0"/>
                      <a:ext cx="3419475" cy="657225"/>
                    </a:xfrm>
                    <a:prstGeom prst="rect">
                      <a:avLst/>
                    </a:prstGeom>
                  </pic:spPr>
                </pic:pic>
              </a:graphicData>
            </a:graphic>
          </wp:inline>
        </w:drawing>
      </w:r>
      <w:bookmarkStart w:id="0" w:name="_GoBack"/>
      <w:bookmarkEnd w:id="0"/>
    </w:p>
    <w:p w:rsidR="00A36D6E">
      <w:pPr>
        <w:tabs>
          <w:tab w:val="left" w:pos="1663"/>
          <w:tab w:val="left" w:pos="3183"/>
          <w:tab w:val="left" w:pos="4704"/>
          <w:tab w:val="left" w:pos="6223"/>
          <w:tab w:val="left" w:pos="7745"/>
          <w:tab w:val="left" w:pos="9267"/>
        </w:tabs>
        <w:spacing w:before="142"/>
        <w:ind w:left="142"/>
        <w:rPr>
          <w:sz w:val="49"/>
          <w:lang w:eastAsia="zh-CN"/>
        </w:rPr>
      </w:pPr>
      <w:r>
        <w:rPr>
          <w:sz w:val="49"/>
          <w:lang w:eastAsia="zh-CN"/>
        </w:rPr>
        <w:t>湖</w:t>
      </w:r>
      <w:r>
        <w:rPr>
          <w:sz w:val="49"/>
          <w:lang w:eastAsia="zh-CN"/>
        </w:rPr>
        <w:tab/>
      </w:r>
      <w:r>
        <w:rPr>
          <w:sz w:val="49"/>
          <w:lang w:eastAsia="zh-CN"/>
        </w:rPr>
        <w:t>南</w:t>
      </w:r>
      <w:r>
        <w:rPr>
          <w:sz w:val="49"/>
          <w:lang w:eastAsia="zh-CN"/>
        </w:rPr>
        <w:tab/>
      </w:r>
      <w:r>
        <w:rPr>
          <w:sz w:val="49"/>
          <w:lang w:eastAsia="zh-CN"/>
        </w:rPr>
        <w:t>省</w:t>
      </w:r>
      <w:r>
        <w:rPr>
          <w:sz w:val="49"/>
          <w:lang w:eastAsia="zh-CN"/>
        </w:rPr>
        <w:tab/>
      </w:r>
      <w:r>
        <w:rPr>
          <w:sz w:val="49"/>
          <w:lang w:eastAsia="zh-CN"/>
        </w:rPr>
        <w:t>地</w:t>
      </w:r>
      <w:r>
        <w:rPr>
          <w:sz w:val="49"/>
          <w:lang w:eastAsia="zh-CN"/>
        </w:rPr>
        <w:tab/>
      </w:r>
      <w:r>
        <w:rPr>
          <w:sz w:val="49"/>
          <w:lang w:eastAsia="zh-CN"/>
        </w:rPr>
        <w:t>方</w:t>
      </w:r>
      <w:r>
        <w:rPr>
          <w:sz w:val="49"/>
          <w:lang w:eastAsia="zh-CN"/>
        </w:rPr>
        <w:tab/>
      </w:r>
      <w:r>
        <w:rPr>
          <w:sz w:val="49"/>
          <w:lang w:eastAsia="zh-CN"/>
        </w:rPr>
        <w:t>标</w:t>
      </w:r>
      <w:r>
        <w:rPr>
          <w:sz w:val="49"/>
          <w:lang w:eastAsia="zh-CN"/>
        </w:rPr>
        <w:tab/>
      </w:r>
      <w:r>
        <w:rPr>
          <w:sz w:val="49"/>
          <w:lang w:eastAsia="zh-CN"/>
        </w:rPr>
        <w:t>准</w:t>
      </w:r>
    </w:p>
    <w:p w:rsidR="00A36D6E">
      <w:pPr>
        <w:spacing w:before="384"/>
        <w:ind w:right="393"/>
        <w:jc w:val="right"/>
        <w:rPr>
          <w:rFonts w:ascii="黑体" w:hAnsi="黑体"/>
          <w:sz w:val="28"/>
          <w:lang w:eastAsia="zh-CN"/>
        </w:rPr>
      </w:pPr>
      <w:r>
        <w:rPr>
          <w:rFonts w:ascii="黑体" w:hAnsi="黑体"/>
          <w:sz w:val="28"/>
          <w:lang w:eastAsia="zh-CN"/>
        </w:rPr>
        <w:t>DB43/T 2887—2023</w:t>
      </w:r>
    </w:p>
    <w:p w:rsidR="00A36D6E">
      <w:pPr>
        <w:pStyle w:val="BodyText"/>
        <w:rPr>
          <w:rFonts w:ascii="黑体"/>
          <w:sz w:val="20"/>
          <w:lang w:eastAsia="zh-CN"/>
        </w:rPr>
      </w:pPr>
    </w:p>
    <w:p w:rsidR="00A36D6E">
      <w:pPr>
        <w:pStyle w:val="BodyText"/>
        <w:spacing w:before="5"/>
        <w:rPr>
          <w:rFonts w:ascii="黑体"/>
          <w:sz w:val="27"/>
          <w:lang w:eastAsia="zh-CN"/>
        </w:rPr>
      </w:pPr>
      <w:r>
        <w:pict>
          <v:rect id="_x0000_s1026" style="width:481.9pt;height:1.1pt;margin-top:19.5pt;margin-left:71.3pt;mso-position-horizontal-relative:page;mso-wrap-distance-left:0;mso-wrap-distance-right:0;position:absolute;z-index:-251656192" fillcolor="black" stroked="f">
            <w10:wrap type="topAndBottom"/>
          </v:rect>
        </w:pict>
      </w:r>
    </w:p>
    <w:p w:rsidR="00A36D6E">
      <w:pPr>
        <w:pStyle w:val="BodyText"/>
        <w:rPr>
          <w:rFonts w:ascii="黑体"/>
          <w:sz w:val="58"/>
          <w:lang w:eastAsia="zh-CN"/>
        </w:rPr>
      </w:pPr>
    </w:p>
    <w:p w:rsidR="00A36D6E">
      <w:pPr>
        <w:pStyle w:val="BodyText"/>
        <w:rPr>
          <w:rFonts w:ascii="黑体"/>
          <w:sz w:val="58"/>
          <w:lang w:eastAsia="zh-CN"/>
        </w:rPr>
      </w:pPr>
    </w:p>
    <w:p w:rsidR="00A36D6E">
      <w:pPr>
        <w:pStyle w:val="BodyText"/>
        <w:spacing w:before="7"/>
        <w:rPr>
          <w:rFonts w:ascii="黑体"/>
          <w:sz w:val="50"/>
          <w:lang w:eastAsia="zh-CN"/>
        </w:rPr>
      </w:pPr>
    </w:p>
    <w:p w:rsidR="00A36D6E">
      <w:pPr>
        <w:pStyle w:val="Title"/>
        <w:rPr>
          <w:lang w:eastAsia="zh-CN"/>
        </w:rPr>
      </w:pPr>
      <w:r>
        <w:rPr>
          <w:lang w:eastAsia="zh-CN"/>
        </w:rPr>
        <w:t>生态环境准入清单编制技术指南</w:t>
      </w:r>
    </w:p>
    <w:p w:rsidR="00A36D6E">
      <w:pPr>
        <w:spacing w:before="399" w:line="417" w:lineRule="auto"/>
        <w:ind w:left="1913" w:right="1926"/>
        <w:jc w:val="center"/>
        <w:rPr>
          <w:rFonts w:ascii="Times New Roman"/>
          <w:b/>
          <w:sz w:val="28"/>
        </w:rPr>
      </w:pPr>
      <w:r>
        <w:rPr>
          <w:rFonts w:ascii="Times New Roman"/>
          <w:b/>
          <w:sz w:val="28"/>
        </w:rPr>
        <w:t>Technical guide for the establishment of ecological environment access list</w:t>
      </w: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rPr>
          <w:rFonts w:ascii="Times New Roman"/>
          <w:b/>
          <w:sz w:val="20"/>
        </w:rPr>
      </w:pPr>
    </w:p>
    <w:p w:rsidR="00A36D6E">
      <w:pPr>
        <w:pStyle w:val="BodyText"/>
        <w:spacing w:before="8"/>
        <w:rPr>
          <w:rFonts w:ascii="Times New Roman"/>
          <w:b/>
          <w:sz w:val="18"/>
        </w:rPr>
      </w:pPr>
    </w:p>
    <w:p w:rsidR="00A36D6E">
      <w:pPr>
        <w:tabs>
          <w:tab w:val="left" w:pos="7481"/>
        </w:tabs>
        <w:spacing w:before="67"/>
        <w:ind w:left="123"/>
        <w:rPr>
          <w:rFonts w:ascii="黑体" w:eastAsia="黑体"/>
          <w:sz w:val="28"/>
          <w:lang w:eastAsia="zh-CN"/>
        </w:rPr>
      </w:pPr>
      <w:r>
        <w:pict>
          <v:rect id="_x0000_s1027" style="width:481.9pt;height:1.2pt;margin-top:22.65pt;margin-left:71.3pt;mso-position-horizontal-relative:page;mso-wrap-distance-left:0;mso-wrap-distance-right:0;position:absolute;z-index:-251655168" fillcolor="black" stroked="f">
            <w10:wrap type="topAndBottom"/>
          </v:rect>
        </w:pict>
      </w:r>
      <w:r>
        <w:rPr>
          <w:rFonts w:ascii="黑体" w:eastAsia="黑体" w:hint="eastAsia"/>
          <w:spacing w:val="13"/>
          <w:sz w:val="28"/>
          <w:lang w:eastAsia="zh-CN"/>
        </w:rPr>
        <w:t>2023-</w:t>
      </w:r>
      <w:r>
        <w:rPr>
          <w:rFonts w:ascii="黑体" w:eastAsia="黑体" w:hint="eastAsia"/>
          <w:spacing w:val="-71"/>
          <w:sz w:val="28"/>
          <w:lang w:eastAsia="zh-CN"/>
        </w:rPr>
        <w:t xml:space="preserve"> </w:t>
      </w:r>
      <w:r>
        <w:rPr>
          <w:rFonts w:ascii="黑体" w:eastAsia="黑体" w:hint="eastAsia"/>
          <w:sz w:val="28"/>
          <w:lang w:eastAsia="zh-CN"/>
        </w:rPr>
        <w:t>12</w:t>
      </w:r>
      <w:r>
        <w:rPr>
          <w:rFonts w:ascii="黑体" w:eastAsia="黑体" w:hint="eastAsia"/>
          <w:spacing w:val="-71"/>
          <w:sz w:val="28"/>
          <w:lang w:eastAsia="zh-CN"/>
        </w:rPr>
        <w:t xml:space="preserve"> </w:t>
      </w:r>
      <w:r>
        <w:rPr>
          <w:rFonts w:ascii="黑体" w:eastAsia="黑体" w:hint="eastAsia"/>
          <w:sz w:val="28"/>
          <w:lang w:eastAsia="zh-CN"/>
        </w:rPr>
        <w:t>-</w:t>
      </w:r>
      <w:r>
        <w:rPr>
          <w:rFonts w:ascii="黑体" w:eastAsia="黑体" w:hint="eastAsia"/>
          <w:spacing w:val="-64"/>
          <w:sz w:val="28"/>
          <w:lang w:eastAsia="zh-CN"/>
        </w:rPr>
        <w:t xml:space="preserve"> </w:t>
      </w:r>
      <w:r>
        <w:rPr>
          <w:rFonts w:ascii="黑体" w:eastAsia="黑体" w:hint="eastAsia"/>
          <w:sz w:val="28"/>
          <w:lang w:eastAsia="zh-CN"/>
        </w:rPr>
        <w:t>20</w:t>
      </w:r>
      <w:r>
        <w:rPr>
          <w:rFonts w:ascii="黑体" w:eastAsia="黑体" w:hint="eastAsia"/>
          <w:spacing w:val="-76"/>
          <w:sz w:val="28"/>
          <w:lang w:eastAsia="zh-CN"/>
        </w:rPr>
        <w:t xml:space="preserve"> </w:t>
      </w:r>
      <w:r>
        <w:rPr>
          <w:rFonts w:ascii="黑体" w:eastAsia="黑体" w:hint="eastAsia"/>
          <w:spacing w:val="4"/>
          <w:sz w:val="28"/>
          <w:lang w:eastAsia="zh-CN"/>
        </w:rPr>
        <w:t>发</w:t>
      </w:r>
      <w:r>
        <w:rPr>
          <w:rFonts w:ascii="黑体" w:eastAsia="黑体" w:hint="eastAsia"/>
          <w:sz w:val="28"/>
          <w:lang w:eastAsia="zh-CN"/>
        </w:rPr>
        <w:t>布</w:t>
      </w:r>
      <w:r>
        <w:rPr>
          <w:rFonts w:ascii="黑体" w:eastAsia="黑体" w:hint="eastAsia"/>
          <w:sz w:val="28"/>
          <w:lang w:eastAsia="zh-CN"/>
        </w:rPr>
        <w:tab/>
      </w:r>
      <w:r>
        <w:rPr>
          <w:rFonts w:ascii="黑体" w:eastAsia="黑体" w:hint="eastAsia"/>
          <w:spacing w:val="13"/>
          <w:sz w:val="28"/>
          <w:lang w:eastAsia="zh-CN"/>
        </w:rPr>
        <w:t>2024-</w:t>
      </w:r>
      <w:r>
        <w:rPr>
          <w:rFonts w:ascii="黑体" w:eastAsia="黑体" w:hint="eastAsia"/>
          <w:spacing w:val="-71"/>
          <w:sz w:val="28"/>
          <w:lang w:eastAsia="zh-CN"/>
        </w:rPr>
        <w:t xml:space="preserve"> </w:t>
      </w:r>
      <w:r>
        <w:rPr>
          <w:rFonts w:ascii="黑体" w:eastAsia="黑体" w:hint="eastAsia"/>
          <w:sz w:val="28"/>
          <w:lang w:eastAsia="zh-CN"/>
        </w:rPr>
        <w:t>01</w:t>
      </w:r>
      <w:r>
        <w:rPr>
          <w:rFonts w:ascii="黑体" w:eastAsia="黑体" w:hint="eastAsia"/>
          <w:spacing w:val="-71"/>
          <w:sz w:val="28"/>
          <w:lang w:eastAsia="zh-CN"/>
        </w:rPr>
        <w:t xml:space="preserve"> </w:t>
      </w:r>
      <w:r>
        <w:rPr>
          <w:rFonts w:ascii="黑体" w:eastAsia="黑体" w:hint="eastAsia"/>
          <w:sz w:val="28"/>
          <w:lang w:eastAsia="zh-CN"/>
        </w:rPr>
        <w:t>-</w:t>
      </w:r>
      <w:r>
        <w:rPr>
          <w:rFonts w:ascii="黑体" w:eastAsia="黑体" w:hint="eastAsia"/>
          <w:spacing w:val="-64"/>
          <w:sz w:val="28"/>
          <w:lang w:eastAsia="zh-CN"/>
        </w:rPr>
        <w:t xml:space="preserve"> </w:t>
      </w:r>
      <w:r>
        <w:rPr>
          <w:rFonts w:ascii="黑体" w:eastAsia="黑体" w:hint="eastAsia"/>
          <w:sz w:val="28"/>
          <w:lang w:eastAsia="zh-CN"/>
        </w:rPr>
        <w:t>20</w:t>
      </w:r>
      <w:r>
        <w:rPr>
          <w:rFonts w:ascii="黑体" w:eastAsia="黑体" w:hint="eastAsia"/>
          <w:spacing w:val="-73"/>
          <w:sz w:val="28"/>
          <w:lang w:eastAsia="zh-CN"/>
        </w:rPr>
        <w:t xml:space="preserve"> </w:t>
      </w:r>
      <w:r>
        <w:rPr>
          <w:rFonts w:ascii="黑体" w:eastAsia="黑体" w:hint="eastAsia"/>
          <w:spacing w:val="4"/>
          <w:sz w:val="28"/>
          <w:lang w:eastAsia="zh-CN"/>
        </w:rPr>
        <w:t>实</w:t>
      </w:r>
      <w:r>
        <w:rPr>
          <w:rFonts w:ascii="黑体" w:eastAsia="黑体" w:hint="eastAsia"/>
          <w:sz w:val="28"/>
          <w:lang w:eastAsia="zh-CN"/>
        </w:rPr>
        <w:t>施</w:t>
      </w:r>
    </w:p>
    <w:p w:rsidR="00A36D6E">
      <w:pPr>
        <w:pStyle w:val="BodyText"/>
        <w:rPr>
          <w:rFonts w:ascii="黑体"/>
          <w:sz w:val="20"/>
          <w:lang w:eastAsia="zh-CN"/>
        </w:rPr>
      </w:pPr>
    </w:p>
    <w:p w:rsidR="00A36D6E">
      <w:pPr>
        <w:pStyle w:val="BodyText"/>
        <w:spacing w:before="12"/>
        <w:rPr>
          <w:rFonts w:ascii="黑体"/>
          <w:sz w:val="18"/>
          <w:lang w:eastAsia="zh-CN"/>
        </w:rPr>
      </w:pPr>
    </w:p>
    <w:p w:rsidR="00A36D6E">
      <w:pPr>
        <w:spacing w:before="73" w:line="269" w:lineRule="exact"/>
        <w:ind w:left="2746"/>
        <w:rPr>
          <w:sz w:val="28"/>
          <w:lang w:eastAsia="zh-CN"/>
        </w:rPr>
      </w:pPr>
      <w:r>
        <w:rPr>
          <w:sz w:val="28"/>
          <w:lang w:eastAsia="zh-CN"/>
        </w:rPr>
        <w:t>湖南</w:t>
      </w:r>
      <w:r>
        <w:rPr>
          <w:sz w:val="28"/>
          <w:lang w:eastAsia="zh-CN"/>
        </w:rPr>
        <w:t xml:space="preserve"> </w:t>
      </w:r>
      <w:r>
        <w:rPr>
          <w:sz w:val="28"/>
          <w:lang w:eastAsia="zh-CN"/>
        </w:rPr>
        <w:t>省</w:t>
      </w:r>
      <w:r>
        <w:rPr>
          <w:sz w:val="28"/>
          <w:lang w:eastAsia="zh-CN"/>
        </w:rPr>
        <w:t xml:space="preserve"> </w:t>
      </w:r>
      <w:r>
        <w:rPr>
          <w:sz w:val="28"/>
          <w:lang w:eastAsia="zh-CN"/>
        </w:rPr>
        <w:t>生态环</w:t>
      </w:r>
      <w:r>
        <w:rPr>
          <w:sz w:val="28"/>
          <w:lang w:eastAsia="zh-CN"/>
        </w:rPr>
        <w:t xml:space="preserve"> </w:t>
      </w:r>
      <w:r>
        <w:rPr>
          <w:sz w:val="28"/>
          <w:lang w:eastAsia="zh-CN"/>
        </w:rPr>
        <w:t>境厅</w:t>
      </w:r>
      <w:r>
        <w:rPr>
          <w:sz w:val="28"/>
          <w:lang w:eastAsia="zh-CN"/>
        </w:rPr>
        <w:t xml:space="preserve"> </w:t>
      </w:r>
    </w:p>
    <w:p w:rsidR="00A36D6E">
      <w:pPr>
        <w:tabs>
          <w:tab w:val="left" w:pos="6115"/>
        </w:tabs>
        <w:spacing w:line="449" w:lineRule="exact"/>
        <w:ind w:left="2746"/>
        <w:rPr>
          <w:sz w:val="28"/>
          <w:lang w:eastAsia="zh-CN"/>
        </w:rPr>
      </w:pPr>
      <w:r>
        <w:rPr>
          <w:sz w:val="28"/>
          <w:lang w:eastAsia="zh-CN"/>
        </w:rPr>
        <w:t>湖南省市场监督管理局</w:t>
      </w:r>
      <w:r>
        <w:rPr>
          <w:sz w:val="28"/>
          <w:lang w:eastAsia="zh-CN"/>
        </w:rPr>
        <w:tab/>
      </w:r>
      <w:r>
        <w:rPr>
          <w:position w:val="18"/>
          <w:sz w:val="28"/>
          <w:lang w:eastAsia="zh-CN"/>
        </w:rPr>
        <w:t>发</w:t>
      </w:r>
      <w:r>
        <w:rPr>
          <w:spacing w:val="28"/>
          <w:position w:val="18"/>
          <w:sz w:val="28"/>
          <w:lang w:eastAsia="zh-CN"/>
        </w:rPr>
        <w:t xml:space="preserve"> </w:t>
      </w:r>
      <w:r>
        <w:rPr>
          <w:position w:val="18"/>
          <w:sz w:val="28"/>
          <w:lang w:eastAsia="zh-CN"/>
        </w:rPr>
        <w:t>布</w:t>
      </w:r>
    </w:p>
    <w:p w:rsidR="00A36D6E">
      <w:pPr>
        <w:spacing w:line="449" w:lineRule="exact"/>
        <w:rPr>
          <w:sz w:val="28"/>
          <w:lang w:eastAsia="zh-CN"/>
        </w:rPr>
        <w:sectPr>
          <w:footerReference w:type="even" r:id="rId6"/>
          <w:type w:val="continuous"/>
          <w:pgSz w:w="11900" w:h="16840"/>
          <w:pgMar w:top="440" w:right="700" w:bottom="280" w:left="1300" w:header="720" w:footer="0" w:gutter="0"/>
          <w:pgNumType w:start="6"/>
          <w:cols w:space="720"/>
        </w:sectPr>
      </w:pPr>
    </w:p>
    <w:p w:rsidR="00A36D6E">
      <w:pPr>
        <w:pStyle w:val="BodyText"/>
        <w:spacing w:before="48"/>
        <w:ind w:right="248"/>
        <w:jc w:val="right"/>
        <w:rPr>
          <w:rFonts w:ascii="黑体" w:hAnsi="黑体"/>
        </w:rPr>
      </w:pPr>
      <w:r>
        <w:pict>
          <v:shapetype id="_x0000_t202" coordsize="21600,21600" o:spt="202" path="m,l,21600r21600,l21600,xe">
            <v:stroke joinstyle="miter"/>
            <v:path gradientshapeok="t" o:connecttype="rect"/>
          </v:shapetype>
          <v:shape id="_x0000_s1028" type="#_x0000_t202" style="width:541.65pt;height:671.95pt;margin-top:170pt;margin-left:-2.5pt;mso-position-horizontal-relative:page;mso-position-vertical-relative:page;position:absolute;z-index:251662336" filled="f" stroked="f">
            <v:textbox inset="0,0,0,0">
              <w:txbxContent>
                <w:tbl>
                  <w:tblPr>
                    <w:tblStyle w:val="TableNormal00"/>
                    <w:tblW w:w="0" w:type="auto"/>
                    <w:tblInd w:w="7" w:type="dxa"/>
                    <w:tblLayout w:type="fixed"/>
                    <w:tblLook w:val="01E0"/>
                  </w:tblPr>
                  <w:tblGrid>
                    <w:gridCol w:w="4244"/>
                    <w:gridCol w:w="1288"/>
                    <w:gridCol w:w="2228"/>
                    <w:gridCol w:w="940"/>
                    <w:gridCol w:w="1729"/>
                    <w:gridCol w:w="406"/>
                  </w:tblGrid>
                  <w:tr>
                    <w:tblPrEx>
                      <w:tblW w:w="0" w:type="auto"/>
                      <w:tblInd w:w="7" w:type="dxa"/>
                      <w:tblLayout w:type="fixed"/>
                      <w:tblLook w:val="01E0"/>
                    </w:tblPrEx>
                    <w:trPr>
                      <w:trHeight w:val="296"/>
                    </w:trPr>
                    <w:tc>
                      <w:tcPr>
                        <w:tcW w:w="4244" w:type="dxa"/>
                      </w:tcPr>
                      <w:p w:rsidR="00A36D6E">
                        <w:pPr>
                          <w:pStyle w:val="TableParagraph"/>
                          <w:spacing w:line="247" w:lineRule="exact"/>
                          <w:ind w:right="1448"/>
                          <w:jc w:val="right"/>
                          <w:rPr>
                            <w:rFonts w:ascii="Times New Roman" w:eastAsia="Times New Roman" w:hAnsi="Times New Roman"/>
                            <w:sz w:val="21"/>
                          </w:rPr>
                        </w:pPr>
                        <w:r>
                          <w:rPr>
                            <w:spacing w:val="4"/>
                            <w:sz w:val="21"/>
                          </w:rPr>
                          <w:t>前言</w:t>
                        </w:r>
                        <w:r>
                          <w:rPr>
                            <w:rFonts w:ascii="Times New Roman" w:eastAsia="Times New Roman" w:hAnsi="Times New Roman"/>
                            <w:spacing w:val="-48"/>
                            <w:sz w:val="21"/>
                          </w:rPr>
                          <w:t>································</w:t>
                        </w:r>
                      </w:p>
                    </w:tc>
                    <w:tc>
                      <w:tcPr>
                        <w:tcW w:w="1288" w:type="dxa"/>
                      </w:tcPr>
                      <w:p w:rsidR="00A36D6E">
                        <w:pPr>
                          <w:pStyle w:val="TableParagraph"/>
                          <w:spacing w:line="234" w:lineRule="exact"/>
                          <w:ind w:left="57"/>
                          <w:rPr>
                            <w:rFonts w:ascii="Times New Roman" w:hAnsi="Times New Roman"/>
                            <w:sz w:val="21"/>
                          </w:rPr>
                        </w:pPr>
                        <w:r>
                          <w:rPr>
                            <w:rFonts w:ascii="Times New Roman" w:hAnsi="Times New Roman"/>
                            <w:spacing w:val="-48"/>
                            <w:sz w:val="21"/>
                          </w:rPr>
                          <w:t>································</w:t>
                        </w:r>
                      </w:p>
                    </w:tc>
                    <w:tc>
                      <w:tcPr>
                        <w:tcW w:w="2228" w:type="dxa"/>
                      </w:tcPr>
                      <w:p w:rsidR="00A36D6E">
                        <w:pPr>
                          <w:pStyle w:val="TableParagraph"/>
                          <w:spacing w:line="234" w:lineRule="exact"/>
                          <w:ind w:right="508"/>
                          <w:jc w:val="right"/>
                          <w:rPr>
                            <w:rFonts w:ascii="Times New Roman" w:hAnsi="Times New Roman"/>
                            <w:sz w:val="21"/>
                          </w:rPr>
                        </w:pPr>
                        <w:r>
                          <w:rPr>
                            <w:rFonts w:ascii="Times New Roman" w:hAnsi="Times New Roman"/>
                            <w:spacing w:val="-48"/>
                            <w:sz w:val="21"/>
                          </w:rPr>
                          <w:t>································</w:t>
                        </w:r>
                      </w:p>
                    </w:tc>
                    <w:tc>
                      <w:tcPr>
                        <w:tcW w:w="940" w:type="dxa"/>
                      </w:tcPr>
                      <w:p w:rsidR="00A36D6E">
                        <w:pPr>
                          <w:pStyle w:val="TableParagraph"/>
                          <w:rPr>
                            <w:rFonts w:ascii="Times New Roman"/>
                            <w:sz w:val="20"/>
                          </w:rPr>
                        </w:pPr>
                      </w:p>
                    </w:tc>
                    <w:tc>
                      <w:tcPr>
                        <w:tcW w:w="1729" w:type="dxa"/>
                      </w:tcPr>
                      <w:p w:rsidR="00A36D6E">
                        <w:pPr>
                          <w:pStyle w:val="TableParagraph"/>
                          <w:spacing w:line="234" w:lineRule="exact"/>
                          <w:ind w:left="56"/>
                          <w:rPr>
                            <w:rFonts w:ascii="Times New Roman" w:hAnsi="Times New Roman"/>
                            <w:sz w:val="21"/>
                          </w:rPr>
                        </w:pPr>
                        <w:r>
                          <w:rPr>
                            <w:rFonts w:ascii="Times New Roman" w:hAnsi="Times New Roman"/>
                            <w:spacing w:val="-48"/>
                            <w:sz w:val="21"/>
                          </w:rPr>
                          <w:t>························</w:t>
                        </w:r>
                      </w:p>
                    </w:tc>
                    <w:tc>
                      <w:tcPr>
                        <w:tcW w:w="406" w:type="dxa"/>
                      </w:tcPr>
                      <w:p w:rsidR="00A36D6E">
                        <w:pPr>
                          <w:pStyle w:val="TableParagraph"/>
                          <w:spacing w:line="247" w:lineRule="exact"/>
                          <w:ind w:left="142"/>
                          <w:rPr>
                            <w:sz w:val="21"/>
                          </w:rPr>
                        </w:pPr>
                        <w:r>
                          <w:rPr>
                            <w:sz w:val="21"/>
                          </w:rPr>
                          <w:t>Ⅲ</w:t>
                        </w:r>
                      </w:p>
                    </w:tc>
                  </w:tr>
                  <w:tr>
                    <w:tblPrEx>
                      <w:tblW w:w="0" w:type="auto"/>
                      <w:tblInd w:w="7" w:type="dxa"/>
                      <w:tblLayout w:type="fixed"/>
                      <w:tblLook w:val="01E0"/>
                    </w:tblPrEx>
                    <w:trPr>
                      <w:trHeight w:val="360"/>
                    </w:trPr>
                    <w:tc>
                      <w:tcPr>
                        <w:tcW w:w="4244" w:type="dxa"/>
                      </w:tcPr>
                      <w:p w:rsidR="00A36D6E">
                        <w:pPr>
                          <w:pStyle w:val="TableParagraph"/>
                          <w:spacing w:before="41"/>
                          <w:ind w:right="1448"/>
                          <w:jc w:val="right"/>
                          <w:rPr>
                            <w:rFonts w:ascii="Times New Roman" w:eastAsia="Times New Roman" w:hAnsi="Times New Roman"/>
                            <w:sz w:val="21"/>
                          </w:rPr>
                        </w:pPr>
                        <w:r>
                          <w:rPr>
                            <w:spacing w:val="4"/>
                            <w:sz w:val="21"/>
                          </w:rPr>
                          <w:t>引言</w:t>
                        </w:r>
                        <w:r>
                          <w:rPr>
                            <w:rFonts w:ascii="Times New Roman" w:eastAsia="Times New Roman" w:hAnsi="Times New Roman"/>
                            <w:spacing w:val="-48"/>
                            <w:sz w:val="21"/>
                          </w:rPr>
                          <w:t>································</w:t>
                        </w:r>
                      </w:p>
                    </w:tc>
                    <w:tc>
                      <w:tcPr>
                        <w:tcW w:w="1288" w:type="dxa"/>
                      </w:tcPr>
                      <w:p w:rsidR="00A36D6E">
                        <w:pPr>
                          <w:pStyle w:val="TableParagraph"/>
                          <w:spacing w:before="55"/>
                          <w:ind w:left="57"/>
                          <w:rPr>
                            <w:rFonts w:ascii="Times New Roman" w:hAnsi="Times New Roman"/>
                            <w:sz w:val="21"/>
                          </w:rPr>
                        </w:pPr>
                        <w:r>
                          <w:rPr>
                            <w:rFonts w:ascii="Times New Roman" w:hAnsi="Times New Roman"/>
                            <w:spacing w:val="-48"/>
                            <w:sz w:val="21"/>
                          </w:rPr>
                          <w:t>································</w:t>
                        </w:r>
                      </w:p>
                    </w:tc>
                    <w:tc>
                      <w:tcPr>
                        <w:tcW w:w="2228" w:type="dxa"/>
                      </w:tcPr>
                      <w:p w:rsidR="00A36D6E">
                        <w:pPr>
                          <w:pStyle w:val="TableParagraph"/>
                          <w:spacing w:before="55"/>
                          <w:ind w:right="508"/>
                          <w:jc w:val="right"/>
                          <w:rPr>
                            <w:rFonts w:ascii="Times New Roman" w:hAnsi="Times New Roman"/>
                            <w:sz w:val="21"/>
                          </w:rPr>
                        </w:pPr>
                        <w:r>
                          <w:rPr>
                            <w:rFonts w:ascii="Times New Roman" w:hAnsi="Times New Roman"/>
                            <w:spacing w:val="-48"/>
                            <w:sz w:val="21"/>
                          </w:rPr>
                          <w:t>································</w:t>
                        </w:r>
                      </w:p>
                    </w:tc>
                    <w:tc>
                      <w:tcPr>
                        <w:tcW w:w="940" w:type="dxa"/>
                      </w:tcPr>
                      <w:p w:rsidR="00A36D6E">
                        <w:pPr>
                          <w:pStyle w:val="TableParagraph"/>
                          <w:rPr>
                            <w:rFonts w:ascii="Times New Roman"/>
                            <w:sz w:val="20"/>
                          </w:rPr>
                        </w:pPr>
                      </w:p>
                    </w:tc>
                    <w:tc>
                      <w:tcPr>
                        <w:tcW w:w="1729" w:type="dxa"/>
                      </w:tcPr>
                      <w:p w:rsidR="00A36D6E">
                        <w:pPr>
                          <w:pStyle w:val="TableParagraph"/>
                          <w:spacing w:before="55"/>
                          <w:ind w:left="56"/>
                          <w:rPr>
                            <w:rFonts w:ascii="Times New Roman" w:hAnsi="Times New Roman"/>
                            <w:sz w:val="21"/>
                          </w:rPr>
                        </w:pPr>
                        <w:r>
                          <w:rPr>
                            <w:rFonts w:ascii="Times New Roman" w:hAnsi="Times New Roman"/>
                            <w:spacing w:val="-48"/>
                            <w:sz w:val="21"/>
                          </w:rPr>
                          <w:t>························</w:t>
                        </w:r>
                      </w:p>
                    </w:tc>
                    <w:tc>
                      <w:tcPr>
                        <w:tcW w:w="406" w:type="dxa"/>
                      </w:tcPr>
                      <w:p w:rsidR="00A36D6E">
                        <w:pPr>
                          <w:pStyle w:val="TableParagraph"/>
                          <w:spacing w:before="41"/>
                          <w:ind w:left="142"/>
                          <w:rPr>
                            <w:sz w:val="21"/>
                          </w:rPr>
                        </w:pPr>
                        <w:r>
                          <w:rPr>
                            <w:sz w:val="21"/>
                          </w:rPr>
                          <w:t>Ⅴ</w:t>
                        </w:r>
                      </w:p>
                    </w:tc>
                  </w:tr>
                  <w:tr>
                    <w:tblPrEx>
                      <w:tblW w:w="0" w:type="auto"/>
                      <w:tblInd w:w="7" w:type="dxa"/>
                      <w:tblLayout w:type="fixed"/>
                      <w:tblLook w:val="01E0"/>
                    </w:tblPrEx>
                    <w:trPr>
                      <w:trHeight w:val="6602"/>
                    </w:trPr>
                    <w:tc>
                      <w:tcPr>
                        <w:tcW w:w="4244" w:type="dxa"/>
                      </w:tcPr>
                      <w:p w:rsidR="00A36D6E">
                        <w:pPr>
                          <w:pStyle w:val="TableParagraph"/>
                          <w:spacing w:before="41"/>
                          <w:ind w:left="1641"/>
                          <w:rPr>
                            <w:rFonts w:ascii="Times New Roman" w:eastAsia="Times New Roman" w:hAnsi="Times New Roman"/>
                            <w:sz w:val="21"/>
                          </w:rPr>
                        </w:pPr>
                        <w:r>
                          <w:rPr>
                            <w:sz w:val="21"/>
                          </w:rPr>
                          <w:t>1</w:t>
                        </w:r>
                        <w:r>
                          <w:rPr>
                            <w:spacing w:val="-16"/>
                            <w:sz w:val="21"/>
                          </w:rPr>
                          <w:t xml:space="preserve"> </w:t>
                        </w:r>
                        <w:r>
                          <w:rPr>
                            <w:spacing w:val="-16"/>
                            <w:sz w:val="21"/>
                          </w:rPr>
                          <w:t>范围</w:t>
                        </w:r>
                        <w:r>
                          <w:rPr>
                            <w:spacing w:val="-16"/>
                            <w:sz w:val="21"/>
                          </w:rPr>
                          <w:t xml:space="preserve"> </w:t>
                        </w:r>
                        <w:r>
                          <w:rPr>
                            <w:rFonts w:ascii="Times New Roman" w:eastAsia="Times New Roman" w:hAnsi="Times New Roman"/>
                            <w:spacing w:val="-48"/>
                            <w:sz w:val="21"/>
                          </w:rPr>
                          <w:t>································</w:t>
                        </w:r>
                      </w:p>
                      <w:p w:rsidR="00A36D6E">
                        <w:pPr>
                          <w:pStyle w:val="TableParagraph"/>
                          <w:spacing w:before="91"/>
                          <w:ind w:left="1641"/>
                          <w:rPr>
                            <w:rFonts w:ascii="Times New Roman" w:eastAsia="Times New Roman" w:hAnsi="Times New Roman"/>
                            <w:sz w:val="21"/>
                          </w:rPr>
                        </w:pPr>
                        <w:r>
                          <w:rPr>
                            <w:sz w:val="21"/>
                          </w:rPr>
                          <w:t>2</w:t>
                        </w:r>
                        <w:r>
                          <w:rPr>
                            <w:spacing w:val="4"/>
                            <w:sz w:val="21"/>
                          </w:rPr>
                          <w:t xml:space="preserve"> </w:t>
                        </w:r>
                        <w:r>
                          <w:rPr>
                            <w:spacing w:val="4"/>
                            <w:sz w:val="21"/>
                          </w:rPr>
                          <w:t>规范性引用文件</w:t>
                        </w:r>
                        <w:r>
                          <w:rPr>
                            <w:rFonts w:ascii="Times New Roman" w:eastAsia="Times New Roman" w:hAnsi="Times New Roman"/>
                            <w:spacing w:val="-48"/>
                            <w:sz w:val="21"/>
                          </w:rPr>
                          <w:t>································</w:t>
                        </w:r>
                      </w:p>
                    </w:tc>
                    <w:tc>
                      <w:tcPr>
                        <w:tcW w:w="1288" w:type="dxa"/>
                      </w:tcPr>
                      <w:p w:rsidR="00A36D6E">
                        <w:pPr>
                          <w:pStyle w:val="TableParagraph"/>
                          <w:spacing w:before="55"/>
                          <w:ind w:left="405"/>
                          <w:rPr>
                            <w:rFonts w:ascii="Times New Roman" w:hAnsi="Times New Roman"/>
                            <w:sz w:val="21"/>
                          </w:rPr>
                        </w:pPr>
                        <w:r>
                          <w:rPr>
                            <w:rFonts w:ascii="Times New Roman" w:hAnsi="Times New Roman"/>
                            <w:spacing w:val="-48"/>
                            <w:sz w:val="21"/>
                          </w:rPr>
                          <w:t>································</w:t>
                        </w:r>
                      </w:p>
                    </w:tc>
                    <w:tc>
                      <w:tcPr>
                        <w:tcW w:w="2228" w:type="dxa"/>
                      </w:tcPr>
                      <w:p w:rsidR="00A36D6E">
                        <w:pPr>
                          <w:pStyle w:val="TableParagraph"/>
                          <w:spacing w:before="55"/>
                          <w:ind w:left="1344"/>
                          <w:rPr>
                            <w:rFonts w:ascii="Times New Roman" w:hAnsi="Times New Roman"/>
                            <w:sz w:val="21"/>
                          </w:rPr>
                        </w:pPr>
                        <w:r>
                          <w:rPr>
                            <w:rFonts w:ascii="Times New Roman" w:hAnsi="Times New Roman"/>
                            <w:spacing w:val="-48"/>
                            <w:sz w:val="21"/>
                          </w:rPr>
                          <w:t>································</w:t>
                        </w:r>
                      </w:p>
                      <w:p w:rsidR="00A36D6E">
                        <w:pPr>
                          <w:pStyle w:val="TableParagraph"/>
                          <w:spacing w:before="118"/>
                          <w:ind w:left="161"/>
                          <w:rPr>
                            <w:rFonts w:ascii="Times New Roman" w:hAnsi="Times New Roman"/>
                            <w:sz w:val="21"/>
                          </w:rPr>
                        </w:pPr>
                        <w:r>
                          <w:rPr>
                            <w:rFonts w:ascii="Times New Roman" w:hAnsi="Times New Roman"/>
                            <w:spacing w:val="-48"/>
                            <w:sz w:val="21"/>
                          </w:rPr>
                          <w:t>································</w:t>
                        </w:r>
                      </w:p>
                    </w:tc>
                    <w:tc>
                      <w:tcPr>
                        <w:tcW w:w="940" w:type="dxa"/>
                      </w:tcPr>
                      <w:p w:rsidR="00A36D6E">
                        <w:pPr>
                          <w:pStyle w:val="TableParagraph"/>
                          <w:spacing w:before="14"/>
                          <w:rPr>
                            <w:rFonts w:ascii="Arial Unicode MS"/>
                            <w:sz w:val="23"/>
                          </w:rPr>
                        </w:pPr>
                      </w:p>
                      <w:p w:rsidR="00A36D6E">
                        <w:pPr>
                          <w:pStyle w:val="TableParagraph"/>
                          <w:spacing w:before="1"/>
                          <w:ind w:left="160"/>
                          <w:rPr>
                            <w:rFonts w:ascii="Times New Roman" w:hAnsi="Times New Roman"/>
                            <w:sz w:val="21"/>
                          </w:rPr>
                        </w:pPr>
                        <w:r>
                          <w:rPr>
                            <w:rFonts w:ascii="Times New Roman" w:hAnsi="Times New Roman"/>
                            <w:spacing w:val="-48"/>
                            <w:sz w:val="21"/>
                          </w:rPr>
                          <w:t>································</w:t>
                        </w:r>
                      </w:p>
                    </w:tc>
                    <w:tc>
                      <w:tcPr>
                        <w:tcW w:w="1729" w:type="dxa"/>
                      </w:tcPr>
                      <w:p w:rsidR="00A36D6E">
                        <w:pPr>
                          <w:pStyle w:val="TableParagraph"/>
                          <w:spacing w:before="55"/>
                          <w:ind w:left="404"/>
                          <w:rPr>
                            <w:rFonts w:ascii="Times New Roman" w:hAnsi="Times New Roman"/>
                            <w:sz w:val="21"/>
                          </w:rPr>
                        </w:pPr>
                        <w:r>
                          <w:rPr>
                            <w:rFonts w:ascii="Times New Roman" w:hAnsi="Times New Roman"/>
                            <w:spacing w:val="-48"/>
                            <w:sz w:val="21"/>
                          </w:rPr>
                          <w:t>·····················</w:t>
                        </w:r>
                      </w:p>
                      <w:p w:rsidR="00A36D6E">
                        <w:pPr>
                          <w:pStyle w:val="TableParagraph"/>
                          <w:spacing w:before="118"/>
                          <w:ind w:left="1448"/>
                          <w:rPr>
                            <w:rFonts w:ascii="Times New Roman" w:hAnsi="Times New Roman"/>
                            <w:sz w:val="21"/>
                          </w:rPr>
                        </w:pPr>
                        <w:r>
                          <w:rPr>
                            <w:rFonts w:ascii="Times New Roman" w:hAnsi="Times New Roman"/>
                            <w:spacing w:val="-48"/>
                            <w:sz w:val="21"/>
                          </w:rPr>
                          <w:t>······</w:t>
                        </w:r>
                      </w:p>
                    </w:tc>
                    <w:tc>
                      <w:tcPr>
                        <w:tcW w:w="406" w:type="dxa"/>
                      </w:tcPr>
                      <w:p w:rsidR="00A36D6E">
                        <w:pPr>
                          <w:pStyle w:val="TableParagraph"/>
                          <w:spacing w:before="41"/>
                          <w:ind w:left="245"/>
                          <w:rPr>
                            <w:sz w:val="21"/>
                          </w:rPr>
                        </w:pPr>
                        <w:r>
                          <w:rPr>
                            <w:sz w:val="21"/>
                          </w:rPr>
                          <w:t>1</w:t>
                        </w:r>
                      </w:p>
                      <w:p w:rsidR="00A36D6E">
                        <w:pPr>
                          <w:pStyle w:val="TableParagraph"/>
                          <w:spacing w:before="91"/>
                          <w:ind w:left="245"/>
                          <w:rPr>
                            <w:sz w:val="21"/>
                          </w:rPr>
                        </w:pPr>
                        <w:r>
                          <w:rPr>
                            <w:sz w:val="21"/>
                          </w:rPr>
                          <w:t>1</w:t>
                        </w:r>
                      </w:p>
                    </w:tc>
                  </w:tr>
                  <w:tr>
                    <w:tblPrEx>
                      <w:tblW w:w="0" w:type="auto"/>
                      <w:tblInd w:w="7" w:type="dxa"/>
                      <w:tblLayout w:type="fixed"/>
                      <w:tblLook w:val="01E0"/>
                    </w:tblPrEx>
                    <w:trPr>
                      <w:trHeight w:val="6179"/>
                    </w:trPr>
                    <w:tc>
                      <w:tcPr>
                        <w:tcW w:w="4244" w:type="dxa"/>
                      </w:tcPr>
                      <w:p w:rsidR="00A36D6E">
                        <w:pPr>
                          <w:pStyle w:val="TableParagraph"/>
                          <w:rPr>
                            <w:rFonts w:ascii="Times New Roman"/>
                            <w:sz w:val="20"/>
                          </w:rPr>
                        </w:pPr>
                      </w:p>
                    </w:tc>
                    <w:tc>
                      <w:tcPr>
                        <w:tcW w:w="1288" w:type="dxa"/>
                      </w:tcPr>
                      <w:p w:rsidR="00A36D6E">
                        <w:pPr>
                          <w:pStyle w:val="TableParagraph"/>
                          <w:rPr>
                            <w:rFonts w:ascii="Times New Roman"/>
                            <w:sz w:val="20"/>
                          </w:rPr>
                        </w:pPr>
                      </w:p>
                    </w:tc>
                    <w:tc>
                      <w:tcPr>
                        <w:tcW w:w="2228" w:type="dxa"/>
                      </w:tcPr>
                      <w:p w:rsidR="00A36D6E">
                        <w:pPr>
                          <w:pStyle w:val="TableParagraph"/>
                          <w:rPr>
                            <w:rFonts w:ascii="Times New Roman"/>
                            <w:sz w:val="20"/>
                          </w:rPr>
                        </w:pPr>
                      </w:p>
                    </w:tc>
                    <w:tc>
                      <w:tcPr>
                        <w:tcW w:w="940" w:type="dxa"/>
                      </w:tcPr>
                      <w:p w:rsidR="00A36D6E">
                        <w:pPr>
                          <w:pStyle w:val="TableParagraph"/>
                          <w:rPr>
                            <w:rFonts w:ascii="Times New Roman"/>
                            <w:sz w:val="20"/>
                          </w:rPr>
                        </w:pPr>
                      </w:p>
                    </w:tc>
                    <w:tc>
                      <w:tcPr>
                        <w:tcW w:w="1729" w:type="dxa"/>
                      </w:tcPr>
                      <w:p w:rsidR="00A36D6E">
                        <w:pPr>
                          <w:pStyle w:val="TableParagraph"/>
                          <w:rPr>
                            <w:rFonts w:ascii="Times New Roman"/>
                            <w:sz w:val="20"/>
                          </w:rPr>
                        </w:pPr>
                      </w:p>
                    </w:tc>
                    <w:tc>
                      <w:tcPr>
                        <w:tcW w:w="406" w:type="dxa"/>
                      </w:tcPr>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rPr>
                            <w:rFonts w:ascii="Arial Unicode MS"/>
                            <w:sz w:val="18"/>
                          </w:rPr>
                        </w:pPr>
                      </w:p>
                      <w:p w:rsidR="00A36D6E">
                        <w:pPr>
                          <w:pStyle w:val="TableParagraph"/>
                          <w:spacing w:before="3"/>
                          <w:rPr>
                            <w:rFonts w:ascii="Arial Unicode MS"/>
                            <w:sz w:val="26"/>
                          </w:rPr>
                        </w:pPr>
                      </w:p>
                      <w:p w:rsidR="00A36D6E">
                        <w:pPr>
                          <w:pStyle w:val="TableParagraph"/>
                          <w:ind w:left="163"/>
                          <w:rPr>
                            <w:sz w:val="18"/>
                          </w:rPr>
                        </w:pPr>
                        <w:r>
                          <w:rPr>
                            <w:sz w:val="18"/>
                          </w:rPr>
                          <w:t>I</w:t>
                        </w:r>
                      </w:p>
                    </w:tc>
                  </w:tr>
                </w:tbl>
                <w:p w:rsidR="00A36D6E">
                  <w:pPr>
                    <w:pStyle w:val="BodyText"/>
                  </w:pPr>
                </w:p>
              </w:txbxContent>
            </v:textbox>
          </v:shape>
        </w:pict>
      </w:r>
      <w:r>
        <w:rPr>
          <w:noProof/>
          <w:lang w:eastAsia="zh-CN"/>
        </w:rPr>
        <w:drawing>
          <wp:anchor distT="0" distB="0" distL="0" distR="0" simplePos="0" relativeHeight="25166336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hAnsi="黑体"/>
        </w:rPr>
        <w:t>DB43/T 2887—2023</w:t>
      </w:r>
    </w:p>
    <w:p w:rsidR="00A36D6E">
      <w:pPr>
        <w:pStyle w:val="BodyText"/>
        <w:rPr>
          <w:rFonts w:ascii="黑体"/>
          <w:sz w:val="20"/>
        </w:rPr>
      </w:pPr>
    </w:p>
    <w:p w:rsidR="00A36D6E">
      <w:pPr>
        <w:pStyle w:val="BodyText"/>
        <w:rPr>
          <w:rFonts w:ascii="黑体"/>
          <w:sz w:val="20"/>
        </w:rPr>
      </w:pPr>
    </w:p>
    <w:p w:rsidR="00A36D6E">
      <w:pPr>
        <w:pStyle w:val="BodyText"/>
        <w:spacing w:before="2"/>
        <w:rPr>
          <w:rFonts w:ascii="黑体"/>
          <w:sz w:val="15"/>
        </w:rPr>
      </w:pPr>
    </w:p>
    <w:p w:rsidR="00A36D6E">
      <w:pPr>
        <w:pStyle w:val="Heading1"/>
        <w:tabs>
          <w:tab w:val="left" w:pos="1982"/>
        </w:tabs>
        <w:spacing w:before="3"/>
        <w:rPr>
          <w:rFonts w:ascii="Arial Unicode MS" w:eastAsia="Arial Unicode MS"/>
        </w:rPr>
      </w:pPr>
      <w:r>
        <w:rPr>
          <w:rFonts w:ascii="Arial Unicode MS" w:eastAsia="Arial Unicode MS" w:hint="eastAsia"/>
        </w:rPr>
        <w:t>目</w:t>
      </w:r>
      <w:r>
        <w:rPr>
          <w:rFonts w:ascii="Arial Unicode MS" w:eastAsia="Arial Unicode MS" w:hint="eastAsia"/>
        </w:rPr>
        <w:tab/>
      </w:r>
      <w:r>
        <w:rPr>
          <w:rFonts w:ascii="Arial Unicode MS" w:eastAsia="Arial Unicode MS" w:hint="eastAsia"/>
        </w:rPr>
        <w:t>次</w:t>
      </w:r>
    </w:p>
    <w:p w:rsidR="00A36D6E">
      <w:pPr>
        <w:pStyle w:val="BodyText"/>
        <w:rPr>
          <w:rFonts w:ascii="Arial Unicode MS"/>
          <w:sz w:val="20"/>
        </w:rPr>
      </w:pPr>
    </w:p>
    <w:p w:rsidR="00A36D6E">
      <w:pPr>
        <w:pStyle w:val="BodyText"/>
        <w:rPr>
          <w:rFonts w:ascii="Arial Unicode MS"/>
          <w:sz w:val="20"/>
        </w:rPr>
      </w:pPr>
    </w:p>
    <w:p w:rsidR="00A36D6E">
      <w:pPr>
        <w:pStyle w:val="BodyText"/>
        <w:rPr>
          <w:rFonts w:ascii="Arial Unicode MS"/>
          <w:sz w:val="20"/>
        </w:rPr>
      </w:pPr>
    </w:p>
    <w:p w:rsidR="00A36D6E">
      <w:pPr>
        <w:pStyle w:val="BodyText"/>
        <w:rPr>
          <w:rFonts w:ascii="Arial Unicode MS"/>
          <w:sz w:val="20"/>
        </w:rPr>
      </w:pPr>
    </w:p>
    <w:p w:rsidR="00A36D6E">
      <w:pPr>
        <w:pStyle w:val="BodyText"/>
        <w:rPr>
          <w:rFonts w:ascii="Arial Unicode MS"/>
          <w:sz w:val="20"/>
        </w:rPr>
      </w:pPr>
    </w:p>
    <w:p w:rsidR="00A36D6E">
      <w:pPr>
        <w:pStyle w:val="BodyText"/>
        <w:spacing w:before="14"/>
        <w:rPr>
          <w:rFonts w:ascii="Arial Unicode MS"/>
          <w:sz w:val="14"/>
        </w:rPr>
      </w:pPr>
    </w:p>
    <w:tbl>
      <w:tblPr>
        <w:tblStyle w:val="TableNormal00"/>
        <w:tblW w:w="0" w:type="auto"/>
        <w:tblInd w:w="1549" w:type="dxa"/>
        <w:tblLayout w:type="fixed"/>
        <w:tblLook w:val="01E0"/>
      </w:tblPr>
      <w:tblGrid>
        <w:gridCol w:w="5297"/>
        <w:gridCol w:w="2205"/>
        <w:gridCol w:w="1156"/>
        <w:gridCol w:w="583"/>
      </w:tblGrid>
      <w:tr>
        <w:tblPrEx>
          <w:tblW w:w="0" w:type="auto"/>
          <w:tblInd w:w="1549" w:type="dxa"/>
          <w:tblLayout w:type="fixed"/>
          <w:tblLook w:val="01E0"/>
        </w:tblPrEx>
        <w:trPr>
          <w:trHeight w:val="296"/>
        </w:trPr>
        <w:tc>
          <w:tcPr>
            <w:tcW w:w="5297" w:type="dxa"/>
          </w:tcPr>
          <w:p w:rsidR="00A36D6E">
            <w:pPr>
              <w:pStyle w:val="TableParagraph"/>
              <w:tabs>
                <w:tab w:val="left" w:pos="3683"/>
              </w:tabs>
              <w:spacing w:line="247" w:lineRule="exact"/>
              <w:ind w:left="50"/>
              <w:rPr>
                <w:rFonts w:ascii="Times New Roman" w:eastAsia="Times New Roman" w:hAnsi="Times New Roman"/>
                <w:sz w:val="21"/>
                <w:lang w:eastAsia="zh-CN"/>
              </w:rPr>
            </w:pPr>
            <w:r>
              <w:rPr>
                <w:sz w:val="21"/>
                <w:lang w:eastAsia="zh-CN"/>
              </w:rPr>
              <w:t xml:space="preserve">3 </w:t>
            </w:r>
            <w:r>
              <w:rPr>
                <w:spacing w:val="20"/>
                <w:sz w:val="21"/>
                <w:lang w:eastAsia="zh-CN"/>
              </w:rPr>
              <w:t xml:space="preserve"> </w:t>
            </w:r>
            <w:r>
              <w:rPr>
                <w:spacing w:val="-3"/>
                <w:sz w:val="21"/>
                <w:lang w:eastAsia="zh-CN"/>
              </w:rPr>
              <w:t>术</w:t>
            </w:r>
            <w:r>
              <w:rPr>
                <w:sz w:val="21"/>
                <w:lang w:eastAsia="zh-CN"/>
              </w:rPr>
              <w:t>语</w:t>
            </w:r>
            <w:r>
              <w:rPr>
                <w:spacing w:val="-3"/>
                <w:sz w:val="21"/>
                <w:lang w:eastAsia="zh-CN"/>
              </w:rPr>
              <w:t>和</w:t>
            </w:r>
            <w:r>
              <w:rPr>
                <w:sz w:val="21"/>
                <w:lang w:eastAsia="zh-CN"/>
              </w:rPr>
              <w:t>定义</w:t>
            </w:r>
            <w:r>
              <w:rPr>
                <w:spacing w:val="-65"/>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2205" w:type="dxa"/>
          </w:tcPr>
          <w:p w:rsidR="00A36D6E">
            <w:pPr>
              <w:pStyle w:val="TableParagraph"/>
              <w:spacing w:line="234" w:lineRule="exact"/>
              <w:ind w:left="614"/>
              <w:rPr>
                <w:rFonts w:ascii="Times New Roman" w:hAnsi="Times New Roman"/>
                <w:sz w:val="21"/>
              </w:rPr>
            </w:pPr>
            <w:r>
              <w:rPr>
                <w:rFonts w:ascii="Times New Roman" w:hAnsi="Times New Roman"/>
                <w:spacing w:val="-48"/>
                <w:sz w:val="21"/>
              </w:rPr>
              <w:t>································</w:t>
            </w:r>
          </w:p>
        </w:tc>
        <w:tc>
          <w:tcPr>
            <w:tcW w:w="1156" w:type="dxa"/>
          </w:tcPr>
          <w:p w:rsidR="00A36D6E">
            <w:pPr>
              <w:pStyle w:val="TableParagraph"/>
              <w:spacing w:line="234" w:lineRule="exact"/>
              <w:ind w:left="637"/>
              <w:rPr>
                <w:rFonts w:ascii="Times New Roman" w:hAnsi="Times New Roman"/>
                <w:sz w:val="21"/>
              </w:rPr>
            </w:pPr>
            <w:r>
              <w:rPr>
                <w:rFonts w:ascii="Times New Roman" w:hAnsi="Times New Roman"/>
                <w:spacing w:val="-48"/>
                <w:sz w:val="21"/>
              </w:rPr>
              <w:t>············</w:t>
            </w:r>
          </w:p>
        </w:tc>
        <w:tc>
          <w:tcPr>
            <w:tcW w:w="583" w:type="dxa"/>
          </w:tcPr>
          <w:p w:rsidR="00A36D6E">
            <w:pPr>
              <w:pStyle w:val="TableParagraph"/>
              <w:spacing w:line="247" w:lineRule="exact"/>
              <w:ind w:right="50"/>
              <w:jc w:val="right"/>
              <w:rPr>
                <w:sz w:val="21"/>
              </w:rPr>
            </w:pPr>
            <w:r>
              <w:rPr>
                <w:sz w:val="21"/>
              </w:rPr>
              <w:t>1</w:t>
            </w:r>
          </w:p>
        </w:tc>
      </w:tr>
      <w:tr>
        <w:tblPrEx>
          <w:tblW w:w="0" w:type="auto"/>
          <w:tblInd w:w="1549" w:type="dxa"/>
          <w:tblLayout w:type="fixed"/>
          <w:tblLook w:val="01E0"/>
        </w:tblPrEx>
        <w:trPr>
          <w:trHeight w:val="360"/>
        </w:trPr>
        <w:tc>
          <w:tcPr>
            <w:tcW w:w="5297" w:type="dxa"/>
          </w:tcPr>
          <w:p w:rsidR="00A36D6E">
            <w:pPr>
              <w:pStyle w:val="TableParagraph"/>
              <w:tabs>
                <w:tab w:val="left" w:pos="3474"/>
              </w:tabs>
              <w:spacing w:before="41"/>
              <w:ind w:left="50"/>
              <w:rPr>
                <w:rFonts w:ascii="Times New Roman" w:eastAsia="Times New Roman" w:hAnsi="Times New Roman"/>
                <w:sz w:val="21"/>
                <w:lang w:eastAsia="zh-CN"/>
              </w:rPr>
            </w:pPr>
            <w:r>
              <w:rPr>
                <w:sz w:val="21"/>
                <w:lang w:eastAsia="zh-CN"/>
              </w:rPr>
              <w:t xml:space="preserve">4 </w:t>
            </w:r>
            <w:r>
              <w:rPr>
                <w:spacing w:val="19"/>
                <w:sz w:val="21"/>
                <w:lang w:eastAsia="zh-CN"/>
              </w:rPr>
              <w:t xml:space="preserve"> </w:t>
            </w:r>
            <w:r>
              <w:rPr>
                <w:spacing w:val="-3"/>
                <w:sz w:val="21"/>
                <w:lang w:eastAsia="zh-CN"/>
              </w:rPr>
              <w:t>编</w:t>
            </w:r>
            <w:r>
              <w:rPr>
                <w:sz w:val="21"/>
                <w:lang w:eastAsia="zh-CN"/>
              </w:rPr>
              <w:t>制</w:t>
            </w:r>
            <w:r>
              <w:rPr>
                <w:spacing w:val="-3"/>
                <w:sz w:val="21"/>
                <w:lang w:eastAsia="zh-CN"/>
              </w:rPr>
              <w:t>原</w:t>
            </w:r>
            <w:r>
              <w:rPr>
                <w:sz w:val="21"/>
                <w:lang w:eastAsia="zh-CN"/>
              </w:rPr>
              <w:t>则</w:t>
            </w:r>
            <w:r>
              <w:rPr>
                <w:spacing w:val="-62"/>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2205" w:type="dxa"/>
          </w:tcPr>
          <w:p w:rsidR="00A36D6E">
            <w:pPr>
              <w:pStyle w:val="TableParagraph"/>
              <w:spacing w:before="55"/>
              <w:ind w:left="405"/>
              <w:rPr>
                <w:rFonts w:ascii="Times New Roman" w:hAnsi="Times New Roman"/>
                <w:sz w:val="21"/>
              </w:rPr>
            </w:pPr>
            <w:r>
              <w:rPr>
                <w:rFonts w:ascii="Times New Roman" w:hAnsi="Times New Roman"/>
                <w:spacing w:val="-48"/>
                <w:sz w:val="21"/>
              </w:rPr>
              <w:t>································</w:t>
            </w:r>
          </w:p>
        </w:tc>
        <w:tc>
          <w:tcPr>
            <w:tcW w:w="1156" w:type="dxa"/>
          </w:tcPr>
          <w:p w:rsidR="00A36D6E">
            <w:pPr>
              <w:pStyle w:val="TableParagraph"/>
              <w:spacing w:before="55"/>
              <w:ind w:left="52" w:right="14"/>
              <w:jc w:val="center"/>
              <w:rPr>
                <w:rFonts w:ascii="Times New Roman" w:hAnsi="Times New Roman"/>
                <w:sz w:val="21"/>
              </w:rPr>
            </w:pPr>
            <w:r>
              <w:rPr>
                <w:rFonts w:ascii="Times New Roman" w:hAnsi="Times New Roman"/>
                <w:sz w:val="21"/>
              </w:rPr>
              <w:t>···············</w:t>
            </w:r>
          </w:p>
        </w:tc>
        <w:tc>
          <w:tcPr>
            <w:tcW w:w="583" w:type="dxa"/>
          </w:tcPr>
          <w:p w:rsidR="00A36D6E">
            <w:pPr>
              <w:pStyle w:val="TableParagraph"/>
              <w:spacing w:before="41"/>
              <w:ind w:right="50"/>
              <w:jc w:val="right"/>
              <w:rPr>
                <w:sz w:val="21"/>
              </w:rPr>
            </w:pPr>
            <w:r>
              <w:rPr>
                <w:sz w:val="21"/>
              </w:rPr>
              <w:t>3</w:t>
            </w:r>
          </w:p>
        </w:tc>
      </w:tr>
      <w:tr>
        <w:tblPrEx>
          <w:tblW w:w="0" w:type="auto"/>
          <w:tblInd w:w="1549" w:type="dxa"/>
          <w:tblLayout w:type="fixed"/>
          <w:tblLook w:val="01E0"/>
        </w:tblPrEx>
        <w:trPr>
          <w:trHeight w:val="360"/>
        </w:trPr>
        <w:tc>
          <w:tcPr>
            <w:tcW w:w="5297" w:type="dxa"/>
          </w:tcPr>
          <w:p w:rsidR="00A36D6E">
            <w:pPr>
              <w:pStyle w:val="TableParagraph"/>
              <w:tabs>
                <w:tab w:val="left" w:pos="3892"/>
              </w:tabs>
              <w:spacing w:before="41"/>
              <w:ind w:left="50"/>
              <w:rPr>
                <w:rFonts w:ascii="Times New Roman" w:eastAsia="Times New Roman" w:hAnsi="Times New Roman"/>
                <w:sz w:val="21"/>
                <w:lang w:eastAsia="zh-CN"/>
              </w:rPr>
            </w:pPr>
            <w:r>
              <w:rPr>
                <w:sz w:val="21"/>
                <w:lang w:eastAsia="zh-CN"/>
              </w:rPr>
              <w:t xml:space="preserve">5 </w:t>
            </w:r>
            <w:r>
              <w:rPr>
                <w:spacing w:val="20"/>
                <w:sz w:val="21"/>
                <w:lang w:eastAsia="zh-CN"/>
              </w:rPr>
              <w:t xml:space="preserve"> </w:t>
            </w:r>
            <w:r>
              <w:rPr>
                <w:spacing w:val="-3"/>
                <w:sz w:val="21"/>
                <w:lang w:eastAsia="zh-CN"/>
              </w:rPr>
              <w:t>编</w:t>
            </w:r>
            <w:r>
              <w:rPr>
                <w:sz w:val="21"/>
                <w:lang w:eastAsia="zh-CN"/>
              </w:rPr>
              <w:t>制</w:t>
            </w:r>
            <w:r>
              <w:rPr>
                <w:spacing w:val="-3"/>
                <w:sz w:val="21"/>
                <w:lang w:eastAsia="zh-CN"/>
              </w:rPr>
              <w:t>技</w:t>
            </w:r>
            <w:r>
              <w:rPr>
                <w:sz w:val="21"/>
                <w:lang w:eastAsia="zh-CN"/>
              </w:rPr>
              <w:t>术</w:t>
            </w:r>
            <w:r>
              <w:rPr>
                <w:spacing w:val="-3"/>
                <w:sz w:val="21"/>
                <w:lang w:eastAsia="zh-CN"/>
              </w:rPr>
              <w:t>路</w:t>
            </w:r>
            <w:r>
              <w:rPr>
                <w:sz w:val="21"/>
                <w:lang w:eastAsia="zh-CN"/>
              </w:rPr>
              <w:t>线</w:t>
            </w:r>
            <w:r>
              <w:rPr>
                <w:spacing w:val="-64"/>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2205" w:type="dxa"/>
          </w:tcPr>
          <w:p w:rsidR="00A36D6E">
            <w:pPr>
              <w:pStyle w:val="TableParagraph"/>
              <w:spacing w:before="55"/>
              <w:ind w:left="823"/>
              <w:rPr>
                <w:rFonts w:ascii="Times New Roman" w:hAnsi="Times New Roman"/>
                <w:sz w:val="21"/>
              </w:rPr>
            </w:pPr>
            <w:r>
              <w:rPr>
                <w:rFonts w:ascii="Times New Roman" w:hAnsi="Times New Roman"/>
                <w:spacing w:val="-48"/>
                <w:sz w:val="21"/>
              </w:rPr>
              <w:t>································</w:t>
            </w:r>
          </w:p>
        </w:tc>
        <w:tc>
          <w:tcPr>
            <w:tcW w:w="1156" w:type="dxa"/>
          </w:tcPr>
          <w:p w:rsidR="00A36D6E">
            <w:pPr>
              <w:pStyle w:val="TableParagraph"/>
              <w:spacing w:before="55"/>
              <w:ind w:right="105"/>
              <w:jc w:val="right"/>
              <w:rPr>
                <w:rFonts w:ascii="Times New Roman" w:hAnsi="Times New Roman"/>
                <w:sz w:val="21"/>
              </w:rPr>
            </w:pPr>
            <w:r>
              <w:rPr>
                <w:rFonts w:ascii="Times New Roman" w:hAnsi="Times New Roman"/>
                <w:sz w:val="21"/>
              </w:rPr>
              <w:t>·········</w:t>
            </w:r>
          </w:p>
        </w:tc>
        <w:tc>
          <w:tcPr>
            <w:tcW w:w="583" w:type="dxa"/>
          </w:tcPr>
          <w:p w:rsidR="00A36D6E">
            <w:pPr>
              <w:pStyle w:val="TableParagraph"/>
              <w:spacing w:before="41"/>
              <w:ind w:right="50"/>
              <w:jc w:val="right"/>
              <w:rPr>
                <w:sz w:val="21"/>
              </w:rPr>
            </w:pPr>
            <w:r>
              <w:rPr>
                <w:sz w:val="21"/>
              </w:rPr>
              <w:t>4</w:t>
            </w:r>
          </w:p>
        </w:tc>
      </w:tr>
      <w:tr>
        <w:tblPrEx>
          <w:tblW w:w="0" w:type="auto"/>
          <w:tblInd w:w="1549" w:type="dxa"/>
          <w:tblLayout w:type="fixed"/>
          <w:tblLook w:val="01E0"/>
        </w:tblPrEx>
        <w:trPr>
          <w:trHeight w:val="360"/>
        </w:trPr>
        <w:tc>
          <w:tcPr>
            <w:tcW w:w="5297" w:type="dxa"/>
          </w:tcPr>
          <w:p w:rsidR="00A36D6E">
            <w:pPr>
              <w:pStyle w:val="TableParagraph"/>
              <w:tabs>
                <w:tab w:val="left" w:pos="3683"/>
              </w:tabs>
              <w:spacing w:before="41"/>
              <w:ind w:left="50"/>
              <w:rPr>
                <w:rFonts w:ascii="Times New Roman" w:eastAsia="Times New Roman" w:hAnsi="Times New Roman"/>
                <w:sz w:val="21"/>
              </w:rPr>
            </w:pPr>
            <w:r>
              <w:rPr>
                <w:sz w:val="21"/>
              </w:rPr>
              <w:t xml:space="preserve">6 </w:t>
            </w:r>
            <w:r>
              <w:rPr>
                <w:spacing w:val="20"/>
                <w:sz w:val="21"/>
              </w:rPr>
              <w:t xml:space="preserve"> </w:t>
            </w:r>
            <w:r>
              <w:rPr>
                <w:spacing w:val="-3"/>
                <w:sz w:val="21"/>
              </w:rPr>
              <w:t>一</w:t>
            </w:r>
            <w:r>
              <w:rPr>
                <w:sz w:val="21"/>
              </w:rPr>
              <w:t>般</w:t>
            </w:r>
            <w:r>
              <w:rPr>
                <w:spacing w:val="-3"/>
                <w:sz w:val="21"/>
              </w:rPr>
              <w:t>性</w:t>
            </w:r>
            <w:r>
              <w:rPr>
                <w:sz w:val="21"/>
              </w:rPr>
              <w:t>要求</w:t>
            </w:r>
            <w:r>
              <w:rPr>
                <w:spacing w:val="-65"/>
                <w:sz w:val="21"/>
              </w:rPr>
              <w:t xml:space="preserve"> </w:t>
            </w:r>
            <w:r>
              <w:rPr>
                <w:rFonts w:ascii="Times New Roman" w:eastAsia="Times New Roman" w:hAnsi="Times New Roman"/>
                <w:spacing w:val="-47"/>
                <w:sz w:val="21"/>
              </w:rPr>
              <w:t>································</w:t>
            </w:r>
            <w:r>
              <w:rPr>
                <w:rFonts w:ascii="Times New Roman" w:eastAsia="Times New Roman" w:hAnsi="Times New Roman"/>
                <w:spacing w:val="-47"/>
                <w:sz w:val="21"/>
              </w:rPr>
              <w:tab/>
            </w:r>
            <w:r>
              <w:rPr>
                <w:rFonts w:ascii="Times New Roman" w:eastAsia="Times New Roman" w:hAnsi="Times New Roman"/>
                <w:spacing w:val="-48"/>
                <w:sz w:val="21"/>
              </w:rPr>
              <w:t>································</w:t>
            </w:r>
          </w:p>
        </w:tc>
        <w:tc>
          <w:tcPr>
            <w:tcW w:w="2205" w:type="dxa"/>
          </w:tcPr>
          <w:p w:rsidR="00A36D6E">
            <w:pPr>
              <w:pStyle w:val="TableParagraph"/>
              <w:spacing w:before="55"/>
              <w:ind w:left="614"/>
              <w:rPr>
                <w:rFonts w:ascii="Times New Roman" w:hAnsi="Times New Roman"/>
                <w:sz w:val="21"/>
              </w:rPr>
            </w:pPr>
            <w:r>
              <w:rPr>
                <w:rFonts w:ascii="Times New Roman" w:hAnsi="Times New Roman"/>
                <w:spacing w:val="-48"/>
                <w:sz w:val="21"/>
              </w:rPr>
              <w:t>································</w:t>
            </w:r>
          </w:p>
        </w:tc>
        <w:tc>
          <w:tcPr>
            <w:tcW w:w="1156" w:type="dxa"/>
          </w:tcPr>
          <w:p w:rsidR="00A36D6E">
            <w:pPr>
              <w:pStyle w:val="TableParagraph"/>
              <w:spacing w:before="55"/>
              <w:ind w:left="637"/>
              <w:rPr>
                <w:rFonts w:ascii="Times New Roman" w:hAnsi="Times New Roman"/>
                <w:sz w:val="21"/>
              </w:rPr>
            </w:pPr>
            <w:r>
              <w:rPr>
                <w:rFonts w:ascii="Times New Roman" w:hAnsi="Times New Roman"/>
                <w:spacing w:val="-48"/>
                <w:sz w:val="21"/>
              </w:rPr>
              <w:t>············</w:t>
            </w:r>
          </w:p>
        </w:tc>
        <w:tc>
          <w:tcPr>
            <w:tcW w:w="583" w:type="dxa"/>
          </w:tcPr>
          <w:p w:rsidR="00A36D6E">
            <w:pPr>
              <w:pStyle w:val="TableParagraph"/>
              <w:spacing w:before="41"/>
              <w:ind w:right="50"/>
              <w:jc w:val="right"/>
              <w:rPr>
                <w:sz w:val="21"/>
              </w:rPr>
            </w:pPr>
            <w:r>
              <w:rPr>
                <w:sz w:val="21"/>
              </w:rPr>
              <w:t>6</w:t>
            </w:r>
          </w:p>
        </w:tc>
      </w:tr>
      <w:tr>
        <w:tblPrEx>
          <w:tblW w:w="0" w:type="auto"/>
          <w:tblInd w:w="1549" w:type="dxa"/>
          <w:tblLayout w:type="fixed"/>
          <w:tblLook w:val="01E0"/>
        </w:tblPrEx>
        <w:trPr>
          <w:trHeight w:val="360"/>
        </w:trPr>
        <w:tc>
          <w:tcPr>
            <w:tcW w:w="5297" w:type="dxa"/>
          </w:tcPr>
          <w:p w:rsidR="00A36D6E">
            <w:pPr>
              <w:pStyle w:val="TableParagraph"/>
              <w:tabs>
                <w:tab w:val="left" w:pos="3892"/>
              </w:tabs>
              <w:spacing w:before="41"/>
              <w:ind w:left="50"/>
              <w:rPr>
                <w:rFonts w:ascii="Times New Roman" w:eastAsia="Times New Roman" w:hAnsi="Times New Roman"/>
                <w:sz w:val="21"/>
                <w:lang w:eastAsia="zh-CN"/>
              </w:rPr>
            </w:pPr>
            <w:r>
              <w:rPr>
                <w:sz w:val="21"/>
                <w:lang w:eastAsia="zh-CN"/>
              </w:rPr>
              <w:t xml:space="preserve">7 </w:t>
            </w:r>
            <w:r>
              <w:rPr>
                <w:spacing w:val="20"/>
                <w:sz w:val="21"/>
                <w:lang w:eastAsia="zh-CN"/>
              </w:rPr>
              <w:t xml:space="preserve"> </w:t>
            </w:r>
            <w:r>
              <w:rPr>
                <w:spacing w:val="-3"/>
                <w:sz w:val="21"/>
                <w:lang w:eastAsia="zh-CN"/>
              </w:rPr>
              <w:t>省</w:t>
            </w:r>
            <w:r>
              <w:rPr>
                <w:sz w:val="21"/>
                <w:lang w:eastAsia="zh-CN"/>
              </w:rPr>
              <w:t>级</w:t>
            </w:r>
            <w:r>
              <w:rPr>
                <w:spacing w:val="-3"/>
                <w:sz w:val="21"/>
                <w:lang w:eastAsia="zh-CN"/>
              </w:rPr>
              <w:t>总</w:t>
            </w:r>
            <w:r>
              <w:rPr>
                <w:sz w:val="21"/>
                <w:lang w:eastAsia="zh-CN"/>
              </w:rPr>
              <w:t>体</w:t>
            </w:r>
            <w:r>
              <w:rPr>
                <w:spacing w:val="-3"/>
                <w:sz w:val="21"/>
                <w:lang w:eastAsia="zh-CN"/>
              </w:rPr>
              <w:t>要</w:t>
            </w:r>
            <w:r>
              <w:rPr>
                <w:sz w:val="21"/>
                <w:lang w:eastAsia="zh-CN"/>
              </w:rPr>
              <w:t>求</w:t>
            </w:r>
            <w:r>
              <w:rPr>
                <w:spacing w:val="-64"/>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2205" w:type="dxa"/>
          </w:tcPr>
          <w:p w:rsidR="00A36D6E">
            <w:pPr>
              <w:pStyle w:val="TableParagraph"/>
              <w:spacing w:before="55"/>
              <w:ind w:left="823"/>
              <w:rPr>
                <w:rFonts w:ascii="Times New Roman" w:hAnsi="Times New Roman"/>
                <w:sz w:val="21"/>
              </w:rPr>
            </w:pPr>
            <w:r>
              <w:rPr>
                <w:rFonts w:ascii="Times New Roman" w:hAnsi="Times New Roman"/>
                <w:spacing w:val="-48"/>
                <w:sz w:val="21"/>
              </w:rPr>
              <w:t>································</w:t>
            </w:r>
          </w:p>
        </w:tc>
        <w:tc>
          <w:tcPr>
            <w:tcW w:w="1156" w:type="dxa"/>
          </w:tcPr>
          <w:p w:rsidR="00A36D6E">
            <w:pPr>
              <w:pStyle w:val="TableParagraph"/>
              <w:spacing w:before="55"/>
              <w:ind w:right="105"/>
              <w:jc w:val="right"/>
              <w:rPr>
                <w:rFonts w:ascii="Times New Roman" w:hAnsi="Times New Roman"/>
                <w:sz w:val="21"/>
              </w:rPr>
            </w:pPr>
            <w:r>
              <w:rPr>
                <w:rFonts w:ascii="Times New Roman" w:hAnsi="Times New Roman"/>
                <w:sz w:val="21"/>
              </w:rPr>
              <w:t>·········</w:t>
            </w:r>
          </w:p>
        </w:tc>
        <w:tc>
          <w:tcPr>
            <w:tcW w:w="583" w:type="dxa"/>
          </w:tcPr>
          <w:p w:rsidR="00A36D6E">
            <w:pPr>
              <w:pStyle w:val="TableParagraph"/>
              <w:spacing w:before="41"/>
              <w:ind w:right="50"/>
              <w:jc w:val="right"/>
              <w:rPr>
                <w:sz w:val="21"/>
              </w:rPr>
            </w:pPr>
            <w:r>
              <w:rPr>
                <w:sz w:val="21"/>
              </w:rPr>
              <w:t>6</w:t>
            </w:r>
          </w:p>
        </w:tc>
      </w:tr>
      <w:tr>
        <w:tblPrEx>
          <w:tblW w:w="0" w:type="auto"/>
          <w:tblInd w:w="1549" w:type="dxa"/>
          <w:tblLayout w:type="fixed"/>
          <w:tblLook w:val="01E0"/>
        </w:tblPrEx>
        <w:trPr>
          <w:trHeight w:val="360"/>
        </w:trPr>
        <w:tc>
          <w:tcPr>
            <w:tcW w:w="5297" w:type="dxa"/>
          </w:tcPr>
          <w:p w:rsidR="00A36D6E">
            <w:pPr>
              <w:pStyle w:val="TableParagraph"/>
              <w:tabs>
                <w:tab w:val="left" w:pos="4310"/>
              </w:tabs>
              <w:spacing w:before="41"/>
              <w:ind w:left="50"/>
              <w:rPr>
                <w:rFonts w:ascii="Times New Roman" w:eastAsia="Times New Roman" w:hAnsi="Times New Roman"/>
                <w:sz w:val="21"/>
                <w:lang w:eastAsia="zh-CN"/>
              </w:rPr>
            </w:pPr>
            <w:r>
              <w:rPr>
                <w:sz w:val="21"/>
                <w:lang w:eastAsia="zh-CN"/>
              </w:rPr>
              <w:t xml:space="preserve">8 </w:t>
            </w:r>
            <w:r>
              <w:rPr>
                <w:spacing w:val="24"/>
                <w:sz w:val="21"/>
                <w:lang w:eastAsia="zh-CN"/>
              </w:rPr>
              <w:t xml:space="preserve"> </w:t>
            </w:r>
            <w:r>
              <w:rPr>
                <w:spacing w:val="-3"/>
                <w:sz w:val="21"/>
                <w:lang w:eastAsia="zh-CN"/>
              </w:rPr>
              <w:t>四</w:t>
            </w:r>
            <w:r>
              <w:rPr>
                <w:sz w:val="21"/>
                <w:lang w:eastAsia="zh-CN"/>
              </w:rPr>
              <w:t>大</w:t>
            </w:r>
            <w:r>
              <w:rPr>
                <w:spacing w:val="-3"/>
                <w:sz w:val="21"/>
                <w:lang w:eastAsia="zh-CN"/>
              </w:rPr>
              <w:t>板</w:t>
            </w:r>
            <w:r>
              <w:rPr>
                <w:sz w:val="21"/>
                <w:lang w:eastAsia="zh-CN"/>
              </w:rPr>
              <w:t>块</w:t>
            </w:r>
            <w:r>
              <w:rPr>
                <w:spacing w:val="-3"/>
                <w:sz w:val="21"/>
                <w:lang w:eastAsia="zh-CN"/>
              </w:rPr>
              <w:t>总</w:t>
            </w:r>
            <w:r>
              <w:rPr>
                <w:sz w:val="21"/>
                <w:lang w:eastAsia="zh-CN"/>
              </w:rPr>
              <w:t>体</w:t>
            </w:r>
            <w:r>
              <w:rPr>
                <w:spacing w:val="-3"/>
                <w:sz w:val="21"/>
                <w:lang w:eastAsia="zh-CN"/>
              </w:rPr>
              <w:t>要</w:t>
            </w:r>
            <w:r>
              <w:rPr>
                <w:spacing w:val="35"/>
                <w:sz w:val="21"/>
                <w:lang w:eastAsia="zh-CN"/>
              </w:rPr>
              <w:t>求</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2205" w:type="dxa"/>
          </w:tcPr>
          <w:p w:rsidR="00A36D6E">
            <w:pPr>
              <w:pStyle w:val="TableParagraph"/>
              <w:spacing w:before="55"/>
              <w:ind w:left="1240"/>
              <w:rPr>
                <w:rFonts w:ascii="Times New Roman" w:hAnsi="Times New Roman"/>
                <w:sz w:val="21"/>
              </w:rPr>
            </w:pPr>
            <w:r>
              <w:rPr>
                <w:rFonts w:ascii="Times New Roman" w:hAnsi="Times New Roman"/>
                <w:spacing w:val="-48"/>
                <w:sz w:val="21"/>
              </w:rPr>
              <w:t>································</w:t>
            </w:r>
          </w:p>
        </w:tc>
        <w:tc>
          <w:tcPr>
            <w:tcW w:w="1156" w:type="dxa"/>
          </w:tcPr>
          <w:p w:rsidR="00A36D6E">
            <w:pPr>
              <w:pStyle w:val="TableParagraph"/>
              <w:rPr>
                <w:rFonts w:ascii="Times New Roman"/>
                <w:sz w:val="20"/>
              </w:rPr>
            </w:pPr>
          </w:p>
        </w:tc>
        <w:tc>
          <w:tcPr>
            <w:tcW w:w="583" w:type="dxa"/>
          </w:tcPr>
          <w:p w:rsidR="00A36D6E">
            <w:pPr>
              <w:pStyle w:val="TableParagraph"/>
              <w:tabs>
                <w:tab w:val="left" w:pos="317"/>
              </w:tabs>
              <w:spacing w:before="41"/>
              <w:ind w:right="50"/>
              <w:jc w:val="right"/>
              <w:rPr>
                <w:sz w:val="21"/>
              </w:rPr>
            </w:pPr>
            <w:r>
              <w:rPr>
                <w:rFonts w:ascii="Times New Roman" w:hAnsi="Times New Roman"/>
                <w:spacing w:val="-32"/>
                <w:sz w:val="21"/>
              </w:rPr>
              <w:t>···</w:t>
            </w:r>
            <w:r>
              <w:rPr>
                <w:rFonts w:ascii="Times New Roman" w:hAnsi="Times New Roman"/>
                <w:spacing w:val="-32"/>
                <w:sz w:val="21"/>
              </w:rPr>
              <w:tab/>
            </w:r>
            <w:r>
              <w:rPr>
                <w:sz w:val="21"/>
              </w:rPr>
              <w:t>9</w:t>
            </w:r>
          </w:p>
        </w:tc>
      </w:tr>
      <w:tr>
        <w:tblPrEx>
          <w:tblW w:w="0" w:type="auto"/>
          <w:tblInd w:w="1549" w:type="dxa"/>
          <w:tblLayout w:type="fixed"/>
          <w:tblLook w:val="01E0"/>
        </w:tblPrEx>
        <w:trPr>
          <w:trHeight w:val="360"/>
        </w:trPr>
        <w:tc>
          <w:tcPr>
            <w:tcW w:w="5297" w:type="dxa"/>
          </w:tcPr>
          <w:p w:rsidR="00A36D6E">
            <w:pPr>
              <w:pStyle w:val="TableParagraph"/>
              <w:tabs>
                <w:tab w:val="left" w:pos="4519"/>
              </w:tabs>
              <w:spacing w:before="41"/>
              <w:ind w:left="50"/>
              <w:rPr>
                <w:rFonts w:ascii="Times New Roman" w:eastAsia="Times New Roman" w:hAnsi="Times New Roman"/>
                <w:sz w:val="21"/>
                <w:lang w:eastAsia="zh-CN"/>
              </w:rPr>
            </w:pPr>
            <w:r>
              <w:rPr>
                <w:sz w:val="21"/>
                <w:lang w:eastAsia="zh-CN"/>
              </w:rPr>
              <w:t xml:space="preserve">9 </w:t>
            </w:r>
            <w:r>
              <w:rPr>
                <w:spacing w:val="24"/>
                <w:sz w:val="21"/>
                <w:lang w:eastAsia="zh-CN"/>
              </w:rPr>
              <w:t xml:space="preserve"> </w:t>
            </w:r>
            <w:r>
              <w:rPr>
                <w:spacing w:val="-3"/>
                <w:sz w:val="21"/>
                <w:lang w:eastAsia="zh-CN"/>
              </w:rPr>
              <w:t>市</w:t>
            </w:r>
            <w:r>
              <w:rPr>
                <w:sz w:val="21"/>
                <w:lang w:eastAsia="zh-CN"/>
              </w:rPr>
              <w:t>（</w:t>
            </w:r>
            <w:r>
              <w:rPr>
                <w:spacing w:val="-3"/>
                <w:sz w:val="21"/>
                <w:lang w:eastAsia="zh-CN"/>
              </w:rPr>
              <w:t>州</w:t>
            </w:r>
            <w:r>
              <w:rPr>
                <w:sz w:val="21"/>
                <w:lang w:eastAsia="zh-CN"/>
              </w:rPr>
              <w:t>）</w:t>
            </w:r>
            <w:r>
              <w:rPr>
                <w:spacing w:val="-3"/>
                <w:sz w:val="21"/>
                <w:lang w:eastAsia="zh-CN"/>
              </w:rPr>
              <w:t>级</w:t>
            </w:r>
            <w:r>
              <w:rPr>
                <w:sz w:val="21"/>
                <w:lang w:eastAsia="zh-CN"/>
              </w:rPr>
              <w:t>基</w:t>
            </w:r>
            <w:r>
              <w:rPr>
                <w:spacing w:val="-3"/>
                <w:sz w:val="21"/>
                <w:lang w:eastAsia="zh-CN"/>
              </w:rPr>
              <w:t>本</w:t>
            </w:r>
            <w:r>
              <w:rPr>
                <w:sz w:val="21"/>
                <w:lang w:eastAsia="zh-CN"/>
              </w:rPr>
              <w:t>要</w:t>
            </w:r>
            <w:r>
              <w:rPr>
                <w:spacing w:val="33"/>
                <w:sz w:val="21"/>
                <w:lang w:eastAsia="zh-CN"/>
              </w:rPr>
              <w:t>求</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2205" w:type="dxa"/>
          </w:tcPr>
          <w:p w:rsidR="00A36D6E">
            <w:pPr>
              <w:pStyle w:val="TableParagraph"/>
              <w:spacing w:before="55"/>
              <w:ind w:right="77"/>
              <w:jc w:val="right"/>
              <w:rPr>
                <w:rFonts w:ascii="Times New Roman" w:hAnsi="Times New Roman"/>
                <w:sz w:val="21"/>
              </w:rPr>
            </w:pPr>
            <w:r>
              <w:rPr>
                <w:rFonts w:ascii="Times New Roman" w:hAnsi="Times New Roman"/>
                <w:sz w:val="21"/>
              </w:rPr>
              <w:t>······························</w:t>
            </w:r>
          </w:p>
        </w:tc>
        <w:tc>
          <w:tcPr>
            <w:tcW w:w="1156" w:type="dxa"/>
          </w:tcPr>
          <w:p w:rsidR="00A36D6E">
            <w:pPr>
              <w:pStyle w:val="TableParagraph"/>
              <w:rPr>
                <w:rFonts w:ascii="Times New Roman"/>
                <w:sz w:val="20"/>
              </w:rPr>
            </w:pPr>
          </w:p>
        </w:tc>
        <w:tc>
          <w:tcPr>
            <w:tcW w:w="583" w:type="dxa"/>
          </w:tcPr>
          <w:p w:rsidR="00A36D6E">
            <w:pPr>
              <w:pStyle w:val="TableParagraph"/>
              <w:spacing w:before="41"/>
              <w:ind w:right="48"/>
              <w:jc w:val="right"/>
              <w:rPr>
                <w:sz w:val="21"/>
              </w:rPr>
            </w:pPr>
            <w:r>
              <w:rPr>
                <w:sz w:val="21"/>
              </w:rPr>
              <w:t>11</w:t>
            </w:r>
          </w:p>
        </w:tc>
      </w:tr>
      <w:tr>
        <w:tblPrEx>
          <w:tblW w:w="0" w:type="auto"/>
          <w:tblInd w:w="1549" w:type="dxa"/>
          <w:tblLayout w:type="fixed"/>
          <w:tblLook w:val="01E0"/>
        </w:tblPrEx>
        <w:trPr>
          <w:trHeight w:val="360"/>
        </w:trPr>
        <w:tc>
          <w:tcPr>
            <w:tcW w:w="5297" w:type="dxa"/>
          </w:tcPr>
          <w:p w:rsidR="00A36D6E">
            <w:pPr>
              <w:pStyle w:val="TableParagraph"/>
              <w:tabs>
                <w:tab w:val="left" w:pos="4449"/>
              </w:tabs>
              <w:spacing w:before="41"/>
              <w:ind w:left="50"/>
              <w:rPr>
                <w:rFonts w:ascii="Times New Roman" w:eastAsia="Times New Roman" w:hAnsi="Times New Roman"/>
                <w:sz w:val="21"/>
                <w:lang w:eastAsia="zh-CN"/>
              </w:rPr>
            </w:pPr>
            <w:r>
              <w:rPr>
                <w:sz w:val="21"/>
                <w:lang w:eastAsia="zh-CN"/>
              </w:rPr>
              <w:t xml:space="preserve">10 </w:t>
            </w:r>
            <w:r>
              <w:rPr>
                <w:spacing w:val="20"/>
                <w:sz w:val="21"/>
                <w:lang w:eastAsia="zh-CN"/>
              </w:rPr>
              <w:t xml:space="preserve"> </w:t>
            </w:r>
            <w:r>
              <w:rPr>
                <w:spacing w:val="-3"/>
                <w:sz w:val="21"/>
                <w:lang w:eastAsia="zh-CN"/>
              </w:rPr>
              <w:t>生</w:t>
            </w:r>
            <w:r>
              <w:rPr>
                <w:sz w:val="21"/>
                <w:lang w:eastAsia="zh-CN"/>
              </w:rPr>
              <w:t>态</w:t>
            </w:r>
            <w:r>
              <w:rPr>
                <w:spacing w:val="-3"/>
                <w:sz w:val="21"/>
                <w:lang w:eastAsia="zh-CN"/>
              </w:rPr>
              <w:t>环</w:t>
            </w:r>
            <w:r>
              <w:rPr>
                <w:sz w:val="21"/>
                <w:lang w:eastAsia="zh-CN"/>
              </w:rPr>
              <w:t>境</w:t>
            </w:r>
            <w:r>
              <w:rPr>
                <w:spacing w:val="-3"/>
                <w:sz w:val="21"/>
                <w:lang w:eastAsia="zh-CN"/>
              </w:rPr>
              <w:t>准</w:t>
            </w:r>
            <w:r>
              <w:rPr>
                <w:sz w:val="21"/>
                <w:lang w:eastAsia="zh-CN"/>
              </w:rPr>
              <w:t>入</w:t>
            </w:r>
            <w:r>
              <w:rPr>
                <w:spacing w:val="-3"/>
                <w:sz w:val="21"/>
                <w:lang w:eastAsia="zh-CN"/>
              </w:rPr>
              <w:t>清</w:t>
            </w:r>
            <w:r>
              <w:rPr>
                <w:sz w:val="21"/>
                <w:lang w:eastAsia="zh-CN"/>
              </w:rPr>
              <w:t>单</w:t>
            </w:r>
            <w:r>
              <w:rPr>
                <w:spacing w:val="-29"/>
                <w:sz w:val="21"/>
                <w:lang w:eastAsia="zh-CN"/>
              </w:rPr>
              <w:t xml:space="preserve"> </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2205" w:type="dxa"/>
          </w:tcPr>
          <w:p w:rsidR="00A36D6E">
            <w:pPr>
              <w:pStyle w:val="TableParagraph"/>
              <w:spacing w:before="55"/>
              <w:ind w:right="124"/>
              <w:jc w:val="right"/>
              <w:rPr>
                <w:rFonts w:ascii="Times New Roman" w:hAnsi="Times New Roman"/>
                <w:sz w:val="21"/>
              </w:rPr>
            </w:pPr>
            <w:r>
              <w:rPr>
                <w:rFonts w:ascii="Times New Roman" w:hAnsi="Times New Roman"/>
                <w:spacing w:val="-48"/>
                <w:sz w:val="21"/>
              </w:rPr>
              <w:t>·······························</w:t>
            </w:r>
          </w:p>
        </w:tc>
        <w:tc>
          <w:tcPr>
            <w:tcW w:w="1156" w:type="dxa"/>
          </w:tcPr>
          <w:p w:rsidR="00A36D6E">
            <w:pPr>
              <w:pStyle w:val="TableParagraph"/>
              <w:rPr>
                <w:rFonts w:ascii="Times New Roman"/>
                <w:sz w:val="20"/>
              </w:rPr>
            </w:pPr>
          </w:p>
        </w:tc>
        <w:tc>
          <w:tcPr>
            <w:tcW w:w="583" w:type="dxa"/>
          </w:tcPr>
          <w:p w:rsidR="00A36D6E">
            <w:pPr>
              <w:pStyle w:val="TableParagraph"/>
              <w:spacing w:before="41"/>
              <w:ind w:right="48"/>
              <w:jc w:val="right"/>
              <w:rPr>
                <w:sz w:val="21"/>
              </w:rPr>
            </w:pPr>
            <w:r>
              <w:rPr>
                <w:sz w:val="21"/>
              </w:rPr>
              <w:t>11</w:t>
            </w:r>
          </w:p>
        </w:tc>
      </w:tr>
      <w:tr>
        <w:tblPrEx>
          <w:tblW w:w="0" w:type="auto"/>
          <w:tblInd w:w="1549" w:type="dxa"/>
          <w:tblLayout w:type="fixed"/>
          <w:tblLook w:val="01E0"/>
        </w:tblPrEx>
        <w:trPr>
          <w:trHeight w:val="360"/>
        </w:trPr>
        <w:tc>
          <w:tcPr>
            <w:tcW w:w="5297" w:type="dxa"/>
          </w:tcPr>
          <w:p w:rsidR="00A36D6E">
            <w:pPr>
              <w:pStyle w:val="TableParagraph"/>
              <w:tabs>
                <w:tab w:val="left" w:pos="3544"/>
              </w:tabs>
              <w:spacing w:before="41"/>
              <w:ind w:left="50"/>
              <w:rPr>
                <w:rFonts w:ascii="Times New Roman" w:eastAsia="Times New Roman" w:hAnsi="Times New Roman"/>
                <w:sz w:val="21"/>
                <w:lang w:eastAsia="zh-CN"/>
              </w:rPr>
            </w:pPr>
            <w:r>
              <w:rPr>
                <w:sz w:val="21"/>
                <w:lang w:eastAsia="zh-CN"/>
              </w:rPr>
              <w:t xml:space="preserve">11 </w:t>
            </w:r>
            <w:r>
              <w:rPr>
                <w:spacing w:val="21"/>
                <w:sz w:val="21"/>
                <w:lang w:eastAsia="zh-CN"/>
              </w:rPr>
              <w:t xml:space="preserve"> </w:t>
            </w:r>
            <w:r>
              <w:rPr>
                <w:spacing w:val="-3"/>
                <w:sz w:val="21"/>
                <w:lang w:eastAsia="zh-CN"/>
              </w:rPr>
              <w:t>成</w:t>
            </w:r>
            <w:r>
              <w:rPr>
                <w:sz w:val="21"/>
                <w:lang w:eastAsia="zh-CN"/>
              </w:rPr>
              <w:t>果</w:t>
            </w:r>
            <w:r>
              <w:rPr>
                <w:spacing w:val="-3"/>
                <w:sz w:val="21"/>
                <w:lang w:eastAsia="zh-CN"/>
              </w:rPr>
              <w:t>规</w:t>
            </w:r>
            <w:r>
              <w:rPr>
                <w:spacing w:val="4"/>
                <w:sz w:val="21"/>
                <w:lang w:eastAsia="zh-CN"/>
              </w:rPr>
              <w:t>范</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2205" w:type="dxa"/>
          </w:tcPr>
          <w:p w:rsidR="00A36D6E">
            <w:pPr>
              <w:pStyle w:val="TableParagraph"/>
              <w:spacing w:before="55"/>
              <w:ind w:left="475"/>
              <w:rPr>
                <w:rFonts w:ascii="Times New Roman" w:hAnsi="Times New Roman"/>
                <w:sz w:val="21"/>
              </w:rPr>
            </w:pPr>
            <w:r>
              <w:rPr>
                <w:rFonts w:ascii="Times New Roman" w:hAnsi="Times New Roman"/>
                <w:spacing w:val="-48"/>
                <w:sz w:val="21"/>
              </w:rPr>
              <w:t>································</w:t>
            </w:r>
          </w:p>
        </w:tc>
        <w:tc>
          <w:tcPr>
            <w:tcW w:w="1156" w:type="dxa"/>
          </w:tcPr>
          <w:p w:rsidR="00A36D6E">
            <w:pPr>
              <w:pStyle w:val="TableParagraph"/>
              <w:spacing w:before="55"/>
              <w:ind w:left="124" w:right="14"/>
              <w:jc w:val="center"/>
              <w:rPr>
                <w:rFonts w:ascii="Times New Roman" w:hAnsi="Times New Roman"/>
                <w:sz w:val="21"/>
              </w:rPr>
            </w:pPr>
            <w:r>
              <w:rPr>
                <w:rFonts w:ascii="Times New Roman" w:hAnsi="Times New Roman"/>
                <w:sz w:val="21"/>
              </w:rPr>
              <w:t>············</w:t>
            </w:r>
          </w:p>
        </w:tc>
        <w:tc>
          <w:tcPr>
            <w:tcW w:w="583" w:type="dxa"/>
          </w:tcPr>
          <w:p w:rsidR="00A36D6E">
            <w:pPr>
              <w:pStyle w:val="TableParagraph"/>
              <w:spacing w:before="41"/>
              <w:ind w:right="48"/>
              <w:jc w:val="right"/>
              <w:rPr>
                <w:sz w:val="21"/>
              </w:rPr>
            </w:pPr>
            <w:r>
              <w:rPr>
                <w:sz w:val="21"/>
              </w:rPr>
              <w:t>15</w:t>
            </w:r>
          </w:p>
        </w:tc>
      </w:tr>
      <w:tr>
        <w:tblPrEx>
          <w:tblW w:w="0" w:type="auto"/>
          <w:tblInd w:w="1549" w:type="dxa"/>
          <w:tblLayout w:type="fixed"/>
          <w:tblLook w:val="01E0"/>
        </w:tblPrEx>
        <w:trPr>
          <w:trHeight w:val="360"/>
        </w:trPr>
        <w:tc>
          <w:tcPr>
            <w:tcW w:w="5297" w:type="dxa"/>
          </w:tcPr>
          <w:p w:rsidR="00A36D6E">
            <w:pPr>
              <w:pStyle w:val="TableParagraph"/>
              <w:tabs>
                <w:tab w:val="left" w:pos="3544"/>
              </w:tabs>
              <w:spacing w:before="41"/>
              <w:ind w:left="50"/>
              <w:rPr>
                <w:rFonts w:ascii="Times New Roman" w:eastAsia="Times New Roman" w:hAnsi="Times New Roman"/>
                <w:sz w:val="21"/>
                <w:lang w:eastAsia="zh-CN"/>
              </w:rPr>
            </w:pPr>
            <w:r>
              <w:rPr>
                <w:sz w:val="21"/>
                <w:lang w:eastAsia="zh-CN"/>
              </w:rPr>
              <w:t xml:space="preserve">12 </w:t>
            </w:r>
            <w:r>
              <w:rPr>
                <w:spacing w:val="21"/>
                <w:sz w:val="21"/>
                <w:lang w:eastAsia="zh-CN"/>
              </w:rPr>
              <w:t xml:space="preserve"> </w:t>
            </w:r>
            <w:r>
              <w:rPr>
                <w:spacing w:val="-3"/>
                <w:sz w:val="21"/>
                <w:lang w:eastAsia="zh-CN"/>
              </w:rPr>
              <w:t>更</w:t>
            </w:r>
            <w:r>
              <w:rPr>
                <w:sz w:val="21"/>
                <w:lang w:eastAsia="zh-CN"/>
              </w:rPr>
              <w:t>新</w:t>
            </w:r>
            <w:r>
              <w:rPr>
                <w:spacing w:val="-3"/>
                <w:sz w:val="21"/>
                <w:lang w:eastAsia="zh-CN"/>
              </w:rPr>
              <w:t>调</w:t>
            </w:r>
            <w:r>
              <w:rPr>
                <w:spacing w:val="4"/>
                <w:sz w:val="21"/>
                <w:lang w:eastAsia="zh-CN"/>
              </w:rPr>
              <w:t>整</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2205" w:type="dxa"/>
          </w:tcPr>
          <w:p w:rsidR="00A36D6E">
            <w:pPr>
              <w:pStyle w:val="TableParagraph"/>
              <w:spacing w:before="55"/>
              <w:ind w:left="475"/>
              <w:rPr>
                <w:rFonts w:ascii="Times New Roman" w:hAnsi="Times New Roman"/>
                <w:sz w:val="21"/>
              </w:rPr>
            </w:pPr>
            <w:r>
              <w:rPr>
                <w:rFonts w:ascii="Times New Roman" w:hAnsi="Times New Roman"/>
                <w:spacing w:val="-48"/>
                <w:sz w:val="21"/>
              </w:rPr>
              <w:t>································</w:t>
            </w:r>
          </w:p>
        </w:tc>
        <w:tc>
          <w:tcPr>
            <w:tcW w:w="1156" w:type="dxa"/>
          </w:tcPr>
          <w:p w:rsidR="00A36D6E">
            <w:pPr>
              <w:pStyle w:val="TableParagraph"/>
              <w:spacing w:before="55"/>
              <w:ind w:left="124" w:right="14"/>
              <w:jc w:val="center"/>
              <w:rPr>
                <w:rFonts w:ascii="Times New Roman" w:hAnsi="Times New Roman"/>
                <w:sz w:val="21"/>
              </w:rPr>
            </w:pPr>
            <w:r>
              <w:rPr>
                <w:rFonts w:ascii="Times New Roman" w:hAnsi="Times New Roman"/>
                <w:sz w:val="21"/>
              </w:rPr>
              <w:t>············</w:t>
            </w:r>
          </w:p>
        </w:tc>
        <w:tc>
          <w:tcPr>
            <w:tcW w:w="583" w:type="dxa"/>
          </w:tcPr>
          <w:p w:rsidR="00A36D6E">
            <w:pPr>
              <w:pStyle w:val="TableParagraph"/>
              <w:spacing w:before="41"/>
              <w:ind w:right="48"/>
              <w:jc w:val="right"/>
              <w:rPr>
                <w:sz w:val="21"/>
              </w:rPr>
            </w:pPr>
            <w:r>
              <w:rPr>
                <w:sz w:val="21"/>
              </w:rPr>
              <w:t>15</w:t>
            </w:r>
          </w:p>
        </w:tc>
      </w:tr>
      <w:tr>
        <w:tblPrEx>
          <w:tblW w:w="0" w:type="auto"/>
          <w:tblInd w:w="1549" w:type="dxa"/>
          <w:tblLayout w:type="fixed"/>
          <w:tblLook w:val="01E0"/>
        </w:tblPrEx>
        <w:trPr>
          <w:trHeight w:val="360"/>
        </w:trPr>
        <w:tc>
          <w:tcPr>
            <w:tcW w:w="5297" w:type="dxa"/>
          </w:tcPr>
          <w:p w:rsidR="00A36D6E">
            <w:pPr>
              <w:pStyle w:val="TableParagraph"/>
              <w:spacing w:before="41"/>
              <w:ind w:left="50"/>
              <w:rPr>
                <w:rFonts w:ascii="Times New Roman" w:eastAsia="Times New Roman" w:hAnsi="Times New Roman"/>
                <w:sz w:val="21"/>
                <w:lang w:eastAsia="zh-CN"/>
              </w:rPr>
            </w:pPr>
            <w:r>
              <w:rPr>
                <w:spacing w:val="-18"/>
                <w:sz w:val="21"/>
                <w:lang w:eastAsia="zh-CN"/>
              </w:rPr>
              <w:t>附录</w:t>
            </w:r>
            <w:r>
              <w:rPr>
                <w:spacing w:val="-18"/>
                <w:sz w:val="21"/>
                <w:lang w:eastAsia="zh-CN"/>
              </w:rPr>
              <w:t xml:space="preserve"> </w:t>
            </w:r>
            <w:r>
              <w:rPr>
                <w:sz w:val="21"/>
                <w:lang w:eastAsia="zh-CN"/>
              </w:rPr>
              <w:t>A</w:t>
            </w:r>
            <w:r>
              <w:rPr>
                <w:sz w:val="21"/>
                <w:lang w:eastAsia="zh-CN"/>
              </w:rPr>
              <w:t>（</w:t>
            </w:r>
            <w:r>
              <w:rPr>
                <w:spacing w:val="-3"/>
                <w:sz w:val="21"/>
                <w:lang w:eastAsia="zh-CN"/>
              </w:rPr>
              <w:t>规范性</w:t>
            </w:r>
            <w:r>
              <w:rPr>
                <w:sz w:val="21"/>
                <w:lang w:eastAsia="zh-CN"/>
              </w:rPr>
              <w:t>）</w:t>
            </w:r>
            <w:r>
              <w:rPr>
                <w:spacing w:val="-10"/>
                <w:sz w:val="21"/>
                <w:lang w:eastAsia="zh-CN"/>
              </w:rPr>
              <w:t xml:space="preserve"> </w:t>
            </w:r>
            <w:r>
              <w:rPr>
                <w:spacing w:val="-10"/>
                <w:sz w:val="21"/>
                <w:lang w:eastAsia="zh-CN"/>
              </w:rPr>
              <w:t>总体编制思路</w:t>
            </w:r>
            <w:r>
              <w:rPr>
                <w:spacing w:val="-10"/>
                <w:sz w:val="21"/>
                <w:lang w:eastAsia="zh-CN"/>
              </w:rPr>
              <w:t xml:space="preserve"> </w:t>
            </w:r>
            <w:r>
              <w:rPr>
                <w:rFonts w:ascii="Times New Roman" w:eastAsia="Times New Roman" w:hAnsi="Times New Roman"/>
                <w:spacing w:val="-48"/>
                <w:sz w:val="21"/>
                <w:lang w:eastAsia="zh-CN"/>
              </w:rPr>
              <w:t>································</w:t>
            </w:r>
          </w:p>
        </w:tc>
        <w:tc>
          <w:tcPr>
            <w:tcW w:w="2205" w:type="dxa"/>
          </w:tcPr>
          <w:p w:rsidR="00A36D6E">
            <w:pPr>
              <w:pStyle w:val="TableParagraph"/>
              <w:spacing w:before="55"/>
              <w:ind w:left="127"/>
              <w:rPr>
                <w:rFonts w:ascii="Times New Roman" w:hAnsi="Times New Roman"/>
                <w:sz w:val="21"/>
              </w:rPr>
            </w:pPr>
            <w:r>
              <w:rPr>
                <w:rFonts w:ascii="Times New Roman" w:hAnsi="Times New Roman"/>
                <w:spacing w:val="-48"/>
                <w:sz w:val="21"/>
              </w:rPr>
              <w:t>································</w:t>
            </w:r>
          </w:p>
        </w:tc>
        <w:tc>
          <w:tcPr>
            <w:tcW w:w="1156" w:type="dxa"/>
          </w:tcPr>
          <w:p w:rsidR="00A36D6E">
            <w:pPr>
              <w:pStyle w:val="TableParagraph"/>
              <w:spacing w:before="55"/>
              <w:ind w:left="149"/>
              <w:rPr>
                <w:rFonts w:ascii="Times New Roman" w:hAnsi="Times New Roman"/>
                <w:sz w:val="21"/>
              </w:rPr>
            </w:pPr>
            <w:r>
              <w:rPr>
                <w:rFonts w:ascii="Times New Roman" w:hAnsi="Times New Roman"/>
                <w:spacing w:val="-48"/>
                <w:sz w:val="21"/>
              </w:rPr>
              <w:t>·················</w:t>
            </w:r>
          </w:p>
        </w:tc>
        <w:tc>
          <w:tcPr>
            <w:tcW w:w="583" w:type="dxa"/>
          </w:tcPr>
          <w:p w:rsidR="00A36D6E">
            <w:pPr>
              <w:pStyle w:val="TableParagraph"/>
              <w:spacing w:before="41"/>
              <w:ind w:right="48"/>
              <w:jc w:val="right"/>
              <w:rPr>
                <w:sz w:val="21"/>
              </w:rPr>
            </w:pPr>
            <w:r>
              <w:rPr>
                <w:sz w:val="21"/>
              </w:rPr>
              <w:t>16</w:t>
            </w:r>
          </w:p>
        </w:tc>
      </w:tr>
      <w:tr>
        <w:tblPrEx>
          <w:tblW w:w="0" w:type="auto"/>
          <w:tblInd w:w="1549" w:type="dxa"/>
          <w:tblLayout w:type="fixed"/>
          <w:tblLook w:val="01E0"/>
        </w:tblPrEx>
        <w:trPr>
          <w:trHeight w:val="360"/>
        </w:trPr>
        <w:tc>
          <w:tcPr>
            <w:tcW w:w="5297" w:type="dxa"/>
          </w:tcPr>
          <w:p w:rsidR="00A36D6E">
            <w:pPr>
              <w:pStyle w:val="TableParagraph"/>
              <w:spacing w:before="41"/>
              <w:ind w:left="50"/>
              <w:rPr>
                <w:rFonts w:ascii="Times New Roman" w:eastAsia="Times New Roman" w:hAnsi="Times New Roman"/>
                <w:sz w:val="21"/>
                <w:lang w:eastAsia="zh-CN"/>
              </w:rPr>
            </w:pPr>
            <w:r>
              <w:rPr>
                <w:spacing w:val="-17"/>
                <w:sz w:val="21"/>
                <w:lang w:eastAsia="zh-CN"/>
              </w:rPr>
              <w:t>附录</w:t>
            </w:r>
            <w:r>
              <w:rPr>
                <w:spacing w:val="-17"/>
                <w:sz w:val="21"/>
                <w:lang w:eastAsia="zh-CN"/>
              </w:rPr>
              <w:t xml:space="preserve"> </w:t>
            </w:r>
            <w:r>
              <w:rPr>
                <w:sz w:val="21"/>
                <w:lang w:eastAsia="zh-CN"/>
              </w:rPr>
              <w:t>B</w:t>
            </w:r>
            <w:r>
              <w:rPr>
                <w:sz w:val="21"/>
                <w:lang w:eastAsia="zh-CN"/>
              </w:rPr>
              <w:t>（</w:t>
            </w:r>
            <w:r>
              <w:rPr>
                <w:spacing w:val="-3"/>
                <w:sz w:val="21"/>
                <w:lang w:eastAsia="zh-CN"/>
              </w:rPr>
              <w:t>规范性</w:t>
            </w:r>
            <w:r>
              <w:rPr>
                <w:sz w:val="21"/>
                <w:lang w:eastAsia="zh-CN"/>
              </w:rPr>
              <w:t>）</w:t>
            </w:r>
            <w:r>
              <w:rPr>
                <w:spacing w:val="-8"/>
                <w:sz w:val="21"/>
                <w:lang w:eastAsia="zh-CN"/>
              </w:rPr>
              <w:t xml:space="preserve"> </w:t>
            </w:r>
            <w:r>
              <w:rPr>
                <w:spacing w:val="-8"/>
                <w:sz w:val="21"/>
                <w:lang w:eastAsia="zh-CN"/>
              </w:rPr>
              <w:t>生态环境准入清单格式示例</w:t>
            </w:r>
            <w:r>
              <w:rPr>
                <w:spacing w:val="-8"/>
                <w:sz w:val="21"/>
                <w:lang w:eastAsia="zh-CN"/>
              </w:rPr>
              <w:t xml:space="preserve"> </w:t>
            </w:r>
            <w:r>
              <w:rPr>
                <w:rFonts w:ascii="Times New Roman" w:eastAsia="Times New Roman" w:hAnsi="Times New Roman"/>
                <w:spacing w:val="-48"/>
                <w:sz w:val="21"/>
                <w:lang w:eastAsia="zh-CN"/>
              </w:rPr>
              <w:t>································</w:t>
            </w:r>
          </w:p>
        </w:tc>
        <w:tc>
          <w:tcPr>
            <w:tcW w:w="2205" w:type="dxa"/>
          </w:tcPr>
          <w:p w:rsidR="00A36D6E">
            <w:pPr>
              <w:pStyle w:val="TableParagraph"/>
              <w:spacing w:before="55"/>
              <w:ind w:right="124"/>
              <w:jc w:val="right"/>
              <w:rPr>
                <w:rFonts w:ascii="Times New Roman" w:hAnsi="Times New Roman"/>
                <w:sz w:val="21"/>
              </w:rPr>
            </w:pPr>
            <w:r>
              <w:rPr>
                <w:rFonts w:ascii="Times New Roman" w:hAnsi="Times New Roman"/>
                <w:spacing w:val="-48"/>
                <w:sz w:val="21"/>
              </w:rPr>
              <w:t>·······························</w:t>
            </w:r>
          </w:p>
        </w:tc>
        <w:tc>
          <w:tcPr>
            <w:tcW w:w="1156" w:type="dxa"/>
          </w:tcPr>
          <w:p w:rsidR="00A36D6E">
            <w:pPr>
              <w:pStyle w:val="TableParagraph"/>
              <w:rPr>
                <w:rFonts w:ascii="Times New Roman"/>
                <w:sz w:val="20"/>
              </w:rPr>
            </w:pPr>
          </w:p>
        </w:tc>
        <w:tc>
          <w:tcPr>
            <w:tcW w:w="583" w:type="dxa"/>
          </w:tcPr>
          <w:p w:rsidR="00A36D6E">
            <w:pPr>
              <w:pStyle w:val="TableParagraph"/>
              <w:spacing w:before="41"/>
              <w:ind w:right="48"/>
              <w:jc w:val="right"/>
              <w:rPr>
                <w:sz w:val="21"/>
              </w:rPr>
            </w:pPr>
            <w:r>
              <w:rPr>
                <w:sz w:val="21"/>
              </w:rPr>
              <w:t>17</w:t>
            </w:r>
          </w:p>
        </w:tc>
      </w:tr>
      <w:tr>
        <w:tblPrEx>
          <w:tblW w:w="0" w:type="auto"/>
          <w:tblInd w:w="1549" w:type="dxa"/>
          <w:tblLayout w:type="fixed"/>
          <w:tblLook w:val="01E0"/>
        </w:tblPrEx>
        <w:trPr>
          <w:trHeight w:val="360"/>
        </w:trPr>
        <w:tc>
          <w:tcPr>
            <w:tcW w:w="5297" w:type="dxa"/>
          </w:tcPr>
          <w:p w:rsidR="00A36D6E">
            <w:pPr>
              <w:pStyle w:val="TableParagraph"/>
              <w:spacing w:before="41"/>
              <w:ind w:left="50"/>
              <w:rPr>
                <w:rFonts w:ascii="Times New Roman" w:eastAsia="Times New Roman" w:hAnsi="Times New Roman"/>
                <w:sz w:val="21"/>
                <w:lang w:eastAsia="zh-CN"/>
              </w:rPr>
            </w:pPr>
            <w:r>
              <w:rPr>
                <w:spacing w:val="-17"/>
                <w:sz w:val="21"/>
                <w:lang w:eastAsia="zh-CN"/>
              </w:rPr>
              <w:t>附录</w:t>
            </w:r>
            <w:r>
              <w:rPr>
                <w:spacing w:val="-17"/>
                <w:sz w:val="21"/>
                <w:lang w:eastAsia="zh-CN"/>
              </w:rPr>
              <w:t xml:space="preserve"> </w:t>
            </w:r>
            <w:r>
              <w:rPr>
                <w:sz w:val="21"/>
                <w:lang w:eastAsia="zh-CN"/>
              </w:rPr>
              <w:t>C</w:t>
            </w:r>
            <w:r>
              <w:rPr>
                <w:sz w:val="21"/>
                <w:lang w:eastAsia="zh-CN"/>
              </w:rPr>
              <w:t>（</w:t>
            </w:r>
            <w:r>
              <w:rPr>
                <w:spacing w:val="-3"/>
                <w:sz w:val="21"/>
                <w:lang w:eastAsia="zh-CN"/>
              </w:rPr>
              <w:t>规范性</w:t>
            </w:r>
            <w:r>
              <w:rPr>
                <w:sz w:val="21"/>
                <w:lang w:eastAsia="zh-CN"/>
              </w:rPr>
              <w:t>）</w:t>
            </w:r>
            <w:r>
              <w:rPr>
                <w:spacing w:val="-8"/>
                <w:sz w:val="21"/>
                <w:lang w:eastAsia="zh-CN"/>
              </w:rPr>
              <w:t xml:space="preserve"> </w:t>
            </w:r>
            <w:r>
              <w:rPr>
                <w:spacing w:val="-8"/>
                <w:sz w:val="21"/>
                <w:lang w:eastAsia="zh-CN"/>
              </w:rPr>
              <w:t>生态环境管控单元编码结构</w:t>
            </w:r>
            <w:r>
              <w:rPr>
                <w:spacing w:val="-8"/>
                <w:sz w:val="21"/>
                <w:lang w:eastAsia="zh-CN"/>
              </w:rPr>
              <w:t xml:space="preserve"> </w:t>
            </w:r>
            <w:r>
              <w:rPr>
                <w:rFonts w:ascii="Times New Roman" w:eastAsia="Times New Roman" w:hAnsi="Times New Roman"/>
                <w:spacing w:val="-48"/>
                <w:sz w:val="21"/>
                <w:lang w:eastAsia="zh-CN"/>
              </w:rPr>
              <w:t>································</w:t>
            </w:r>
          </w:p>
        </w:tc>
        <w:tc>
          <w:tcPr>
            <w:tcW w:w="2205" w:type="dxa"/>
          </w:tcPr>
          <w:p w:rsidR="00A36D6E">
            <w:pPr>
              <w:pStyle w:val="TableParagraph"/>
              <w:spacing w:before="55"/>
              <w:ind w:right="124"/>
              <w:jc w:val="right"/>
              <w:rPr>
                <w:rFonts w:ascii="Times New Roman" w:hAnsi="Times New Roman"/>
                <w:sz w:val="21"/>
              </w:rPr>
            </w:pPr>
            <w:r>
              <w:rPr>
                <w:rFonts w:ascii="Times New Roman" w:hAnsi="Times New Roman"/>
                <w:spacing w:val="-48"/>
                <w:sz w:val="21"/>
              </w:rPr>
              <w:t>·······························</w:t>
            </w:r>
          </w:p>
        </w:tc>
        <w:tc>
          <w:tcPr>
            <w:tcW w:w="1156" w:type="dxa"/>
          </w:tcPr>
          <w:p w:rsidR="00A36D6E">
            <w:pPr>
              <w:pStyle w:val="TableParagraph"/>
              <w:rPr>
                <w:rFonts w:ascii="Times New Roman"/>
                <w:sz w:val="20"/>
              </w:rPr>
            </w:pPr>
          </w:p>
        </w:tc>
        <w:tc>
          <w:tcPr>
            <w:tcW w:w="583" w:type="dxa"/>
          </w:tcPr>
          <w:p w:rsidR="00A36D6E">
            <w:pPr>
              <w:pStyle w:val="TableParagraph"/>
              <w:spacing w:before="41"/>
              <w:ind w:right="48"/>
              <w:jc w:val="right"/>
              <w:rPr>
                <w:sz w:val="21"/>
              </w:rPr>
            </w:pPr>
            <w:r>
              <w:rPr>
                <w:sz w:val="21"/>
              </w:rPr>
              <w:t>25</w:t>
            </w:r>
          </w:p>
        </w:tc>
      </w:tr>
      <w:tr>
        <w:tblPrEx>
          <w:tblW w:w="0" w:type="auto"/>
          <w:tblInd w:w="1549" w:type="dxa"/>
          <w:tblLayout w:type="fixed"/>
          <w:tblLook w:val="01E0"/>
        </w:tblPrEx>
        <w:trPr>
          <w:trHeight w:val="296"/>
        </w:trPr>
        <w:tc>
          <w:tcPr>
            <w:tcW w:w="5297" w:type="dxa"/>
          </w:tcPr>
          <w:p w:rsidR="00A36D6E">
            <w:pPr>
              <w:pStyle w:val="TableParagraph"/>
              <w:tabs>
                <w:tab w:val="left" w:pos="3126"/>
              </w:tabs>
              <w:spacing w:before="41" w:line="236" w:lineRule="exact"/>
              <w:ind w:left="50"/>
              <w:rPr>
                <w:rFonts w:ascii="Times New Roman" w:eastAsia="Times New Roman" w:hAnsi="Times New Roman"/>
                <w:sz w:val="21"/>
                <w:lang w:eastAsia="zh-CN"/>
              </w:rPr>
            </w:pPr>
            <w:r>
              <w:rPr>
                <w:sz w:val="21"/>
                <w:lang w:eastAsia="zh-CN"/>
              </w:rPr>
              <w:t>参考</w:t>
            </w:r>
            <w:r>
              <w:rPr>
                <w:spacing w:val="-3"/>
                <w:sz w:val="21"/>
                <w:lang w:eastAsia="zh-CN"/>
              </w:rPr>
              <w:t>文</w:t>
            </w:r>
            <w:r>
              <w:rPr>
                <w:spacing w:val="6"/>
                <w:sz w:val="21"/>
                <w:lang w:eastAsia="zh-CN"/>
              </w:rPr>
              <w:t>献</w:t>
            </w:r>
            <w:r>
              <w:rPr>
                <w:rFonts w:ascii="Times New Roman" w:eastAsia="Times New Roman" w:hAnsi="Times New Roman"/>
                <w:spacing w:val="-47"/>
                <w:sz w:val="21"/>
                <w:lang w:eastAsia="zh-CN"/>
              </w:rPr>
              <w:t>································</w:t>
            </w:r>
            <w:r>
              <w:rPr>
                <w:rFonts w:ascii="Times New Roman" w:eastAsia="Times New Roman" w:hAnsi="Times New Roman"/>
                <w:spacing w:val="-47"/>
                <w:sz w:val="21"/>
                <w:lang w:eastAsia="zh-CN"/>
              </w:rPr>
              <w:tab/>
            </w:r>
            <w:r>
              <w:rPr>
                <w:rFonts w:ascii="Times New Roman" w:eastAsia="Times New Roman" w:hAnsi="Times New Roman"/>
                <w:spacing w:val="-48"/>
                <w:sz w:val="21"/>
                <w:lang w:eastAsia="zh-CN"/>
              </w:rPr>
              <w:t>································</w:t>
            </w:r>
          </w:p>
        </w:tc>
        <w:tc>
          <w:tcPr>
            <w:tcW w:w="2205" w:type="dxa"/>
          </w:tcPr>
          <w:p w:rsidR="00A36D6E">
            <w:pPr>
              <w:pStyle w:val="TableParagraph"/>
              <w:spacing w:before="55" w:line="222" w:lineRule="exact"/>
              <w:ind w:left="57"/>
              <w:rPr>
                <w:rFonts w:ascii="Times New Roman" w:hAnsi="Times New Roman"/>
                <w:sz w:val="21"/>
              </w:rPr>
            </w:pPr>
            <w:r>
              <w:rPr>
                <w:rFonts w:ascii="Times New Roman" w:hAnsi="Times New Roman"/>
                <w:spacing w:val="-48"/>
                <w:sz w:val="21"/>
              </w:rPr>
              <w:t>································</w:t>
            </w:r>
          </w:p>
        </w:tc>
        <w:tc>
          <w:tcPr>
            <w:tcW w:w="1156" w:type="dxa"/>
          </w:tcPr>
          <w:p w:rsidR="00A36D6E">
            <w:pPr>
              <w:pStyle w:val="TableParagraph"/>
              <w:spacing w:before="55" w:line="222" w:lineRule="exact"/>
              <w:ind w:left="80"/>
              <w:rPr>
                <w:rFonts w:ascii="Times New Roman" w:hAnsi="Times New Roman"/>
                <w:sz w:val="21"/>
              </w:rPr>
            </w:pPr>
            <w:r>
              <w:rPr>
                <w:rFonts w:ascii="Times New Roman" w:hAnsi="Times New Roman"/>
                <w:spacing w:val="-48"/>
                <w:sz w:val="21"/>
              </w:rPr>
              <w:t>··················</w:t>
            </w:r>
          </w:p>
        </w:tc>
        <w:tc>
          <w:tcPr>
            <w:tcW w:w="583" w:type="dxa"/>
          </w:tcPr>
          <w:p w:rsidR="00A36D6E">
            <w:pPr>
              <w:pStyle w:val="TableParagraph"/>
              <w:spacing w:before="41" w:line="236" w:lineRule="exact"/>
              <w:ind w:right="48"/>
              <w:jc w:val="right"/>
              <w:rPr>
                <w:sz w:val="21"/>
              </w:rPr>
            </w:pPr>
            <w:r>
              <w:rPr>
                <w:sz w:val="21"/>
              </w:rPr>
              <w:t>27</w:t>
            </w:r>
          </w:p>
        </w:tc>
      </w:tr>
    </w:tbl>
    <w:p w:rsidR="00A36D6E">
      <w:pPr>
        <w:spacing w:line="236" w:lineRule="exact"/>
        <w:jc w:val="right"/>
        <w:rPr>
          <w:sz w:val="21"/>
        </w:rPr>
        <w:sectPr>
          <w:footerReference w:type="even" r:id="rId7"/>
          <w:pgSz w:w="11910" w:h="16840"/>
          <w:pgMar w:top="1240" w:right="1020" w:bottom="0" w:left="0" w:header="0" w:footer="0" w:gutter="0"/>
          <w:pgNumType w:start="7"/>
          <w:cols w:space="720"/>
        </w:sectPr>
      </w:pPr>
    </w:p>
    <w:p w:rsidR="00A36D6E">
      <w:pPr>
        <w:pStyle w:val="BodyText"/>
        <w:ind w:left="1096"/>
        <w:rPr>
          <w:rFonts w:ascii="Arial Unicode MS"/>
          <w:sz w:val="20"/>
        </w:rPr>
      </w:pPr>
      <w:r>
        <w:pict>
          <v:shape id="_x0000_s1029" type="#_x0000_t202" style="width:89.4pt;height:718.75pt;margin-top:66.65pt;margin-left:63.85pt;mso-position-horizontal-relative:page;mso-position-vertical-relative:page;position:absolute;z-index:-251651072" filled="f" stroked="f">
            <v:textbox inset="0,0,0,0">
              <w:txbxContent>
                <w:p w:rsidR="00A36D6E">
                  <w:pPr>
                    <w:pStyle w:val="BodyText"/>
                    <w:spacing w:line="241" w:lineRule="exact"/>
                    <w:rPr>
                      <w:rFonts w:ascii="黑体" w:hAnsi="黑体"/>
                    </w:rPr>
                  </w:pPr>
                  <w:r>
                    <w:rPr>
                      <w:rFonts w:ascii="黑体" w:hAnsi="黑体"/>
                    </w:rPr>
                    <w:t>DB43/T 2887—2023</w:t>
                  </w: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7"/>
                    </w:rPr>
                  </w:pPr>
                </w:p>
                <w:p w:rsidR="00A36D6E">
                  <w:pPr>
                    <w:spacing w:before="1" w:line="205" w:lineRule="exact"/>
                    <w:rPr>
                      <w:sz w:val="18"/>
                    </w:rPr>
                  </w:pPr>
                  <w:r>
                    <w:rPr>
                      <w:sz w:val="18"/>
                    </w:rPr>
                    <w:t>II</w:t>
                  </w:r>
                </w:p>
              </w:txbxContent>
            </v:textbox>
          </v:shape>
        </w:pict>
      </w:r>
      <w:r>
        <w:rPr>
          <w:noProof/>
          <w:lang w:eastAsia="zh-CN"/>
        </w:rPr>
        <w:drawing>
          <wp:anchor distT="0" distB="0" distL="0" distR="0" simplePos="0" relativeHeight="25166438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Arial Unicode MS"/>
          <w:sz w:val="20"/>
        </w:rPr>
        <w:pict>
          <v:group id="_x0000_i1030" style="width:173.25pt;height:756.6pt;mso-position-horizontal-relative:char;mso-position-vertical-relative:line" coordsize="3465,15132">
            <v:rect id="_x0000_s1031" style="width:3465;height:15132;position:absolute" stroked="f"/>
            <w10:wrap type="none"/>
            <w10:anchorlock/>
          </v:group>
        </w:pict>
      </w:r>
    </w:p>
    <w:p w:rsidR="00A36D6E">
      <w:pPr>
        <w:rPr>
          <w:rFonts w:ascii="Arial Unicode MS"/>
          <w:sz w:val="20"/>
        </w:rPr>
        <w:sectPr>
          <w:footerReference w:type="even" r:id="rId8"/>
          <w:pgSz w:w="11910" w:h="16840"/>
          <w:pgMar w:top="1180" w:right="1020" w:bottom="280" w:left="0" w:header="0" w:footer="0" w:gutter="0"/>
          <w:pgNumType w:start="8"/>
          <w:cols w:space="720"/>
        </w:sectPr>
      </w:pPr>
    </w:p>
    <w:p w:rsidR="00A36D6E">
      <w:pPr>
        <w:pStyle w:val="BodyText"/>
        <w:spacing w:before="48"/>
        <w:ind w:right="248"/>
        <w:jc w:val="right"/>
        <w:rPr>
          <w:rFonts w:ascii="黑体" w:hAnsi="黑体"/>
          <w:lang w:eastAsia="zh-CN"/>
        </w:rPr>
      </w:pPr>
      <w:r>
        <w:rPr>
          <w:noProof/>
          <w:lang w:eastAsia="zh-CN"/>
        </w:rPr>
        <w:drawing>
          <wp:anchor distT="0" distB="0" distL="0" distR="0" simplePos="0" relativeHeight="25166643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hAnsi="黑体"/>
          <w:lang w:eastAsia="zh-CN"/>
        </w:rPr>
        <w:t>DB43/T 2887—2023</w:t>
      </w:r>
    </w:p>
    <w:p w:rsidR="00A36D6E">
      <w:pPr>
        <w:pStyle w:val="BodyText"/>
        <w:rPr>
          <w:rFonts w:ascii="黑体"/>
          <w:sz w:val="20"/>
          <w:lang w:eastAsia="zh-CN"/>
        </w:rPr>
      </w:pPr>
    </w:p>
    <w:p w:rsidR="00A36D6E">
      <w:pPr>
        <w:pStyle w:val="BodyText"/>
        <w:rPr>
          <w:rFonts w:ascii="黑体"/>
          <w:sz w:val="20"/>
          <w:lang w:eastAsia="zh-CN"/>
        </w:rPr>
      </w:pPr>
    </w:p>
    <w:p w:rsidR="00A36D6E">
      <w:pPr>
        <w:pStyle w:val="Heading1"/>
        <w:tabs>
          <w:tab w:val="left" w:pos="1824"/>
        </w:tabs>
        <w:rPr>
          <w:lang w:eastAsia="zh-CN"/>
        </w:rPr>
      </w:pPr>
      <w:r>
        <w:rPr>
          <w:lang w:eastAsia="zh-CN"/>
        </w:rPr>
        <w:t>前</w:t>
      </w:r>
      <w:r>
        <w:rPr>
          <w:lang w:eastAsia="zh-CN"/>
        </w:rPr>
        <w:tab/>
      </w:r>
      <w:r>
        <w:rPr>
          <w:lang w:eastAsia="zh-CN"/>
        </w:rPr>
        <w:t>言</w:t>
      </w:r>
    </w:p>
    <w:p w:rsidR="00A36D6E">
      <w:pPr>
        <w:pStyle w:val="BodyText"/>
        <w:spacing w:before="4"/>
        <w:rPr>
          <w:rFonts w:ascii="黑体"/>
          <w:sz w:val="45"/>
          <w:lang w:eastAsia="zh-CN"/>
        </w:rPr>
      </w:pPr>
    </w:p>
    <w:p w:rsidR="00A36D6E">
      <w:pPr>
        <w:pStyle w:val="BodyText"/>
        <w:spacing w:line="288" w:lineRule="auto"/>
        <w:ind w:left="1277" w:right="248" w:firstLine="420"/>
        <w:rPr>
          <w:lang w:eastAsia="zh-CN"/>
        </w:rPr>
      </w:pPr>
      <w:r>
        <w:rPr>
          <w:spacing w:val="-10"/>
          <w:lang w:eastAsia="zh-CN"/>
        </w:rPr>
        <w:t>本文件按照</w:t>
      </w:r>
      <w:r>
        <w:rPr>
          <w:spacing w:val="-10"/>
          <w:lang w:eastAsia="zh-CN"/>
        </w:rPr>
        <w:t xml:space="preserve"> </w:t>
      </w:r>
      <w:r>
        <w:rPr>
          <w:lang w:eastAsia="zh-CN"/>
        </w:rPr>
        <w:t xml:space="preserve">GB/T </w:t>
      </w:r>
      <w:r>
        <w:rPr>
          <w:spacing w:val="-5"/>
          <w:lang w:eastAsia="zh-CN"/>
        </w:rPr>
        <w:t>1.1—2020</w:t>
      </w:r>
      <w:r>
        <w:rPr>
          <w:spacing w:val="-6"/>
          <w:lang w:eastAsia="zh-CN"/>
        </w:rPr>
        <w:t>《标准化工作导则</w:t>
      </w:r>
      <w:r>
        <w:rPr>
          <w:spacing w:val="-6"/>
          <w:lang w:eastAsia="zh-CN"/>
        </w:rPr>
        <w:t xml:space="preserve"> </w:t>
      </w:r>
      <w:r>
        <w:rPr>
          <w:spacing w:val="-6"/>
          <w:lang w:eastAsia="zh-CN"/>
        </w:rPr>
        <w:t>第</w:t>
      </w:r>
      <w:r>
        <w:rPr>
          <w:spacing w:val="-6"/>
          <w:lang w:eastAsia="zh-CN"/>
        </w:rPr>
        <w:t xml:space="preserve"> </w:t>
      </w:r>
      <w:r>
        <w:rPr>
          <w:lang w:eastAsia="zh-CN"/>
        </w:rPr>
        <w:t>1</w:t>
      </w:r>
      <w:r>
        <w:rPr>
          <w:spacing w:val="-12"/>
          <w:lang w:eastAsia="zh-CN"/>
        </w:rPr>
        <w:t xml:space="preserve"> </w:t>
      </w:r>
      <w:r>
        <w:rPr>
          <w:spacing w:val="-12"/>
          <w:lang w:eastAsia="zh-CN"/>
        </w:rPr>
        <w:t>部分：标准化文件的结构和起草规则》和《生</w:t>
      </w:r>
      <w:r>
        <w:rPr>
          <w:spacing w:val="-9"/>
          <w:lang w:eastAsia="zh-CN"/>
        </w:rPr>
        <w:t>态环境标准管理办法》</w:t>
      </w:r>
      <w:r>
        <w:rPr>
          <w:spacing w:val="-9"/>
          <w:lang w:eastAsia="zh-CN"/>
        </w:rPr>
        <w:t>(</w:t>
      </w:r>
      <w:r>
        <w:rPr>
          <w:spacing w:val="-9"/>
          <w:lang w:eastAsia="zh-CN"/>
        </w:rPr>
        <w:t>生态环境部令</w:t>
      </w:r>
      <w:r>
        <w:rPr>
          <w:spacing w:val="-9"/>
          <w:lang w:eastAsia="zh-CN"/>
        </w:rPr>
        <w:t xml:space="preserve"> </w:t>
      </w:r>
      <w:r>
        <w:rPr>
          <w:spacing w:val="-9"/>
          <w:lang w:eastAsia="zh-CN"/>
        </w:rPr>
        <w:t>第</w:t>
      </w:r>
      <w:r>
        <w:rPr>
          <w:spacing w:val="-9"/>
          <w:lang w:eastAsia="zh-CN"/>
        </w:rPr>
        <w:t xml:space="preserve"> </w:t>
      </w:r>
      <w:r>
        <w:rPr>
          <w:lang w:eastAsia="zh-CN"/>
        </w:rPr>
        <w:t>17</w:t>
      </w:r>
      <w:r>
        <w:rPr>
          <w:spacing w:val="-28"/>
          <w:lang w:eastAsia="zh-CN"/>
        </w:rPr>
        <w:t xml:space="preserve"> </w:t>
      </w:r>
      <w:r>
        <w:rPr>
          <w:spacing w:val="-28"/>
          <w:lang w:eastAsia="zh-CN"/>
        </w:rPr>
        <w:t>号</w:t>
      </w:r>
      <w:r>
        <w:rPr>
          <w:lang w:eastAsia="zh-CN"/>
        </w:rPr>
        <w:t>）</w:t>
      </w:r>
      <w:r>
        <w:rPr>
          <w:spacing w:val="-3"/>
          <w:lang w:eastAsia="zh-CN"/>
        </w:rPr>
        <w:t>的规定起草。</w:t>
      </w:r>
    </w:p>
    <w:p w:rsidR="00A36D6E">
      <w:pPr>
        <w:pStyle w:val="BodyText"/>
        <w:spacing w:before="2" w:line="288" w:lineRule="auto"/>
        <w:ind w:left="1697" w:right="1409"/>
        <w:rPr>
          <w:lang w:eastAsia="zh-CN"/>
        </w:rPr>
      </w:pPr>
      <w:r>
        <w:rPr>
          <w:lang w:eastAsia="zh-CN"/>
        </w:rPr>
        <w:t>请注意本文件的某些内容可能涉及专利。本文件的发布机构不承担识别专利的责任。本文件由湖南省生态环境厅提出并归口。</w:t>
      </w:r>
    </w:p>
    <w:p w:rsidR="00A36D6E">
      <w:pPr>
        <w:pStyle w:val="BodyText"/>
        <w:spacing w:before="2"/>
        <w:ind w:left="1697"/>
        <w:rPr>
          <w:lang w:eastAsia="zh-CN"/>
        </w:rPr>
      </w:pPr>
      <w:r>
        <w:rPr>
          <w:lang w:eastAsia="zh-CN"/>
        </w:rPr>
        <w:t>本文件起草单位：湖南省生态环境事务中心、长沙环境保护职业技术学院。</w:t>
      </w:r>
    </w:p>
    <w:p w:rsidR="00A36D6E">
      <w:pPr>
        <w:pStyle w:val="BodyText"/>
        <w:spacing w:before="56" w:line="288" w:lineRule="auto"/>
        <w:ind w:left="1277" w:right="139" w:firstLine="420"/>
        <w:rPr>
          <w:lang w:eastAsia="zh-CN"/>
        </w:rPr>
      </w:pPr>
      <w:r>
        <w:rPr>
          <w:spacing w:val="-15"/>
          <w:lang w:eastAsia="zh-CN"/>
        </w:rPr>
        <w:t>本文件主要起草人：李庄、刘帆、杨阳、杨健、郑立国、刘黄诚、赵宁宁、毛晓茜、王凡、肖伟龙、</w:t>
      </w:r>
      <w:r>
        <w:rPr>
          <w:spacing w:val="-7"/>
          <w:lang w:eastAsia="zh-CN"/>
        </w:rPr>
        <w:t>宋洁、刘秉英、刘兴旺、龙秋波、曹群。</w:t>
      </w: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spacing w:before="12"/>
        <w:rPr>
          <w:sz w:val="28"/>
          <w:lang w:eastAsia="zh-CN"/>
        </w:rPr>
      </w:pPr>
    </w:p>
    <w:p w:rsidR="00A36D6E">
      <w:pPr>
        <w:spacing w:before="74"/>
        <w:ind w:right="248"/>
        <w:jc w:val="right"/>
        <w:rPr>
          <w:sz w:val="18"/>
        </w:rPr>
      </w:pPr>
      <w:r>
        <w:rPr>
          <w:sz w:val="18"/>
        </w:rPr>
        <w:t>III</w:t>
      </w:r>
    </w:p>
    <w:p w:rsidR="00A36D6E">
      <w:pPr>
        <w:jc w:val="right"/>
        <w:rPr>
          <w:sz w:val="18"/>
        </w:rPr>
        <w:sectPr>
          <w:footerReference w:type="even" r:id="rId9"/>
          <w:pgSz w:w="11910" w:h="16840"/>
          <w:pgMar w:top="1240" w:right="1020" w:bottom="280" w:left="0" w:header="0" w:footer="0" w:gutter="0"/>
          <w:pgNumType w:start="9"/>
          <w:cols w:space="720"/>
        </w:sectPr>
      </w:pPr>
    </w:p>
    <w:p w:rsidR="00A36D6E">
      <w:pPr>
        <w:pStyle w:val="BodyText"/>
        <w:ind w:left="946"/>
        <w:rPr>
          <w:sz w:val="20"/>
        </w:rPr>
      </w:pPr>
      <w:r>
        <w:pict>
          <v:shape id="_x0000_s1032" type="#_x0000_t202" style="width:89.4pt;height:718.75pt;margin-top:66.65pt;margin-left:63.85pt;mso-position-horizontal-relative:page;mso-position-vertical-relative:page;position:absolute;z-index:-251648000" filled="f" stroked="f">
            <v:textbox inset="0,0,0,0">
              <w:txbxContent>
                <w:p w:rsidR="00A36D6E">
                  <w:pPr>
                    <w:pStyle w:val="BodyText"/>
                    <w:spacing w:line="241" w:lineRule="exact"/>
                    <w:rPr>
                      <w:rFonts w:ascii="黑体" w:hAnsi="黑体"/>
                    </w:rPr>
                  </w:pPr>
                  <w:r>
                    <w:rPr>
                      <w:rFonts w:ascii="黑体" w:hAnsi="黑体"/>
                    </w:rPr>
                    <w:t>DB43/T 2887—2023</w:t>
                  </w: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7"/>
                    </w:rPr>
                  </w:pPr>
                </w:p>
                <w:p w:rsidR="00A36D6E">
                  <w:pPr>
                    <w:spacing w:before="1" w:line="205" w:lineRule="exact"/>
                    <w:rPr>
                      <w:sz w:val="18"/>
                    </w:rPr>
                  </w:pPr>
                  <w:r>
                    <w:rPr>
                      <w:sz w:val="18"/>
                    </w:rPr>
                    <w:t>IV</w:t>
                  </w:r>
                </w:p>
              </w:txbxContent>
            </v:textbox>
          </v:shape>
        </w:pict>
      </w:r>
      <w:r>
        <w:rPr>
          <w:noProof/>
          <w:lang w:eastAsia="zh-CN"/>
        </w:rPr>
        <w:drawing>
          <wp:anchor distT="0" distB="0" distL="0" distR="0" simplePos="0" relativeHeight="25166745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z w:val="20"/>
        </w:rPr>
        <w:pict>
          <v:group id="_x0000_i1033" style="width:173.25pt;height:756.6pt;mso-position-horizontal-relative:char;mso-position-vertical-relative:line" coordsize="3465,15132">
            <v:rect id="_x0000_s1034" style="width:3465;height:15132;position:absolute" stroked="f"/>
            <w10:wrap type="none"/>
            <w10:anchorlock/>
          </v:group>
        </w:pict>
      </w:r>
    </w:p>
    <w:p w:rsidR="00A36D6E">
      <w:pPr>
        <w:rPr>
          <w:sz w:val="20"/>
        </w:rPr>
        <w:sectPr>
          <w:footerReference w:type="even" r:id="rId10"/>
          <w:pgSz w:w="11910" w:h="16840"/>
          <w:pgMar w:top="580" w:right="1020" w:bottom="280" w:left="0" w:header="0" w:footer="0" w:gutter="0"/>
          <w:pgNumType w:start="10"/>
          <w:cols w:space="720"/>
        </w:sectPr>
      </w:pPr>
    </w:p>
    <w:p w:rsidR="00A36D6E">
      <w:pPr>
        <w:pStyle w:val="BodyText"/>
        <w:spacing w:before="48"/>
        <w:ind w:right="248"/>
        <w:jc w:val="right"/>
        <w:rPr>
          <w:rFonts w:ascii="黑体" w:hAnsi="黑体"/>
          <w:lang w:eastAsia="zh-CN"/>
        </w:rPr>
      </w:pPr>
      <w:r>
        <w:rPr>
          <w:noProof/>
          <w:lang w:eastAsia="zh-CN"/>
        </w:rPr>
        <w:drawing>
          <wp:anchor distT="0" distB="0" distL="0" distR="0" simplePos="0" relativeHeight="25166950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hAnsi="黑体"/>
          <w:lang w:eastAsia="zh-CN"/>
        </w:rPr>
        <w:t>DB43/T 2887—2023</w:t>
      </w:r>
    </w:p>
    <w:p w:rsidR="00A36D6E">
      <w:pPr>
        <w:pStyle w:val="BodyText"/>
        <w:rPr>
          <w:rFonts w:ascii="黑体"/>
          <w:sz w:val="20"/>
          <w:lang w:eastAsia="zh-CN"/>
        </w:rPr>
      </w:pPr>
    </w:p>
    <w:p w:rsidR="00A36D6E">
      <w:pPr>
        <w:pStyle w:val="BodyText"/>
        <w:rPr>
          <w:rFonts w:ascii="黑体"/>
          <w:sz w:val="20"/>
          <w:lang w:eastAsia="zh-CN"/>
        </w:rPr>
      </w:pPr>
    </w:p>
    <w:p w:rsidR="00A36D6E">
      <w:pPr>
        <w:pStyle w:val="Heading1"/>
        <w:tabs>
          <w:tab w:val="left" w:pos="1824"/>
        </w:tabs>
        <w:rPr>
          <w:lang w:eastAsia="zh-CN"/>
        </w:rPr>
      </w:pPr>
      <w:r>
        <w:rPr>
          <w:lang w:eastAsia="zh-CN"/>
        </w:rPr>
        <w:t>引</w:t>
      </w:r>
      <w:r>
        <w:rPr>
          <w:lang w:eastAsia="zh-CN"/>
        </w:rPr>
        <w:tab/>
      </w:r>
      <w:r>
        <w:rPr>
          <w:lang w:eastAsia="zh-CN"/>
        </w:rPr>
        <w:t>言</w:t>
      </w:r>
    </w:p>
    <w:p w:rsidR="00A36D6E">
      <w:pPr>
        <w:pStyle w:val="BodyText"/>
        <w:spacing w:before="4"/>
        <w:rPr>
          <w:rFonts w:ascii="黑体"/>
          <w:sz w:val="45"/>
          <w:lang w:eastAsia="zh-CN"/>
        </w:rPr>
      </w:pPr>
    </w:p>
    <w:p w:rsidR="00A36D6E">
      <w:pPr>
        <w:pStyle w:val="BodyText"/>
        <w:spacing w:line="288" w:lineRule="auto"/>
        <w:ind w:left="1277" w:right="248" w:firstLine="420"/>
        <w:jc w:val="both"/>
        <w:rPr>
          <w:lang w:eastAsia="zh-CN"/>
        </w:rPr>
      </w:pPr>
      <w:r>
        <w:rPr>
          <w:spacing w:val="-7"/>
          <w:lang w:eastAsia="zh-CN"/>
        </w:rPr>
        <w:t>为贯彻《中华人民共和国环境保护法</w:t>
      </w:r>
      <w:r>
        <w:rPr>
          <w:spacing w:val="-14"/>
          <w:lang w:eastAsia="zh-CN"/>
        </w:rPr>
        <w:t>》《中华人民共和国环境影响评价法</w:t>
      </w:r>
      <w:r>
        <w:rPr>
          <w:spacing w:val="-15"/>
          <w:lang w:eastAsia="zh-CN"/>
        </w:rPr>
        <w:t>》《中华人民共和国长江保</w:t>
      </w:r>
      <w:r>
        <w:rPr>
          <w:spacing w:val="-13"/>
          <w:lang w:eastAsia="zh-CN"/>
        </w:rPr>
        <w:t>护法》和《湖南省环境保护条例》等法律法规，完善生态环境分区管控技术体系建设，指导生态环境准</w:t>
      </w:r>
      <w:r>
        <w:rPr>
          <w:spacing w:val="-12"/>
          <w:lang w:eastAsia="zh-CN"/>
        </w:rPr>
        <w:t>入清单体系的搭建和编制，服务生态环境高水平保护，促进经济高质量发展，结合湖南省实际情况和生</w:t>
      </w:r>
      <w:r>
        <w:rPr>
          <w:spacing w:val="-6"/>
          <w:lang w:eastAsia="zh-CN"/>
        </w:rPr>
        <w:t>态环境管理要求，制定本文件。</w:t>
      </w:r>
    </w:p>
    <w:p w:rsidR="00A36D6E">
      <w:pPr>
        <w:pStyle w:val="BodyText"/>
        <w:spacing w:before="4" w:line="290" w:lineRule="auto"/>
        <w:ind w:left="1277" w:right="149" w:firstLine="420"/>
        <w:rPr>
          <w:lang w:eastAsia="zh-CN"/>
        </w:rPr>
      </w:pPr>
      <w:r>
        <w:rPr>
          <w:lang w:eastAsia="zh-CN"/>
        </w:rPr>
        <w:t>本文件规定了湖南省生态环境准入清单的编制原则、编制技术路</w:t>
      </w:r>
      <w:r>
        <w:rPr>
          <w:lang w:eastAsia="zh-CN"/>
        </w:rPr>
        <w:t>线、一般性要求、省级总体要求、四大板块总体要求、市（州）级基本要求、生态环境准入清单、成果规范和更新调整等内容。</w:t>
      </w: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rPr>
          <w:sz w:val="20"/>
          <w:lang w:eastAsia="zh-CN"/>
        </w:rPr>
      </w:pPr>
    </w:p>
    <w:p w:rsidR="00A36D6E">
      <w:pPr>
        <w:pStyle w:val="BodyText"/>
        <w:spacing w:before="9"/>
        <w:rPr>
          <w:sz w:val="19"/>
          <w:lang w:eastAsia="zh-CN"/>
        </w:rPr>
      </w:pPr>
    </w:p>
    <w:p w:rsidR="00A36D6E">
      <w:pPr>
        <w:ind w:right="251"/>
        <w:jc w:val="right"/>
        <w:rPr>
          <w:sz w:val="18"/>
        </w:rPr>
      </w:pPr>
      <w:r>
        <w:rPr>
          <w:sz w:val="18"/>
        </w:rPr>
        <w:t>V</w:t>
      </w:r>
    </w:p>
    <w:p w:rsidR="00A36D6E">
      <w:pPr>
        <w:jc w:val="right"/>
        <w:rPr>
          <w:sz w:val="18"/>
        </w:rPr>
        <w:sectPr>
          <w:footerReference w:type="even" r:id="rId11"/>
          <w:pgSz w:w="11910" w:h="16840"/>
          <w:pgMar w:top="1240" w:right="1020" w:bottom="280" w:left="0" w:header="0" w:footer="0" w:gutter="0"/>
          <w:pgNumType w:start="11"/>
          <w:cols w:space="720"/>
        </w:sectPr>
      </w:pPr>
    </w:p>
    <w:p w:rsidR="00A36D6E">
      <w:pPr>
        <w:pStyle w:val="BodyText"/>
        <w:ind w:left="856"/>
        <w:rPr>
          <w:sz w:val="20"/>
        </w:rPr>
      </w:pPr>
      <w:r>
        <w:pict>
          <v:shape id="_x0000_s1035" type="#_x0000_t202" style="width:89.4pt;height:718.75pt;margin-top:66.65pt;margin-left:63.85pt;mso-position-horizontal-relative:page;mso-position-vertical-relative:page;position:absolute;z-index:-251644928" filled="f" stroked="f">
            <v:textbox inset="0,0,0,0">
              <w:txbxContent>
                <w:p w:rsidR="00A36D6E">
                  <w:pPr>
                    <w:pStyle w:val="BodyText"/>
                    <w:spacing w:line="241" w:lineRule="exact"/>
                    <w:rPr>
                      <w:rFonts w:ascii="黑体" w:hAnsi="黑体"/>
                    </w:rPr>
                  </w:pPr>
                  <w:r>
                    <w:rPr>
                      <w:rFonts w:ascii="黑体" w:hAnsi="黑体"/>
                    </w:rPr>
                    <w:t>DB43/T 2887—2023</w:t>
                  </w: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0"/>
                    </w:rPr>
                  </w:pPr>
                </w:p>
                <w:p w:rsidR="00A36D6E">
                  <w:pPr>
                    <w:pStyle w:val="BodyText"/>
                    <w:rPr>
                      <w:rFonts w:ascii="黑体"/>
                      <w:sz w:val="27"/>
                    </w:rPr>
                  </w:pPr>
                </w:p>
                <w:p w:rsidR="00A36D6E">
                  <w:pPr>
                    <w:spacing w:before="1" w:line="205" w:lineRule="exact"/>
                    <w:rPr>
                      <w:sz w:val="18"/>
                    </w:rPr>
                  </w:pPr>
                  <w:r>
                    <w:rPr>
                      <w:sz w:val="18"/>
                    </w:rPr>
                    <w:t>VI</w:t>
                  </w:r>
                </w:p>
              </w:txbxContent>
            </v:textbox>
          </v:shape>
        </w:pict>
      </w:r>
      <w:r>
        <w:rPr>
          <w:noProof/>
          <w:lang w:eastAsia="zh-CN"/>
        </w:rPr>
        <w:drawing>
          <wp:anchor distT="0" distB="0" distL="0" distR="0" simplePos="0" relativeHeight="251670528"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z w:val="20"/>
        </w:rPr>
        <w:pict>
          <v:group id="_x0000_i1036" style="width:173.25pt;height:756.6pt;mso-position-horizontal-relative:char;mso-position-vertical-relative:line" coordsize="3465,15132">
            <v:rect id="_x0000_s1037" style="width:3465;height:15132;position:absolute" stroked="f"/>
            <w10:wrap type="none"/>
            <w10:anchorlock/>
          </v:group>
        </w:pict>
      </w:r>
    </w:p>
    <w:p w:rsidR="00A36D6E">
      <w:pPr>
        <w:rPr>
          <w:sz w:val="20"/>
        </w:rPr>
        <w:sectPr>
          <w:footerReference w:type="even" r:id="rId12"/>
          <w:pgSz w:w="11910" w:h="16840"/>
          <w:pgMar w:top="940" w:right="1020" w:bottom="280" w:left="0" w:header="0" w:footer="0" w:gutter="0"/>
          <w:pgNumType w:start="12"/>
          <w:cols w:space="720"/>
        </w:sectPr>
      </w:pPr>
    </w:p>
    <w:p w:rsidR="00A36D6E">
      <w:pPr>
        <w:pStyle w:val="BodyText"/>
        <w:rPr>
          <w:sz w:val="20"/>
        </w:rPr>
      </w:pPr>
      <w:r>
        <w:rPr>
          <w:noProof/>
          <w:lang w:eastAsia="zh-CN"/>
        </w:rPr>
        <w:drawing>
          <wp:anchor distT="0" distB="0" distL="0" distR="0" simplePos="0" relativeHeight="25167257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A36D6E">
      <w:pPr>
        <w:pStyle w:val="BodyText"/>
        <w:rPr>
          <w:sz w:val="20"/>
        </w:rPr>
      </w:pPr>
    </w:p>
    <w:p w:rsidR="00A36D6E">
      <w:pPr>
        <w:pStyle w:val="BodyText"/>
        <w:spacing w:before="1"/>
        <w:rPr>
          <w:sz w:val="17"/>
        </w:rPr>
      </w:pPr>
    </w:p>
    <w:p w:rsidR="00A36D6E">
      <w:pPr>
        <w:pStyle w:val="Heading1"/>
        <w:spacing w:before="54"/>
        <w:ind w:left="3716"/>
        <w:jc w:val="left"/>
        <w:rPr>
          <w:lang w:eastAsia="zh-CN"/>
        </w:rPr>
      </w:pPr>
      <w:r>
        <w:rPr>
          <w:lang w:eastAsia="zh-CN"/>
        </w:rPr>
        <w:t>生态环境准入清单编制技术指南</w:t>
      </w:r>
    </w:p>
    <w:p w:rsidR="00A36D6E">
      <w:pPr>
        <w:pStyle w:val="BodyText"/>
        <w:rPr>
          <w:rFonts w:ascii="黑体"/>
          <w:sz w:val="20"/>
          <w:lang w:eastAsia="zh-CN"/>
        </w:rPr>
      </w:pPr>
    </w:p>
    <w:p w:rsidR="00A36D6E">
      <w:pPr>
        <w:pStyle w:val="BodyText"/>
        <w:spacing w:before="4"/>
        <w:rPr>
          <w:rFonts w:ascii="黑体"/>
          <w:sz w:val="26"/>
          <w:lang w:eastAsia="zh-CN"/>
        </w:rPr>
      </w:pPr>
    </w:p>
    <w:p w:rsidR="00A36D6E">
      <w:pPr>
        <w:pStyle w:val="ListParagraph"/>
        <w:numPr>
          <w:ilvl w:val="0"/>
          <w:numId w:val="23"/>
        </w:numPr>
        <w:tabs>
          <w:tab w:val="left" w:pos="1595"/>
        </w:tabs>
        <w:spacing w:before="72"/>
        <w:ind w:hanging="318"/>
        <w:rPr>
          <w:rFonts w:ascii="黑体" w:eastAsia="黑体"/>
          <w:sz w:val="21"/>
        </w:rPr>
      </w:pPr>
      <w:r>
        <w:rPr>
          <w:rFonts w:ascii="黑体" w:eastAsia="黑体" w:hint="eastAsia"/>
          <w:spacing w:val="-3"/>
          <w:sz w:val="21"/>
        </w:rPr>
        <w:t>范围</w:t>
      </w:r>
    </w:p>
    <w:p w:rsidR="00A36D6E">
      <w:pPr>
        <w:pStyle w:val="BodyText"/>
        <w:spacing w:before="4"/>
        <w:rPr>
          <w:rFonts w:ascii="黑体"/>
          <w:sz w:val="29"/>
        </w:rPr>
      </w:pPr>
    </w:p>
    <w:p w:rsidR="00A36D6E">
      <w:pPr>
        <w:pStyle w:val="BodyText"/>
        <w:spacing w:before="1" w:line="288" w:lineRule="auto"/>
        <w:ind w:left="1277" w:right="149" w:firstLine="420"/>
        <w:rPr>
          <w:lang w:eastAsia="zh-CN"/>
        </w:rPr>
      </w:pPr>
      <w:r>
        <w:rPr>
          <w:lang w:eastAsia="zh-CN"/>
        </w:rPr>
        <w:t>本文件规定了湖南省生态环境准入清单的编制原则、编制技术路线、一般性要求、省级总体要求、四大板块总体要求、市（州）级基本要求、生态环境准入清单、成果规范和更新调整等内容。</w:t>
      </w:r>
    </w:p>
    <w:p w:rsidR="00A36D6E">
      <w:pPr>
        <w:pStyle w:val="BodyText"/>
        <w:spacing w:before="2" w:line="290" w:lineRule="auto"/>
        <w:ind w:left="1277" w:right="245" w:firstLine="420"/>
        <w:rPr>
          <w:lang w:eastAsia="zh-CN"/>
        </w:rPr>
      </w:pPr>
      <w:r>
        <w:rPr>
          <w:spacing w:val="-6"/>
          <w:lang w:eastAsia="zh-CN"/>
        </w:rPr>
        <w:t>本文件适用于湖南省生态环境分区管控体系中生态环境准入清单体系的构建、编制和动态更新及调</w:t>
      </w:r>
      <w:r>
        <w:rPr>
          <w:spacing w:val="-4"/>
          <w:lang w:eastAsia="zh-CN"/>
        </w:rPr>
        <w:t>整等工作。</w:t>
      </w:r>
    </w:p>
    <w:p w:rsidR="00A36D6E">
      <w:pPr>
        <w:pStyle w:val="BodyText"/>
        <w:spacing w:before="1"/>
        <w:rPr>
          <w:sz w:val="25"/>
          <w:lang w:eastAsia="zh-CN"/>
        </w:rPr>
      </w:pPr>
    </w:p>
    <w:p w:rsidR="00A36D6E">
      <w:pPr>
        <w:pStyle w:val="ListParagraph"/>
        <w:numPr>
          <w:ilvl w:val="0"/>
          <w:numId w:val="23"/>
        </w:numPr>
        <w:tabs>
          <w:tab w:val="left" w:pos="1595"/>
        </w:tabs>
        <w:ind w:hanging="318"/>
        <w:rPr>
          <w:rFonts w:ascii="黑体" w:eastAsia="黑体"/>
          <w:sz w:val="21"/>
        </w:rPr>
      </w:pPr>
      <w:r>
        <w:rPr>
          <w:rFonts w:ascii="黑体" w:eastAsia="黑体" w:hint="eastAsia"/>
          <w:spacing w:val="-3"/>
          <w:sz w:val="21"/>
        </w:rPr>
        <w:t>规范性引用文件</w:t>
      </w:r>
    </w:p>
    <w:p w:rsidR="00A36D6E">
      <w:pPr>
        <w:pStyle w:val="BodyText"/>
        <w:spacing w:before="7"/>
        <w:rPr>
          <w:rFonts w:ascii="黑体"/>
          <w:sz w:val="29"/>
        </w:rPr>
      </w:pPr>
    </w:p>
    <w:p w:rsidR="00A36D6E">
      <w:pPr>
        <w:pStyle w:val="BodyText"/>
        <w:ind w:left="1697"/>
        <w:rPr>
          <w:lang w:eastAsia="zh-CN"/>
        </w:rPr>
      </w:pPr>
      <w:r>
        <w:rPr>
          <w:lang w:eastAsia="zh-CN"/>
        </w:rPr>
        <w:t>本文件没有规范性引用文件。</w:t>
      </w:r>
    </w:p>
    <w:p w:rsidR="00A36D6E">
      <w:pPr>
        <w:pStyle w:val="BodyText"/>
        <w:spacing w:before="8"/>
        <w:rPr>
          <w:sz w:val="29"/>
          <w:lang w:eastAsia="zh-CN"/>
        </w:rPr>
      </w:pPr>
    </w:p>
    <w:p w:rsidR="00A36D6E">
      <w:pPr>
        <w:pStyle w:val="ListParagraph"/>
        <w:numPr>
          <w:ilvl w:val="0"/>
          <w:numId w:val="23"/>
        </w:numPr>
        <w:tabs>
          <w:tab w:val="left" w:pos="1595"/>
        </w:tabs>
        <w:ind w:hanging="318"/>
        <w:rPr>
          <w:rFonts w:ascii="黑体" w:eastAsia="黑体"/>
          <w:sz w:val="21"/>
        </w:rPr>
      </w:pPr>
      <w:r>
        <w:rPr>
          <w:rFonts w:ascii="黑体" w:eastAsia="黑体" w:hint="eastAsia"/>
          <w:spacing w:val="-3"/>
          <w:sz w:val="21"/>
        </w:rPr>
        <w:t>术语和定义</w:t>
      </w:r>
    </w:p>
    <w:p w:rsidR="00A36D6E">
      <w:pPr>
        <w:pStyle w:val="BodyText"/>
        <w:rPr>
          <w:rFonts w:ascii="黑体"/>
          <w:sz w:val="24"/>
        </w:rPr>
      </w:pPr>
    </w:p>
    <w:p w:rsidR="00A36D6E">
      <w:pPr>
        <w:pStyle w:val="BodyText"/>
        <w:spacing w:before="71"/>
        <w:ind w:left="1697"/>
        <w:rPr>
          <w:lang w:eastAsia="zh-CN"/>
        </w:rPr>
      </w:pPr>
      <w:r>
        <w:rPr>
          <w:lang w:eastAsia="zh-CN"/>
        </w:rPr>
        <w:t>下列术语和定义适用于本文件。</w:t>
      </w:r>
    </w:p>
    <w:p w:rsidR="00A36D6E">
      <w:pPr>
        <w:pStyle w:val="BodyText"/>
        <w:spacing w:before="55"/>
        <w:ind w:left="1277"/>
        <w:rPr>
          <w:rFonts w:ascii="黑体"/>
        </w:rPr>
      </w:pPr>
      <w:r>
        <w:rPr>
          <w:rFonts w:ascii="黑体"/>
        </w:rPr>
        <w:t>3.1</w:t>
      </w:r>
    </w:p>
    <w:p w:rsidR="00A36D6E">
      <w:pPr>
        <w:pStyle w:val="Heading2"/>
        <w:spacing w:before="56"/>
      </w:pPr>
      <w:r>
        <w:rPr>
          <w:rFonts w:ascii="黑体" w:eastAsia="黑体" w:hint="eastAsia"/>
          <w:b w:val="0"/>
        </w:rPr>
        <w:t>生态环境分区管控</w:t>
      </w:r>
      <w:r>
        <w:rPr>
          <w:rFonts w:ascii="黑体" w:eastAsia="黑体" w:hint="eastAsia"/>
          <w:b w:val="0"/>
        </w:rPr>
        <w:t xml:space="preserve"> </w:t>
      </w:r>
      <w:r>
        <w:t>ecological environment zoning control</w:t>
      </w:r>
    </w:p>
    <w:p w:rsidR="00A36D6E">
      <w:pPr>
        <w:pStyle w:val="BodyText"/>
        <w:spacing w:before="54"/>
        <w:ind w:left="1697"/>
      </w:pPr>
      <w:r>
        <w:t>在确定的空间范围内，根据生态环境承载能力、主体功能定位、开发强度和发展潜力，科学精准分</w:t>
      </w:r>
    </w:p>
    <w:p w:rsidR="00A36D6E">
      <w:pPr>
        <w:pStyle w:val="BodyText"/>
        <w:spacing w:before="55"/>
        <w:ind w:left="1277"/>
      </w:pPr>
      <w:r>
        <w:t>区，明确差异化管理要求，形成在生态环境承载限度内开发建设的分区域管控策略。</w:t>
      </w:r>
    </w:p>
    <w:p w:rsidR="00A36D6E">
      <w:pPr>
        <w:pStyle w:val="BodyText"/>
        <w:spacing w:before="55"/>
        <w:ind w:left="1277"/>
        <w:rPr>
          <w:rFonts w:ascii="黑体"/>
        </w:rPr>
      </w:pPr>
      <w:r>
        <w:rPr>
          <w:rFonts w:ascii="黑体"/>
        </w:rPr>
        <w:t>3.2</w:t>
      </w:r>
    </w:p>
    <w:p w:rsidR="00A36D6E">
      <w:pPr>
        <w:spacing w:before="55"/>
        <w:ind w:left="1697"/>
        <w:rPr>
          <w:rFonts w:ascii="Times New Roman" w:eastAsia="Times New Roman"/>
          <w:b/>
          <w:sz w:val="21"/>
          <w:lang w:eastAsia="zh-CN"/>
        </w:rPr>
      </w:pPr>
      <w:r>
        <w:rPr>
          <w:rFonts w:ascii="黑体" w:eastAsia="黑体" w:hint="eastAsia"/>
          <w:sz w:val="21"/>
          <w:lang w:eastAsia="zh-CN"/>
        </w:rPr>
        <w:t>生态空间</w:t>
      </w:r>
      <w:r>
        <w:rPr>
          <w:rFonts w:ascii="黑体" w:eastAsia="黑体" w:hint="eastAsia"/>
          <w:sz w:val="21"/>
          <w:lang w:eastAsia="zh-CN"/>
        </w:rPr>
        <w:t xml:space="preserve"> </w:t>
      </w:r>
      <w:r>
        <w:rPr>
          <w:rFonts w:ascii="Times New Roman" w:eastAsia="Times New Roman"/>
          <w:b/>
          <w:sz w:val="21"/>
          <w:lang w:eastAsia="zh-CN"/>
        </w:rPr>
        <w:t>ecological space</w:t>
      </w:r>
    </w:p>
    <w:p w:rsidR="00A36D6E">
      <w:pPr>
        <w:pStyle w:val="BodyText"/>
        <w:spacing w:before="55" w:line="288" w:lineRule="auto"/>
        <w:ind w:left="1277" w:right="140" w:firstLine="420"/>
        <w:rPr>
          <w:lang w:eastAsia="zh-CN"/>
        </w:rPr>
      </w:pPr>
      <w:r>
        <w:rPr>
          <w:spacing w:val="-12"/>
          <w:lang w:eastAsia="zh-CN"/>
        </w:rPr>
        <w:t>具有自然属性、以提供生态服务或生态产品为主体功能的国土空间，包括森林、草原、湿地、河流、</w:t>
      </w:r>
      <w:r>
        <w:rPr>
          <w:spacing w:val="-13"/>
          <w:lang w:eastAsia="zh-CN"/>
        </w:rPr>
        <w:t>湖泊、滩涂、岸线、海洋、荒地、荒漠、戈壁、冰川、高山冻原、无居民海岛等区域，是保障区域生态</w:t>
      </w:r>
      <w:r>
        <w:rPr>
          <w:spacing w:val="-6"/>
          <w:lang w:eastAsia="zh-CN"/>
        </w:rPr>
        <w:t>系统稳定性、完整性，提供生态服务功能的主要区域。</w:t>
      </w:r>
    </w:p>
    <w:p w:rsidR="00A36D6E">
      <w:pPr>
        <w:pStyle w:val="BodyText"/>
        <w:spacing w:before="4"/>
        <w:ind w:left="1697"/>
        <w:rPr>
          <w:lang w:eastAsia="zh-CN"/>
        </w:rPr>
      </w:pPr>
      <w:r>
        <w:rPr>
          <w:lang w:eastAsia="zh-CN"/>
        </w:rPr>
        <w:t>本文件生态空间包括生态保护红线和一般生态空间。</w:t>
      </w:r>
    </w:p>
    <w:p w:rsidR="00A36D6E">
      <w:pPr>
        <w:pStyle w:val="BodyText"/>
        <w:spacing w:before="55"/>
        <w:ind w:left="1277"/>
        <w:rPr>
          <w:rFonts w:ascii="黑体"/>
          <w:lang w:eastAsia="zh-CN"/>
        </w:rPr>
      </w:pPr>
      <w:r>
        <w:rPr>
          <w:rFonts w:ascii="黑体"/>
          <w:lang w:eastAsia="zh-CN"/>
        </w:rPr>
        <w:t>3.3</w:t>
      </w:r>
    </w:p>
    <w:p w:rsidR="00A36D6E">
      <w:pPr>
        <w:pStyle w:val="Heading2"/>
        <w:rPr>
          <w:lang w:eastAsia="zh-CN"/>
        </w:rPr>
      </w:pPr>
      <w:r>
        <w:rPr>
          <w:rFonts w:ascii="黑体" w:eastAsia="黑体" w:hint="eastAsia"/>
          <w:b w:val="0"/>
          <w:lang w:eastAsia="zh-CN"/>
        </w:rPr>
        <w:t>生态保护红线</w:t>
      </w:r>
      <w:r>
        <w:rPr>
          <w:rFonts w:ascii="黑体" w:eastAsia="黑体" w:hint="eastAsia"/>
          <w:b w:val="0"/>
          <w:lang w:eastAsia="zh-CN"/>
        </w:rPr>
        <w:t xml:space="preserve"> </w:t>
      </w:r>
      <w:r>
        <w:rPr>
          <w:lang w:eastAsia="zh-CN"/>
        </w:rPr>
        <w:t>ecological conservation redline</w:t>
      </w:r>
    </w:p>
    <w:p w:rsidR="00A36D6E">
      <w:pPr>
        <w:pStyle w:val="BodyText"/>
        <w:spacing w:before="55"/>
        <w:ind w:left="1697"/>
        <w:rPr>
          <w:lang w:eastAsia="zh-CN"/>
        </w:rPr>
      </w:pPr>
      <w:r>
        <w:rPr>
          <w:lang w:eastAsia="zh-CN"/>
        </w:rPr>
        <w:t>在生态空间范围内具有特殊重要生态功能、必须强制性严格保护的区域，是保障和维护国家生态安</w:t>
      </w:r>
    </w:p>
    <w:p w:rsidR="00A36D6E">
      <w:pPr>
        <w:pStyle w:val="BodyText"/>
        <w:spacing w:before="55" w:line="288" w:lineRule="auto"/>
        <w:ind w:left="1277" w:right="151"/>
        <w:rPr>
          <w:rFonts w:ascii="黑体" w:eastAsia="黑体"/>
          <w:lang w:eastAsia="zh-CN"/>
        </w:rPr>
      </w:pPr>
      <w:r>
        <w:rPr>
          <w:spacing w:val="-10"/>
          <w:lang w:eastAsia="zh-CN"/>
        </w:rPr>
        <w:t>全的底线和生命线，通常包括具有重要水源涵养、生物多样性维护、水土保持、防风固沙、海岸生态稳</w:t>
      </w:r>
      <w:r>
        <w:rPr>
          <w:spacing w:val="-5"/>
          <w:lang w:eastAsia="zh-CN"/>
        </w:rPr>
        <w:t>定等功能的生态功能重要区域，以及水土流失、土地沙化、石漠化、盐渍化等生态环境敏感脆弱区域。</w:t>
      </w:r>
      <w:r>
        <w:rPr>
          <w:rFonts w:ascii="黑体" w:eastAsia="黑体" w:hint="eastAsia"/>
          <w:spacing w:val="-5"/>
          <w:lang w:eastAsia="zh-CN"/>
        </w:rPr>
        <w:t>3.4</w:t>
      </w:r>
    </w:p>
    <w:p w:rsidR="00A36D6E">
      <w:pPr>
        <w:pStyle w:val="Heading2"/>
        <w:spacing w:before="3"/>
        <w:rPr>
          <w:lang w:eastAsia="zh-CN"/>
        </w:rPr>
      </w:pPr>
      <w:r>
        <w:rPr>
          <w:rFonts w:ascii="黑体" w:eastAsia="黑体" w:hint="eastAsia"/>
          <w:b w:val="0"/>
          <w:lang w:eastAsia="zh-CN"/>
        </w:rPr>
        <w:t>环境质量底线</w:t>
      </w:r>
      <w:r>
        <w:rPr>
          <w:rFonts w:ascii="黑体" w:eastAsia="黑体" w:hint="eastAsia"/>
          <w:b w:val="0"/>
          <w:lang w:eastAsia="zh-CN"/>
        </w:rPr>
        <w:t xml:space="preserve"> </w:t>
      </w:r>
      <w:r>
        <w:rPr>
          <w:lang w:eastAsia="zh-CN"/>
        </w:rPr>
        <w:t>environmental quality bottom line</w:t>
      </w:r>
    </w:p>
    <w:p w:rsidR="00A36D6E">
      <w:pPr>
        <w:pStyle w:val="BodyText"/>
        <w:spacing w:before="55" w:line="288" w:lineRule="auto"/>
        <w:ind w:left="1277" w:right="151" w:firstLine="420"/>
        <w:rPr>
          <w:rFonts w:ascii="黑体" w:eastAsia="黑体"/>
          <w:lang w:eastAsia="zh-CN"/>
        </w:rPr>
      </w:pPr>
      <w:r>
        <w:rPr>
          <w:spacing w:val="-10"/>
          <w:lang w:eastAsia="zh-CN"/>
        </w:rPr>
        <w:t>按照水、大气、土壤环境质量不断优化的原则，结合环境质量现状和相关规划、功能区划要求，考</w:t>
      </w:r>
      <w:r>
        <w:rPr>
          <w:spacing w:val="-5"/>
          <w:lang w:eastAsia="zh-CN"/>
        </w:rPr>
        <w:t>虑环境质量改善潜力，确定的分区域分阶段环境质量目标及相应的环境管控、污染物排放控制等要求。</w:t>
      </w:r>
      <w:r>
        <w:rPr>
          <w:rFonts w:ascii="黑体" w:eastAsia="黑体" w:hint="eastAsia"/>
          <w:spacing w:val="-5"/>
          <w:lang w:eastAsia="zh-CN"/>
        </w:rPr>
        <w:t>3.5</w:t>
      </w:r>
    </w:p>
    <w:p w:rsidR="00A36D6E">
      <w:pPr>
        <w:pStyle w:val="Heading2"/>
        <w:spacing w:before="4"/>
        <w:rPr>
          <w:lang w:eastAsia="zh-CN"/>
        </w:rPr>
      </w:pPr>
      <w:r>
        <w:rPr>
          <w:rFonts w:ascii="黑体" w:eastAsia="黑体" w:hint="eastAsia"/>
          <w:b w:val="0"/>
          <w:lang w:eastAsia="zh-CN"/>
        </w:rPr>
        <w:t>资源利用上线</w:t>
      </w:r>
      <w:r>
        <w:rPr>
          <w:rFonts w:ascii="黑体" w:eastAsia="黑体" w:hint="eastAsia"/>
          <w:b w:val="0"/>
          <w:lang w:eastAsia="zh-CN"/>
        </w:rPr>
        <w:t xml:space="preserve"> </w:t>
      </w:r>
      <w:r>
        <w:rPr>
          <w:lang w:eastAsia="zh-CN"/>
        </w:rPr>
        <w:t>resource utilization upper limit line</w:t>
      </w:r>
    </w:p>
    <w:p w:rsidR="00A36D6E">
      <w:pPr>
        <w:pStyle w:val="BodyText"/>
        <w:spacing w:before="55" w:line="288" w:lineRule="auto"/>
        <w:ind w:left="1277" w:right="245" w:firstLine="420"/>
        <w:rPr>
          <w:lang w:eastAsia="zh-CN"/>
        </w:rPr>
      </w:pPr>
      <w:r>
        <w:rPr>
          <w:spacing w:val="-8"/>
          <w:lang w:eastAsia="zh-CN"/>
        </w:rPr>
        <w:t>以保障生态安全和改善环境质量为目的，结合自然资源开发管控，</w:t>
      </w:r>
      <w:r>
        <w:rPr>
          <w:spacing w:val="-8"/>
          <w:lang w:eastAsia="zh-CN"/>
        </w:rPr>
        <w:t>提出的分区域分阶段的资源开发</w:t>
      </w:r>
      <w:r>
        <w:rPr>
          <w:spacing w:val="-5"/>
          <w:lang w:eastAsia="zh-CN"/>
        </w:rPr>
        <w:t>利用总量、强度、效率等管控要求。</w:t>
      </w:r>
    </w:p>
    <w:p w:rsidR="00A36D6E">
      <w:pPr>
        <w:spacing w:line="288" w:lineRule="auto"/>
        <w:rPr>
          <w:lang w:eastAsia="zh-CN"/>
        </w:rPr>
        <w:sectPr>
          <w:headerReference w:type="even" r:id="rId13"/>
          <w:headerReference w:type="default" r:id="rId14"/>
          <w:footerReference w:type="even" r:id="rId15"/>
          <w:footerReference w:type="default" r:id="rId16"/>
          <w:pgSz w:w="11910" w:h="16840"/>
          <w:pgMar w:top="1540" w:right="1020" w:bottom="1300" w:left="0" w:header="1333" w:footer="1111" w:gutter="0"/>
          <w:pgNumType w:start="1"/>
          <w:cols w:space="720"/>
        </w:sectPr>
      </w:pPr>
    </w:p>
    <w:p w:rsidR="00A36D6E">
      <w:pPr>
        <w:pStyle w:val="BodyText"/>
        <w:spacing w:before="5"/>
        <w:rPr>
          <w:sz w:val="10"/>
          <w:lang w:eastAsia="zh-CN"/>
        </w:rPr>
      </w:pPr>
      <w:r>
        <w:rPr>
          <w:noProof/>
          <w:lang w:eastAsia="zh-CN"/>
        </w:rPr>
        <w:drawing>
          <wp:anchor distT="0" distB="0" distL="0" distR="0" simplePos="0" relativeHeight="25167360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A36D6E">
      <w:pPr>
        <w:pStyle w:val="BodyText"/>
        <w:spacing w:before="71"/>
        <w:ind w:left="1277"/>
        <w:rPr>
          <w:rFonts w:ascii="黑体"/>
          <w:lang w:eastAsia="zh-CN"/>
        </w:rPr>
      </w:pPr>
      <w:r>
        <w:rPr>
          <w:rFonts w:ascii="黑体"/>
          <w:lang w:eastAsia="zh-CN"/>
        </w:rPr>
        <w:t>3.6</w:t>
      </w:r>
    </w:p>
    <w:p w:rsidR="00A36D6E">
      <w:pPr>
        <w:pStyle w:val="Heading2"/>
        <w:rPr>
          <w:lang w:eastAsia="zh-CN"/>
        </w:rPr>
      </w:pPr>
      <w:r>
        <w:rPr>
          <w:rFonts w:ascii="黑体" w:eastAsia="黑体" w:hint="eastAsia"/>
          <w:b w:val="0"/>
          <w:lang w:eastAsia="zh-CN"/>
        </w:rPr>
        <w:t>生态环境管控单元</w:t>
      </w:r>
      <w:r>
        <w:rPr>
          <w:rFonts w:ascii="黑体" w:eastAsia="黑体" w:hint="eastAsia"/>
          <w:b w:val="0"/>
          <w:lang w:eastAsia="zh-CN"/>
        </w:rPr>
        <w:t xml:space="preserve"> </w:t>
      </w:r>
      <w:r>
        <w:rPr>
          <w:lang w:eastAsia="zh-CN"/>
        </w:rPr>
        <w:t>ecological environment control units</w:t>
      </w:r>
    </w:p>
    <w:p w:rsidR="00A36D6E">
      <w:pPr>
        <w:pStyle w:val="BodyText"/>
        <w:spacing w:before="55"/>
        <w:ind w:left="1697"/>
        <w:rPr>
          <w:lang w:eastAsia="zh-CN"/>
        </w:rPr>
      </w:pPr>
      <w:r>
        <w:rPr>
          <w:spacing w:val="-15"/>
          <w:lang w:eastAsia="zh-CN"/>
        </w:rPr>
        <w:t>在一定区域内，集成生态保护红线及一般生态空间、环境质量底线、资源利用上线的各类管控分区，</w:t>
      </w:r>
    </w:p>
    <w:p w:rsidR="00A36D6E">
      <w:pPr>
        <w:pStyle w:val="BodyText"/>
        <w:spacing w:before="55" w:line="288" w:lineRule="auto"/>
        <w:ind w:left="1277" w:right="144"/>
        <w:rPr>
          <w:lang w:eastAsia="zh-CN"/>
        </w:rPr>
      </w:pPr>
      <w:r>
        <w:rPr>
          <w:spacing w:val="-17"/>
          <w:lang w:eastAsia="zh-CN"/>
        </w:rPr>
        <w:t>衔接行政边界，统筹考虑产业园区、规划城镇建设区等因素，划定的全域覆盖的生态环境综合管理单元，</w:t>
      </w:r>
      <w:r>
        <w:rPr>
          <w:spacing w:val="-17"/>
          <w:lang w:eastAsia="zh-CN"/>
        </w:rPr>
        <w:t xml:space="preserve"> </w:t>
      </w:r>
      <w:r>
        <w:rPr>
          <w:spacing w:val="-7"/>
          <w:lang w:eastAsia="zh-CN"/>
        </w:rPr>
        <w:t>包含优先保护单元、重点管控单元和一般管控单元。</w:t>
      </w:r>
    </w:p>
    <w:p w:rsidR="00A36D6E">
      <w:pPr>
        <w:pStyle w:val="BodyText"/>
        <w:spacing w:before="2"/>
        <w:ind w:left="1277"/>
        <w:rPr>
          <w:rFonts w:ascii="黑体"/>
        </w:rPr>
      </w:pPr>
      <w:r>
        <w:rPr>
          <w:rFonts w:ascii="黑体"/>
        </w:rPr>
        <w:t>3.7</w:t>
      </w:r>
    </w:p>
    <w:p w:rsidR="00A36D6E">
      <w:pPr>
        <w:spacing w:before="55"/>
        <w:ind w:left="1697"/>
        <w:rPr>
          <w:rFonts w:ascii="Times New Roman" w:eastAsia="Times New Roman"/>
          <w:b/>
          <w:sz w:val="21"/>
        </w:rPr>
      </w:pPr>
      <w:r>
        <w:rPr>
          <w:rFonts w:ascii="黑体" w:eastAsia="黑体" w:hint="eastAsia"/>
          <w:sz w:val="21"/>
        </w:rPr>
        <w:t>优先保护单元</w:t>
      </w:r>
      <w:r>
        <w:rPr>
          <w:rFonts w:ascii="黑体" w:eastAsia="黑体" w:hint="eastAsia"/>
          <w:sz w:val="21"/>
        </w:rPr>
        <w:t xml:space="preserve"> </w:t>
      </w:r>
      <w:r>
        <w:rPr>
          <w:rFonts w:ascii="Times New Roman" w:eastAsia="Times New Roman"/>
          <w:b/>
          <w:sz w:val="21"/>
        </w:rPr>
        <w:t>priority protection unit</w:t>
      </w:r>
    </w:p>
    <w:p w:rsidR="00A36D6E">
      <w:pPr>
        <w:pStyle w:val="BodyText"/>
        <w:spacing w:before="55" w:line="288" w:lineRule="auto"/>
        <w:ind w:left="1277" w:right="245" w:firstLine="420"/>
      </w:pPr>
      <w:r>
        <w:rPr>
          <w:spacing w:val="-9"/>
        </w:rPr>
        <w:t>生态功能重要、生态环境敏感脆弱的区域，主要包括生态保护红线、自然保护地、饮用水水源保护</w:t>
      </w:r>
      <w:r>
        <w:rPr>
          <w:spacing w:val="-5"/>
        </w:rPr>
        <w:t>区、环境空气一类功能区以及其他法律、法规确定需要开展生态环境保护的区域。</w:t>
      </w:r>
    </w:p>
    <w:p w:rsidR="00A36D6E">
      <w:pPr>
        <w:pStyle w:val="BodyText"/>
        <w:spacing w:before="2"/>
        <w:ind w:left="1277"/>
        <w:rPr>
          <w:rFonts w:ascii="黑体"/>
        </w:rPr>
      </w:pPr>
      <w:r>
        <w:rPr>
          <w:rFonts w:ascii="黑体"/>
        </w:rPr>
        <w:t>3.8</w:t>
      </w:r>
    </w:p>
    <w:p w:rsidR="00A36D6E">
      <w:pPr>
        <w:spacing w:before="56"/>
        <w:ind w:left="1697"/>
        <w:rPr>
          <w:rFonts w:ascii="Times New Roman" w:eastAsia="Times New Roman"/>
          <w:b/>
          <w:sz w:val="21"/>
        </w:rPr>
      </w:pPr>
      <w:r>
        <w:rPr>
          <w:rFonts w:ascii="黑体" w:eastAsia="黑体" w:hint="eastAsia"/>
          <w:sz w:val="21"/>
        </w:rPr>
        <w:t>重点管控单元</w:t>
      </w:r>
      <w:r>
        <w:rPr>
          <w:rFonts w:ascii="黑体" w:eastAsia="黑体" w:hint="eastAsia"/>
          <w:sz w:val="21"/>
        </w:rPr>
        <w:t xml:space="preserve"> </w:t>
      </w:r>
      <w:r>
        <w:rPr>
          <w:rFonts w:ascii="Times New Roman" w:eastAsia="Times New Roman"/>
          <w:b/>
          <w:sz w:val="21"/>
        </w:rPr>
        <w:t>key control unit</w:t>
      </w:r>
    </w:p>
    <w:p w:rsidR="00A36D6E">
      <w:pPr>
        <w:pStyle w:val="BodyText"/>
        <w:spacing w:before="55" w:line="288" w:lineRule="auto"/>
        <w:ind w:left="1277" w:right="245" w:firstLine="420"/>
        <w:rPr>
          <w:lang w:eastAsia="zh-CN"/>
        </w:rPr>
      </w:pPr>
      <w:r>
        <w:rPr>
          <w:spacing w:val="-10"/>
          <w:lang w:eastAsia="zh-CN"/>
        </w:rPr>
        <w:t>环境质量改善压力大、资源能源消耗强度高、污染物排放集中、生态破坏突出、生态环境风险</w:t>
      </w:r>
      <w:r>
        <w:rPr>
          <w:spacing w:val="-10"/>
          <w:lang w:eastAsia="zh-CN"/>
        </w:rPr>
        <w:t>高的</w:t>
      </w:r>
      <w:r>
        <w:rPr>
          <w:spacing w:val="-5"/>
          <w:lang w:eastAsia="zh-CN"/>
        </w:rPr>
        <w:t>区域，主要包括人口和产业集聚区、资源开发利用活动集中区。</w:t>
      </w:r>
    </w:p>
    <w:p w:rsidR="00A36D6E">
      <w:pPr>
        <w:pStyle w:val="BodyText"/>
        <w:spacing w:before="2"/>
        <w:ind w:left="1277"/>
        <w:rPr>
          <w:rFonts w:ascii="黑体"/>
        </w:rPr>
      </w:pPr>
      <w:r>
        <w:rPr>
          <w:rFonts w:ascii="黑体"/>
        </w:rPr>
        <w:t>3.9</w:t>
      </w:r>
    </w:p>
    <w:p w:rsidR="00A36D6E">
      <w:pPr>
        <w:spacing w:before="55"/>
        <w:ind w:left="1697"/>
        <w:rPr>
          <w:rFonts w:ascii="Times New Roman" w:eastAsia="Times New Roman"/>
          <w:b/>
          <w:sz w:val="21"/>
        </w:rPr>
      </w:pPr>
      <w:r>
        <w:rPr>
          <w:rFonts w:ascii="黑体" w:eastAsia="黑体" w:hint="eastAsia"/>
          <w:sz w:val="21"/>
        </w:rPr>
        <w:t>一般管控单元</w:t>
      </w:r>
      <w:r>
        <w:rPr>
          <w:rFonts w:ascii="黑体" w:eastAsia="黑体" w:hint="eastAsia"/>
          <w:sz w:val="21"/>
        </w:rPr>
        <w:t xml:space="preserve"> </w:t>
      </w:r>
      <w:r>
        <w:rPr>
          <w:rFonts w:ascii="Times New Roman" w:eastAsia="Times New Roman"/>
          <w:b/>
          <w:sz w:val="21"/>
        </w:rPr>
        <w:t>general control unit</w:t>
      </w:r>
    </w:p>
    <w:p w:rsidR="00A36D6E">
      <w:pPr>
        <w:pStyle w:val="BodyText"/>
        <w:spacing w:before="55"/>
        <w:ind w:left="1697"/>
      </w:pPr>
      <w:r>
        <w:t>优先保护单元和重点管控单元之外的其他区域。</w:t>
      </w:r>
    </w:p>
    <w:p w:rsidR="00A36D6E">
      <w:pPr>
        <w:pStyle w:val="BodyText"/>
        <w:spacing w:before="55"/>
        <w:ind w:left="1277"/>
        <w:rPr>
          <w:rFonts w:ascii="黑体"/>
        </w:rPr>
      </w:pPr>
      <w:r>
        <w:rPr>
          <w:rFonts w:ascii="黑体"/>
        </w:rPr>
        <w:t>3.10</w:t>
      </w:r>
    </w:p>
    <w:p w:rsidR="00A36D6E">
      <w:pPr>
        <w:spacing w:before="55"/>
        <w:ind w:left="1697"/>
        <w:rPr>
          <w:rFonts w:ascii="Times New Roman" w:eastAsia="Times New Roman"/>
          <w:b/>
          <w:sz w:val="21"/>
        </w:rPr>
      </w:pPr>
      <w:r>
        <w:rPr>
          <w:rFonts w:ascii="黑体" w:eastAsia="黑体" w:hint="eastAsia"/>
          <w:sz w:val="21"/>
        </w:rPr>
        <w:t>生态环境准入清单</w:t>
      </w:r>
      <w:r>
        <w:rPr>
          <w:rFonts w:ascii="黑体" w:eastAsia="黑体" w:hint="eastAsia"/>
          <w:sz w:val="21"/>
        </w:rPr>
        <w:t xml:space="preserve"> </w:t>
      </w:r>
      <w:r>
        <w:rPr>
          <w:rFonts w:ascii="Times New Roman" w:eastAsia="Times New Roman"/>
          <w:b/>
          <w:sz w:val="21"/>
        </w:rPr>
        <w:t>ecological environment access list</w:t>
      </w:r>
    </w:p>
    <w:p w:rsidR="00A36D6E">
      <w:pPr>
        <w:pStyle w:val="BodyText"/>
        <w:spacing w:before="55" w:line="288" w:lineRule="auto"/>
        <w:ind w:left="1277" w:right="245" w:firstLine="420"/>
        <w:jc w:val="both"/>
      </w:pPr>
      <w:r>
        <w:rPr>
          <w:spacing w:val="-9"/>
        </w:rPr>
        <w:t>基于生态环境管控单元，统筹考虑生态保护红线、环境质量底线、资源利用上线的管控要求，从空</w:t>
      </w:r>
      <w:r>
        <w:rPr>
          <w:spacing w:val="-4"/>
        </w:rPr>
        <w:t>间布局约束、污染物排放管控、环境风险防控、资源开发效率要求等方面，以</w:t>
      </w:r>
      <w:r>
        <w:rPr>
          <w:spacing w:val="-4"/>
        </w:rPr>
        <w:t>“</w:t>
      </w:r>
      <w:r>
        <w:rPr>
          <w:spacing w:val="-4"/>
        </w:rPr>
        <w:t>一单元一策略</w:t>
      </w:r>
      <w:r>
        <w:rPr>
          <w:spacing w:val="-4"/>
        </w:rPr>
        <w:t xml:space="preserve">” </w:t>
      </w:r>
      <w:r>
        <w:rPr>
          <w:spacing w:val="-4"/>
        </w:rPr>
        <w:t>的清</w:t>
      </w:r>
      <w:r>
        <w:rPr>
          <w:spacing w:val="-3"/>
        </w:rPr>
        <w:t>单形式提出的生态环境准入要求。</w:t>
      </w:r>
    </w:p>
    <w:p w:rsidR="00A36D6E">
      <w:pPr>
        <w:pStyle w:val="BodyText"/>
        <w:spacing w:before="4"/>
        <w:ind w:left="1277"/>
        <w:rPr>
          <w:rFonts w:ascii="黑体"/>
        </w:rPr>
      </w:pPr>
      <w:r>
        <w:rPr>
          <w:rFonts w:ascii="黑体"/>
        </w:rPr>
        <w:t>3.11</w:t>
      </w:r>
    </w:p>
    <w:p w:rsidR="00A36D6E">
      <w:pPr>
        <w:pStyle w:val="Heading2"/>
      </w:pPr>
      <w:r>
        <w:rPr>
          <w:rFonts w:ascii="黑体" w:eastAsia="黑体" w:hint="eastAsia"/>
          <w:b w:val="0"/>
        </w:rPr>
        <w:t>要素属性</w:t>
      </w:r>
      <w:r>
        <w:rPr>
          <w:rFonts w:ascii="黑体" w:eastAsia="黑体" w:hint="eastAsia"/>
          <w:b w:val="0"/>
        </w:rPr>
        <w:t xml:space="preserve"> </w:t>
      </w:r>
      <w:r>
        <w:t>attributes of elements</w:t>
      </w:r>
    </w:p>
    <w:p w:rsidR="00A36D6E">
      <w:pPr>
        <w:pStyle w:val="BodyText"/>
        <w:spacing w:before="55" w:line="288" w:lineRule="auto"/>
        <w:ind w:left="1277" w:right="245" w:firstLine="420"/>
      </w:pPr>
      <w:r>
        <w:rPr>
          <w:spacing w:val="-9"/>
        </w:rPr>
        <w:t>生态保护红线及一般生态空间、环境质量底线、资源利用上线包含的各类生态环境管控分区涉及的</w:t>
      </w:r>
      <w:r>
        <w:rPr>
          <w:spacing w:val="-5"/>
        </w:rPr>
        <w:t>各要素的功能和性质。</w:t>
      </w:r>
    </w:p>
    <w:p w:rsidR="00A36D6E">
      <w:pPr>
        <w:pStyle w:val="BodyText"/>
        <w:spacing w:before="2"/>
        <w:ind w:left="1277"/>
        <w:rPr>
          <w:rFonts w:ascii="黑体"/>
        </w:rPr>
      </w:pPr>
      <w:r>
        <w:rPr>
          <w:rFonts w:ascii="黑体"/>
        </w:rPr>
        <w:t>3.12</w:t>
      </w:r>
    </w:p>
    <w:p w:rsidR="00A36D6E">
      <w:pPr>
        <w:spacing w:before="55"/>
        <w:ind w:left="1697"/>
        <w:rPr>
          <w:rFonts w:ascii="Times New Roman" w:eastAsia="Times New Roman"/>
          <w:b/>
          <w:sz w:val="21"/>
        </w:rPr>
      </w:pPr>
      <w:r>
        <w:rPr>
          <w:rFonts w:ascii="黑体" w:eastAsia="黑体" w:hint="eastAsia"/>
          <w:sz w:val="21"/>
        </w:rPr>
        <w:t>产业园区</w:t>
      </w:r>
      <w:r>
        <w:rPr>
          <w:rFonts w:ascii="黑体" w:eastAsia="黑体" w:hint="eastAsia"/>
          <w:sz w:val="21"/>
        </w:rPr>
        <w:t xml:space="preserve"> </w:t>
      </w:r>
      <w:r>
        <w:rPr>
          <w:rFonts w:ascii="Times New Roman" w:eastAsia="Times New Roman"/>
          <w:b/>
          <w:sz w:val="21"/>
        </w:rPr>
        <w:t>industrial park</w:t>
      </w:r>
    </w:p>
    <w:p w:rsidR="00A36D6E">
      <w:pPr>
        <w:pStyle w:val="BodyText"/>
        <w:spacing w:before="55" w:line="288" w:lineRule="auto"/>
        <w:ind w:left="1277" w:right="245" w:firstLine="420"/>
      </w:pPr>
      <w:r>
        <w:rPr>
          <w:spacing w:val="-9"/>
        </w:rPr>
        <w:t>经各级人民政府依法批准设立，具有统一管理机构及产业集群特征的特定规划区域。主要目的是引</w:t>
      </w:r>
      <w:r>
        <w:rPr>
          <w:spacing w:val="-5"/>
        </w:rPr>
        <w:t>导产业集中布局、集聚发展，优化配置各种生产要素，并配套建设公共基础设施。</w:t>
      </w:r>
    </w:p>
    <w:p w:rsidR="00A36D6E">
      <w:pPr>
        <w:pStyle w:val="BodyText"/>
        <w:spacing w:before="2" w:line="290" w:lineRule="auto"/>
        <w:ind w:left="1277" w:right="245" w:firstLine="420"/>
        <w:rPr>
          <w:lang w:eastAsia="zh-CN"/>
        </w:rPr>
      </w:pPr>
      <w:r>
        <w:rPr>
          <w:spacing w:val="-10"/>
          <w:lang w:eastAsia="zh-CN"/>
        </w:rPr>
        <w:t>本文件中的产业园区指《湖南省省级及以上产业园区边界面积及四至范围目录》中确定的省级及以</w:t>
      </w:r>
      <w:r>
        <w:rPr>
          <w:spacing w:val="-5"/>
          <w:lang w:eastAsia="zh-CN"/>
        </w:rPr>
        <w:t>上产业园区，以及后续经同级核定确认的省级及以上产业园区。</w:t>
      </w:r>
    </w:p>
    <w:p w:rsidR="00A36D6E">
      <w:pPr>
        <w:pStyle w:val="BodyText"/>
        <w:spacing w:before="1"/>
        <w:rPr>
          <w:sz w:val="25"/>
          <w:lang w:eastAsia="zh-CN"/>
        </w:rPr>
      </w:pPr>
    </w:p>
    <w:p w:rsidR="00A36D6E">
      <w:pPr>
        <w:pStyle w:val="BodyText"/>
        <w:ind w:left="1277"/>
        <w:rPr>
          <w:rFonts w:ascii="黑体"/>
        </w:rPr>
      </w:pPr>
      <w:r>
        <w:rPr>
          <w:rFonts w:ascii="黑体"/>
        </w:rPr>
        <w:t>3.13</w:t>
      </w:r>
    </w:p>
    <w:p w:rsidR="00A36D6E">
      <w:pPr>
        <w:pStyle w:val="Heading2"/>
      </w:pPr>
      <w:r>
        <w:rPr>
          <w:rFonts w:ascii="黑体" w:eastAsia="黑体" w:hint="eastAsia"/>
          <w:b w:val="0"/>
        </w:rPr>
        <w:t>环境敏感区</w:t>
      </w:r>
      <w:r>
        <w:rPr>
          <w:rFonts w:ascii="黑体" w:eastAsia="黑体" w:hint="eastAsia"/>
          <w:b w:val="0"/>
        </w:rPr>
        <w:t xml:space="preserve"> </w:t>
      </w:r>
      <w:r>
        <w:t>environmental sensitive area</w:t>
      </w:r>
    </w:p>
    <w:p w:rsidR="00A36D6E">
      <w:pPr>
        <w:pStyle w:val="BodyText"/>
        <w:spacing w:before="55" w:line="288" w:lineRule="auto"/>
        <w:ind w:left="1277" w:right="259" w:firstLine="420"/>
      </w:pPr>
      <w:r>
        <w:t>依法设立的各级各类保护区域和对规划和建设项目实施产生的环境影响特别敏感的区域，主要包括：</w:t>
      </w:r>
    </w:p>
    <w:p w:rsidR="00A36D6E">
      <w:pPr>
        <w:pStyle w:val="ListParagraph"/>
        <w:numPr>
          <w:ilvl w:val="1"/>
          <w:numId w:val="23"/>
        </w:numPr>
        <w:tabs>
          <w:tab w:val="left" w:pos="2120"/>
        </w:tabs>
        <w:spacing w:before="2"/>
        <w:rPr>
          <w:sz w:val="21"/>
        </w:rPr>
      </w:pPr>
      <w:r>
        <w:rPr>
          <w:spacing w:val="-3"/>
          <w:sz w:val="21"/>
        </w:rPr>
        <w:t>国家公园、自然保护区、风景名胜区、世界文化和自然遗产地、饮用水水源保护区；</w:t>
      </w:r>
    </w:p>
    <w:p w:rsidR="00A36D6E">
      <w:pPr>
        <w:pStyle w:val="ListParagraph"/>
        <w:numPr>
          <w:ilvl w:val="1"/>
          <w:numId w:val="23"/>
        </w:numPr>
        <w:tabs>
          <w:tab w:val="left" w:pos="2113"/>
        </w:tabs>
        <w:spacing w:before="55" w:line="288" w:lineRule="auto"/>
        <w:ind w:left="2117" w:right="245" w:hanging="420"/>
        <w:jc w:val="both"/>
        <w:rPr>
          <w:sz w:val="21"/>
        </w:rPr>
      </w:pPr>
      <w:r>
        <w:rPr>
          <w:spacing w:val="-9"/>
          <w:sz w:val="21"/>
        </w:rPr>
        <w:t>除</w:t>
      </w:r>
      <w:r>
        <w:rPr>
          <w:spacing w:val="-9"/>
          <w:sz w:val="21"/>
        </w:rPr>
        <w:t xml:space="preserve"> </w:t>
      </w:r>
      <w:r>
        <w:rPr>
          <w:spacing w:val="-5"/>
          <w:sz w:val="21"/>
        </w:rPr>
        <w:t>a</w:t>
      </w:r>
      <w:r>
        <w:rPr>
          <w:spacing w:val="-5"/>
          <w:sz w:val="21"/>
        </w:rPr>
        <w:t>）</w:t>
      </w:r>
      <w:r>
        <w:rPr>
          <w:spacing w:val="-7"/>
          <w:sz w:val="21"/>
        </w:rPr>
        <w:t>外的生态保护红线管控范围，永久基本农田、基本草原、自然公园</w:t>
      </w:r>
      <w:r>
        <w:rPr>
          <w:sz w:val="21"/>
        </w:rPr>
        <w:t>（</w:t>
      </w:r>
      <w:r>
        <w:rPr>
          <w:spacing w:val="-4"/>
          <w:sz w:val="21"/>
        </w:rPr>
        <w:t>森林公园、地质公园等</w:t>
      </w:r>
      <w:r>
        <w:rPr>
          <w:spacing w:val="-106"/>
          <w:sz w:val="21"/>
        </w:rPr>
        <w:t>）</w:t>
      </w:r>
      <w:r>
        <w:rPr>
          <w:spacing w:val="-3"/>
          <w:sz w:val="21"/>
        </w:rPr>
        <w:t>、重要湿地、天然林，重点保护野生动物栖息地，重点保护野生植物生长繁殖地，重要</w:t>
      </w:r>
      <w:r>
        <w:rPr>
          <w:spacing w:val="-10"/>
          <w:sz w:val="21"/>
        </w:rPr>
        <w:t>水生生物的自然产卵场、索饵场、越冬场和洄游通道，天然渔场，水土流失重点预防区和重点</w:t>
      </w:r>
      <w:r>
        <w:rPr>
          <w:spacing w:val="-5"/>
          <w:sz w:val="21"/>
        </w:rPr>
        <w:t>治理区、沙化土地封禁保护区；</w:t>
      </w:r>
    </w:p>
    <w:p w:rsidR="00A36D6E">
      <w:pPr>
        <w:pStyle w:val="ListParagraph"/>
        <w:numPr>
          <w:ilvl w:val="1"/>
          <w:numId w:val="23"/>
        </w:numPr>
        <w:tabs>
          <w:tab w:val="left" w:pos="2120"/>
        </w:tabs>
        <w:spacing w:before="5"/>
        <w:jc w:val="both"/>
        <w:rPr>
          <w:sz w:val="21"/>
        </w:rPr>
      </w:pPr>
      <w:r>
        <w:rPr>
          <w:spacing w:val="-3"/>
          <w:sz w:val="21"/>
        </w:rPr>
        <w:t>以居住、医疗卫生、文化教育、科研、行政办公为主要功能的区域，以及文物保护单位。</w:t>
      </w:r>
    </w:p>
    <w:p w:rsidR="00A36D6E">
      <w:pPr>
        <w:jc w:val="both"/>
        <w:rPr>
          <w:sz w:val="21"/>
        </w:rPr>
        <w:sectPr>
          <w:headerReference w:type="even" r:id="rId17"/>
          <w:headerReference w:type="default" r:id="rId18"/>
          <w:footerReference w:type="even" r:id="rId19"/>
          <w:footerReference w:type="default" r:id="rId20"/>
          <w:pgSz w:w="11910" w:h="16840"/>
          <w:pgMar w:top="1540" w:right="1020" w:bottom="1300" w:left="0" w:header="1335" w:footer="1111" w:gutter="0"/>
          <w:pgNumType w:start="2"/>
          <w:cols w:space="720"/>
        </w:sectPr>
      </w:pPr>
    </w:p>
    <w:p w:rsidR="00A36D6E">
      <w:pPr>
        <w:pStyle w:val="BodyText"/>
        <w:spacing w:before="2"/>
        <w:rPr>
          <w:sz w:val="10"/>
        </w:rPr>
      </w:pPr>
      <w:r>
        <w:rPr>
          <w:noProof/>
          <w:lang w:eastAsia="zh-CN"/>
        </w:rPr>
        <w:drawing>
          <wp:anchor distT="0" distB="0" distL="0" distR="0" simplePos="0" relativeHeight="25167462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A36D6E">
      <w:pPr>
        <w:pStyle w:val="BodyText"/>
        <w:spacing w:before="72"/>
        <w:ind w:left="1277"/>
        <w:rPr>
          <w:rFonts w:ascii="黑体"/>
        </w:rPr>
      </w:pPr>
      <w:r>
        <w:rPr>
          <w:rFonts w:ascii="黑体"/>
        </w:rPr>
        <w:t>3.14</w:t>
      </w:r>
    </w:p>
    <w:p w:rsidR="00A36D6E">
      <w:pPr>
        <w:pStyle w:val="Heading2"/>
      </w:pPr>
      <w:r>
        <w:rPr>
          <w:rFonts w:ascii="黑体" w:eastAsia="黑体" w:hint="eastAsia"/>
          <w:b w:val="0"/>
        </w:rPr>
        <w:t>生态环境分区管控体系</w:t>
      </w:r>
      <w:r>
        <w:rPr>
          <w:rFonts w:ascii="黑体" w:eastAsia="黑体" w:hint="eastAsia"/>
          <w:b w:val="0"/>
        </w:rPr>
        <w:t xml:space="preserve"> </w:t>
      </w:r>
      <w:r>
        <w:t>ecological environment zoning control system</w:t>
      </w:r>
    </w:p>
    <w:p w:rsidR="00A36D6E">
      <w:pPr>
        <w:pStyle w:val="BodyText"/>
        <w:spacing w:before="55" w:line="288" w:lineRule="auto"/>
        <w:ind w:left="1277" w:right="247" w:firstLine="420"/>
        <w:jc w:val="both"/>
      </w:pPr>
      <w:r>
        <w:rPr>
          <w:spacing w:val="-8"/>
        </w:rPr>
        <w:t>以保障生态功能和改善环境质量目标为核心，将生态保护红线、环境质量底线、资源利用上线的要</w:t>
      </w:r>
      <w:r>
        <w:rPr>
          <w:spacing w:val="-11"/>
        </w:rPr>
        <w:t>求，落实到区域空间上，根据区域空间生态环境属性的管控要求，制定生态环境准入清单，并落实到具</w:t>
      </w:r>
      <w:r>
        <w:rPr>
          <w:spacing w:val="-12"/>
        </w:rPr>
        <w:t>体的生态环境管控单元，形成以生态保护红线、环境质量底线、资源利用上线和生态环境准入清单为核</w:t>
      </w:r>
      <w:r>
        <w:rPr>
          <w:spacing w:val="-6"/>
        </w:rPr>
        <w:t>心的生态环境分区管控体系。</w:t>
      </w:r>
    </w:p>
    <w:p w:rsidR="00A36D6E">
      <w:pPr>
        <w:pStyle w:val="BodyText"/>
        <w:spacing w:before="8"/>
        <w:rPr>
          <w:sz w:val="25"/>
        </w:rPr>
      </w:pPr>
    </w:p>
    <w:p w:rsidR="00A36D6E">
      <w:pPr>
        <w:pStyle w:val="ListParagraph"/>
        <w:numPr>
          <w:ilvl w:val="0"/>
          <w:numId w:val="23"/>
        </w:numPr>
        <w:tabs>
          <w:tab w:val="left" w:pos="1595"/>
        </w:tabs>
        <w:ind w:hanging="318"/>
        <w:rPr>
          <w:rFonts w:ascii="黑体" w:eastAsia="黑体"/>
          <w:sz w:val="21"/>
        </w:rPr>
      </w:pPr>
      <w:r>
        <w:rPr>
          <w:rFonts w:ascii="黑体" w:eastAsia="黑体" w:hint="eastAsia"/>
          <w:spacing w:val="-3"/>
          <w:sz w:val="21"/>
        </w:rPr>
        <w:t>编制原则</w:t>
      </w:r>
    </w:p>
    <w:p w:rsidR="00A36D6E">
      <w:pPr>
        <w:pStyle w:val="BodyText"/>
        <w:spacing w:before="10"/>
        <w:rPr>
          <w:rFonts w:ascii="黑体"/>
          <w:sz w:val="29"/>
        </w:rPr>
      </w:pPr>
    </w:p>
    <w:p w:rsidR="00A36D6E">
      <w:pPr>
        <w:pStyle w:val="ListParagraph"/>
        <w:numPr>
          <w:ilvl w:val="1"/>
          <w:numId w:val="22"/>
        </w:numPr>
        <w:tabs>
          <w:tab w:val="left" w:pos="1803"/>
        </w:tabs>
        <w:rPr>
          <w:rFonts w:ascii="黑体" w:eastAsia="黑体"/>
          <w:sz w:val="21"/>
        </w:rPr>
      </w:pPr>
      <w:r>
        <w:rPr>
          <w:rFonts w:ascii="黑体" w:eastAsia="黑体" w:hint="eastAsia"/>
          <w:spacing w:val="-3"/>
          <w:sz w:val="21"/>
        </w:rPr>
        <w:t>以目标和问题为导向</w:t>
      </w:r>
    </w:p>
    <w:p w:rsidR="00A36D6E">
      <w:pPr>
        <w:pStyle w:val="BodyText"/>
        <w:spacing w:before="4"/>
        <w:rPr>
          <w:rFonts w:ascii="黑体"/>
          <w:sz w:val="16"/>
        </w:rPr>
      </w:pPr>
    </w:p>
    <w:p w:rsidR="00A36D6E">
      <w:pPr>
        <w:pStyle w:val="BodyText"/>
        <w:spacing w:line="288" w:lineRule="auto"/>
        <w:ind w:left="1277" w:right="245" w:firstLine="420"/>
        <w:jc w:val="both"/>
      </w:pPr>
      <w:r>
        <w:rPr>
          <w:spacing w:val="-8"/>
        </w:rPr>
        <w:t>以区域阶段性生态环境管理目标为基础，针对区域空间、流域空间生态环境现状和战略发展中面临</w:t>
      </w:r>
      <w:r>
        <w:rPr>
          <w:spacing w:val="-5"/>
        </w:rPr>
        <w:t>的重要生态环境问题，结合碳达峰碳中和、减污降碳协同增效主要目标，从省、市</w:t>
      </w:r>
      <w:r>
        <w:t>（州</w:t>
      </w:r>
      <w:r>
        <w:rPr>
          <w:spacing w:val="-108"/>
        </w:rPr>
        <w:t>）</w:t>
      </w:r>
      <w:r>
        <w:rPr>
          <w:spacing w:val="-2"/>
        </w:rPr>
        <w:t>、产业园区、</w:t>
      </w:r>
      <w:r>
        <w:rPr>
          <w:spacing w:val="-13"/>
        </w:rPr>
        <w:t>县</w:t>
      </w:r>
      <w:r>
        <w:t>（</w:t>
      </w:r>
      <w:r>
        <w:rPr>
          <w:spacing w:val="-7"/>
        </w:rPr>
        <w:t>市、区</w:t>
      </w:r>
      <w:r>
        <w:rPr>
          <w:spacing w:val="-13"/>
        </w:rPr>
        <w:t>）</w:t>
      </w:r>
      <w:r>
        <w:rPr>
          <w:spacing w:val="-7"/>
        </w:rPr>
        <w:t>和乡镇</w:t>
      </w:r>
      <w:r>
        <w:t>（</w:t>
      </w:r>
      <w:r>
        <w:rPr>
          <w:spacing w:val="-2"/>
        </w:rPr>
        <w:t>街道</w:t>
      </w:r>
      <w:r>
        <w:rPr>
          <w:spacing w:val="-13"/>
        </w:rPr>
        <w:t>）</w:t>
      </w:r>
      <w:r>
        <w:rPr>
          <w:spacing w:val="-7"/>
        </w:rPr>
        <w:t>层层分解问题，提出管控对策，实现生态环境目标管理要求，持续改善区</w:t>
      </w:r>
      <w:r>
        <w:rPr>
          <w:spacing w:val="-5"/>
        </w:rPr>
        <w:t>域生态环境质量。</w:t>
      </w:r>
    </w:p>
    <w:p w:rsidR="00A36D6E">
      <w:pPr>
        <w:pStyle w:val="ListParagraph"/>
        <w:numPr>
          <w:ilvl w:val="1"/>
          <w:numId w:val="22"/>
        </w:numPr>
        <w:tabs>
          <w:tab w:val="left" w:pos="1803"/>
        </w:tabs>
        <w:spacing w:before="163"/>
        <w:rPr>
          <w:rFonts w:ascii="黑体" w:eastAsia="黑体"/>
          <w:sz w:val="21"/>
        </w:rPr>
      </w:pPr>
      <w:r>
        <w:rPr>
          <w:rFonts w:ascii="黑体" w:eastAsia="黑体" w:hint="eastAsia"/>
          <w:spacing w:val="-3"/>
          <w:sz w:val="21"/>
        </w:rPr>
        <w:t>以法律法规为准绳</w:t>
      </w:r>
    </w:p>
    <w:p w:rsidR="00A36D6E">
      <w:pPr>
        <w:pStyle w:val="BodyText"/>
        <w:spacing w:before="3"/>
        <w:rPr>
          <w:rFonts w:ascii="黑体"/>
          <w:sz w:val="16"/>
        </w:rPr>
      </w:pPr>
    </w:p>
    <w:p w:rsidR="00A36D6E">
      <w:pPr>
        <w:pStyle w:val="BodyText"/>
        <w:spacing w:line="288" w:lineRule="auto"/>
        <w:ind w:left="1277" w:right="151" w:firstLine="420"/>
      </w:pPr>
      <w:r>
        <w:rPr>
          <w:spacing w:val="-7"/>
        </w:rPr>
        <w:t>以与生态环境分区管控相关的国家和地方法律法规、各类规划计划、政策文件、标准和规划环评成</w:t>
      </w:r>
      <w:r>
        <w:rPr>
          <w:spacing w:val="-5"/>
        </w:rPr>
        <w:t>果等为依据，基于生态环境管控单元，编制生态环境准入清单，确保生态环境分区管控措施有据可依。</w:t>
      </w:r>
    </w:p>
    <w:p w:rsidR="00A36D6E">
      <w:pPr>
        <w:pStyle w:val="ListParagraph"/>
        <w:numPr>
          <w:ilvl w:val="1"/>
          <w:numId w:val="22"/>
        </w:numPr>
        <w:tabs>
          <w:tab w:val="left" w:pos="1803"/>
        </w:tabs>
        <w:spacing w:before="161"/>
        <w:rPr>
          <w:rFonts w:ascii="黑体" w:eastAsia="黑体"/>
          <w:sz w:val="21"/>
        </w:rPr>
      </w:pPr>
      <w:r>
        <w:rPr>
          <w:rFonts w:ascii="黑体" w:eastAsia="黑体" w:hint="eastAsia"/>
          <w:spacing w:val="-3"/>
          <w:sz w:val="21"/>
        </w:rPr>
        <w:t>与要素属性相对应</w:t>
      </w:r>
    </w:p>
    <w:p w:rsidR="00A36D6E">
      <w:pPr>
        <w:pStyle w:val="BodyText"/>
        <w:spacing w:before="4"/>
        <w:rPr>
          <w:rFonts w:ascii="黑体"/>
          <w:sz w:val="16"/>
        </w:rPr>
      </w:pPr>
    </w:p>
    <w:p w:rsidR="00A36D6E">
      <w:pPr>
        <w:pStyle w:val="BodyText"/>
        <w:spacing w:line="288" w:lineRule="auto"/>
        <w:ind w:left="1277" w:right="245" w:firstLine="420"/>
        <w:jc w:val="both"/>
      </w:pPr>
      <w:r>
        <w:rPr>
          <w:spacing w:val="-9"/>
        </w:rPr>
        <w:t>以生态环境管控单元对应的要素属性、面临的重要生态环境问题以及需要实现的生态环境保护目标和碳达峰行动目标</w:t>
      </w:r>
      <w:r>
        <w:rPr>
          <w:spacing w:val="-106"/>
        </w:rPr>
        <w:t>（</w:t>
      </w:r>
      <w:r>
        <w:rPr>
          <w:spacing w:val="-3"/>
        </w:rPr>
        <w:t>《湖南省碳达峰实施方案</w:t>
      </w:r>
      <w:r>
        <w:rPr>
          <w:spacing w:val="-20"/>
        </w:rPr>
        <w:t>》《湖南省减污降碳协同增效实施方案》</w:t>
      </w:r>
      <w:r>
        <w:rPr>
          <w:spacing w:val="-71"/>
        </w:rPr>
        <w:t>）</w:t>
      </w:r>
      <w:r>
        <w:rPr>
          <w:spacing w:val="-12"/>
        </w:rPr>
        <w:t>，来确定其管控的</w:t>
      </w:r>
      <w:r>
        <w:rPr>
          <w:spacing w:val="-6"/>
        </w:rPr>
        <w:t>重点和对策要求，分层级纳入生态环境准入清单以确保其管控得当。</w:t>
      </w:r>
    </w:p>
    <w:p w:rsidR="00A36D6E">
      <w:pPr>
        <w:pStyle w:val="ListParagraph"/>
        <w:numPr>
          <w:ilvl w:val="1"/>
          <w:numId w:val="22"/>
        </w:numPr>
        <w:tabs>
          <w:tab w:val="left" w:pos="1803"/>
        </w:tabs>
        <w:spacing w:before="162"/>
        <w:rPr>
          <w:rFonts w:ascii="黑体" w:eastAsia="黑体"/>
          <w:sz w:val="21"/>
        </w:rPr>
      </w:pPr>
      <w:r>
        <w:rPr>
          <w:rFonts w:ascii="黑体" w:eastAsia="黑体" w:hint="eastAsia"/>
          <w:spacing w:val="-3"/>
          <w:sz w:val="21"/>
        </w:rPr>
        <w:t>与产业发展相结合</w:t>
      </w:r>
    </w:p>
    <w:p w:rsidR="00A36D6E">
      <w:pPr>
        <w:pStyle w:val="BodyText"/>
        <w:spacing w:before="3"/>
        <w:rPr>
          <w:rFonts w:ascii="黑体"/>
          <w:sz w:val="16"/>
        </w:rPr>
      </w:pPr>
    </w:p>
    <w:p w:rsidR="00A36D6E">
      <w:pPr>
        <w:pStyle w:val="BodyText"/>
        <w:spacing w:line="288" w:lineRule="auto"/>
        <w:ind w:left="1277" w:right="245" w:firstLine="420"/>
        <w:jc w:val="both"/>
      </w:pPr>
      <w:r>
        <w:rPr>
          <w:spacing w:val="-8"/>
        </w:rPr>
        <w:t>充分衔接国土空间规划和地方经济社会发展需求，结合《关于建立全省国土空间规划体系并监督实</w:t>
      </w:r>
      <w:r>
        <w:rPr>
          <w:spacing w:val="-13"/>
        </w:rPr>
        <w:t>施的意见》，以高品质生态环境支撑经济高质量发展相协调为目标，确保生态环境管控单元对应的生态</w:t>
      </w:r>
      <w:r>
        <w:rPr>
          <w:spacing w:val="-6"/>
        </w:rPr>
        <w:t>环境准入清单适用、能用、管用。</w:t>
      </w:r>
    </w:p>
    <w:p w:rsidR="00A36D6E">
      <w:pPr>
        <w:pStyle w:val="ListParagraph"/>
        <w:numPr>
          <w:ilvl w:val="1"/>
          <w:numId w:val="22"/>
        </w:numPr>
        <w:tabs>
          <w:tab w:val="left" w:pos="1803"/>
        </w:tabs>
        <w:spacing w:before="162"/>
        <w:rPr>
          <w:rFonts w:ascii="黑体" w:eastAsia="黑体"/>
          <w:sz w:val="21"/>
        </w:rPr>
      </w:pPr>
      <w:r>
        <w:rPr>
          <w:rFonts w:ascii="黑体" w:eastAsia="黑体" w:hint="eastAsia"/>
          <w:spacing w:val="-3"/>
          <w:sz w:val="21"/>
        </w:rPr>
        <w:t>以服务管理为重点</w:t>
      </w:r>
    </w:p>
    <w:p w:rsidR="00A36D6E">
      <w:pPr>
        <w:pStyle w:val="BodyText"/>
        <w:spacing w:before="4"/>
        <w:rPr>
          <w:rFonts w:ascii="黑体"/>
          <w:sz w:val="16"/>
        </w:rPr>
      </w:pPr>
    </w:p>
    <w:p w:rsidR="00A36D6E">
      <w:pPr>
        <w:pStyle w:val="BodyText"/>
        <w:spacing w:line="288" w:lineRule="auto"/>
        <w:ind w:left="1277" w:right="245" w:firstLine="420"/>
      </w:pPr>
      <w:r>
        <w:rPr>
          <w:spacing w:val="-8"/>
        </w:rPr>
        <w:t>关注生态环境管理的实际工作需要，梳理并集成既有生态环境管理和管控要求，提升生态环境管理</w:t>
      </w:r>
      <w:r>
        <w:rPr>
          <w:spacing w:val="-5"/>
        </w:rPr>
        <w:t>工作效能，服务生态环境监管执法等工作。</w:t>
      </w:r>
    </w:p>
    <w:p w:rsidR="00A36D6E">
      <w:pPr>
        <w:pStyle w:val="BodyText"/>
        <w:spacing w:before="6"/>
        <w:rPr>
          <w:sz w:val="25"/>
        </w:rPr>
      </w:pPr>
    </w:p>
    <w:p w:rsidR="00A36D6E">
      <w:pPr>
        <w:pStyle w:val="ListParagraph"/>
        <w:numPr>
          <w:ilvl w:val="0"/>
          <w:numId w:val="23"/>
        </w:numPr>
        <w:tabs>
          <w:tab w:val="left" w:pos="1595"/>
        </w:tabs>
        <w:ind w:hanging="318"/>
        <w:rPr>
          <w:rFonts w:ascii="黑体" w:eastAsia="黑体"/>
          <w:sz w:val="21"/>
        </w:rPr>
      </w:pPr>
      <w:r>
        <w:rPr>
          <w:rFonts w:ascii="黑体" w:eastAsia="黑体" w:hint="eastAsia"/>
          <w:spacing w:val="-3"/>
          <w:sz w:val="21"/>
        </w:rPr>
        <w:t>编制技术路线</w:t>
      </w:r>
    </w:p>
    <w:p w:rsidR="00A36D6E">
      <w:pPr>
        <w:pStyle w:val="BodyText"/>
        <w:spacing w:before="10"/>
        <w:rPr>
          <w:rFonts w:ascii="黑体"/>
          <w:sz w:val="29"/>
        </w:rPr>
      </w:pPr>
    </w:p>
    <w:p w:rsidR="00A36D6E">
      <w:pPr>
        <w:pStyle w:val="ListParagraph"/>
        <w:numPr>
          <w:ilvl w:val="1"/>
          <w:numId w:val="21"/>
        </w:numPr>
        <w:tabs>
          <w:tab w:val="left" w:pos="1803"/>
        </w:tabs>
        <w:rPr>
          <w:rFonts w:ascii="黑体" w:eastAsia="黑体"/>
          <w:sz w:val="21"/>
        </w:rPr>
      </w:pPr>
      <w:r>
        <w:rPr>
          <w:rFonts w:ascii="黑体" w:eastAsia="黑体" w:hint="eastAsia"/>
          <w:spacing w:val="-3"/>
          <w:sz w:val="21"/>
        </w:rPr>
        <w:t>生态环境准入清单体系构建</w:t>
      </w:r>
    </w:p>
    <w:p w:rsidR="00A36D6E">
      <w:pPr>
        <w:pStyle w:val="BodyText"/>
        <w:spacing w:before="6"/>
        <w:rPr>
          <w:rFonts w:ascii="黑体"/>
          <w:sz w:val="16"/>
        </w:rPr>
      </w:pPr>
    </w:p>
    <w:p w:rsidR="00A36D6E">
      <w:pPr>
        <w:pStyle w:val="ListParagraph"/>
        <w:numPr>
          <w:ilvl w:val="2"/>
          <w:numId w:val="21"/>
        </w:numPr>
        <w:tabs>
          <w:tab w:val="left" w:pos="2014"/>
        </w:tabs>
        <w:rPr>
          <w:rFonts w:ascii="黑体" w:eastAsia="黑体"/>
          <w:sz w:val="21"/>
        </w:rPr>
      </w:pPr>
      <w:r>
        <w:rPr>
          <w:rFonts w:ascii="黑体" w:eastAsia="黑体" w:hint="eastAsia"/>
          <w:spacing w:val="-3"/>
          <w:sz w:val="21"/>
        </w:rPr>
        <w:t>体系构建的思路</w:t>
      </w:r>
    </w:p>
    <w:p w:rsidR="00A36D6E">
      <w:pPr>
        <w:pStyle w:val="BodyText"/>
        <w:spacing w:before="3"/>
        <w:rPr>
          <w:rFonts w:ascii="黑体"/>
          <w:sz w:val="16"/>
        </w:rPr>
      </w:pPr>
    </w:p>
    <w:p w:rsidR="00A36D6E">
      <w:pPr>
        <w:pStyle w:val="BodyText"/>
        <w:spacing w:line="288" w:lineRule="auto"/>
        <w:ind w:left="1277" w:right="142" w:firstLine="420"/>
        <w:sectPr>
          <w:headerReference w:type="even" r:id="rId21"/>
          <w:headerReference w:type="default" r:id="rId22"/>
          <w:footerReference w:type="even" r:id="rId23"/>
          <w:footerReference w:type="default" r:id="rId24"/>
          <w:pgSz w:w="11910" w:h="16840"/>
          <w:pgMar w:top="1540" w:right="1020" w:bottom="1300" w:left="0" w:header="1333" w:footer="1111" w:gutter="0"/>
          <w:pgNumType w:start="3"/>
          <w:cols w:space="720"/>
        </w:sectPr>
      </w:pPr>
      <w:r>
        <w:rPr>
          <w:spacing w:val="-13"/>
        </w:rPr>
        <w:t>以改善生态环境质量为核心，以生态环境目标和环境问题为导向，结合湖南省实情和特点，以省级、区域</w:t>
      </w:r>
      <w:r>
        <w:rPr>
          <w:spacing w:val="-3"/>
        </w:rPr>
        <w:t>（</w:t>
      </w:r>
      <w:r>
        <w:rPr>
          <w:spacing w:val="-1"/>
        </w:rPr>
        <w:t>四大板块</w:t>
      </w:r>
      <w:r>
        <w:rPr>
          <w:spacing w:val="-106"/>
        </w:rPr>
        <w:t>）</w:t>
      </w:r>
      <w:r>
        <w:rPr>
          <w:spacing w:val="-2"/>
        </w:rPr>
        <w:t>、市</w:t>
      </w:r>
      <w:r>
        <w:t>（</w:t>
      </w:r>
      <w:r>
        <w:rPr>
          <w:spacing w:val="-3"/>
        </w:rPr>
        <w:t>州</w:t>
      </w:r>
      <w:r>
        <w:t>）</w:t>
      </w:r>
      <w:r>
        <w:rPr>
          <w:spacing w:val="-3"/>
        </w:rPr>
        <w:t>级、单元为基础，构建</w:t>
      </w:r>
      <w:r>
        <w:t>“1+4+14+N</w:t>
      </w:r>
      <w:r>
        <w:rPr>
          <w:spacing w:val="-3"/>
        </w:rPr>
        <w:t>”</w:t>
      </w:r>
      <w:r>
        <w:rPr>
          <w:spacing w:val="-3"/>
        </w:rPr>
        <w:t>生态环境准入清单体系，实现全省生</w:t>
      </w:r>
      <w:r>
        <w:rPr>
          <w:spacing w:val="-9"/>
        </w:rPr>
        <w:t>态环境准入清单体系的系统化、差异化、精准化管控目标。总体编制思路符合附录</w:t>
      </w:r>
      <w:r>
        <w:rPr>
          <w:spacing w:val="-9"/>
        </w:rPr>
        <w:t xml:space="preserve"> </w:t>
      </w:r>
      <w:r>
        <w:t>A</w:t>
      </w:r>
      <w:r>
        <w:rPr>
          <w:spacing w:val="-10"/>
        </w:rPr>
        <w:t xml:space="preserve"> </w:t>
      </w:r>
      <w:r>
        <w:rPr>
          <w:spacing w:val="-10"/>
        </w:rPr>
        <w:t>要求，清单内容体</w:t>
      </w:r>
      <w:r>
        <w:rPr>
          <w:spacing w:val="-5"/>
        </w:rPr>
        <w:t>现引导</w:t>
      </w:r>
      <w:r>
        <w:rPr>
          <w:spacing w:val="-5"/>
        </w:rPr>
        <w:t>-</w:t>
      </w:r>
    </w:p>
    <w:p w:rsidR="00A36D6E">
      <w:pPr>
        <w:pStyle w:val="BodyText"/>
        <w:spacing w:line="288" w:lineRule="auto"/>
        <w:ind w:left="1277" w:right="142" w:firstLine="420"/>
      </w:pPr>
      <w:r>
        <w:rPr>
          <w:spacing w:val="-5"/>
        </w:rPr>
        <w:t>约束</w:t>
      </w:r>
      <w:r>
        <w:rPr>
          <w:spacing w:val="-5"/>
        </w:rPr>
        <w:t>-</w:t>
      </w:r>
      <w:r>
        <w:rPr>
          <w:spacing w:val="-5"/>
        </w:rPr>
        <w:t>限制</w:t>
      </w:r>
      <w:r>
        <w:rPr>
          <w:spacing w:val="-5"/>
        </w:rPr>
        <w:t>-</w:t>
      </w:r>
      <w:r>
        <w:rPr>
          <w:spacing w:val="-5"/>
        </w:rPr>
        <w:t>鼓励的编制思路。</w:t>
      </w:r>
    </w:p>
    <w:p w:rsidR="00A36D6E">
      <w:pPr>
        <w:spacing w:line="288" w:lineRule="auto"/>
        <w:sectPr>
          <w:headerReference w:type="even" r:id="rId25"/>
          <w:headerReference w:type="default" r:id="rId26"/>
          <w:footerReference w:type="even" r:id="rId27"/>
          <w:footerReference w:type="default" r:id="rId28"/>
          <w:type w:val="nextPage"/>
          <w:pgSz w:w="11910" w:h="16840"/>
          <w:pgMar w:top="1540" w:right="1020" w:bottom="1300" w:left="0" w:header="1333" w:footer="1111" w:gutter="0"/>
          <w:pgNumType w:start="4"/>
          <w:cols w:space="720"/>
          <w:titlePg w:val="0"/>
        </w:sectPr>
      </w:pPr>
    </w:p>
    <w:p w:rsidR="00A36D6E">
      <w:pPr>
        <w:pStyle w:val="BodyText"/>
        <w:spacing w:before="7"/>
        <w:rPr>
          <w:sz w:val="10"/>
        </w:rPr>
      </w:pPr>
      <w:r>
        <w:rPr>
          <w:noProof/>
          <w:lang w:eastAsia="zh-CN"/>
        </w:rPr>
        <w:drawing>
          <wp:anchor distT="0" distB="0" distL="0" distR="0" simplePos="0" relativeHeight="25167667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A36D6E">
      <w:pPr>
        <w:pStyle w:val="ListParagraph"/>
        <w:numPr>
          <w:ilvl w:val="2"/>
          <w:numId w:val="24"/>
        </w:numPr>
        <w:tabs>
          <w:tab w:val="left" w:pos="2014"/>
        </w:tabs>
        <w:spacing w:before="72"/>
        <w:rPr>
          <w:rFonts w:ascii="黑体" w:eastAsia="黑体"/>
          <w:sz w:val="21"/>
        </w:rPr>
      </w:pPr>
      <w:r>
        <w:rPr>
          <w:rFonts w:ascii="黑体" w:eastAsia="黑体" w:hint="eastAsia"/>
          <w:spacing w:val="-3"/>
          <w:sz w:val="21"/>
        </w:rPr>
        <w:t>体系构建的形式</w:t>
      </w:r>
    </w:p>
    <w:p w:rsidR="00A36D6E">
      <w:pPr>
        <w:pStyle w:val="BodyText"/>
        <w:spacing w:before="3"/>
        <w:rPr>
          <w:rFonts w:ascii="黑体"/>
          <w:sz w:val="16"/>
        </w:rPr>
      </w:pPr>
    </w:p>
    <w:p w:rsidR="00A36D6E">
      <w:pPr>
        <w:pStyle w:val="BodyText"/>
        <w:spacing w:line="288" w:lineRule="auto"/>
        <w:ind w:left="1277" w:right="246" w:firstLine="420"/>
      </w:pPr>
      <w:r>
        <w:t>“1”</w:t>
      </w:r>
      <w:r>
        <w:t>是指针对全省优先保护单元、重点管控单元、一般管控单元制定的省级生态环境总体管控要求，体现生态环境管控单元的基础性、底线性要求。</w:t>
      </w:r>
      <w:r>
        <w:t>“1”</w:t>
      </w:r>
      <w:r>
        <w:t>简称</w:t>
      </w:r>
      <w:r>
        <w:t>“</w:t>
      </w:r>
      <w:r>
        <w:t>省级总体要求</w:t>
      </w:r>
      <w:r>
        <w:t>”</w:t>
      </w:r>
      <w:r>
        <w:t>。</w:t>
      </w:r>
    </w:p>
    <w:p w:rsidR="00A36D6E">
      <w:pPr>
        <w:pStyle w:val="BodyText"/>
        <w:spacing w:before="2" w:line="288" w:lineRule="auto"/>
        <w:ind w:left="1277" w:right="245" w:firstLine="420"/>
        <w:jc w:val="both"/>
      </w:pPr>
      <w:r>
        <w:t>“4</w:t>
      </w:r>
      <w:r>
        <w:rPr>
          <w:spacing w:val="-3"/>
        </w:rPr>
        <w:t>”</w:t>
      </w:r>
      <w:r>
        <w:rPr>
          <w:spacing w:val="-3"/>
        </w:rPr>
        <w:t>是指针对省级及以上产业园区及</w:t>
      </w:r>
      <w:r>
        <w:rPr>
          <w:spacing w:val="-3"/>
        </w:rPr>
        <w:t>“</w:t>
      </w:r>
      <w:r>
        <w:rPr>
          <w:spacing w:val="-3"/>
        </w:rPr>
        <w:t>长株潭、洞庭湖、湘南、大湘西</w:t>
      </w:r>
      <w:r>
        <w:rPr>
          <w:spacing w:val="-3"/>
        </w:rPr>
        <w:t>”</w:t>
      </w:r>
      <w:r>
        <w:rPr>
          <w:spacing w:val="-3"/>
        </w:rPr>
        <w:t>等</w:t>
      </w:r>
      <w:r>
        <w:rPr>
          <w:spacing w:val="-3"/>
        </w:rPr>
        <w:t>区域板块的生态环境</w:t>
      </w:r>
      <w:r>
        <w:rPr>
          <w:spacing w:val="-7"/>
        </w:rPr>
        <w:t>总体管控要求，体现生态环境管控单元所在区域板块的特色性、规范性要求</w:t>
      </w:r>
      <w:r>
        <w:rPr>
          <w:spacing w:val="-128"/>
        </w:rPr>
        <w:t>。</w:t>
      </w:r>
      <w:r>
        <w:rPr>
          <w:spacing w:val="-8"/>
        </w:rPr>
        <w:t>“4</w:t>
      </w:r>
      <w:r>
        <w:rPr>
          <w:spacing w:val="-7"/>
        </w:rPr>
        <w:t>”</w:t>
      </w:r>
      <w:r>
        <w:rPr>
          <w:spacing w:val="-7"/>
        </w:rPr>
        <w:t>简称</w:t>
      </w:r>
      <w:r>
        <w:rPr>
          <w:spacing w:val="-7"/>
        </w:rPr>
        <w:t>“</w:t>
      </w:r>
      <w:r>
        <w:rPr>
          <w:spacing w:val="-7"/>
        </w:rPr>
        <w:t>四大板块总体</w:t>
      </w:r>
      <w:r>
        <w:rPr>
          <w:spacing w:val="-31"/>
        </w:rPr>
        <w:t>要求</w:t>
      </w:r>
      <w:r>
        <w:rPr>
          <w:spacing w:val="-31"/>
        </w:rPr>
        <w:t>”</w:t>
      </w:r>
      <w:r>
        <w:rPr>
          <w:spacing w:val="-31"/>
        </w:rPr>
        <w:t>。</w:t>
      </w:r>
    </w:p>
    <w:p w:rsidR="00A36D6E">
      <w:pPr>
        <w:pStyle w:val="BodyText"/>
        <w:spacing w:before="4" w:line="288" w:lineRule="auto"/>
        <w:ind w:left="1277" w:right="246" w:firstLine="420"/>
      </w:pPr>
      <w:r>
        <w:rPr>
          <w:spacing w:val="-5"/>
        </w:rPr>
        <w:t>“14</w:t>
      </w:r>
      <w:r>
        <w:rPr>
          <w:spacing w:val="-7"/>
        </w:rPr>
        <w:t>”</w:t>
      </w:r>
      <w:r>
        <w:rPr>
          <w:spacing w:val="-7"/>
        </w:rPr>
        <w:t>为市</w:t>
      </w:r>
      <w:r>
        <w:rPr>
          <w:spacing w:val="-3"/>
        </w:rPr>
        <w:t>（</w:t>
      </w:r>
      <w:r>
        <w:t>州</w:t>
      </w:r>
      <w:r>
        <w:rPr>
          <w:spacing w:val="-15"/>
        </w:rPr>
        <w:t>）</w:t>
      </w:r>
      <w:r>
        <w:rPr>
          <w:spacing w:val="-6"/>
        </w:rPr>
        <w:t>级生态环境基本管控要求，体现生态环境管控单元所在市</w:t>
      </w:r>
      <w:r>
        <w:t>（州</w:t>
      </w:r>
      <w:r>
        <w:rPr>
          <w:spacing w:val="-15"/>
        </w:rPr>
        <w:t>）</w:t>
      </w:r>
      <w:r>
        <w:rPr>
          <w:spacing w:val="-6"/>
        </w:rPr>
        <w:t>的地域性、适用</w:t>
      </w:r>
      <w:r>
        <w:rPr>
          <w:spacing w:val="-25"/>
        </w:rPr>
        <w:t>性要求。</w:t>
      </w:r>
      <w:r>
        <w:rPr>
          <w:spacing w:val="-25"/>
        </w:rPr>
        <w:t>“</w:t>
      </w:r>
      <w:r>
        <w:t>14</w:t>
      </w:r>
      <w:r>
        <w:rPr>
          <w:spacing w:val="-2"/>
        </w:rPr>
        <w:t>”</w:t>
      </w:r>
      <w:r>
        <w:rPr>
          <w:spacing w:val="-2"/>
        </w:rPr>
        <w:t>简称</w:t>
      </w:r>
      <w:r>
        <w:rPr>
          <w:spacing w:val="-2"/>
        </w:rPr>
        <w:t>“</w:t>
      </w:r>
      <w:r>
        <w:rPr>
          <w:spacing w:val="-2"/>
        </w:rPr>
        <w:t>市</w:t>
      </w:r>
      <w:r>
        <w:rPr>
          <w:spacing w:val="-3"/>
        </w:rPr>
        <w:t>（</w:t>
      </w:r>
      <w:r>
        <w:t>州）</w:t>
      </w:r>
      <w:r>
        <w:rPr>
          <w:spacing w:val="-18"/>
        </w:rPr>
        <w:t>级基本要求</w:t>
      </w:r>
      <w:r>
        <w:rPr>
          <w:spacing w:val="-18"/>
        </w:rPr>
        <w:t>”</w:t>
      </w:r>
      <w:r>
        <w:rPr>
          <w:spacing w:val="-18"/>
        </w:rPr>
        <w:t>。</w:t>
      </w:r>
    </w:p>
    <w:p w:rsidR="00A36D6E">
      <w:pPr>
        <w:pStyle w:val="BodyText"/>
        <w:spacing w:before="2" w:line="290" w:lineRule="auto"/>
        <w:ind w:left="1277" w:right="245" w:firstLine="420"/>
        <w:jc w:val="both"/>
      </w:pPr>
      <w:r>
        <w:t>“N</w:t>
      </w:r>
      <w:r>
        <w:rPr>
          <w:spacing w:val="-3"/>
        </w:rPr>
        <w:t>”</w:t>
      </w:r>
      <w:r>
        <w:rPr>
          <w:spacing w:val="-3"/>
        </w:rPr>
        <w:t>为生态环境管控单元对应的生态环境准入清单，包括省级及以上产业园区单元清单（</w:t>
      </w:r>
      <w:r>
        <w:rPr>
          <w:spacing w:val="-2"/>
        </w:rPr>
        <w:t>以下简</w:t>
      </w:r>
      <w:r>
        <w:rPr>
          <w:spacing w:val="-2"/>
        </w:rPr>
        <w:t>称</w:t>
      </w:r>
      <w:r>
        <w:rPr>
          <w:spacing w:val="-2"/>
        </w:rPr>
        <w:t xml:space="preserve"> </w:t>
      </w:r>
      <w:r>
        <w:rPr>
          <w:spacing w:val="-16"/>
        </w:rPr>
        <w:t>“</w:t>
      </w:r>
      <w:r>
        <w:rPr>
          <w:spacing w:val="-16"/>
        </w:rPr>
        <w:t>园区单元清单</w:t>
      </w:r>
      <w:r>
        <w:rPr>
          <w:spacing w:val="-16"/>
        </w:rPr>
        <w:t>”</w:t>
      </w:r>
      <w:r>
        <w:t>）</w:t>
      </w:r>
      <w:r>
        <w:rPr>
          <w:spacing w:val="-3"/>
        </w:rPr>
        <w:t>和其他生态环境管控单元清单</w:t>
      </w:r>
      <w:r>
        <w:t>（</w:t>
      </w:r>
      <w:r>
        <w:rPr>
          <w:spacing w:val="-2"/>
        </w:rPr>
        <w:t>以下简称</w:t>
      </w:r>
      <w:r>
        <w:rPr>
          <w:spacing w:val="-2"/>
        </w:rPr>
        <w:t xml:space="preserve"> </w:t>
      </w:r>
      <w:r>
        <w:rPr>
          <w:spacing w:val="-16"/>
        </w:rPr>
        <w:t>“</w:t>
      </w:r>
      <w:r>
        <w:rPr>
          <w:spacing w:val="-16"/>
        </w:rPr>
        <w:t>其他单元清单</w:t>
      </w:r>
      <w:r>
        <w:rPr>
          <w:spacing w:val="-16"/>
        </w:rPr>
        <w:t>”</w:t>
      </w:r>
      <w:r>
        <w:rPr>
          <w:spacing w:val="-108"/>
        </w:rPr>
        <w:t>）</w:t>
      </w:r>
      <w:r>
        <w:rPr>
          <w:spacing w:val="-2"/>
        </w:rPr>
        <w:t>，分别体现各生态</w:t>
      </w:r>
      <w:r>
        <w:rPr>
          <w:spacing w:val="-3"/>
        </w:rPr>
        <w:t>环境管控单元的差异性、精细化管理，形成</w:t>
      </w:r>
      <w:r>
        <w:rPr>
          <w:spacing w:val="-3"/>
        </w:rPr>
        <w:t>“</w:t>
      </w:r>
      <w:r>
        <w:rPr>
          <w:spacing w:val="-3"/>
        </w:rPr>
        <w:t>一单元一策略</w:t>
      </w:r>
      <w:r>
        <w:rPr>
          <w:spacing w:val="-3"/>
        </w:rPr>
        <w:t>”</w:t>
      </w:r>
      <w:r>
        <w:rPr>
          <w:spacing w:val="-3"/>
        </w:rPr>
        <w:t>可操作和能落地应用的管控要求。</w:t>
      </w:r>
    </w:p>
    <w:p w:rsidR="00A36D6E">
      <w:pPr>
        <w:pStyle w:val="BodyText"/>
        <w:spacing w:line="265" w:lineRule="exact"/>
        <w:ind w:left="1697"/>
        <w:jc w:val="both"/>
      </w:pPr>
      <w:r>
        <w:t>生态环境准入清单体系见图</w:t>
      </w:r>
      <w:r>
        <w:t xml:space="preserve"> 1</w:t>
      </w:r>
      <w:r>
        <w:t>。</w:t>
      </w:r>
    </w:p>
    <w:p w:rsidR="00A36D6E">
      <w:pPr>
        <w:pStyle w:val="BodyText"/>
        <w:spacing w:before="2"/>
        <w:rPr>
          <w:sz w:val="8"/>
        </w:rPr>
      </w:pPr>
      <w:r>
        <w:rPr>
          <w:noProof/>
          <w:lang w:eastAsia="zh-CN"/>
        </w:rPr>
        <w:drawing>
          <wp:anchor distT="0" distB="0" distL="0" distR="0" simplePos="0" relativeHeight="251675648" behindDoc="0" locked="0" layoutInCell="1" allowOverlap="1">
            <wp:simplePos x="0" y="0"/>
            <wp:positionH relativeFrom="page">
              <wp:posOffset>1135136</wp:posOffset>
            </wp:positionH>
            <wp:positionV relativeFrom="paragraph">
              <wp:posOffset>91588</wp:posOffset>
            </wp:positionV>
            <wp:extent cx="5299985" cy="3218688"/>
            <wp:effectExtent l="0" t="0" r="0" b="0"/>
            <wp:wrapTopAndBottom/>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29" cstate="print"/>
                    <a:stretch>
                      <a:fillRect/>
                    </a:stretch>
                  </pic:blipFill>
                  <pic:spPr>
                    <a:xfrm>
                      <a:off x="0" y="0"/>
                      <a:ext cx="5299985" cy="3218688"/>
                    </a:xfrm>
                    <a:prstGeom prst="rect">
                      <a:avLst/>
                    </a:prstGeom>
                  </pic:spPr>
                </pic:pic>
              </a:graphicData>
            </a:graphic>
          </wp:anchor>
        </w:drawing>
      </w:r>
    </w:p>
    <w:p w:rsidR="00A36D6E">
      <w:pPr>
        <w:pStyle w:val="BodyText"/>
        <w:spacing w:before="7"/>
      </w:pPr>
    </w:p>
    <w:p w:rsidR="00A36D6E">
      <w:pPr>
        <w:pStyle w:val="BodyText"/>
        <w:ind w:left="4616"/>
        <w:rPr>
          <w:rFonts w:ascii="黑体" w:eastAsia="黑体"/>
        </w:rPr>
      </w:pPr>
      <w:r>
        <w:rPr>
          <w:rFonts w:ascii="黑体" w:eastAsia="黑体" w:hint="eastAsia"/>
        </w:rPr>
        <w:t>图</w:t>
      </w:r>
      <w:r>
        <w:rPr>
          <w:rFonts w:ascii="黑体" w:eastAsia="黑体" w:hint="eastAsia"/>
        </w:rPr>
        <w:t xml:space="preserve"> 1 </w:t>
      </w:r>
      <w:r>
        <w:rPr>
          <w:rFonts w:ascii="黑体" w:eastAsia="黑体" w:hint="eastAsia"/>
        </w:rPr>
        <w:t>生态环境准入清单体系</w:t>
      </w:r>
    </w:p>
    <w:p w:rsidR="00A36D6E">
      <w:pPr>
        <w:pStyle w:val="BodyText"/>
        <w:spacing w:before="4"/>
        <w:rPr>
          <w:rFonts w:ascii="黑体"/>
          <w:sz w:val="16"/>
        </w:rPr>
      </w:pPr>
    </w:p>
    <w:p w:rsidR="00A36D6E">
      <w:pPr>
        <w:pStyle w:val="ListParagraph"/>
        <w:numPr>
          <w:ilvl w:val="1"/>
          <w:numId w:val="24"/>
        </w:numPr>
        <w:tabs>
          <w:tab w:val="left" w:pos="1803"/>
        </w:tabs>
        <w:rPr>
          <w:rFonts w:ascii="黑体" w:eastAsia="黑体"/>
          <w:sz w:val="21"/>
        </w:rPr>
      </w:pPr>
      <w:r>
        <w:rPr>
          <w:rFonts w:ascii="黑体" w:eastAsia="黑体" w:hint="eastAsia"/>
          <w:spacing w:val="-3"/>
          <w:sz w:val="21"/>
        </w:rPr>
        <w:t>编制技术路线</w:t>
      </w:r>
    </w:p>
    <w:p w:rsidR="00A36D6E">
      <w:pPr>
        <w:pStyle w:val="BodyText"/>
        <w:spacing w:before="8"/>
        <w:rPr>
          <w:rFonts w:ascii="黑体"/>
          <w:sz w:val="16"/>
        </w:rPr>
      </w:pPr>
    </w:p>
    <w:p w:rsidR="00A36D6E">
      <w:pPr>
        <w:pStyle w:val="ListParagraph"/>
        <w:numPr>
          <w:ilvl w:val="2"/>
          <w:numId w:val="24"/>
        </w:numPr>
        <w:tabs>
          <w:tab w:val="left" w:pos="2014"/>
        </w:tabs>
        <w:rPr>
          <w:rFonts w:ascii="黑体" w:eastAsia="黑体"/>
          <w:sz w:val="21"/>
        </w:rPr>
      </w:pPr>
      <w:r>
        <w:rPr>
          <w:rFonts w:ascii="黑体" w:eastAsia="黑体" w:hint="eastAsia"/>
          <w:spacing w:val="-3"/>
          <w:sz w:val="21"/>
        </w:rPr>
        <w:t>识别主要生态环境问题</w:t>
      </w:r>
    </w:p>
    <w:p w:rsidR="00A36D6E">
      <w:pPr>
        <w:pStyle w:val="BodyText"/>
        <w:spacing w:before="4"/>
        <w:rPr>
          <w:rFonts w:ascii="黑体"/>
          <w:sz w:val="16"/>
        </w:rPr>
      </w:pPr>
    </w:p>
    <w:p w:rsidR="00A36D6E">
      <w:pPr>
        <w:pStyle w:val="BodyText"/>
        <w:spacing w:line="288" w:lineRule="auto"/>
        <w:ind w:left="1277" w:right="248" w:firstLine="420"/>
        <w:jc w:val="both"/>
      </w:pPr>
      <w:r>
        <w:rPr>
          <w:spacing w:val="-6"/>
        </w:rPr>
        <w:t>分级识别省、市</w:t>
      </w:r>
      <w:r>
        <w:t>（州</w:t>
      </w:r>
      <w:r>
        <w:rPr>
          <w:spacing w:val="-108"/>
        </w:rPr>
        <w:t>）</w:t>
      </w:r>
      <w:r>
        <w:rPr>
          <w:spacing w:val="-13"/>
        </w:rPr>
        <w:t>、县</w:t>
      </w:r>
      <w:r>
        <w:t>（</w:t>
      </w:r>
      <w:r>
        <w:rPr>
          <w:spacing w:val="-6"/>
        </w:rPr>
        <w:t>市、区</w:t>
      </w:r>
      <w:r>
        <w:rPr>
          <w:spacing w:val="-108"/>
        </w:rPr>
        <w:t>）</w:t>
      </w:r>
      <w:r>
        <w:rPr>
          <w:spacing w:val="-9"/>
        </w:rPr>
        <w:t>、乡镇</w:t>
      </w:r>
      <w:r>
        <w:t>（</w:t>
      </w:r>
      <w:r>
        <w:rPr>
          <w:spacing w:val="-3"/>
        </w:rPr>
        <w:t>街道</w:t>
      </w:r>
      <w:r>
        <w:rPr>
          <w:spacing w:val="-13"/>
        </w:rPr>
        <w:t>）</w:t>
      </w:r>
      <w:r>
        <w:rPr>
          <w:spacing w:val="-4"/>
        </w:rPr>
        <w:t>主要生态环境问题，形成主要生态环境问题清</w:t>
      </w:r>
      <w:r>
        <w:rPr>
          <w:spacing w:val="-11"/>
        </w:rPr>
        <w:t>单。各县</w:t>
      </w:r>
      <w:r>
        <w:t>（</w:t>
      </w:r>
      <w:r>
        <w:rPr>
          <w:spacing w:val="-7"/>
        </w:rPr>
        <w:t>市、区</w:t>
      </w:r>
      <w:r>
        <w:rPr>
          <w:spacing w:val="-17"/>
        </w:rPr>
        <w:t>）</w:t>
      </w:r>
      <w:r>
        <w:rPr>
          <w:spacing w:val="-5"/>
        </w:rPr>
        <w:t>主要生态环境问题清单以国家和省级污染防治攻坚战、碳达峰实施方案、减污降碳</w:t>
      </w:r>
      <w:r>
        <w:rPr>
          <w:spacing w:val="-10"/>
        </w:rPr>
        <w:t>协同增效实施方案、生态环保督察、绿盾行动，各专项整治行动等，提出的生态环境问题，以及生态环</w:t>
      </w:r>
      <w:r>
        <w:rPr>
          <w:spacing w:val="-5"/>
        </w:rPr>
        <w:t>境分区管控成果实施评估反映出的全省重大区域性、流哉性生态环境问题等为主要依据。</w:t>
      </w:r>
    </w:p>
    <w:p w:rsidR="00A36D6E">
      <w:pPr>
        <w:pStyle w:val="ListParagraph"/>
        <w:numPr>
          <w:ilvl w:val="2"/>
          <w:numId w:val="24"/>
        </w:numPr>
        <w:tabs>
          <w:tab w:val="left" w:pos="2014"/>
        </w:tabs>
        <w:spacing w:before="163"/>
        <w:rPr>
          <w:rFonts w:ascii="黑体" w:eastAsia="黑体"/>
          <w:sz w:val="21"/>
        </w:rPr>
      </w:pPr>
      <w:r>
        <w:rPr>
          <w:rFonts w:ascii="黑体" w:eastAsia="黑体" w:hint="eastAsia"/>
          <w:spacing w:val="-3"/>
          <w:sz w:val="21"/>
        </w:rPr>
        <w:t>梳理既有环境管理要求</w:t>
      </w:r>
    </w:p>
    <w:p w:rsidR="00A36D6E">
      <w:pPr>
        <w:pStyle w:val="BodyText"/>
        <w:spacing w:before="3"/>
        <w:rPr>
          <w:rFonts w:ascii="黑体"/>
          <w:sz w:val="16"/>
        </w:rPr>
      </w:pPr>
    </w:p>
    <w:p w:rsidR="00A36D6E">
      <w:pPr>
        <w:pStyle w:val="BodyText"/>
        <w:spacing w:line="290" w:lineRule="auto"/>
        <w:ind w:left="1277" w:right="245" w:firstLine="420"/>
      </w:pPr>
      <w:r>
        <w:rPr>
          <w:spacing w:val="-7"/>
        </w:rPr>
        <w:t>分层级全面梳理国家和地方涉及生态保护红线及生态空间、环境质量底线、资源利用上线的生态环</w:t>
      </w:r>
      <w:r>
        <w:rPr>
          <w:spacing w:val="-11"/>
        </w:rPr>
        <w:t>境要素相关法律法规、规划计划、政策文件、标准规范和各级各类国土空间规划等，形成现行有效的条</w:t>
      </w:r>
    </w:p>
    <w:p w:rsidR="00A36D6E">
      <w:pPr>
        <w:spacing w:line="290" w:lineRule="auto"/>
        <w:sectPr>
          <w:headerReference w:type="even" r:id="rId30"/>
          <w:headerReference w:type="default" r:id="rId31"/>
          <w:footerReference w:type="even" r:id="rId32"/>
          <w:footerReference w:type="default" r:id="rId33"/>
          <w:pgSz w:w="11910" w:h="16840"/>
          <w:pgMar w:top="1540" w:right="1020" w:bottom="1300" w:left="0" w:header="1335" w:footer="1111" w:gutter="0"/>
          <w:pgNumType w:start="4"/>
          <w:cols w:space="720"/>
        </w:sectPr>
      </w:pPr>
    </w:p>
    <w:p w:rsidR="00A36D6E">
      <w:pPr>
        <w:pStyle w:val="BodyText"/>
        <w:spacing w:before="2"/>
        <w:rPr>
          <w:sz w:val="10"/>
        </w:rPr>
      </w:pPr>
      <w:r>
        <w:rPr>
          <w:noProof/>
          <w:lang w:eastAsia="zh-CN"/>
        </w:rPr>
        <w:drawing>
          <wp:anchor distT="0" distB="0" distL="0" distR="0" simplePos="0" relativeHeight="25167872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A36D6E">
      <w:pPr>
        <w:pStyle w:val="BodyText"/>
        <w:spacing w:before="72"/>
        <w:ind w:left="1277"/>
      </w:pPr>
      <w:r>
        <w:t>目化生态环境管理要求。</w:t>
      </w:r>
    </w:p>
    <w:p w:rsidR="00A36D6E">
      <w:pPr>
        <w:pStyle w:val="BodyText"/>
        <w:spacing w:before="8"/>
        <w:rPr>
          <w:sz w:val="16"/>
        </w:rPr>
      </w:pPr>
    </w:p>
    <w:p w:rsidR="00A36D6E">
      <w:pPr>
        <w:pStyle w:val="ListParagraph"/>
        <w:numPr>
          <w:ilvl w:val="2"/>
          <w:numId w:val="21"/>
        </w:numPr>
        <w:tabs>
          <w:tab w:val="left" w:pos="2014"/>
        </w:tabs>
        <w:rPr>
          <w:rFonts w:ascii="黑体" w:eastAsia="黑体"/>
          <w:sz w:val="21"/>
        </w:rPr>
      </w:pPr>
      <w:r>
        <w:rPr>
          <w:rFonts w:ascii="黑体" w:eastAsia="黑体" w:hint="eastAsia"/>
          <w:spacing w:val="-3"/>
          <w:sz w:val="21"/>
        </w:rPr>
        <w:t>衔接要素属性管控要求</w:t>
      </w:r>
    </w:p>
    <w:p w:rsidR="00A36D6E">
      <w:pPr>
        <w:pStyle w:val="BodyText"/>
        <w:spacing w:before="4"/>
        <w:rPr>
          <w:rFonts w:ascii="黑体"/>
          <w:sz w:val="16"/>
        </w:rPr>
      </w:pPr>
    </w:p>
    <w:p w:rsidR="00A36D6E">
      <w:pPr>
        <w:pStyle w:val="BodyText"/>
        <w:spacing w:line="288" w:lineRule="auto"/>
        <w:ind w:left="1277" w:right="245" w:firstLine="420"/>
        <w:jc w:val="both"/>
      </w:pPr>
      <w:r>
        <w:rPr>
          <w:spacing w:val="-7"/>
        </w:rPr>
        <w:t>将各要素分区属性涉及的既有生态环境管理要求与生态环境分区管控划定成果相衔接，分区域、分</w:t>
      </w:r>
      <w:r>
        <w:rPr>
          <w:spacing w:val="-12"/>
        </w:rPr>
        <w:t>流域、分阶段，将各要素管控要求在空间上落实到全省全域覆盖的所有区域，包括省级及以上产业园区</w:t>
      </w:r>
      <w:r>
        <w:rPr>
          <w:spacing w:val="-10"/>
        </w:rPr>
        <w:t>生态环境管控单元和其他生态环境管控单元所在的行政区域。同时，与国土空间规划已划定的耕地和永</w:t>
      </w:r>
      <w:r>
        <w:rPr>
          <w:spacing w:val="-5"/>
        </w:rPr>
        <w:t>久基本农田控制线、生态保护红线、城镇开发边界划定成果相衔接。</w:t>
      </w:r>
    </w:p>
    <w:p w:rsidR="00A36D6E">
      <w:pPr>
        <w:pStyle w:val="ListParagraph"/>
        <w:numPr>
          <w:ilvl w:val="2"/>
          <w:numId w:val="21"/>
        </w:numPr>
        <w:tabs>
          <w:tab w:val="left" w:pos="2014"/>
        </w:tabs>
        <w:spacing w:before="163"/>
        <w:rPr>
          <w:rFonts w:ascii="黑体" w:eastAsia="黑体"/>
          <w:sz w:val="21"/>
        </w:rPr>
      </w:pPr>
      <w:r>
        <w:rPr>
          <w:rFonts w:ascii="黑体" w:eastAsia="黑体" w:hint="eastAsia"/>
          <w:spacing w:val="-3"/>
          <w:sz w:val="21"/>
        </w:rPr>
        <w:t>分析经济发展布局需求</w:t>
      </w:r>
    </w:p>
    <w:p w:rsidR="00A36D6E">
      <w:pPr>
        <w:pStyle w:val="BodyText"/>
        <w:spacing w:before="3"/>
        <w:rPr>
          <w:rFonts w:ascii="黑体"/>
          <w:sz w:val="16"/>
        </w:rPr>
      </w:pPr>
    </w:p>
    <w:p w:rsidR="00A36D6E">
      <w:pPr>
        <w:pStyle w:val="BodyText"/>
        <w:spacing w:line="288" w:lineRule="auto"/>
        <w:ind w:left="1277" w:right="139" w:firstLine="420"/>
        <w:jc w:val="both"/>
      </w:pPr>
      <w:r>
        <w:rPr>
          <w:spacing w:val="-5"/>
        </w:rPr>
        <w:t>分层级全面梳理湖南省经济产业发展布局要求，分级研判省</w:t>
      </w:r>
      <w:r>
        <w:rPr>
          <w:spacing w:val="-5"/>
        </w:rPr>
        <w:t>-</w:t>
      </w:r>
      <w:r>
        <w:rPr>
          <w:spacing w:val="-5"/>
        </w:rPr>
        <w:t>市</w:t>
      </w:r>
      <w:r>
        <w:t>（</w:t>
      </w:r>
      <w:r>
        <w:rPr>
          <w:spacing w:val="-3"/>
        </w:rPr>
        <w:t>州</w:t>
      </w:r>
      <w:r>
        <w:rPr>
          <w:spacing w:val="-8"/>
        </w:rPr>
        <w:t>）</w:t>
      </w:r>
      <w:r>
        <w:rPr>
          <w:spacing w:val="-12"/>
        </w:rPr>
        <w:t>-</w:t>
      </w:r>
      <w:r>
        <w:rPr>
          <w:spacing w:val="-12"/>
        </w:rPr>
        <w:t>县</w:t>
      </w:r>
      <w:r>
        <w:rPr>
          <w:spacing w:val="-3"/>
        </w:rPr>
        <w:t>（</w:t>
      </w:r>
      <w:r>
        <w:rPr>
          <w:spacing w:val="-6"/>
        </w:rPr>
        <w:t>市、区</w:t>
      </w:r>
      <w:r>
        <w:rPr>
          <w:spacing w:val="-17"/>
        </w:rPr>
        <w:t>）</w:t>
      </w:r>
      <w:r>
        <w:rPr>
          <w:spacing w:val="-5"/>
        </w:rPr>
        <w:t>城镇建设、资</w:t>
      </w:r>
      <w:r>
        <w:rPr>
          <w:spacing w:val="-10"/>
        </w:rPr>
        <w:t>源开发和产业发展形势，明确区域发展方向和生态环境功能定位，形成分县（</w:t>
      </w:r>
      <w:r>
        <w:rPr>
          <w:spacing w:val="-9"/>
        </w:rPr>
        <w:t>市、区</w:t>
      </w:r>
      <w:r>
        <w:rPr>
          <w:spacing w:val="-10"/>
        </w:rPr>
        <w:t>）</w:t>
      </w:r>
      <w:r>
        <w:rPr>
          <w:spacing w:val="-9"/>
        </w:rPr>
        <w:t>经济产业发展布局</w:t>
      </w:r>
      <w:r>
        <w:rPr>
          <w:spacing w:val="-8"/>
        </w:rPr>
        <w:t>方案。各县</w:t>
      </w:r>
      <w:r>
        <w:rPr>
          <w:spacing w:val="-10"/>
        </w:rPr>
        <w:t>（</w:t>
      </w:r>
      <w:r>
        <w:rPr>
          <w:spacing w:val="-8"/>
        </w:rPr>
        <w:t>市、区</w:t>
      </w:r>
      <w:r>
        <w:rPr>
          <w:spacing w:val="-10"/>
        </w:rPr>
        <w:t>）经济产业发展布局方案依据国家和地方现行有效的综合发展规划、国土空间规划和</w:t>
      </w:r>
      <w:r>
        <w:rPr>
          <w:spacing w:val="-17"/>
        </w:rPr>
        <w:t>产业发展规划，并结合国家、省、市</w:t>
      </w:r>
      <w:r>
        <w:rPr>
          <w:spacing w:val="-10"/>
        </w:rPr>
        <w:t>（州</w:t>
      </w:r>
      <w:r>
        <w:rPr>
          <w:spacing w:val="-111"/>
        </w:rPr>
        <w:t>）</w:t>
      </w:r>
      <w:r>
        <w:rPr>
          <w:spacing w:val="-27"/>
        </w:rPr>
        <w:t>、县</w:t>
      </w:r>
      <w:r>
        <w:rPr>
          <w:spacing w:val="-10"/>
        </w:rPr>
        <w:t>（</w:t>
      </w:r>
      <w:r>
        <w:rPr>
          <w:spacing w:val="-16"/>
        </w:rPr>
        <w:t>市、区</w:t>
      </w:r>
      <w:r>
        <w:rPr>
          <w:spacing w:val="-27"/>
        </w:rPr>
        <w:t>）</w:t>
      </w:r>
      <w:r>
        <w:rPr>
          <w:spacing w:val="-11"/>
        </w:rPr>
        <w:t>的国民经济和社会发展规划和远景目标作为依据。</w:t>
      </w:r>
    </w:p>
    <w:p w:rsidR="00A36D6E">
      <w:pPr>
        <w:pStyle w:val="ListParagraph"/>
        <w:numPr>
          <w:ilvl w:val="2"/>
          <w:numId w:val="21"/>
        </w:numPr>
        <w:tabs>
          <w:tab w:val="left" w:pos="2014"/>
        </w:tabs>
        <w:spacing w:before="164"/>
        <w:rPr>
          <w:rFonts w:ascii="黑体" w:eastAsia="黑体"/>
          <w:sz w:val="21"/>
        </w:rPr>
      </w:pPr>
      <w:r>
        <w:rPr>
          <w:rFonts w:ascii="黑体" w:eastAsia="黑体" w:hint="eastAsia"/>
          <w:spacing w:val="-3"/>
          <w:sz w:val="21"/>
        </w:rPr>
        <w:t>形成生态环境准入清单体系</w:t>
      </w:r>
    </w:p>
    <w:p w:rsidR="00A36D6E">
      <w:pPr>
        <w:pStyle w:val="BodyText"/>
        <w:spacing w:before="3"/>
        <w:rPr>
          <w:rFonts w:ascii="黑体"/>
          <w:sz w:val="16"/>
        </w:rPr>
      </w:pPr>
    </w:p>
    <w:p w:rsidR="00A36D6E">
      <w:pPr>
        <w:pStyle w:val="BodyText"/>
        <w:spacing w:line="288" w:lineRule="auto"/>
        <w:ind w:left="1277" w:right="248" w:firstLine="420"/>
      </w:pPr>
      <w:r>
        <w:rPr>
          <w:spacing w:val="-8"/>
        </w:rPr>
        <w:t>分层级提炼管控要求，编写形成省级总体要求、四大板块总体要求、市</w:t>
      </w:r>
      <w:r>
        <w:rPr>
          <w:spacing w:val="-3"/>
        </w:rPr>
        <w:t>（州</w:t>
      </w:r>
      <w:r>
        <w:rPr>
          <w:spacing w:val="-17"/>
        </w:rPr>
        <w:t>）</w:t>
      </w:r>
      <w:r>
        <w:rPr>
          <w:spacing w:val="-6"/>
        </w:rPr>
        <w:t>级基本要求、园区单</w:t>
      </w:r>
      <w:r>
        <w:rPr>
          <w:spacing w:val="-4"/>
        </w:rPr>
        <w:t>元清单和其他单元清单。</w:t>
      </w:r>
    </w:p>
    <w:p w:rsidR="00A36D6E">
      <w:pPr>
        <w:pStyle w:val="BodyText"/>
        <w:spacing w:before="5"/>
        <w:ind w:left="1697"/>
      </w:pPr>
      <w:r>
        <w:t>生态环境准入清单编制技术路线见图</w:t>
      </w:r>
      <w:r>
        <w:t xml:space="preserve"> 2</w:t>
      </w:r>
      <w:r>
        <w:t>。</w:t>
      </w:r>
    </w:p>
    <w:p w:rsidR="00A36D6E">
      <w:pPr>
        <w:pStyle w:val="BodyText"/>
        <w:spacing w:before="4"/>
        <w:rPr>
          <w:sz w:val="22"/>
        </w:rPr>
      </w:pPr>
      <w:r>
        <w:rPr>
          <w:noProof/>
          <w:lang w:eastAsia="zh-CN"/>
        </w:rPr>
        <w:drawing>
          <wp:anchor distT="0" distB="0" distL="0" distR="0" simplePos="0" relativeHeight="251677696" behindDoc="0" locked="0" layoutInCell="1" allowOverlap="1">
            <wp:simplePos x="0" y="0"/>
            <wp:positionH relativeFrom="page">
              <wp:posOffset>1302962</wp:posOffset>
            </wp:positionH>
            <wp:positionV relativeFrom="paragraph">
              <wp:posOffset>206504</wp:posOffset>
            </wp:positionV>
            <wp:extent cx="5153638" cy="2225421"/>
            <wp:effectExtent l="0" t="0" r="0" b="0"/>
            <wp:wrapTopAndBottom/>
            <wp:docPr id="2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png"/>
                    <pic:cNvPicPr/>
                  </pic:nvPicPr>
                  <pic:blipFill>
                    <a:blip xmlns:r="http://schemas.openxmlformats.org/officeDocument/2006/relationships" r:embed="rId34" cstate="print"/>
                    <a:stretch>
                      <a:fillRect/>
                    </a:stretch>
                  </pic:blipFill>
                  <pic:spPr>
                    <a:xfrm>
                      <a:off x="0" y="0"/>
                      <a:ext cx="5153638" cy="2225421"/>
                    </a:xfrm>
                    <a:prstGeom prst="rect">
                      <a:avLst/>
                    </a:prstGeom>
                  </pic:spPr>
                </pic:pic>
              </a:graphicData>
            </a:graphic>
          </wp:anchor>
        </w:drawing>
      </w:r>
    </w:p>
    <w:p w:rsidR="00A36D6E">
      <w:pPr>
        <w:pStyle w:val="BodyText"/>
        <w:rPr>
          <w:sz w:val="16"/>
        </w:rPr>
      </w:pPr>
    </w:p>
    <w:p w:rsidR="00A36D6E">
      <w:pPr>
        <w:pStyle w:val="BodyText"/>
        <w:ind w:left="4299"/>
        <w:rPr>
          <w:rFonts w:ascii="黑体" w:eastAsia="黑体"/>
        </w:rPr>
      </w:pPr>
      <w:r>
        <w:rPr>
          <w:rFonts w:ascii="黑体" w:eastAsia="黑体" w:hint="eastAsia"/>
        </w:rPr>
        <w:t>图</w:t>
      </w:r>
      <w:r>
        <w:rPr>
          <w:rFonts w:ascii="黑体" w:eastAsia="黑体" w:hint="eastAsia"/>
        </w:rPr>
        <w:t xml:space="preserve"> 2 </w:t>
      </w:r>
      <w:r>
        <w:rPr>
          <w:rFonts w:ascii="黑体" w:eastAsia="黑体" w:hint="eastAsia"/>
        </w:rPr>
        <w:t>生态环境准入清单编制技术路线图</w:t>
      </w:r>
    </w:p>
    <w:p w:rsidR="00A36D6E">
      <w:pPr>
        <w:pStyle w:val="BodyText"/>
        <w:spacing w:before="5"/>
        <w:rPr>
          <w:rFonts w:ascii="黑体"/>
          <w:sz w:val="29"/>
        </w:rPr>
      </w:pPr>
    </w:p>
    <w:p w:rsidR="00A36D6E">
      <w:pPr>
        <w:pStyle w:val="ListParagraph"/>
        <w:numPr>
          <w:ilvl w:val="0"/>
          <w:numId w:val="23"/>
        </w:numPr>
        <w:tabs>
          <w:tab w:val="left" w:pos="1595"/>
        </w:tabs>
        <w:ind w:hanging="318"/>
        <w:rPr>
          <w:rFonts w:ascii="黑体" w:eastAsia="黑体"/>
          <w:sz w:val="21"/>
        </w:rPr>
      </w:pPr>
      <w:r>
        <w:rPr>
          <w:rFonts w:ascii="黑体" w:eastAsia="黑体" w:hint="eastAsia"/>
          <w:spacing w:val="-3"/>
          <w:sz w:val="21"/>
        </w:rPr>
        <w:t>一般性要求</w:t>
      </w:r>
    </w:p>
    <w:p w:rsidR="00A36D6E">
      <w:pPr>
        <w:pStyle w:val="BodyText"/>
        <w:spacing w:before="7"/>
        <w:rPr>
          <w:rFonts w:ascii="黑体"/>
          <w:sz w:val="29"/>
        </w:rPr>
      </w:pPr>
    </w:p>
    <w:p w:rsidR="00A36D6E">
      <w:pPr>
        <w:pStyle w:val="ListParagraph"/>
        <w:numPr>
          <w:ilvl w:val="1"/>
          <w:numId w:val="20"/>
        </w:numPr>
        <w:tabs>
          <w:tab w:val="left" w:pos="1806"/>
        </w:tabs>
        <w:spacing w:line="288" w:lineRule="auto"/>
        <w:ind w:right="245" w:firstLine="0"/>
        <w:jc w:val="both"/>
        <w:rPr>
          <w:sz w:val="21"/>
        </w:rPr>
      </w:pPr>
      <w:r>
        <w:rPr>
          <w:spacing w:val="-3"/>
          <w:sz w:val="21"/>
        </w:rPr>
        <w:t>综合考虑生态环境分区管控体系中各要素属性，从省级、四大板块、市</w:t>
      </w:r>
      <w:r>
        <w:rPr>
          <w:sz w:val="21"/>
        </w:rPr>
        <w:t>（州</w:t>
      </w:r>
      <w:r>
        <w:rPr>
          <w:spacing w:val="-3"/>
          <w:sz w:val="21"/>
        </w:rPr>
        <w:t>）</w:t>
      </w:r>
      <w:r>
        <w:rPr>
          <w:spacing w:val="-2"/>
          <w:sz w:val="21"/>
        </w:rPr>
        <w:t>级、生态环境管控</w:t>
      </w:r>
      <w:r>
        <w:rPr>
          <w:spacing w:val="-6"/>
          <w:sz w:val="21"/>
        </w:rPr>
        <w:t>单元分层级建立</w:t>
      </w:r>
      <w:r>
        <w:rPr>
          <w:spacing w:val="-6"/>
          <w:sz w:val="21"/>
        </w:rPr>
        <w:t>“</w:t>
      </w:r>
      <w:r>
        <w:rPr>
          <w:spacing w:val="-3"/>
          <w:sz w:val="21"/>
        </w:rPr>
        <w:t>1+4+14+N</w:t>
      </w:r>
      <w:r>
        <w:rPr>
          <w:spacing w:val="-7"/>
          <w:sz w:val="21"/>
        </w:rPr>
        <w:t>”</w:t>
      </w:r>
      <w:r>
        <w:rPr>
          <w:spacing w:val="-7"/>
          <w:sz w:val="21"/>
        </w:rPr>
        <w:t>生态环境准入清单体系。以空间布局约束、污染物排放管控、环境风险防</w:t>
      </w:r>
      <w:r>
        <w:rPr>
          <w:spacing w:val="-11"/>
          <w:sz w:val="21"/>
        </w:rPr>
        <w:t>控、资源开发效率四个维度，集成各要素属性确定的管控要求，各层级生态环境准入清单管控要求之间</w:t>
      </w:r>
      <w:r>
        <w:rPr>
          <w:spacing w:val="-6"/>
          <w:sz w:val="21"/>
        </w:rPr>
        <w:t>原则上不重复。</w:t>
      </w:r>
    </w:p>
    <w:p w:rsidR="00A36D6E">
      <w:pPr>
        <w:pStyle w:val="ListParagraph"/>
        <w:numPr>
          <w:ilvl w:val="1"/>
          <w:numId w:val="20"/>
        </w:numPr>
        <w:tabs>
          <w:tab w:val="left" w:pos="1806"/>
        </w:tabs>
        <w:spacing w:before="5" w:line="288" w:lineRule="auto"/>
        <w:ind w:right="245" w:firstLine="0"/>
        <w:jc w:val="both"/>
        <w:rPr>
          <w:sz w:val="21"/>
        </w:rPr>
      </w:pPr>
      <w:r>
        <w:rPr>
          <w:spacing w:val="-3"/>
          <w:sz w:val="21"/>
        </w:rPr>
        <w:t>各级生态环境准入清单编写以实现生态环境目标、碳达峰行动目标和解决突出生态环境问题为导</w:t>
      </w:r>
      <w:r>
        <w:rPr>
          <w:spacing w:val="-12"/>
          <w:sz w:val="21"/>
        </w:rPr>
        <w:t>向，体现在各级总体要求的管控中，各生态环境管控单元对应的生态环境准入清单管控要求对生态环境</w:t>
      </w:r>
      <w:r>
        <w:rPr>
          <w:spacing w:val="-6"/>
          <w:sz w:val="21"/>
        </w:rPr>
        <w:t>问题和生态环境目标管理要求需作出响应</w:t>
      </w:r>
      <w:r>
        <w:rPr>
          <w:spacing w:val="-6"/>
          <w:sz w:val="21"/>
        </w:rPr>
        <w:t>。</w:t>
      </w:r>
    </w:p>
    <w:p w:rsidR="00A36D6E">
      <w:pPr>
        <w:pStyle w:val="ListParagraph"/>
        <w:numPr>
          <w:ilvl w:val="1"/>
          <w:numId w:val="20"/>
        </w:numPr>
        <w:tabs>
          <w:tab w:val="left" w:pos="1806"/>
        </w:tabs>
        <w:spacing w:before="4"/>
        <w:ind w:left="1805" w:hanging="529"/>
        <w:jc w:val="both"/>
        <w:rPr>
          <w:sz w:val="21"/>
        </w:rPr>
      </w:pPr>
      <w:r>
        <w:rPr>
          <w:spacing w:val="-3"/>
          <w:sz w:val="21"/>
        </w:rPr>
        <w:t>省级总体要求原则上以要素属性相关的国家和省级法律、法规、政策及相关规划等为依据；四大</w:t>
      </w:r>
    </w:p>
    <w:p w:rsidR="00A36D6E">
      <w:pPr>
        <w:jc w:val="both"/>
        <w:rPr>
          <w:sz w:val="21"/>
        </w:rPr>
        <w:sectPr>
          <w:headerReference w:type="even" r:id="rId35"/>
          <w:headerReference w:type="default" r:id="rId36"/>
          <w:footerReference w:type="even" r:id="rId37"/>
          <w:footerReference w:type="default" r:id="rId38"/>
          <w:pgSz w:w="11910" w:h="16840"/>
          <w:pgMar w:top="1540" w:right="1020" w:bottom="1300" w:left="0" w:header="1333" w:footer="1111" w:gutter="0"/>
          <w:pgNumType w:start="5"/>
          <w:cols w:space="720"/>
        </w:sectPr>
      </w:pPr>
    </w:p>
    <w:p w:rsidR="00A36D6E">
      <w:pPr>
        <w:pStyle w:val="BodyText"/>
        <w:spacing w:before="5"/>
        <w:rPr>
          <w:sz w:val="10"/>
        </w:rPr>
      </w:pPr>
      <w:r>
        <w:rPr>
          <w:noProof/>
          <w:lang w:eastAsia="zh-CN"/>
        </w:rPr>
        <w:drawing>
          <wp:anchor distT="0" distB="0" distL="0" distR="0" simplePos="0" relativeHeight="251680768"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A36D6E">
      <w:pPr>
        <w:pStyle w:val="BodyText"/>
        <w:spacing w:before="71" w:line="288" w:lineRule="auto"/>
        <w:ind w:left="1277" w:right="149"/>
      </w:pPr>
      <w:r>
        <w:rPr>
          <w:spacing w:val="-3"/>
        </w:rPr>
        <w:t>板块总体要求原则上以与产业园区环境管控相关的国家和省级法律、法规、政策及相关规划等为依据；</w:t>
      </w:r>
      <w:r>
        <w:rPr>
          <w:spacing w:val="-3"/>
        </w:rPr>
        <w:t xml:space="preserve"> </w:t>
      </w:r>
      <w:r>
        <w:rPr>
          <w:spacing w:val="-17"/>
        </w:rPr>
        <w:t>市</w:t>
      </w:r>
      <w:r>
        <w:t>（州</w:t>
      </w:r>
      <w:r>
        <w:rPr>
          <w:spacing w:val="-20"/>
        </w:rPr>
        <w:t>）</w:t>
      </w:r>
      <w:r>
        <w:rPr>
          <w:spacing w:val="-4"/>
        </w:rPr>
        <w:t>级基本要求原则上以与各要素属性相关的市</w:t>
      </w:r>
      <w:r>
        <w:t>（州</w:t>
      </w:r>
      <w:r>
        <w:rPr>
          <w:spacing w:val="-20"/>
        </w:rPr>
        <w:t>）</w:t>
      </w:r>
      <w:r>
        <w:rPr>
          <w:spacing w:val="-6"/>
        </w:rPr>
        <w:t>级法规、政策及相关规划等为依据；园区单</w:t>
      </w:r>
      <w:r>
        <w:rPr>
          <w:spacing w:val="-8"/>
        </w:rPr>
        <w:t>元清单原则上以省、市</w:t>
      </w:r>
      <w:r>
        <w:rPr>
          <w:spacing w:val="-3"/>
        </w:rPr>
        <w:t>（</w:t>
      </w:r>
      <w:r>
        <w:t>州</w:t>
      </w:r>
      <w:r>
        <w:rPr>
          <w:spacing w:val="-20"/>
        </w:rPr>
        <w:t>）</w:t>
      </w:r>
      <w:r>
        <w:rPr>
          <w:spacing w:val="-7"/>
        </w:rPr>
        <w:t>法规、政策及相关规划等具有针对性的管控要求作为依据，其他单元清单</w:t>
      </w:r>
      <w:r>
        <w:rPr>
          <w:spacing w:val="-4"/>
        </w:rPr>
        <w:t>原则上以市</w:t>
      </w:r>
      <w:r>
        <w:rPr>
          <w:spacing w:val="-3"/>
        </w:rPr>
        <w:t>（</w:t>
      </w:r>
      <w:r>
        <w:t>州</w:t>
      </w:r>
      <w:r>
        <w:rPr>
          <w:spacing w:val="-106"/>
        </w:rPr>
        <w:t>）</w:t>
      </w:r>
      <w:r>
        <w:rPr>
          <w:spacing w:val="-2"/>
        </w:rPr>
        <w:t>、县</w:t>
      </w:r>
      <w:r>
        <w:rPr>
          <w:spacing w:val="-3"/>
        </w:rPr>
        <w:t>（</w:t>
      </w:r>
      <w:r>
        <w:rPr>
          <w:spacing w:val="-2"/>
        </w:rPr>
        <w:t>市、区</w:t>
      </w:r>
      <w:r>
        <w:rPr>
          <w:spacing w:val="-3"/>
        </w:rPr>
        <w:t>）相关法规、政策及相关规划作为依据，且与对应的生态环境管控单元相关的要素属性的管控</w:t>
      </w:r>
      <w:r>
        <w:rPr>
          <w:spacing w:val="-3"/>
        </w:rPr>
        <w:t>要求相衔接。</w:t>
      </w:r>
    </w:p>
    <w:p w:rsidR="00A36D6E">
      <w:pPr>
        <w:pStyle w:val="BodyText"/>
        <w:spacing w:before="9"/>
        <w:rPr>
          <w:sz w:val="25"/>
        </w:rPr>
      </w:pPr>
    </w:p>
    <w:p w:rsidR="00A36D6E">
      <w:pPr>
        <w:pStyle w:val="ListParagraph"/>
        <w:numPr>
          <w:ilvl w:val="0"/>
          <w:numId w:val="23"/>
        </w:numPr>
        <w:tabs>
          <w:tab w:val="left" w:pos="1595"/>
        </w:tabs>
        <w:spacing w:before="1"/>
        <w:ind w:hanging="318"/>
        <w:rPr>
          <w:rFonts w:ascii="黑体" w:eastAsia="黑体"/>
          <w:sz w:val="21"/>
        </w:rPr>
      </w:pPr>
      <w:r>
        <w:rPr>
          <w:rFonts w:ascii="黑体" w:eastAsia="黑体" w:hint="eastAsia"/>
          <w:spacing w:val="-3"/>
          <w:sz w:val="21"/>
        </w:rPr>
        <w:t>省级总体要求</w:t>
      </w:r>
    </w:p>
    <w:p w:rsidR="00A36D6E">
      <w:pPr>
        <w:pStyle w:val="BodyText"/>
        <w:spacing w:before="9"/>
        <w:rPr>
          <w:rFonts w:ascii="黑体"/>
          <w:sz w:val="29"/>
        </w:rPr>
      </w:pPr>
    </w:p>
    <w:p w:rsidR="00A36D6E">
      <w:pPr>
        <w:pStyle w:val="ListParagraph"/>
        <w:numPr>
          <w:ilvl w:val="1"/>
          <w:numId w:val="19"/>
        </w:numPr>
        <w:tabs>
          <w:tab w:val="left" w:pos="1803"/>
        </w:tabs>
        <w:rPr>
          <w:rFonts w:ascii="黑体" w:eastAsia="黑体"/>
          <w:sz w:val="21"/>
        </w:rPr>
      </w:pPr>
      <w:r>
        <w:rPr>
          <w:rFonts w:ascii="黑体" w:eastAsia="黑体" w:hint="eastAsia"/>
          <w:spacing w:val="-3"/>
          <w:sz w:val="21"/>
        </w:rPr>
        <w:t>省级总体要求分类</w:t>
      </w:r>
    </w:p>
    <w:p w:rsidR="00A36D6E">
      <w:pPr>
        <w:pStyle w:val="BodyText"/>
        <w:spacing w:before="4"/>
        <w:rPr>
          <w:rFonts w:ascii="黑体"/>
          <w:sz w:val="16"/>
        </w:rPr>
      </w:pPr>
    </w:p>
    <w:p w:rsidR="00A36D6E">
      <w:pPr>
        <w:pStyle w:val="BodyText"/>
        <w:spacing w:before="1" w:line="288" w:lineRule="auto"/>
        <w:ind w:left="1277" w:right="246" w:firstLine="420"/>
        <w:jc w:val="both"/>
      </w:pPr>
      <w:r>
        <w:rPr>
          <w:spacing w:val="-10"/>
        </w:rPr>
        <w:t>由优先保护单元、重点管控单元、一般管控单元三类生态环境管控单元的总体管控要求组成。生态</w:t>
      </w:r>
      <w:r>
        <w:rPr>
          <w:spacing w:val="-6"/>
        </w:rPr>
        <w:t>环境分区管控与生态环境准入清单关系见图</w:t>
      </w:r>
      <w:r>
        <w:rPr>
          <w:spacing w:val="-6"/>
        </w:rPr>
        <w:t xml:space="preserve"> </w:t>
      </w:r>
      <w:r>
        <w:rPr>
          <w:spacing w:val="-9"/>
        </w:rPr>
        <w:t>3</w:t>
      </w:r>
      <w:r>
        <w:rPr>
          <w:spacing w:val="-7"/>
        </w:rPr>
        <w:t>，省级优先保护单元、重点管控单元、一般管控单元生态</w:t>
      </w:r>
      <w:r>
        <w:rPr>
          <w:spacing w:val="-8"/>
        </w:rPr>
        <w:t>环境准入总体管控要求格式见附录</w:t>
      </w:r>
      <w:r>
        <w:rPr>
          <w:spacing w:val="-8"/>
        </w:rPr>
        <w:t xml:space="preserve"> </w:t>
      </w:r>
      <w:r>
        <w:t>B</w:t>
      </w:r>
      <w:r>
        <w:rPr>
          <w:spacing w:val="-37"/>
        </w:rPr>
        <w:t xml:space="preserve"> </w:t>
      </w:r>
      <w:r>
        <w:rPr>
          <w:spacing w:val="-37"/>
        </w:rPr>
        <w:t>表</w:t>
      </w:r>
      <w:r>
        <w:rPr>
          <w:spacing w:val="-37"/>
        </w:rPr>
        <w:t xml:space="preserve"> </w:t>
      </w:r>
      <w:r>
        <w:t>B.1</w:t>
      </w:r>
      <w:r>
        <w:rPr>
          <w:spacing w:val="-19"/>
        </w:rPr>
        <w:t>、表</w:t>
      </w:r>
      <w:r>
        <w:rPr>
          <w:spacing w:val="-19"/>
        </w:rPr>
        <w:t xml:space="preserve"> </w:t>
      </w:r>
      <w:r>
        <w:t>B.2</w:t>
      </w:r>
      <w:r>
        <w:rPr>
          <w:spacing w:val="-17"/>
        </w:rPr>
        <w:t>、表</w:t>
      </w:r>
      <w:r>
        <w:rPr>
          <w:spacing w:val="-17"/>
        </w:rPr>
        <w:t xml:space="preserve"> </w:t>
      </w:r>
      <w:r>
        <w:t>B.3</w:t>
      </w:r>
      <w:r>
        <w:t>。</w:t>
      </w:r>
    </w:p>
    <w:p w:rsidR="00A36D6E">
      <w:pPr>
        <w:pStyle w:val="BodyText"/>
        <w:spacing w:before="9"/>
        <w:rPr>
          <w:sz w:val="12"/>
        </w:rPr>
      </w:pPr>
      <w:r>
        <w:rPr>
          <w:noProof/>
          <w:lang w:eastAsia="zh-CN"/>
        </w:rPr>
        <w:drawing>
          <wp:anchor distT="0" distB="0" distL="0" distR="0" simplePos="0" relativeHeight="251679744" behindDoc="0" locked="0" layoutInCell="1" allowOverlap="1">
            <wp:simplePos x="0" y="0"/>
            <wp:positionH relativeFrom="page">
              <wp:posOffset>1302790</wp:posOffset>
            </wp:positionH>
            <wp:positionV relativeFrom="paragraph">
              <wp:posOffset>128538</wp:posOffset>
            </wp:positionV>
            <wp:extent cx="4936971" cy="2267712"/>
            <wp:effectExtent l="0" t="0" r="0" b="0"/>
            <wp:wrapTopAndBottom/>
            <wp:docPr id="3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png"/>
                    <pic:cNvPicPr/>
                  </pic:nvPicPr>
                  <pic:blipFill>
                    <a:blip xmlns:r="http://schemas.openxmlformats.org/officeDocument/2006/relationships" r:embed="rId39" cstate="print"/>
                    <a:stretch>
                      <a:fillRect/>
                    </a:stretch>
                  </pic:blipFill>
                  <pic:spPr>
                    <a:xfrm>
                      <a:off x="0" y="0"/>
                      <a:ext cx="4936971" cy="2267712"/>
                    </a:xfrm>
                    <a:prstGeom prst="rect">
                      <a:avLst/>
                    </a:prstGeom>
                  </pic:spPr>
                </pic:pic>
              </a:graphicData>
            </a:graphic>
          </wp:anchor>
        </w:drawing>
      </w:r>
    </w:p>
    <w:p w:rsidR="00A36D6E">
      <w:pPr>
        <w:pStyle w:val="BodyText"/>
        <w:spacing w:before="3"/>
        <w:rPr>
          <w:sz w:val="20"/>
        </w:rPr>
      </w:pPr>
    </w:p>
    <w:p w:rsidR="00A36D6E">
      <w:pPr>
        <w:pStyle w:val="BodyText"/>
        <w:ind w:left="3564"/>
        <w:rPr>
          <w:rFonts w:ascii="黑体" w:eastAsia="黑体"/>
        </w:rPr>
      </w:pPr>
      <w:r>
        <w:rPr>
          <w:rFonts w:ascii="黑体" w:eastAsia="黑体" w:hint="eastAsia"/>
        </w:rPr>
        <w:t>图</w:t>
      </w:r>
      <w:r>
        <w:rPr>
          <w:rFonts w:ascii="黑体" w:eastAsia="黑体" w:hint="eastAsia"/>
        </w:rPr>
        <w:t xml:space="preserve"> 3  </w:t>
      </w:r>
      <w:r>
        <w:rPr>
          <w:rFonts w:ascii="黑体" w:eastAsia="黑体" w:hint="eastAsia"/>
        </w:rPr>
        <w:t>生态环境分区管控与生态环境准入清单关系图</w:t>
      </w:r>
    </w:p>
    <w:p w:rsidR="00A36D6E">
      <w:pPr>
        <w:pStyle w:val="BodyText"/>
        <w:spacing w:before="6"/>
        <w:rPr>
          <w:rFonts w:ascii="黑体"/>
          <w:sz w:val="16"/>
        </w:rPr>
      </w:pPr>
    </w:p>
    <w:p w:rsidR="00A36D6E">
      <w:pPr>
        <w:pStyle w:val="ListParagraph"/>
        <w:numPr>
          <w:ilvl w:val="1"/>
          <w:numId w:val="19"/>
        </w:numPr>
        <w:tabs>
          <w:tab w:val="left" w:pos="1803"/>
        </w:tabs>
        <w:rPr>
          <w:rFonts w:ascii="黑体" w:eastAsia="黑体"/>
          <w:sz w:val="21"/>
        </w:rPr>
      </w:pPr>
      <w:r>
        <w:rPr>
          <w:rFonts w:ascii="黑体" w:eastAsia="黑体" w:hint="eastAsia"/>
          <w:spacing w:val="-3"/>
          <w:sz w:val="21"/>
        </w:rPr>
        <w:t>优先保护单元管控要求</w:t>
      </w:r>
    </w:p>
    <w:p w:rsidR="00A36D6E">
      <w:pPr>
        <w:pStyle w:val="BodyText"/>
        <w:spacing w:before="3"/>
        <w:rPr>
          <w:rFonts w:ascii="黑体"/>
          <w:sz w:val="16"/>
        </w:rPr>
      </w:pPr>
    </w:p>
    <w:p w:rsidR="00A36D6E">
      <w:pPr>
        <w:pStyle w:val="BodyText"/>
        <w:spacing w:line="288" w:lineRule="auto"/>
        <w:ind w:left="1697" w:right="1823"/>
      </w:pPr>
      <w:r>
        <w:t>优先保护单元区域内以优先保护要素分区为主，包括但不仅限于以下要素分区：</w:t>
      </w:r>
      <w:r>
        <w:t xml:space="preserve"> a</w:t>
      </w:r>
      <w:r>
        <w:t>）</w:t>
      </w:r>
      <w:r>
        <w:t xml:space="preserve"> </w:t>
      </w:r>
      <w:r>
        <w:t>生态保护红线和一般生态空间；</w:t>
      </w:r>
    </w:p>
    <w:p w:rsidR="00A36D6E">
      <w:pPr>
        <w:pStyle w:val="BodyText"/>
        <w:spacing w:before="3" w:line="288" w:lineRule="auto"/>
        <w:ind w:left="1697" w:right="6653"/>
      </w:pPr>
      <w:r>
        <w:t>b</w:t>
      </w:r>
      <w:r>
        <w:t>）</w:t>
      </w:r>
      <w:r>
        <w:t xml:space="preserve"> </w:t>
      </w:r>
      <w:r>
        <w:t>大气环境优先保护区；</w:t>
      </w:r>
      <w:r>
        <w:t xml:space="preserve"> c</w:t>
      </w:r>
      <w:r>
        <w:t>）</w:t>
      </w:r>
      <w:r>
        <w:t xml:space="preserve"> </w:t>
      </w:r>
      <w:r>
        <w:t>水环境优先保护区；</w:t>
      </w:r>
      <w:r>
        <w:t xml:space="preserve"> d</w:t>
      </w:r>
      <w:r>
        <w:t>）</w:t>
      </w:r>
      <w:r>
        <w:t xml:space="preserve"> </w:t>
      </w:r>
      <w:r>
        <w:t>农用地优先保护区；</w:t>
      </w:r>
    </w:p>
    <w:p w:rsidR="00A36D6E">
      <w:pPr>
        <w:pStyle w:val="BodyText"/>
        <w:spacing w:before="4"/>
        <w:ind w:left="1697"/>
      </w:pPr>
      <w:r>
        <w:t>e</w:t>
      </w:r>
      <w:r>
        <w:t>）</w:t>
      </w:r>
      <w:r>
        <w:rPr>
          <w:spacing w:val="-3"/>
        </w:rPr>
        <w:t xml:space="preserve"> </w:t>
      </w:r>
      <w:r>
        <w:rPr>
          <w:spacing w:val="-3"/>
        </w:rPr>
        <w:t>资源优先保护区</w:t>
      </w:r>
      <w:r>
        <w:t>（</w:t>
      </w:r>
      <w:r>
        <w:rPr>
          <w:spacing w:val="-3"/>
        </w:rPr>
        <w:t>含土地资源等</w:t>
      </w:r>
      <w:r>
        <w:rPr>
          <w:spacing w:val="-106"/>
        </w:rPr>
        <w:t>）</w:t>
      </w:r>
      <w:r>
        <w:t>。</w:t>
      </w:r>
    </w:p>
    <w:p w:rsidR="00A36D6E">
      <w:pPr>
        <w:pStyle w:val="BodyText"/>
        <w:spacing w:before="54" w:line="288" w:lineRule="auto"/>
        <w:ind w:left="1277" w:right="245" w:firstLine="420"/>
      </w:pPr>
      <w:r>
        <w:rPr>
          <w:spacing w:val="-6"/>
        </w:rPr>
        <w:t>其中生态保护红线和农用地优先保护区与国土空间规划中的生态保护红线、耕地和永久基本农田控</w:t>
      </w:r>
      <w:r>
        <w:rPr>
          <w:spacing w:val="-4"/>
        </w:rPr>
        <w:t>制线相一致；土地资源优先保护区与国土空间规划的主体功能区相衔接。</w:t>
      </w:r>
    </w:p>
    <w:p w:rsidR="00A36D6E">
      <w:pPr>
        <w:pStyle w:val="BodyText"/>
        <w:spacing w:before="3" w:line="288" w:lineRule="auto"/>
        <w:ind w:left="1277" w:right="245" w:firstLine="420"/>
      </w:pPr>
      <w:r>
        <w:rPr>
          <w:spacing w:val="-10"/>
        </w:rPr>
        <w:t>优先保护区的管控要求，提炼总结与优先保护区要素属性相关的既有生态环境管理要求，并衔接生</w:t>
      </w:r>
      <w:r>
        <w:rPr>
          <w:spacing w:val="-5"/>
        </w:rPr>
        <w:t>态环境分区管控划定成果中的优先保护区管控要求。</w:t>
      </w:r>
    </w:p>
    <w:p w:rsidR="00A36D6E">
      <w:pPr>
        <w:pStyle w:val="ListParagraph"/>
        <w:numPr>
          <w:ilvl w:val="2"/>
          <w:numId w:val="19"/>
        </w:numPr>
        <w:tabs>
          <w:tab w:val="left" w:pos="2014"/>
        </w:tabs>
        <w:spacing w:before="160"/>
        <w:rPr>
          <w:rFonts w:ascii="黑体" w:eastAsia="黑体"/>
          <w:sz w:val="21"/>
        </w:rPr>
      </w:pPr>
      <w:r>
        <w:rPr>
          <w:rFonts w:ascii="黑体" w:eastAsia="黑体" w:hint="eastAsia"/>
          <w:spacing w:val="-3"/>
          <w:sz w:val="21"/>
        </w:rPr>
        <w:t>生态保护红线和一般生态空间</w:t>
      </w:r>
    </w:p>
    <w:p w:rsidR="00A36D6E">
      <w:pPr>
        <w:pStyle w:val="BodyText"/>
        <w:spacing w:before="4"/>
        <w:rPr>
          <w:rFonts w:ascii="黑体"/>
          <w:sz w:val="16"/>
        </w:rPr>
      </w:pPr>
    </w:p>
    <w:p w:rsidR="00A36D6E">
      <w:pPr>
        <w:pStyle w:val="BodyText"/>
        <w:ind w:left="1697"/>
      </w:pPr>
      <w:r>
        <w:t>生态保护红线是具有特殊重要生态功能，必须强制性严格保护的区域。</w:t>
      </w:r>
    </w:p>
    <w:p w:rsidR="00A36D6E">
      <w:pPr>
        <w:pStyle w:val="BodyText"/>
        <w:spacing w:before="55"/>
        <w:ind w:left="1697"/>
      </w:pPr>
      <w:r>
        <w:t>一般生态空间是除生态保护红线以外，需要加强生态保护的各类区域，包括水源涵养功能重要区、</w:t>
      </w:r>
    </w:p>
    <w:p w:rsidR="00A36D6E">
      <w:pPr>
        <w:sectPr>
          <w:headerReference w:type="even" r:id="rId40"/>
          <w:headerReference w:type="default" r:id="rId41"/>
          <w:footerReference w:type="even" r:id="rId42"/>
          <w:footerReference w:type="default" r:id="rId43"/>
          <w:pgSz w:w="11910" w:h="16840"/>
          <w:pgMar w:top="1540" w:right="1020" w:bottom="1300" w:left="0" w:header="1335" w:footer="1111" w:gutter="0"/>
          <w:pgNumType w:start="6"/>
          <w:cols w:space="720"/>
        </w:sectPr>
      </w:pPr>
    </w:p>
    <w:p w:rsidR="00A36D6E">
      <w:pPr>
        <w:pStyle w:val="BodyText"/>
        <w:spacing w:before="2"/>
        <w:rPr>
          <w:sz w:val="10"/>
        </w:rPr>
      </w:pPr>
      <w:r>
        <w:rPr>
          <w:noProof/>
          <w:lang w:eastAsia="zh-CN"/>
        </w:rPr>
        <w:drawing>
          <wp:anchor distT="0" distB="0" distL="0" distR="0" simplePos="0" relativeHeight="251681792"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A36D6E">
      <w:pPr>
        <w:pStyle w:val="BodyText"/>
        <w:spacing w:before="72" w:line="288" w:lineRule="auto"/>
        <w:ind w:left="1697" w:right="1198" w:hanging="420"/>
      </w:pPr>
      <w:r>
        <w:rPr>
          <w:spacing w:val="-3"/>
        </w:rPr>
        <w:t>生物多样性维护功能重要区、水土保持功能重要区、水土流失敏感区、石漠化敏感区等。</w:t>
      </w:r>
      <w:r>
        <w:rPr>
          <w:spacing w:val="-3"/>
        </w:rPr>
        <w:t xml:space="preserve"> </w:t>
      </w:r>
      <w:r>
        <w:rPr>
          <w:spacing w:val="-3"/>
        </w:rPr>
        <w:t>生态保护红线和一般生态空间以上述要素属性的管控要求等分别提炼相应的管控要求。</w:t>
      </w:r>
    </w:p>
    <w:p w:rsidR="00A36D6E">
      <w:pPr>
        <w:pStyle w:val="ListParagraph"/>
        <w:numPr>
          <w:ilvl w:val="2"/>
          <w:numId w:val="19"/>
        </w:numPr>
        <w:tabs>
          <w:tab w:val="left" w:pos="2014"/>
        </w:tabs>
        <w:spacing w:before="161"/>
        <w:rPr>
          <w:rFonts w:ascii="黑体" w:eastAsia="黑体"/>
          <w:sz w:val="21"/>
        </w:rPr>
      </w:pPr>
      <w:r>
        <w:rPr>
          <w:rFonts w:ascii="黑体" w:eastAsia="黑体" w:hint="eastAsia"/>
          <w:spacing w:val="-3"/>
          <w:sz w:val="21"/>
        </w:rPr>
        <w:t>大气环境优先保护</w:t>
      </w:r>
    </w:p>
    <w:p w:rsidR="00A36D6E">
      <w:pPr>
        <w:pStyle w:val="BodyText"/>
        <w:spacing w:before="3"/>
        <w:rPr>
          <w:rFonts w:ascii="黑体"/>
          <w:sz w:val="16"/>
        </w:rPr>
      </w:pPr>
    </w:p>
    <w:p w:rsidR="00A36D6E">
      <w:pPr>
        <w:pStyle w:val="BodyText"/>
        <w:spacing w:line="288" w:lineRule="auto"/>
        <w:ind w:left="1277" w:right="245" w:firstLine="420"/>
      </w:pPr>
      <w:r>
        <w:rPr>
          <w:spacing w:val="-8"/>
        </w:rPr>
        <w:t>大气环境优先保护区即环境空气一类功能区，包括自然保护区、风景名胜区和其他需要特殊保护的</w:t>
      </w:r>
      <w:r>
        <w:rPr>
          <w:spacing w:val="-6"/>
        </w:rPr>
        <w:t>区域等。</w:t>
      </w:r>
    </w:p>
    <w:p w:rsidR="00A36D6E">
      <w:pPr>
        <w:pStyle w:val="BodyText"/>
        <w:spacing w:before="2"/>
        <w:ind w:left="1697"/>
      </w:pPr>
      <w:r>
        <w:t>大气优先保护区以环境空气一类功能区的管控要求等提炼相应的管控要求。</w:t>
      </w:r>
    </w:p>
    <w:p w:rsidR="00A36D6E">
      <w:pPr>
        <w:pStyle w:val="BodyText"/>
        <w:spacing w:before="8"/>
        <w:rPr>
          <w:sz w:val="16"/>
        </w:rPr>
      </w:pPr>
    </w:p>
    <w:p w:rsidR="00A36D6E">
      <w:pPr>
        <w:pStyle w:val="ListParagraph"/>
        <w:numPr>
          <w:ilvl w:val="2"/>
          <w:numId w:val="19"/>
        </w:numPr>
        <w:tabs>
          <w:tab w:val="left" w:pos="2014"/>
        </w:tabs>
        <w:spacing w:before="1"/>
        <w:rPr>
          <w:rFonts w:ascii="黑体" w:eastAsia="黑体"/>
          <w:sz w:val="21"/>
        </w:rPr>
      </w:pPr>
      <w:r>
        <w:rPr>
          <w:rFonts w:ascii="黑体" w:eastAsia="黑体" w:hint="eastAsia"/>
          <w:spacing w:val="-3"/>
          <w:sz w:val="21"/>
        </w:rPr>
        <w:t>水环境优先保护</w:t>
      </w:r>
    </w:p>
    <w:p w:rsidR="00A36D6E">
      <w:pPr>
        <w:pStyle w:val="BodyText"/>
        <w:spacing w:before="3"/>
        <w:rPr>
          <w:rFonts w:ascii="黑体"/>
          <w:sz w:val="16"/>
        </w:rPr>
      </w:pPr>
    </w:p>
    <w:p w:rsidR="00A36D6E">
      <w:pPr>
        <w:pStyle w:val="BodyText"/>
        <w:spacing w:line="290" w:lineRule="auto"/>
        <w:ind w:left="1277" w:right="248" w:firstLine="420"/>
      </w:pPr>
      <w:r>
        <w:rPr>
          <w:spacing w:val="-7"/>
        </w:rPr>
        <w:t>水环境优先保护区包括饮用水水源保护区、水产种质资源保护区、湿地公园、江河源头所在水环境</w:t>
      </w:r>
      <w:r>
        <w:rPr>
          <w:spacing w:val="-5"/>
        </w:rPr>
        <w:t>优先保护区域等。</w:t>
      </w:r>
    </w:p>
    <w:p w:rsidR="00A36D6E">
      <w:pPr>
        <w:pStyle w:val="BodyText"/>
        <w:spacing w:line="267" w:lineRule="exact"/>
        <w:ind w:left="1697"/>
      </w:pPr>
      <w:r>
        <w:t>水环境优先保护区以上述要素属性的管控要求等分别提炼相应的管控要求。</w:t>
      </w:r>
    </w:p>
    <w:p w:rsidR="00A36D6E">
      <w:pPr>
        <w:pStyle w:val="BodyText"/>
        <w:spacing w:before="8"/>
        <w:rPr>
          <w:sz w:val="16"/>
        </w:rPr>
      </w:pPr>
    </w:p>
    <w:p w:rsidR="00A36D6E">
      <w:pPr>
        <w:pStyle w:val="ListParagraph"/>
        <w:numPr>
          <w:ilvl w:val="2"/>
          <w:numId w:val="19"/>
        </w:numPr>
        <w:tabs>
          <w:tab w:val="left" w:pos="2014"/>
        </w:tabs>
        <w:spacing w:before="1"/>
        <w:rPr>
          <w:rFonts w:ascii="黑体" w:eastAsia="黑体"/>
          <w:sz w:val="21"/>
        </w:rPr>
      </w:pPr>
      <w:r>
        <w:rPr>
          <w:rFonts w:ascii="黑体" w:eastAsia="黑体" w:hint="eastAsia"/>
          <w:spacing w:val="-3"/>
          <w:sz w:val="21"/>
        </w:rPr>
        <w:t>农用地优先保护</w:t>
      </w:r>
    </w:p>
    <w:p w:rsidR="00A36D6E">
      <w:pPr>
        <w:pStyle w:val="BodyText"/>
        <w:spacing w:before="3"/>
        <w:rPr>
          <w:rFonts w:ascii="黑体"/>
          <w:sz w:val="16"/>
        </w:rPr>
      </w:pPr>
    </w:p>
    <w:p w:rsidR="00A36D6E">
      <w:pPr>
        <w:pStyle w:val="BodyText"/>
        <w:spacing w:line="288" w:lineRule="auto"/>
        <w:ind w:left="1277" w:right="245" w:firstLine="420"/>
      </w:pPr>
      <w:r>
        <w:rPr>
          <w:spacing w:val="-7"/>
        </w:rPr>
        <w:t>农用地优先保护区即耕地和永久基本农田保护区域等，农用地优先保护区以耕地和永久基本农田保</w:t>
      </w:r>
      <w:r>
        <w:rPr>
          <w:spacing w:val="-5"/>
        </w:rPr>
        <w:t>护管控规则等提炼相应的管控要求。</w:t>
      </w:r>
    </w:p>
    <w:p w:rsidR="00A36D6E">
      <w:pPr>
        <w:pStyle w:val="ListParagraph"/>
        <w:numPr>
          <w:ilvl w:val="1"/>
          <w:numId w:val="19"/>
        </w:numPr>
        <w:tabs>
          <w:tab w:val="left" w:pos="1803"/>
        </w:tabs>
        <w:spacing w:before="161"/>
        <w:rPr>
          <w:rFonts w:ascii="黑体" w:eastAsia="黑体"/>
          <w:sz w:val="21"/>
        </w:rPr>
      </w:pPr>
      <w:r>
        <w:rPr>
          <w:rFonts w:ascii="黑体" w:eastAsia="黑体" w:hint="eastAsia"/>
          <w:spacing w:val="-3"/>
          <w:sz w:val="21"/>
        </w:rPr>
        <w:t>重点管控单元管控要求</w:t>
      </w:r>
    </w:p>
    <w:p w:rsidR="00A36D6E">
      <w:pPr>
        <w:pStyle w:val="BodyText"/>
        <w:spacing w:before="3"/>
        <w:rPr>
          <w:rFonts w:ascii="黑体"/>
          <w:sz w:val="16"/>
        </w:rPr>
      </w:pPr>
    </w:p>
    <w:p w:rsidR="00A36D6E">
      <w:pPr>
        <w:pStyle w:val="BodyText"/>
        <w:spacing w:line="288" w:lineRule="auto"/>
        <w:ind w:left="1277" w:right="248" w:firstLine="420"/>
        <w:jc w:val="both"/>
      </w:pPr>
      <w:r>
        <w:rPr>
          <w:spacing w:val="-7"/>
        </w:rPr>
        <w:t>重点管控单元区域以重点管控要素分区为主，包括大气环境重点管控区、水环境重点管控区、土壤</w:t>
      </w:r>
      <w:r>
        <w:rPr>
          <w:spacing w:val="-10"/>
        </w:rPr>
        <w:t>环境风险重点管控区、能源利用重点管控区、水资源重点管控区、土地资源重点管控区、城镇开发边界</w:t>
      </w:r>
      <w:r>
        <w:rPr>
          <w:spacing w:val="-5"/>
        </w:rPr>
        <w:t>控制线内区域等。</w:t>
      </w:r>
    </w:p>
    <w:p w:rsidR="00A36D6E">
      <w:pPr>
        <w:pStyle w:val="BodyText"/>
        <w:spacing w:before="4" w:line="288" w:lineRule="auto"/>
        <w:ind w:left="1277" w:right="259" w:firstLine="420"/>
      </w:pPr>
      <w:r>
        <w:t>重点管控区的管控要求，以提炼总结与重点管控区要素属性相关的既有生态环境管理要求作为依据，并衔接生态环境分区管控划定成果中的重点管控区管控要求。</w:t>
      </w:r>
    </w:p>
    <w:p w:rsidR="00A36D6E">
      <w:pPr>
        <w:pStyle w:val="ListParagraph"/>
        <w:numPr>
          <w:ilvl w:val="2"/>
          <w:numId w:val="19"/>
        </w:numPr>
        <w:tabs>
          <w:tab w:val="left" w:pos="2014"/>
        </w:tabs>
        <w:spacing w:before="161"/>
        <w:rPr>
          <w:rFonts w:ascii="黑体" w:eastAsia="黑体"/>
          <w:sz w:val="21"/>
        </w:rPr>
      </w:pPr>
      <w:r>
        <w:rPr>
          <w:rFonts w:ascii="黑体" w:eastAsia="黑体" w:hint="eastAsia"/>
          <w:spacing w:val="-3"/>
          <w:sz w:val="21"/>
        </w:rPr>
        <w:t>大气环境重点管控</w:t>
      </w:r>
    </w:p>
    <w:p w:rsidR="00A36D6E">
      <w:pPr>
        <w:pStyle w:val="BodyText"/>
        <w:spacing w:before="3"/>
        <w:rPr>
          <w:rFonts w:ascii="黑体"/>
          <w:sz w:val="16"/>
        </w:rPr>
      </w:pPr>
    </w:p>
    <w:p w:rsidR="00A36D6E">
      <w:pPr>
        <w:pStyle w:val="BodyText"/>
        <w:spacing w:line="288" w:lineRule="auto"/>
        <w:ind w:left="1697" w:right="2033"/>
      </w:pPr>
      <w:r>
        <w:t>大气环境重点管控区包括受体敏感区、布局敏感区、弱扩散区、高排放区等：</w:t>
      </w:r>
      <w:r>
        <w:t xml:space="preserve"> a</w:t>
      </w:r>
      <w:r>
        <w:t>）</w:t>
      </w:r>
      <w:r>
        <w:t xml:space="preserve"> </w:t>
      </w:r>
      <w:r>
        <w:t>受体敏感区是城镇中心及集中居住、医疗、教育等主要敏感区域；</w:t>
      </w:r>
    </w:p>
    <w:p w:rsidR="00A36D6E">
      <w:pPr>
        <w:pStyle w:val="BodyText"/>
        <w:spacing w:before="2" w:line="288" w:lineRule="auto"/>
        <w:ind w:left="1697" w:right="1403"/>
      </w:pPr>
      <w:r>
        <w:t>b</w:t>
      </w:r>
      <w:r>
        <w:t>）</w:t>
      </w:r>
      <w:r>
        <w:t xml:space="preserve"> </w:t>
      </w:r>
      <w:r>
        <w:t>布局敏感区是主导风上风向、扩散通道、环流通道等影响空气质量的重点区域；</w:t>
      </w:r>
      <w:r>
        <w:t xml:space="preserve"> c</w:t>
      </w:r>
      <w:r>
        <w:t>）</w:t>
      </w:r>
      <w:r>
        <w:t xml:space="preserve"> </w:t>
      </w:r>
      <w:r>
        <w:t>弱扩散区是常年处于静风或风速较小的重点区域；</w:t>
      </w:r>
    </w:p>
    <w:p w:rsidR="00A36D6E">
      <w:pPr>
        <w:pStyle w:val="BodyText"/>
        <w:spacing w:before="3" w:line="290" w:lineRule="auto"/>
        <w:ind w:left="1697" w:right="569"/>
      </w:pPr>
      <w:r>
        <w:t>d</w:t>
      </w:r>
      <w:r>
        <w:t>）</w:t>
      </w:r>
      <w:r>
        <w:t xml:space="preserve"> </w:t>
      </w:r>
      <w:r>
        <w:t>高排放区是环境空气二类功能区中的工业集聚区域、重点气型污染企业涉及的主要区域。大气环境重点管控区以上述要素属性等分别提炼相应的管控要求。</w:t>
      </w:r>
    </w:p>
    <w:p w:rsidR="00A36D6E">
      <w:pPr>
        <w:pStyle w:val="ListParagraph"/>
        <w:numPr>
          <w:ilvl w:val="2"/>
          <w:numId w:val="19"/>
        </w:numPr>
        <w:tabs>
          <w:tab w:val="left" w:pos="2014"/>
        </w:tabs>
        <w:spacing w:before="156"/>
        <w:rPr>
          <w:rFonts w:ascii="黑体" w:eastAsia="黑体"/>
          <w:sz w:val="21"/>
        </w:rPr>
      </w:pPr>
      <w:r>
        <w:rPr>
          <w:rFonts w:ascii="黑体" w:eastAsia="黑体" w:hint="eastAsia"/>
          <w:spacing w:val="-3"/>
          <w:sz w:val="21"/>
        </w:rPr>
        <w:t>水环境重点管控</w:t>
      </w:r>
    </w:p>
    <w:p w:rsidR="00A36D6E">
      <w:pPr>
        <w:pStyle w:val="BodyText"/>
        <w:spacing w:before="3"/>
        <w:rPr>
          <w:rFonts w:ascii="黑体"/>
          <w:sz w:val="16"/>
        </w:rPr>
      </w:pPr>
    </w:p>
    <w:p w:rsidR="00A36D6E">
      <w:pPr>
        <w:pStyle w:val="BodyText"/>
        <w:spacing w:line="288" w:lineRule="auto"/>
        <w:ind w:left="1697" w:right="4772"/>
      </w:pPr>
      <w:r>
        <w:rPr>
          <w:spacing w:val="-3"/>
        </w:rPr>
        <w:t>水环境重点管控区包括但不仅限于以下要素：</w:t>
      </w:r>
      <w:r>
        <w:rPr>
          <w:spacing w:val="-3"/>
        </w:rPr>
        <w:t xml:space="preserve"> a</w:t>
      </w:r>
      <w:r>
        <w:rPr>
          <w:spacing w:val="-3"/>
        </w:rPr>
        <w:t>）</w:t>
      </w:r>
      <w:r>
        <w:rPr>
          <w:spacing w:val="-4"/>
        </w:rPr>
        <w:t xml:space="preserve"> </w:t>
      </w:r>
      <w:r>
        <w:rPr>
          <w:spacing w:val="-4"/>
        </w:rPr>
        <w:t>省级及以上产业园区所属水环境控制区域；</w:t>
      </w:r>
      <w:r>
        <w:rPr>
          <w:spacing w:val="-4"/>
        </w:rPr>
        <w:t xml:space="preserve"> </w:t>
      </w:r>
      <w:r>
        <w:t>b</w:t>
      </w:r>
      <w:r>
        <w:t>）</w:t>
      </w:r>
      <w:r>
        <w:rPr>
          <w:spacing w:val="-3"/>
        </w:rPr>
        <w:t xml:space="preserve"> </w:t>
      </w:r>
      <w:r>
        <w:rPr>
          <w:spacing w:val="-3"/>
        </w:rPr>
        <w:t>水质超标断面所属水环境控制区域；</w:t>
      </w:r>
    </w:p>
    <w:p w:rsidR="00A36D6E">
      <w:pPr>
        <w:pStyle w:val="BodyText"/>
        <w:spacing w:before="3" w:line="288" w:lineRule="auto"/>
        <w:ind w:left="1697" w:right="5192"/>
      </w:pPr>
      <w:r>
        <w:t>c</w:t>
      </w:r>
      <w:r>
        <w:t>）</w:t>
      </w:r>
      <w:r>
        <w:rPr>
          <w:spacing w:val="-4"/>
        </w:rPr>
        <w:t xml:space="preserve"> </w:t>
      </w:r>
      <w:r>
        <w:rPr>
          <w:spacing w:val="-4"/>
        </w:rPr>
        <w:t>城镇生活污染源所属水环境控制区域；</w:t>
      </w:r>
      <w:r>
        <w:rPr>
          <w:spacing w:val="-4"/>
        </w:rPr>
        <w:t xml:space="preserve"> </w:t>
      </w:r>
      <w:r>
        <w:t>d</w:t>
      </w:r>
      <w:r>
        <w:t>）</w:t>
      </w:r>
      <w:r>
        <w:rPr>
          <w:spacing w:val="-3"/>
        </w:rPr>
        <w:t xml:space="preserve"> </w:t>
      </w:r>
      <w:r>
        <w:rPr>
          <w:spacing w:val="-3"/>
        </w:rPr>
        <w:t>农业面源污染所属水环境控制区域；</w:t>
      </w:r>
      <w:r>
        <w:rPr>
          <w:spacing w:val="-3"/>
        </w:rPr>
        <w:t xml:space="preserve"> e</w:t>
      </w:r>
      <w:r>
        <w:rPr>
          <w:spacing w:val="-3"/>
        </w:rPr>
        <w:t>）</w:t>
      </w:r>
      <w:r>
        <w:rPr>
          <w:spacing w:val="-3"/>
        </w:rPr>
        <w:t xml:space="preserve"> </w:t>
      </w:r>
      <w:r>
        <w:rPr>
          <w:spacing w:val="-3"/>
        </w:rPr>
        <w:t>涉重金属矿区所属水环境控制区域。</w:t>
      </w:r>
    </w:p>
    <w:p w:rsidR="00A36D6E">
      <w:pPr>
        <w:pStyle w:val="BodyText"/>
        <w:spacing w:before="4"/>
        <w:ind w:left="1697"/>
      </w:pPr>
      <w:r>
        <w:t>水环境重点管控区以上述要素属性等分别提炼相应的管控要求。</w:t>
      </w:r>
    </w:p>
    <w:p w:rsidR="00A36D6E">
      <w:pPr>
        <w:pStyle w:val="BodyText"/>
        <w:spacing w:before="8"/>
        <w:rPr>
          <w:sz w:val="16"/>
        </w:rPr>
      </w:pPr>
    </w:p>
    <w:p w:rsidR="00A36D6E">
      <w:pPr>
        <w:pStyle w:val="ListParagraph"/>
        <w:numPr>
          <w:ilvl w:val="2"/>
          <w:numId w:val="19"/>
        </w:numPr>
        <w:tabs>
          <w:tab w:val="left" w:pos="2014"/>
        </w:tabs>
        <w:spacing w:before="1"/>
        <w:rPr>
          <w:rFonts w:ascii="黑体" w:eastAsia="黑体"/>
          <w:sz w:val="21"/>
        </w:rPr>
      </w:pPr>
      <w:r>
        <w:rPr>
          <w:rFonts w:ascii="黑体" w:eastAsia="黑体" w:hint="eastAsia"/>
          <w:spacing w:val="-3"/>
          <w:sz w:val="21"/>
        </w:rPr>
        <w:t>土壤环境风险重点管控</w:t>
      </w:r>
    </w:p>
    <w:p w:rsidR="00A36D6E">
      <w:pPr>
        <w:rPr>
          <w:rFonts w:ascii="黑体" w:eastAsia="黑体"/>
          <w:sz w:val="21"/>
        </w:rPr>
        <w:sectPr>
          <w:headerReference w:type="even" r:id="rId44"/>
          <w:headerReference w:type="default" r:id="rId45"/>
          <w:footerReference w:type="even" r:id="rId46"/>
          <w:footerReference w:type="default" r:id="rId47"/>
          <w:pgSz w:w="11910" w:h="16840"/>
          <w:pgMar w:top="1540" w:right="1020" w:bottom="1300" w:left="0" w:header="1333" w:footer="1111" w:gutter="0"/>
          <w:pgNumType w:start="7"/>
          <w:cols w:space="720"/>
        </w:sectPr>
      </w:pPr>
    </w:p>
    <w:p w:rsidR="00A36D6E">
      <w:pPr>
        <w:pStyle w:val="BodyText"/>
        <w:spacing w:before="5"/>
        <w:rPr>
          <w:rFonts w:ascii="黑体"/>
          <w:sz w:val="10"/>
        </w:rPr>
      </w:pPr>
      <w:r>
        <w:rPr>
          <w:noProof/>
          <w:lang w:eastAsia="zh-CN"/>
        </w:rPr>
        <w:drawing>
          <wp:anchor distT="0" distB="0" distL="0" distR="0" simplePos="0" relativeHeight="251682816"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A36D6E">
      <w:pPr>
        <w:pStyle w:val="BodyText"/>
        <w:spacing w:before="71" w:line="288" w:lineRule="auto"/>
        <w:ind w:left="1697" w:right="4343"/>
      </w:pPr>
      <w:r>
        <w:t>土壤环境风险重点管控区包括但不仅限于以下要素：</w:t>
      </w:r>
      <w:r>
        <w:t xml:space="preserve"> a</w:t>
      </w:r>
      <w:r>
        <w:t>）</w:t>
      </w:r>
      <w:r>
        <w:t xml:space="preserve"> </w:t>
      </w:r>
      <w:r>
        <w:t>农用地污染风险重点管控区；</w:t>
      </w:r>
    </w:p>
    <w:p w:rsidR="00A36D6E">
      <w:pPr>
        <w:pStyle w:val="ListParagraph"/>
        <w:numPr>
          <w:ilvl w:val="0"/>
          <w:numId w:val="18"/>
        </w:numPr>
        <w:tabs>
          <w:tab w:val="left" w:pos="2120"/>
        </w:tabs>
        <w:spacing w:before="3"/>
        <w:rPr>
          <w:sz w:val="21"/>
        </w:rPr>
      </w:pPr>
      <w:r>
        <w:rPr>
          <w:spacing w:val="-3"/>
          <w:sz w:val="21"/>
        </w:rPr>
        <w:t>建设用地污染风险重点管控区：</w:t>
      </w:r>
    </w:p>
    <w:p w:rsidR="00A36D6E">
      <w:pPr>
        <w:pStyle w:val="ListParagraph"/>
        <w:numPr>
          <w:ilvl w:val="1"/>
          <w:numId w:val="18"/>
        </w:numPr>
        <w:tabs>
          <w:tab w:val="left" w:pos="2516"/>
        </w:tabs>
        <w:spacing w:before="54" w:line="288" w:lineRule="auto"/>
        <w:ind w:right="246" w:hanging="404"/>
        <w:rPr>
          <w:sz w:val="21"/>
        </w:rPr>
      </w:pPr>
      <w:r>
        <w:rPr>
          <w:spacing w:val="-7"/>
          <w:sz w:val="21"/>
        </w:rPr>
        <w:t>重金属污染防治重点区域及污染地块，包括：化学品生产企业以及工业集聚区</w:t>
      </w:r>
      <w:r>
        <w:rPr>
          <w:sz w:val="21"/>
        </w:rPr>
        <w:t>（</w:t>
      </w:r>
      <w:r>
        <w:rPr>
          <w:spacing w:val="-3"/>
          <w:sz w:val="21"/>
        </w:rPr>
        <w:t>含化工园区</w:t>
      </w:r>
      <w:r>
        <w:rPr>
          <w:spacing w:val="-106"/>
          <w:sz w:val="21"/>
        </w:rPr>
        <w:t>）</w:t>
      </w:r>
      <w:r>
        <w:rPr>
          <w:spacing w:val="-3"/>
          <w:sz w:val="21"/>
        </w:rPr>
        <w:t>、尾矿库、</w:t>
      </w:r>
      <w:r>
        <w:rPr>
          <w:spacing w:val="-3"/>
          <w:sz w:val="21"/>
        </w:rPr>
        <w:t xml:space="preserve"> </w:t>
      </w:r>
      <w:r>
        <w:rPr>
          <w:spacing w:val="-3"/>
          <w:sz w:val="21"/>
        </w:rPr>
        <w:t>危险废物处置场、垃圾填埋场等；</w:t>
      </w:r>
    </w:p>
    <w:p w:rsidR="00A36D6E">
      <w:pPr>
        <w:pStyle w:val="ListParagraph"/>
        <w:numPr>
          <w:ilvl w:val="1"/>
          <w:numId w:val="18"/>
        </w:numPr>
        <w:tabs>
          <w:tab w:val="left" w:pos="2494"/>
        </w:tabs>
        <w:spacing w:before="3" w:line="288" w:lineRule="auto"/>
        <w:ind w:right="142" w:hanging="404"/>
        <w:rPr>
          <w:sz w:val="21"/>
        </w:rPr>
      </w:pPr>
      <w:r>
        <w:rPr>
          <w:spacing w:val="-9"/>
          <w:sz w:val="21"/>
        </w:rPr>
        <w:t>其他土壤环境风险重点管控区，含湖南省矿产资源总体规划中的国家级、省级、市</w:t>
      </w:r>
      <w:r>
        <w:rPr>
          <w:spacing w:val="-3"/>
          <w:sz w:val="21"/>
        </w:rPr>
        <w:t>（</w:t>
      </w:r>
      <w:r>
        <w:rPr>
          <w:sz w:val="21"/>
        </w:rPr>
        <w:t>州）</w:t>
      </w:r>
      <w:r>
        <w:rPr>
          <w:sz w:val="21"/>
        </w:rPr>
        <w:t xml:space="preserve"> </w:t>
      </w:r>
      <w:r>
        <w:rPr>
          <w:spacing w:val="-1"/>
          <w:sz w:val="21"/>
        </w:rPr>
        <w:t>级、县</w:t>
      </w:r>
      <w:r>
        <w:rPr>
          <w:sz w:val="21"/>
        </w:rPr>
        <w:t>（</w:t>
      </w:r>
      <w:r>
        <w:rPr>
          <w:spacing w:val="-3"/>
          <w:sz w:val="21"/>
        </w:rPr>
        <w:t>市、区</w:t>
      </w:r>
      <w:r>
        <w:rPr>
          <w:sz w:val="21"/>
        </w:rPr>
        <w:t>）</w:t>
      </w:r>
      <w:r>
        <w:rPr>
          <w:spacing w:val="-3"/>
          <w:sz w:val="21"/>
        </w:rPr>
        <w:t>级各类矿山开采区、探矿区，砂石矿区等。</w:t>
      </w:r>
    </w:p>
    <w:p w:rsidR="00A36D6E">
      <w:pPr>
        <w:pStyle w:val="BodyText"/>
        <w:spacing w:before="2"/>
        <w:ind w:left="1697"/>
      </w:pPr>
      <w:r>
        <w:t>土壤环境风险重点管控区以上述要素属性等分别提炼相应的管控要求。</w:t>
      </w:r>
    </w:p>
    <w:p w:rsidR="00A36D6E">
      <w:pPr>
        <w:pStyle w:val="BodyText"/>
        <w:spacing w:before="8"/>
        <w:rPr>
          <w:sz w:val="16"/>
        </w:rPr>
      </w:pPr>
    </w:p>
    <w:p w:rsidR="00A36D6E">
      <w:pPr>
        <w:pStyle w:val="ListParagraph"/>
        <w:numPr>
          <w:ilvl w:val="2"/>
          <w:numId w:val="19"/>
        </w:numPr>
        <w:tabs>
          <w:tab w:val="left" w:pos="2014"/>
        </w:tabs>
        <w:rPr>
          <w:rFonts w:ascii="黑体" w:eastAsia="黑体"/>
          <w:sz w:val="21"/>
        </w:rPr>
      </w:pPr>
      <w:r>
        <w:rPr>
          <w:rFonts w:ascii="黑体" w:eastAsia="黑体" w:hint="eastAsia"/>
          <w:spacing w:val="-3"/>
          <w:sz w:val="21"/>
        </w:rPr>
        <w:t>能源利用重点管控</w:t>
      </w:r>
    </w:p>
    <w:p w:rsidR="00A36D6E">
      <w:pPr>
        <w:pStyle w:val="BodyText"/>
        <w:spacing w:before="4"/>
        <w:rPr>
          <w:rFonts w:ascii="黑体"/>
          <w:sz w:val="16"/>
        </w:rPr>
      </w:pPr>
    </w:p>
    <w:p w:rsidR="00A36D6E">
      <w:pPr>
        <w:pStyle w:val="BodyText"/>
        <w:spacing w:line="288" w:lineRule="auto"/>
        <w:ind w:left="1277" w:right="245" w:firstLine="420"/>
      </w:pPr>
      <w:r>
        <w:rPr>
          <w:spacing w:val="-8"/>
        </w:rPr>
        <w:t>能源利用重点管控区即各城镇建成区在人口密集、污染排放强度高的区域所划定的高污染燃料禁燃区等。</w:t>
      </w:r>
    </w:p>
    <w:p w:rsidR="00A36D6E">
      <w:pPr>
        <w:pStyle w:val="BodyText"/>
        <w:spacing w:before="3" w:line="288" w:lineRule="auto"/>
        <w:ind w:left="1277" w:right="245" w:firstLine="420"/>
      </w:pPr>
      <w:r>
        <w:rPr>
          <w:spacing w:val="-7"/>
        </w:rPr>
        <w:t>能源利用重点管控区以高污染燃料禁燃区管控要求，能源消耗总量和强度调控、能源结构和利用效</w:t>
      </w:r>
      <w:r>
        <w:rPr>
          <w:spacing w:val="-5"/>
        </w:rPr>
        <w:t>率等管控措施，碳排放总量和强度双控政策等要求，提炼能源重点管控区的管控要求。</w:t>
      </w:r>
    </w:p>
    <w:p w:rsidR="00A36D6E">
      <w:pPr>
        <w:pStyle w:val="ListParagraph"/>
        <w:numPr>
          <w:ilvl w:val="2"/>
          <w:numId w:val="19"/>
        </w:numPr>
        <w:tabs>
          <w:tab w:val="left" w:pos="2014"/>
        </w:tabs>
        <w:spacing w:before="160"/>
        <w:rPr>
          <w:rFonts w:ascii="黑体" w:eastAsia="黑体"/>
          <w:sz w:val="21"/>
        </w:rPr>
      </w:pPr>
      <w:r>
        <w:rPr>
          <w:rFonts w:ascii="黑体" w:eastAsia="黑体" w:hint="eastAsia"/>
          <w:spacing w:val="-3"/>
          <w:sz w:val="21"/>
        </w:rPr>
        <w:t>水资源利用重点管控</w:t>
      </w:r>
    </w:p>
    <w:p w:rsidR="00A36D6E">
      <w:pPr>
        <w:pStyle w:val="BodyText"/>
        <w:spacing w:before="4"/>
        <w:rPr>
          <w:rFonts w:ascii="黑体"/>
          <w:sz w:val="16"/>
        </w:rPr>
      </w:pPr>
    </w:p>
    <w:p w:rsidR="00A36D6E">
      <w:pPr>
        <w:pStyle w:val="BodyText"/>
        <w:spacing w:line="288" w:lineRule="auto"/>
        <w:ind w:left="1697" w:right="353"/>
      </w:pPr>
      <w:r>
        <w:t>基于水生态功能保障和水环境质量改善要求，水资源利用重点管控区包括但不仅限于以下要素：</w:t>
      </w:r>
      <w:r>
        <w:t xml:space="preserve"> a</w:t>
      </w:r>
      <w:r>
        <w:t>）</w:t>
      </w:r>
      <w:r>
        <w:t xml:space="preserve"> </w:t>
      </w:r>
      <w:r>
        <w:t>基于评估结果，水资源利用效率临界超载（含临界达标）的区域；</w:t>
      </w:r>
    </w:p>
    <w:p w:rsidR="00A36D6E">
      <w:pPr>
        <w:pStyle w:val="BodyText"/>
        <w:spacing w:before="2" w:line="288" w:lineRule="auto"/>
        <w:ind w:left="2119" w:right="4134" w:hanging="423"/>
      </w:pPr>
      <w:r>
        <w:t>b</w:t>
      </w:r>
      <w:r>
        <w:t>）</w:t>
      </w:r>
      <w:r>
        <w:t xml:space="preserve"> </w:t>
      </w:r>
      <w:r>
        <w:t>基于生态需水量测算结果，生态用水补给区，含：</w:t>
      </w:r>
      <w:r>
        <w:t xml:space="preserve"> 1</w:t>
      </w:r>
      <w:r>
        <w:t>）</w:t>
      </w:r>
      <w:r>
        <w:t xml:space="preserve"> </w:t>
      </w:r>
      <w:r>
        <w:t>生态用水保障不足及临界</w:t>
      </w:r>
      <w:r>
        <w:t>的区域；</w:t>
      </w:r>
    </w:p>
    <w:p w:rsidR="00A36D6E">
      <w:pPr>
        <w:pStyle w:val="BodyText"/>
        <w:spacing w:before="3" w:line="288" w:lineRule="auto"/>
        <w:ind w:left="1697" w:right="3510" w:firstLine="422"/>
      </w:pPr>
      <w:r>
        <w:t>2</w:t>
      </w:r>
      <w:r>
        <w:t>）</w:t>
      </w:r>
      <w:r>
        <w:t xml:space="preserve"> </w:t>
      </w:r>
      <w:r>
        <w:t>将重点河段的生态用水补给区纳入水资源重点管控。</w:t>
      </w:r>
      <w:r>
        <w:t>c</w:t>
      </w:r>
      <w:r>
        <w:t>）</w:t>
      </w:r>
      <w:r>
        <w:t xml:space="preserve"> </w:t>
      </w:r>
      <w:r>
        <w:t>地下水开采重点管控区，含：</w:t>
      </w:r>
    </w:p>
    <w:p w:rsidR="00A36D6E">
      <w:pPr>
        <w:pStyle w:val="ListParagraph"/>
        <w:numPr>
          <w:ilvl w:val="0"/>
          <w:numId w:val="17"/>
        </w:numPr>
        <w:tabs>
          <w:tab w:val="left" w:pos="2540"/>
        </w:tabs>
        <w:spacing w:before="2"/>
        <w:ind w:hanging="421"/>
        <w:rPr>
          <w:sz w:val="21"/>
        </w:rPr>
      </w:pPr>
      <w:r>
        <w:rPr>
          <w:spacing w:val="-3"/>
          <w:sz w:val="21"/>
        </w:rPr>
        <w:t>地下水严重超采区；</w:t>
      </w:r>
    </w:p>
    <w:p w:rsidR="00A36D6E">
      <w:pPr>
        <w:pStyle w:val="ListParagraph"/>
        <w:numPr>
          <w:ilvl w:val="0"/>
          <w:numId w:val="17"/>
        </w:numPr>
        <w:tabs>
          <w:tab w:val="left" w:pos="2540"/>
        </w:tabs>
        <w:spacing w:before="55"/>
        <w:ind w:hanging="421"/>
        <w:rPr>
          <w:sz w:val="21"/>
        </w:rPr>
      </w:pPr>
      <w:r>
        <w:rPr>
          <w:spacing w:val="-3"/>
          <w:sz w:val="21"/>
        </w:rPr>
        <w:t>已发生严重地面沉降等地质环境问题的区域；</w:t>
      </w:r>
    </w:p>
    <w:p w:rsidR="00A36D6E">
      <w:pPr>
        <w:pStyle w:val="ListParagraph"/>
        <w:numPr>
          <w:ilvl w:val="0"/>
          <w:numId w:val="17"/>
        </w:numPr>
        <w:tabs>
          <w:tab w:val="left" w:pos="2540"/>
        </w:tabs>
        <w:spacing w:before="55" w:line="288" w:lineRule="auto"/>
        <w:ind w:left="1697" w:right="4981" w:firstLine="422"/>
        <w:rPr>
          <w:sz w:val="21"/>
        </w:rPr>
      </w:pPr>
      <w:r>
        <w:rPr>
          <w:spacing w:val="-4"/>
          <w:sz w:val="21"/>
        </w:rPr>
        <w:t>泉水涵养区等需要特殊保护的区域。</w:t>
      </w:r>
      <w:r>
        <w:rPr>
          <w:sz w:val="21"/>
        </w:rPr>
        <w:t>d</w:t>
      </w:r>
      <w:r>
        <w:rPr>
          <w:sz w:val="21"/>
        </w:rPr>
        <w:t>）</w:t>
      </w:r>
      <w:r>
        <w:rPr>
          <w:spacing w:val="-3"/>
          <w:sz w:val="21"/>
        </w:rPr>
        <w:t xml:space="preserve"> </w:t>
      </w:r>
      <w:r>
        <w:rPr>
          <w:spacing w:val="-3"/>
          <w:sz w:val="21"/>
        </w:rPr>
        <w:t>地下水重点管控区：</w:t>
      </w:r>
    </w:p>
    <w:p w:rsidR="00A36D6E">
      <w:pPr>
        <w:pStyle w:val="ListParagraph"/>
        <w:numPr>
          <w:ilvl w:val="0"/>
          <w:numId w:val="16"/>
        </w:numPr>
        <w:tabs>
          <w:tab w:val="left" w:pos="2545"/>
        </w:tabs>
        <w:spacing w:before="2" w:line="288" w:lineRule="auto"/>
        <w:ind w:right="248" w:hanging="428"/>
        <w:rPr>
          <w:sz w:val="21"/>
        </w:rPr>
      </w:pPr>
      <w:r>
        <w:rPr>
          <w:spacing w:val="5"/>
          <w:sz w:val="21"/>
        </w:rPr>
        <w:t>重金属污染防治重点区域及污染地块，包括：化学品生产企业以及工业集聚区</w:t>
      </w:r>
      <w:r>
        <w:rPr>
          <w:sz w:val="21"/>
        </w:rPr>
        <w:t>（含化</w:t>
      </w:r>
      <w:r>
        <w:rPr>
          <w:spacing w:val="-1"/>
          <w:sz w:val="21"/>
        </w:rPr>
        <w:t>工园区</w:t>
      </w:r>
      <w:r>
        <w:rPr>
          <w:spacing w:val="-106"/>
          <w:sz w:val="21"/>
        </w:rPr>
        <w:t>）</w:t>
      </w:r>
      <w:r>
        <w:rPr>
          <w:spacing w:val="-3"/>
          <w:sz w:val="21"/>
        </w:rPr>
        <w:t>，尾矿库、危险废物处置场、垃圾填埋场等；</w:t>
      </w:r>
    </w:p>
    <w:p w:rsidR="00A36D6E">
      <w:pPr>
        <w:pStyle w:val="ListParagraph"/>
        <w:numPr>
          <w:ilvl w:val="0"/>
          <w:numId w:val="16"/>
        </w:numPr>
        <w:tabs>
          <w:tab w:val="left" w:pos="2540"/>
        </w:tabs>
        <w:spacing w:before="2" w:line="288" w:lineRule="auto"/>
        <w:ind w:left="1697" w:right="152" w:firstLine="422"/>
        <w:rPr>
          <w:sz w:val="21"/>
        </w:rPr>
      </w:pPr>
      <w:r>
        <w:rPr>
          <w:spacing w:val="-3"/>
          <w:sz w:val="21"/>
        </w:rPr>
        <w:t>其他土壤环境风险重点管控区，包括全省各类矿山开采区域、探矿区域和砂石矿区域等。水资源利用重点管控区以上述要素属性分别提炼相应的管控要求。</w:t>
      </w:r>
    </w:p>
    <w:p w:rsidR="00A36D6E">
      <w:pPr>
        <w:pStyle w:val="ListParagraph"/>
        <w:numPr>
          <w:ilvl w:val="2"/>
          <w:numId w:val="19"/>
        </w:numPr>
        <w:tabs>
          <w:tab w:val="left" w:pos="2014"/>
        </w:tabs>
        <w:spacing w:before="162"/>
        <w:rPr>
          <w:rFonts w:ascii="黑体" w:eastAsia="黑体"/>
          <w:sz w:val="21"/>
        </w:rPr>
      </w:pPr>
      <w:r>
        <w:rPr>
          <w:rFonts w:ascii="黑体" w:eastAsia="黑体" w:hint="eastAsia"/>
          <w:spacing w:val="-3"/>
          <w:sz w:val="21"/>
        </w:rPr>
        <w:t>土地资源利用重点管控</w:t>
      </w:r>
    </w:p>
    <w:p w:rsidR="00A36D6E">
      <w:pPr>
        <w:pStyle w:val="BodyText"/>
        <w:spacing w:before="3"/>
        <w:rPr>
          <w:rFonts w:ascii="黑体"/>
          <w:sz w:val="16"/>
        </w:rPr>
      </w:pPr>
    </w:p>
    <w:p w:rsidR="00A36D6E">
      <w:pPr>
        <w:pStyle w:val="BodyText"/>
        <w:spacing w:line="288" w:lineRule="auto"/>
        <w:ind w:left="1277" w:right="245" w:firstLine="420"/>
      </w:pPr>
      <w:r>
        <w:rPr>
          <w:spacing w:val="-8"/>
        </w:rPr>
        <w:t>土地资源重点管控区充分衔接国土空间规划，考虑以乡镇为基本单元的主体功能区划，以城市化地</w:t>
      </w:r>
      <w:r>
        <w:rPr>
          <w:spacing w:val="-5"/>
        </w:rPr>
        <w:t>区的乡镇、重度污染农用地或污染地块集中的区域等作为土地资源重点管控区。</w:t>
      </w:r>
    </w:p>
    <w:p w:rsidR="00A36D6E">
      <w:pPr>
        <w:pStyle w:val="BodyText"/>
        <w:spacing w:before="2"/>
        <w:ind w:left="1697"/>
      </w:pPr>
      <w:r>
        <w:t>土地资源重点管控区以上述要素属性分别提炼相应的管控要求。</w:t>
      </w:r>
    </w:p>
    <w:p w:rsidR="00A36D6E">
      <w:pPr>
        <w:pStyle w:val="BodyText"/>
        <w:spacing w:before="9"/>
        <w:rPr>
          <w:sz w:val="16"/>
        </w:rPr>
      </w:pPr>
    </w:p>
    <w:p w:rsidR="00A36D6E">
      <w:pPr>
        <w:pStyle w:val="ListParagraph"/>
        <w:numPr>
          <w:ilvl w:val="1"/>
          <w:numId w:val="19"/>
        </w:numPr>
        <w:tabs>
          <w:tab w:val="left" w:pos="1803"/>
        </w:tabs>
        <w:rPr>
          <w:rFonts w:ascii="黑体" w:eastAsia="黑体"/>
          <w:sz w:val="21"/>
        </w:rPr>
      </w:pPr>
      <w:r>
        <w:rPr>
          <w:rFonts w:ascii="黑体" w:eastAsia="黑体" w:hint="eastAsia"/>
          <w:spacing w:val="-3"/>
          <w:sz w:val="21"/>
        </w:rPr>
        <w:t>一般管控单元管控要求</w:t>
      </w:r>
    </w:p>
    <w:p w:rsidR="00A36D6E">
      <w:pPr>
        <w:pStyle w:val="BodyText"/>
        <w:spacing w:before="3"/>
        <w:rPr>
          <w:rFonts w:ascii="黑体"/>
          <w:sz w:val="16"/>
        </w:rPr>
      </w:pPr>
    </w:p>
    <w:p w:rsidR="00A36D6E">
      <w:pPr>
        <w:pStyle w:val="BodyText"/>
        <w:spacing w:line="288" w:lineRule="auto"/>
        <w:ind w:left="1697" w:right="2453"/>
      </w:pPr>
      <w:r>
        <w:t>一般管控单元区域以一般管控要素分区为主，包括但不仅限于以下要素：</w:t>
      </w:r>
      <w:r>
        <w:t xml:space="preserve"> a</w:t>
      </w:r>
      <w:r>
        <w:t>）</w:t>
      </w:r>
      <w:r>
        <w:t xml:space="preserve"> </w:t>
      </w:r>
      <w:r>
        <w:t>水环境一般管控区；</w:t>
      </w:r>
    </w:p>
    <w:p w:rsidR="00A36D6E">
      <w:pPr>
        <w:pStyle w:val="BodyText"/>
        <w:spacing w:before="3" w:line="288" w:lineRule="auto"/>
        <w:ind w:left="1697" w:right="6443"/>
      </w:pPr>
      <w:r>
        <w:t>b</w:t>
      </w:r>
      <w:r>
        <w:t>）</w:t>
      </w:r>
      <w:r>
        <w:t xml:space="preserve"> </w:t>
      </w:r>
      <w:r>
        <w:t>大气环境一般管控区；</w:t>
      </w:r>
      <w:r>
        <w:t xml:space="preserve"> c</w:t>
      </w:r>
      <w:r>
        <w:t>）</w:t>
      </w:r>
      <w:r>
        <w:t xml:space="preserve"> </w:t>
      </w:r>
      <w:r>
        <w:t>土壤环境一般管控区；</w:t>
      </w:r>
      <w:r>
        <w:t xml:space="preserve"> d</w:t>
      </w:r>
      <w:r>
        <w:t>）</w:t>
      </w:r>
      <w:r>
        <w:t xml:space="preserve"> </w:t>
      </w:r>
      <w:r>
        <w:t>水资源利用一般管控区；</w:t>
      </w:r>
    </w:p>
    <w:p w:rsidR="00A36D6E">
      <w:pPr>
        <w:spacing w:line="288" w:lineRule="auto"/>
        <w:sectPr>
          <w:headerReference w:type="even" r:id="rId48"/>
          <w:headerReference w:type="default" r:id="rId49"/>
          <w:footerReference w:type="even" r:id="rId50"/>
          <w:footerReference w:type="default" r:id="rId51"/>
          <w:pgSz w:w="11910" w:h="16840"/>
          <w:pgMar w:top="1540" w:right="1020" w:bottom="1300" w:left="0" w:header="1335" w:footer="1111" w:gutter="0"/>
          <w:pgNumType w:start="8"/>
          <w:cols w:space="720"/>
        </w:sectPr>
      </w:pPr>
    </w:p>
    <w:p w:rsidR="00A36D6E">
      <w:pPr>
        <w:pStyle w:val="BodyText"/>
        <w:spacing w:before="2"/>
        <w:rPr>
          <w:sz w:val="10"/>
        </w:rPr>
      </w:pPr>
      <w:r>
        <w:rPr>
          <w:noProof/>
          <w:lang w:eastAsia="zh-CN"/>
        </w:rPr>
        <w:drawing>
          <wp:anchor distT="0" distB="0" distL="0" distR="0" simplePos="0" relativeHeight="251683840"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p>
    <w:p w:rsidR="00A36D6E">
      <w:pPr>
        <w:pStyle w:val="BodyText"/>
        <w:spacing w:before="72"/>
        <w:ind w:left="1697"/>
      </w:pPr>
      <w:r>
        <w:t>e</w:t>
      </w:r>
      <w:r>
        <w:t>）</w:t>
      </w:r>
      <w:r>
        <w:t xml:space="preserve"> </w:t>
      </w:r>
      <w:r>
        <w:t>土地资源利用一般管控区。</w:t>
      </w:r>
    </w:p>
    <w:p w:rsidR="00A36D6E">
      <w:pPr>
        <w:pStyle w:val="BodyText"/>
        <w:spacing w:before="55" w:line="288" w:lineRule="auto"/>
        <w:ind w:left="1277" w:right="248" w:firstLine="420"/>
      </w:pPr>
      <w:r>
        <w:rPr>
          <w:spacing w:val="-8"/>
        </w:rPr>
        <w:t>以改善和维护生态环境质量为核心，在坚持生态优先的前提下，预留地方经济产业发展的空间。同</w:t>
      </w:r>
      <w:r>
        <w:rPr>
          <w:spacing w:val="-5"/>
        </w:rPr>
        <w:t>时，考虑与国土空间规划要衔接。</w:t>
      </w:r>
    </w:p>
    <w:p w:rsidR="00A36D6E">
      <w:pPr>
        <w:pStyle w:val="BodyText"/>
        <w:spacing w:before="2" w:line="288" w:lineRule="auto"/>
        <w:ind w:left="1277" w:right="245" w:firstLine="420"/>
      </w:pPr>
      <w:r>
        <w:rPr>
          <w:spacing w:val="-12"/>
        </w:rPr>
        <w:t>一般管控区的管控要求，以提炼总结与一般管控分区要素属性相关的既有生态环境管理要求作为依</w:t>
      </w:r>
      <w:r>
        <w:rPr>
          <w:spacing w:val="-6"/>
        </w:rPr>
        <w:t>据，并衔接生态环境分区管控划定成果中的一般管控分区管控要求。</w:t>
      </w:r>
    </w:p>
    <w:p w:rsidR="00A36D6E">
      <w:pPr>
        <w:pStyle w:val="ListParagraph"/>
        <w:numPr>
          <w:ilvl w:val="1"/>
          <w:numId w:val="19"/>
        </w:numPr>
        <w:tabs>
          <w:tab w:val="left" w:pos="1803"/>
        </w:tabs>
        <w:spacing w:before="161"/>
        <w:rPr>
          <w:rFonts w:ascii="黑体" w:eastAsia="黑体"/>
          <w:sz w:val="21"/>
        </w:rPr>
      </w:pPr>
      <w:r>
        <w:rPr>
          <w:rFonts w:ascii="黑体" w:eastAsia="黑体" w:hint="eastAsia"/>
          <w:spacing w:val="-3"/>
          <w:sz w:val="21"/>
        </w:rPr>
        <w:t>岸线分区管控要求</w:t>
      </w:r>
    </w:p>
    <w:p w:rsidR="00A36D6E">
      <w:pPr>
        <w:pStyle w:val="BodyText"/>
        <w:spacing w:before="3"/>
        <w:rPr>
          <w:rFonts w:ascii="黑体"/>
          <w:sz w:val="16"/>
        </w:rPr>
      </w:pPr>
    </w:p>
    <w:p w:rsidR="00A36D6E">
      <w:pPr>
        <w:pStyle w:val="BodyText"/>
        <w:spacing w:line="288" w:lineRule="auto"/>
        <w:ind w:left="1697" w:right="140"/>
      </w:pPr>
      <w:r>
        <w:rPr>
          <w:spacing w:val="-3"/>
        </w:rPr>
        <w:t>依据相关法定规划，原则上将</w:t>
      </w:r>
      <w:r>
        <w:rPr>
          <w:spacing w:val="-3"/>
        </w:rPr>
        <w:t>“</w:t>
      </w:r>
      <w:r>
        <w:rPr>
          <w:spacing w:val="-3"/>
        </w:rPr>
        <w:t>一江一湖四水</w:t>
      </w:r>
      <w:r>
        <w:rPr>
          <w:spacing w:val="-3"/>
        </w:rPr>
        <w:t>”</w:t>
      </w:r>
      <w:r>
        <w:rPr>
          <w:spacing w:val="-3"/>
        </w:rPr>
        <w:t>划为岸线优先保护区、重点管控区和一般管控区。</w:t>
      </w:r>
      <w:r>
        <w:rPr>
          <w:spacing w:val="-10"/>
        </w:rPr>
        <w:t>岸线优先保护区包括但不限于国家级水产种质资源保护区、涉水的自然保护区、饮用水水源保护区、</w:t>
      </w:r>
    </w:p>
    <w:p w:rsidR="00A36D6E">
      <w:pPr>
        <w:pStyle w:val="BodyText"/>
        <w:spacing w:before="2" w:line="290" w:lineRule="auto"/>
        <w:ind w:left="1277" w:right="250"/>
      </w:pPr>
      <w:r>
        <w:rPr>
          <w:spacing w:val="-10"/>
        </w:rPr>
        <w:t>湿地公园等；岸线重点管控区包括但不限于港口码头、沿江岸线布局的产业园区和中心城区等；岸线优</w:t>
      </w:r>
      <w:r>
        <w:rPr>
          <w:spacing w:val="-5"/>
        </w:rPr>
        <w:t>先保护区和重点管控区之外的其他岸线为一般管控区。</w:t>
      </w:r>
    </w:p>
    <w:p w:rsidR="00A36D6E">
      <w:pPr>
        <w:pStyle w:val="BodyText"/>
        <w:spacing w:line="267" w:lineRule="exact"/>
        <w:ind w:left="1697"/>
      </w:pPr>
      <w:r>
        <w:t>岸线分区管控以上述要素属性分别提炼相应的管控要求。</w:t>
      </w:r>
    </w:p>
    <w:p w:rsidR="00A36D6E">
      <w:pPr>
        <w:pStyle w:val="BodyText"/>
        <w:spacing w:before="8"/>
        <w:rPr>
          <w:sz w:val="29"/>
        </w:rPr>
      </w:pPr>
    </w:p>
    <w:p w:rsidR="00A36D6E">
      <w:pPr>
        <w:pStyle w:val="ListParagraph"/>
        <w:numPr>
          <w:ilvl w:val="0"/>
          <w:numId w:val="23"/>
        </w:numPr>
        <w:tabs>
          <w:tab w:val="left" w:pos="1595"/>
        </w:tabs>
        <w:ind w:hanging="318"/>
        <w:rPr>
          <w:rFonts w:ascii="黑体" w:eastAsia="黑体"/>
          <w:sz w:val="21"/>
        </w:rPr>
      </w:pPr>
      <w:r>
        <w:rPr>
          <w:rFonts w:ascii="黑体" w:eastAsia="黑体" w:hint="eastAsia"/>
          <w:spacing w:val="-3"/>
          <w:sz w:val="21"/>
        </w:rPr>
        <w:t>四大板块总体要求</w:t>
      </w:r>
    </w:p>
    <w:p w:rsidR="00A36D6E">
      <w:pPr>
        <w:pStyle w:val="BodyText"/>
        <w:spacing w:before="9"/>
        <w:rPr>
          <w:rFonts w:ascii="黑体"/>
          <w:sz w:val="29"/>
        </w:rPr>
      </w:pPr>
    </w:p>
    <w:p w:rsidR="00A36D6E">
      <w:pPr>
        <w:pStyle w:val="ListParagraph"/>
        <w:numPr>
          <w:ilvl w:val="1"/>
          <w:numId w:val="15"/>
        </w:numPr>
        <w:tabs>
          <w:tab w:val="left" w:pos="1803"/>
        </w:tabs>
        <w:spacing w:before="1"/>
        <w:rPr>
          <w:rFonts w:ascii="黑体" w:eastAsia="黑体"/>
          <w:sz w:val="21"/>
        </w:rPr>
      </w:pPr>
      <w:r>
        <w:rPr>
          <w:rFonts w:ascii="黑体" w:eastAsia="黑体" w:hint="eastAsia"/>
          <w:spacing w:val="-3"/>
          <w:sz w:val="21"/>
        </w:rPr>
        <w:t>四大板块总体要求分类</w:t>
      </w:r>
    </w:p>
    <w:p w:rsidR="00A36D6E">
      <w:pPr>
        <w:pStyle w:val="BodyText"/>
        <w:spacing w:before="3"/>
        <w:rPr>
          <w:rFonts w:ascii="黑体"/>
          <w:sz w:val="16"/>
        </w:rPr>
      </w:pPr>
    </w:p>
    <w:p w:rsidR="00A36D6E">
      <w:pPr>
        <w:pStyle w:val="BodyText"/>
        <w:spacing w:line="288" w:lineRule="auto"/>
        <w:ind w:left="1277" w:right="140" w:firstLine="420"/>
      </w:pPr>
      <w:r>
        <w:rPr>
          <w:spacing w:val="-10"/>
        </w:rPr>
        <w:t>四大板块总体要求由针对全省省级及以上产业园区通用性管控要求和针对</w:t>
      </w:r>
      <w:r>
        <w:rPr>
          <w:spacing w:val="-10"/>
        </w:rPr>
        <w:t>“</w:t>
      </w:r>
      <w:r>
        <w:rPr>
          <w:spacing w:val="-10"/>
        </w:rPr>
        <w:t>长株潭、洞庭湖、湘南、</w:t>
      </w:r>
      <w:r>
        <w:rPr>
          <w:spacing w:val="-5"/>
        </w:rPr>
        <w:t>大湘西</w:t>
      </w:r>
      <w:r>
        <w:rPr>
          <w:spacing w:val="-5"/>
        </w:rPr>
        <w:t>”</w:t>
      </w:r>
      <w:r>
        <w:rPr>
          <w:spacing w:val="-5"/>
        </w:rPr>
        <w:t>四大板块管控要求组成。四大板块总体要求编写内容体现引导</w:t>
      </w:r>
      <w:r>
        <w:rPr>
          <w:spacing w:val="-5"/>
        </w:rPr>
        <w:t>-</w:t>
      </w:r>
      <w:r>
        <w:rPr>
          <w:spacing w:val="-5"/>
        </w:rPr>
        <w:t>约束</w:t>
      </w:r>
      <w:r>
        <w:rPr>
          <w:spacing w:val="-5"/>
        </w:rPr>
        <w:t>-</w:t>
      </w:r>
      <w:r>
        <w:rPr>
          <w:spacing w:val="-5"/>
        </w:rPr>
        <w:t>限制</w:t>
      </w:r>
      <w:r>
        <w:rPr>
          <w:spacing w:val="-5"/>
        </w:rPr>
        <w:t>-</w:t>
      </w:r>
      <w:r>
        <w:rPr>
          <w:spacing w:val="-5"/>
        </w:rPr>
        <w:t>鼓励的思路，编写</w:t>
      </w:r>
      <w:r>
        <w:rPr>
          <w:spacing w:val="-13"/>
        </w:rPr>
        <w:t>格式见附录</w:t>
      </w:r>
      <w:r>
        <w:rPr>
          <w:spacing w:val="-13"/>
        </w:rPr>
        <w:t xml:space="preserve"> </w:t>
      </w:r>
      <w:r>
        <w:t>B</w:t>
      </w:r>
      <w:r>
        <w:rPr>
          <w:spacing w:val="-37"/>
        </w:rPr>
        <w:t xml:space="preserve"> </w:t>
      </w:r>
      <w:r>
        <w:rPr>
          <w:spacing w:val="-37"/>
        </w:rPr>
        <w:t>表</w:t>
      </w:r>
      <w:r>
        <w:rPr>
          <w:spacing w:val="-37"/>
        </w:rPr>
        <w:t xml:space="preserve"> </w:t>
      </w:r>
      <w:r>
        <w:t>B.4</w:t>
      </w:r>
      <w:r>
        <w:t>。</w:t>
      </w:r>
    </w:p>
    <w:p w:rsidR="00A36D6E">
      <w:pPr>
        <w:pStyle w:val="ListParagraph"/>
        <w:numPr>
          <w:ilvl w:val="1"/>
          <w:numId w:val="15"/>
        </w:numPr>
        <w:tabs>
          <w:tab w:val="left" w:pos="1803"/>
        </w:tabs>
        <w:spacing w:before="162"/>
        <w:rPr>
          <w:rFonts w:ascii="黑体" w:eastAsia="黑体"/>
          <w:sz w:val="21"/>
        </w:rPr>
      </w:pPr>
      <w:r>
        <w:rPr>
          <w:rFonts w:ascii="黑体" w:eastAsia="黑体" w:hint="eastAsia"/>
          <w:spacing w:val="-3"/>
          <w:sz w:val="21"/>
        </w:rPr>
        <w:t>通用性管控要求</w:t>
      </w:r>
    </w:p>
    <w:p w:rsidR="00A36D6E">
      <w:pPr>
        <w:pStyle w:val="BodyText"/>
        <w:spacing w:before="6"/>
        <w:rPr>
          <w:rFonts w:ascii="黑体"/>
          <w:sz w:val="16"/>
        </w:rPr>
      </w:pPr>
    </w:p>
    <w:p w:rsidR="00A36D6E">
      <w:pPr>
        <w:pStyle w:val="ListParagraph"/>
        <w:numPr>
          <w:ilvl w:val="2"/>
          <w:numId w:val="15"/>
        </w:numPr>
        <w:tabs>
          <w:tab w:val="left" w:pos="2014"/>
        </w:tabs>
        <w:rPr>
          <w:rFonts w:ascii="黑体" w:eastAsia="黑体"/>
          <w:sz w:val="21"/>
        </w:rPr>
      </w:pPr>
      <w:r>
        <w:rPr>
          <w:rFonts w:ascii="黑体" w:eastAsia="黑体" w:hint="eastAsia"/>
          <w:spacing w:val="-3"/>
          <w:sz w:val="21"/>
        </w:rPr>
        <w:t>空间布局约束</w:t>
      </w:r>
    </w:p>
    <w:p w:rsidR="00A36D6E">
      <w:pPr>
        <w:pStyle w:val="BodyText"/>
        <w:spacing w:before="4"/>
        <w:rPr>
          <w:rFonts w:ascii="黑体"/>
          <w:sz w:val="16"/>
        </w:rPr>
      </w:pPr>
    </w:p>
    <w:p w:rsidR="00A36D6E">
      <w:pPr>
        <w:pStyle w:val="BodyText"/>
        <w:spacing w:line="288" w:lineRule="auto"/>
        <w:ind w:left="1277" w:right="245" w:firstLine="420"/>
      </w:pPr>
      <w:r>
        <w:rPr>
          <w:spacing w:val="-8"/>
        </w:rPr>
        <w:t>着重从引导产业科学合理布局、绿色低碳循环发展，严格重点区域、流域生态环境准入、限制或淘</w:t>
      </w:r>
      <w:r>
        <w:rPr>
          <w:spacing w:val="-5"/>
        </w:rPr>
        <w:t>汰污染重、工艺技术落后的产业，合理承接产业转移等方面提出产业园区空间布局约束的相关要求。</w:t>
      </w:r>
    </w:p>
    <w:p w:rsidR="00A36D6E">
      <w:pPr>
        <w:pStyle w:val="ListParagraph"/>
        <w:numPr>
          <w:ilvl w:val="2"/>
          <w:numId w:val="15"/>
        </w:numPr>
        <w:tabs>
          <w:tab w:val="left" w:pos="2014"/>
        </w:tabs>
        <w:spacing w:before="160"/>
        <w:rPr>
          <w:rFonts w:ascii="黑体" w:eastAsia="黑体"/>
          <w:sz w:val="21"/>
        </w:rPr>
      </w:pPr>
      <w:r>
        <w:rPr>
          <w:rFonts w:ascii="黑体" w:eastAsia="黑体" w:hint="eastAsia"/>
          <w:spacing w:val="-3"/>
          <w:sz w:val="21"/>
        </w:rPr>
        <w:t>污染物排放管控</w:t>
      </w:r>
    </w:p>
    <w:p w:rsidR="00A36D6E">
      <w:pPr>
        <w:pStyle w:val="BodyText"/>
        <w:spacing w:before="4"/>
        <w:rPr>
          <w:rFonts w:ascii="黑体"/>
          <w:sz w:val="16"/>
        </w:rPr>
      </w:pPr>
    </w:p>
    <w:p w:rsidR="00A36D6E">
      <w:pPr>
        <w:pStyle w:val="BodyText"/>
        <w:spacing w:line="288" w:lineRule="auto"/>
        <w:ind w:left="1277" w:right="245" w:firstLine="420"/>
      </w:pPr>
      <w:r>
        <w:rPr>
          <w:spacing w:val="-9"/>
        </w:rPr>
        <w:t>着重从提升产业园区基础设施、强化生态环保措施、严格污染物排放总量控制和减污降碳协同等方</w:t>
      </w:r>
      <w:r>
        <w:rPr>
          <w:spacing w:val="-5"/>
        </w:rPr>
        <w:t>面的管控要求提出产业园区污染物排放管控的相关要求。</w:t>
      </w:r>
    </w:p>
    <w:p w:rsidR="00A36D6E">
      <w:pPr>
        <w:pStyle w:val="ListParagraph"/>
        <w:numPr>
          <w:ilvl w:val="2"/>
          <w:numId w:val="15"/>
        </w:numPr>
        <w:tabs>
          <w:tab w:val="left" w:pos="2014"/>
        </w:tabs>
        <w:spacing w:before="161"/>
        <w:rPr>
          <w:rFonts w:ascii="黑体" w:eastAsia="黑体"/>
          <w:sz w:val="21"/>
        </w:rPr>
      </w:pPr>
      <w:r>
        <w:rPr>
          <w:rFonts w:ascii="黑体" w:eastAsia="黑体" w:hint="eastAsia"/>
          <w:spacing w:val="-3"/>
          <w:sz w:val="21"/>
        </w:rPr>
        <w:t>环境风险防控</w:t>
      </w:r>
    </w:p>
    <w:p w:rsidR="00A36D6E">
      <w:pPr>
        <w:pStyle w:val="BodyText"/>
        <w:spacing w:before="4"/>
        <w:rPr>
          <w:rFonts w:ascii="黑体"/>
          <w:sz w:val="16"/>
        </w:rPr>
      </w:pPr>
    </w:p>
    <w:p w:rsidR="00A36D6E">
      <w:pPr>
        <w:pStyle w:val="BodyText"/>
        <w:spacing w:line="288" w:lineRule="auto"/>
        <w:ind w:left="1277" w:right="245" w:firstLine="420"/>
        <w:jc w:val="both"/>
      </w:pPr>
      <w:r>
        <w:rPr>
          <w:spacing w:val="-8"/>
        </w:rPr>
        <w:t>着重从建立健全区域环境风险防控体系、落实产业园区突发环境事件应急预案的相关要求、加强环</w:t>
      </w:r>
      <w:r>
        <w:rPr>
          <w:spacing w:val="-10"/>
        </w:rPr>
        <w:t>境风险事故防范和应急管理等方面，提出产业园区环境风险应急管理、建设用地土壤污染等生态破坏的</w:t>
      </w:r>
      <w:r>
        <w:rPr>
          <w:spacing w:val="-5"/>
        </w:rPr>
        <w:t>环境风险防控相关要求。</w:t>
      </w:r>
    </w:p>
    <w:p w:rsidR="00A36D6E">
      <w:pPr>
        <w:pStyle w:val="ListParagraph"/>
        <w:numPr>
          <w:ilvl w:val="2"/>
          <w:numId w:val="15"/>
        </w:numPr>
        <w:tabs>
          <w:tab w:val="left" w:pos="2014"/>
        </w:tabs>
        <w:spacing w:before="162"/>
        <w:rPr>
          <w:rFonts w:ascii="黑体" w:eastAsia="黑体"/>
          <w:sz w:val="21"/>
        </w:rPr>
      </w:pPr>
      <w:r>
        <w:rPr>
          <w:rFonts w:ascii="黑体" w:eastAsia="黑体" w:hint="eastAsia"/>
          <w:spacing w:val="-3"/>
          <w:sz w:val="21"/>
        </w:rPr>
        <w:t>资源开发效率</w:t>
      </w:r>
    </w:p>
    <w:p w:rsidR="00A36D6E">
      <w:pPr>
        <w:pStyle w:val="BodyText"/>
        <w:spacing w:before="3"/>
        <w:rPr>
          <w:rFonts w:ascii="黑体"/>
          <w:sz w:val="16"/>
        </w:rPr>
      </w:pPr>
    </w:p>
    <w:p w:rsidR="00A36D6E">
      <w:pPr>
        <w:pStyle w:val="BodyText"/>
        <w:spacing w:line="288" w:lineRule="auto"/>
        <w:ind w:left="1277" w:right="245" w:firstLine="420"/>
      </w:pPr>
      <w:r>
        <w:rPr>
          <w:spacing w:val="-7"/>
        </w:rPr>
        <w:t>着重从推动产业园区高质量发展和碳达峰行动目标要求，加强水资源管控、土地资源管控、能源利</w:t>
      </w:r>
      <w:r>
        <w:rPr>
          <w:spacing w:val="-5"/>
        </w:rPr>
        <w:t>用管控等方面，提出资源开发效率的相关要求。</w:t>
      </w:r>
    </w:p>
    <w:p w:rsidR="00A36D6E">
      <w:pPr>
        <w:pStyle w:val="ListParagraph"/>
        <w:numPr>
          <w:ilvl w:val="1"/>
          <w:numId w:val="15"/>
        </w:numPr>
        <w:tabs>
          <w:tab w:val="left" w:pos="1803"/>
        </w:tabs>
        <w:spacing w:before="161"/>
        <w:rPr>
          <w:rFonts w:ascii="黑体" w:eastAsia="黑体"/>
          <w:sz w:val="21"/>
        </w:rPr>
      </w:pPr>
      <w:r>
        <w:rPr>
          <w:rFonts w:ascii="黑体" w:eastAsia="黑体" w:hint="eastAsia"/>
          <w:spacing w:val="-3"/>
          <w:sz w:val="21"/>
        </w:rPr>
        <w:t>四大板块管控要求</w:t>
      </w:r>
    </w:p>
    <w:p w:rsidR="00A36D6E">
      <w:pPr>
        <w:pStyle w:val="BodyText"/>
        <w:spacing w:before="3"/>
        <w:rPr>
          <w:rFonts w:ascii="黑体"/>
          <w:sz w:val="16"/>
        </w:rPr>
      </w:pPr>
    </w:p>
    <w:p w:rsidR="00A36D6E">
      <w:pPr>
        <w:pStyle w:val="BodyText"/>
        <w:spacing w:line="290" w:lineRule="auto"/>
        <w:ind w:left="1277" w:right="245" w:firstLine="420"/>
      </w:pPr>
      <w:r>
        <w:rPr>
          <w:spacing w:val="-12"/>
        </w:rPr>
        <w:t>衔接《湖南省国土空间规划》要求，针对</w:t>
      </w:r>
      <w:r>
        <w:rPr>
          <w:spacing w:val="-12"/>
        </w:rPr>
        <w:t>“</w:t>
      </w:r>
      <w:r>
        <w:rPr>
          <w:spacing w:val="-12"/>
        </w:rPr>
        <w:t>长株潭、洞庭湖、湘南、大湘西</w:t>
      </w:r>
      <w:r>
        <w:rPr>
          <w:spacing w:val="-12"/>
        </w:rPr>
        <w:t>”</w:t>
      </w:r>
      <w:r>
        <w:rPr>
          <w:spacing w:val="-12"/>
        </w:rPr>
        <w:t>各大板块的产业布局</w:t>
      </w:r>
      <w:r>
        <w:rPr>
          <w:spacing w:val="-3"/>
        </w:rPr>
        <w:t>和发展方向，分别从空间布局约束、污染物排放管控、环境风险防控、资源开发效率等维度提出管</w:t>
      </w:r>
    </w:p>
    <w:p w:rsidR="00A36D6E">
      <w:pPr>
        <w:spacing w:line="290" w:lineRule="auto"/>
      </w:pPr>
      <w:r>
        <w:br/>
      </w:r>
      <w: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2" w:history="1">
        <w:r>
          <w:rPr>
            <w:rFonts w:ascii="SimSun" w:eastAsia="SimSun" w:hAnsi="SimSun" w:cs="SimSun"/>
            <w:b/>
            <w:bCs/>
            <w:color w:val="0000EE"/>
            <w:sz w:val="30"/>
            <w:szCs w:val="30"/>
            <w:u w:val="single" w:color="0000EE"/>
          </w:rPr>
          <w:t>https://d.book118.com/088011016004006027</w:t>
        </w:r>
      </w:hyperlink>
    </w:p>
    <w:p w:rsidR="00A36D6E">
      <w:pPr>
        <w:spacing w:line="290" w:lineRule="auto"/>
      </w:pPr>
    </w:p>
    <w:sectPr>
      <w:headerReference w:type="even" r:id="rId53"/>
      <w:headerReference w:type="default" r:id="rId54"/>
      <w:footerReference w:type="even" r:id="rId55"/>
      <w:footerReference w:type="default" r:id="rId56"/>
      <w:pgSz w:w="11910" w:h="16840"/>
      <w:pgMar w:top="1540" w:right="1020" w:bottom="1300" w:left="0" w:header="1333" w:footer="1111" w:gutter="0"/>
      <w:pgNumType w:start="9"/>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omic Sans MS">
    <w:altName w:val="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0.5pt;height:11pt;margin-top:775.35pt;margin-left:60.85pt;mso-position-horizontal-relative:page;mso-position-vertical-relative:page;position:absolute;z-index:-251657216"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5.15pt;height:11pt;margin-top:775.35pt;margin-left:519.6pt;mso-position-horizontal-relative:page;mso-position-vertical-relative:page;position:absolute;z-index:-251658240"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1</w:t>
                </w:r>
                <w: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0.5pt;height:11pt;margin-top:775.35pt;margin-left:60.85pt;mso-position-horizontal-relative:page;mso-position-vertical-relative:page;position:absolute;z-index:-251655168"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2</w:t>
                </w:r>
                <w: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15pt;height:11pt;margin-top:775.35pt;margin-left:519.6pt;mso-position-horizontal-relative:page;mso-position-vertical-relative:page;position:absolute;z-index:-251656192"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0.5pt;height:11pt;margin-top:775.35pt;margin-left:60.85pt;mso-position-horizontal-relative:page;mso-position-vertical-relative:page;position:absolute;z-index:-251653120"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5.15pt;height:11pt;margin-top:775.35pt;margin-left:519.6pt;mso-position-horizontal-relative:page;mso-position-vertical-relative:page;position:absolute;z-index:-251654144"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0.5pt;height:11pt;margin-top:775.35pt;margin-left:60.85pt;mso-position-horizontal-relative:page;mso-position-vertical-relative:page;position:absolute;z-index:-251651072"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5.15pt;height:11pt;margin-top:775.35pt;margin-left:519.6pt;mso-position-horizontal-relative:page;mso-position-vertical-relative:page;position:absolute;z-index:-251652096"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3</w:t>
                </w:r>
                <w: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5.15pt;height:11pt;margin-top:775.35pt;margin-left:60.85pt;mso-position-horizontal-relative:page;mso-position-vertical-relative:page;position:absolute;z-index:-251650048"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4</w:t>
                </w:r>
                <w: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0.5pt;height:11pt;margin-top:775.35pt;margin-left:524.15pt;mso-position-horizontal-relative:page;mso-position-vertical-relative:page;position:absolute;z-index:-251649024"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17</w:t>
                </w:r>
                <w: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5.15pt;height:11pt;margin-top:775.35pt;margin-left:60.85pt;mso-position-horizontal-relative:page;mso-position-vertical-relative:page;position:absolute;z-index:-251648000"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16</w:t>
                </w:r>
                <w: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0.5pt;height:11pt;margin-top:775.35pt;margin-left:524.15pt;mso-position-horizontal-relative:page;mso-position-vertical-relative:page;position:absolute;z-index:-251646976"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5.15pt;height:11pt;margin-top:775.35pt;margin-left:60.85pt;mso-position-horizontal-relative:page;mso-position-vertical-relative:page;position:absolute;z-index:-251645952"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6</w:t>
                </w:r>
                <w: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0.5pt;height:11pt;margin-top:775.35pt;margin-left:524.15pt;mso-position-horizontal-relative:page;mso-position-vertical-relative:page;position:absolute;z-index:-251644928"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17</w:t>
                </w:r>
                <w: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5.15pt;height:11pt;margin-top:775.35pt;margin-left:60.85pt;mso-position-horizontal-relative:page;mso-position-vertical-relative:page;position:absolute;z-index:-251643904"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16</w:t>
                </w:r>
                <w: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0.5pt;height:11pt;margin-top:775.35pt;margin-left:524.15pt;mso-position-horizontal-relative:page;mso-position-vertical-relative:page;position:absolute;z-index:-251642880"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7</w:t>
                </w:r>
                <w: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5.15pt;height:11pt;margin-top:775.35pt;margin-left:60.85pt;mso-position-horizontal-relative:page;mso-position-vertical-relative:page;position:absolute;z-index:-251641856"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8</w:t>
                </w:r>
                <w: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0.5pt;height:11pt;margin-top:775.35pt;margin-left:524.15pt;mso-position-horizontal-relative:page;mso-position-vertical-relative:page;position:absolute;z-index:-251640832"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17</w:t>
                </w:r>
                <w: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5.15pt;height:11pt;margin-top:775.35pt;margin-left:60.85pt;mso-position-horizontal-relative:page;mso-position-vertical-relative:page;position:absolute;z-index:-251639808"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10</w:t>
                </w:r>
                <w: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0.5pt;height:11pt;margin-top:775.35pt;margin-left:524.15pt;mso-position-horizontal-relative:page;mso-position-vertical-relative:page;position:absolute;z-index:-251638784" filled="f" stroked="f">
          <v:textbox inset="0,0,0,0">
            <w:txbxContent>
              <w:p w:rsidR="00A36D6E">
                <w:pPr>
                  <w:spacing w:line="220" w:lineRule="exact"/>
                  <w:ind w:left="60"/>
                  <w:rPr>
                    <w:sz w:val="18"/>
                  </w:rPr>
                </w:pPr>
                <w:r>
                  <w:fldChar w:fldCharType="begin"/>
                </w:r>
                <w:r>
                  <w:rPr>
                    <w:sz w:val="18"/>
                  </w:rPr>
                  <w:instrText xml:space="preserve"> PAGE </w:instrText>
                </w:r>
                <w:r>
                  <w:fldChar w:fldCharType="separate"/>
                </w:r>
                <w:r>
                  <w:rPr>
                    <w:sz w:val="18"/>
                  </w:rPr>
                  <w:t>9</w:t>
                </w:r>
                <w: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91.4pt;height:12.6pt;margin-top:65.65pt;margin-left:62.85pt;mso-position-horizontal-relative:page;mso-position-vertical-relative:page;position:absolute;z-index:-251657216"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91.4pt;height:12.6pt;margin-top:65.75pt;margin-left:441.4pt;mso-position-horizontal-relative:page;mso-position-vertical-relative:page;position:absolute;z-index:-251658240"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91.4pt;height:12.6pt;margin-top:65.65pt;margin-left:62.85pt;mso-position-horizontal-relative:page;mso-position-vertical-relative:page;position:absolute;z-index:-251655168"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91.4pt;height:12.6pt;margin-top:65.75pt;margin-left:441.4pt;mso-position-horizontal-relative:page;mso-position-vertical-relative:page;position:absolute;z-index:-251656192"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91.4pt;height:12.6pt;margin-top:65.65pt;margin-left:62.85pt;mso-position-horizontal-relative:page;mso-position-vertical-relative:page;position:absolute;z-index:-251653120"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91.4pt;height:12.6pt;margin-top:65.75pt;margin-left:441.4pt;mso-position-horizontal-relative:page;mso-position-vertical-relative:page;position:absolute;z-index:-251654144"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91.4pt;height:12.6pt;margin-top:65.65pt;margin-left:62.85pt;mso-position-horizontal-relative:page;mso-position-vertical-relative:page;position:absolute;z-index:-251651072"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91.4pt;height:12.6pt;margin-top:65.75pt;margin-left:441.4pt;mso-position-horizontal-relative:page;mso-position-vertical-relative:page;position:absolute;z-index:-251652096"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91.4pt;height:12.6pt;margin-top:65.65pt;margin-left:62.85pt;mso-position-horizontal-relative:page;mso-position-vertical-relative:page;position:absolute;z-index:-251650048"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91.4pt;height:12.6pt;margin-top:65.75pt;margin-left:441.4pt;mso-position-horizontal-relative:page;mso-position-vertical-relative:page;position:absolute;z-index:-251649024"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91.4pt;height:12.6pt;margin-top:65.65pt;margin-left:62.85pt;mso-position-horizontal-relative:page;mso-position-vertical-relative:page;position:absolute;z-index:-251648000"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91.4pt;height:12.6pt;margin-top:65.75pt;margin-left:441.4pt;mso-position-horizontal-relative:page;mso-position-vertical-relative:page;position:absolute;z-index:-251646976"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91.4pt;height:12.6pt;margin-top:65.65pt;margin-left:62.85pt;mso-position-horizontal-relative:page;mso-position-vertical-relative:page;position:absolute;z-index:-251645952"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91.4pt;height:12.6pt;margin-top:65.75pt;margin-left:441.4pt;mso-position-horizontal-relative:page;mso-position-vertical-relative:page;position:absolute;z-index:-251644928"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91.4pt;height:12.6pt;margin-top:65.65pt;margin-left:62.85pt;mso-position-horizontal-relative:page;mso-position-vertical-relative:page;position:absolute;z-index:-251643904"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91.4pt;height:12.6pt;margin-top:65.75pt;margin-left:441.4pt;mso-position-horizontal-relative:page;mso-position-vertical-relative:page;position:absolute;z-index:-251642880"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91.4pt;height:12.6pt;margin-top:65.65pt;margin-left:62.85pt;mso-position-horizontal-relative:page;mso-position-vertical-relative:page;position:absolute;z-index:-251641856"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91.4pt;height:12.6pt;margin-top:65.75pt;margin-left:441.4pt;mso-position-horizontal-relative:page;mso-position-vertical-relative:page;position:absolute;z-index:-251640832"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91.4pt;height:12.6pt;margin-top:65.65pt;margin-left:62.85pt;mso-position-horizontal-relative:page;mso-position-vertical-relative:page;position:absolute;z-index:-251639808"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6D6E">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91.4pt;height:12.6pt;margin-top:65.75pt;margin-left:441.4pt;mso-position-horizontal-relative:page;mso-position-vertical-relative:page;position:absolute;z-index:-251638784" filled="f" stroked="f">
          <v:textbox inset="0,0,0,0">
            <w:txbxContent>
              <w:p w:rsidR="00A36D6E">
                <w:pPr>
                  <w:pStyle w:val="BodyText"/>
                  <w:spacing w:line="251" w:lineRule="exact"/>
                  <w:ind w:left="20"/>
                  <w:rPr>
                    <w:rFonts w:ascii="黑体" w:hAnsi="黑体"/>
                  </w:rPr>
                </w:pPr>
                <w:r>
                  <w:rPr>
                    <w:rFonts w:ascii="黑体" w:hAnsi="黑体"/>
                  </w:rPr>
                  <w:t>DB43/T 2887—2023</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9C09CA"/>
    <w:multiLevelType w:val="multilevel"/>
    <w:tmpl w:val="E6AE3D08"/>
    <w:lvl w:ilvl="0">
      <w:start w:val="5"/>
      <w:numFmt w:val="decimal"/>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0"/>
      <w:numFmt w:val="bullet"/>
      <w:lvlText w:val="•"/>
      <w:lvlJc w:val="left"/>
      <w:pPr>
        <w:ind w:left="3990" w:hanging="737"/>
      </w:pPr>
      <w:rPr>
        <w:rFonts w:hint="default"/>
        <w:lang w:val="en-US" w:eastAsia="en-US" w:bidi="ar-SA"/>
      </w:rPr>
    </w:lvl>
    <w:lvl w:ilvl="4">
      <w:start w:val="0"/>
      <w:numFmt w:val="bullet"/>
      <w:lvlText w:val="•"/>
      <w:lvlJc w:val="left"/>
      <w:pPr>
        <w:ind w:left="4975" w:hanging="737"/>
      </w:pPr>
      <w:rPr>
        <w:rFonts w:hint="default"/>
        <w:lang w:val="en-US" w:eastAsia="en-US" w:bidi="ar-SA"/>
      </w:rPr>
    </w:lvl>
    <w:lvl w:ilvl="5">
      <w:start w:val="0"/>
      <w:numFmt w:val="bullet"/>
      <w:lvlText w:val="•"/>
      <w:lvlJc w:val="left"/>
      <w:pPr>
        <w:ind w:left="5960" w:hanging="737"/>
      </w:pPr>
      <w:rPr>
        <w:rFonts w:hint="default"/>
        <w:lang w:val="en-US" w:eastAsia="en-US" w:bidi="ar-SA"/>
      </w:rPr>
    </w:lvl>
    <w:lvl w:ilvl="6">
      <w:start w:val="0"/>
      <w:numFmt w:val="bullet"/>
      <w:lvlText w:val="•"/>
      <w:lvlJc w:val="left"/>
      <w:pPr>
        <w:ind w:left="6945" w:hanging="737"/>
      </w:pPr>
      <w:rPr>
        <w:rFonts w:hint="default"/>
        <w:lang w:val="en-US" w:eastAsia="en-US" w:bidi="ar-SA"/>
      </w:rPr>
    </w:lvl>
    <w:lvl w:ilvl="7">
      <w:start w:val="0"/>
      <w:numFmt w:val="bullet"/>
      <w:lvlText w:val="•"/>
      <w:lvlJc w:val="left"/>
      <w:pPr>
        <w:ind w:left="7930" w:hanging="737"/>
      </w:pPr>
      <w:rPr>
        <w:rFonts w:hint="default"/>
        <w:lang w:val="en-US" w:eastAsia="en-US" w:bidi="ar-SA"/>
      </w:rPr>
    </w:lvl>
    <w:lvl w:ilvl="8">
      <w:start w:val="0"/>
      <w:numFmt w:val="bullet"/>
      <w:lvlText w:val="•"/>
      <w:lvlJc w:val="left"/>
      <w:pPr>
        <w:ind w:left="8916" w:hanging="737"/>
      </w:pPr>
      <w:rPr>
        <w:rFonts w:hint="default"/>
        <w:lang w:val="en-US" w:eastAsia="en-US" w:bidi="ar-SA"/>
      </w:rPr>
    </w:lvl>
  </w:abstractNum>
  <w:abstractNum w:abstractNumId="1">
    <w:nsid w:val="015E2D3A"/>
    <w:multiLevelType w:val="hybridMultilevel"/>
    <w:tmpl w:val="ABD6A706"/>
    <w:lvl w:ilvl="0">
      <w:start w:val="1"/>
      <w:numFmt w:val="decimal"/>
      <w:lvlText w:val="[%1]"/>
      <w:lvlJc w:val="left"/>
      <w:pPr>
        <w:ind w:left="117" w:hanging="526"/>
        <w:jc w:val="left"/>
      </w:pPr>
      <w:rPr>
        <w:rFonts w:ascii="宋体" w:eastAsia="宋体" w:hAnsi="宋体" w:cs="宋体" w:hint="default"/>
        <w:w w:val="100"/>
        <w:sz w:val="21"/>
        <w:szCs w:val="21"/>
        <w:lang w:val="en-US" w:eastAsia="en-US" w:bidi="ar-SA"/>
      </w:rPr>
    </w:lvl>
    <w:lvl w:ilvl="1">
      <w:start w:val="0"/>
      <w:numFmt w:val="bullet"/>
      <w:lvlText w:val="•"/>
      <w:lvlJc w:val="left"/>
      <w:pPr>
        <w:ind w:left="1076" w:hanging="526"/>
      </w:pPr>
      <w:rPr>
        <w:rFonts w:hint="default"/>
        <w:lang w:val="en-US" w:eastAsia="en-US" w:bidi="ar-SA"/>
      </w:rPr>
    </w:lvl>
    <w:lvl w:ilvl="2">
      <w:start w:val="0"/>
      <w:numFmt w:val="bullet"/>
      <w:lvlText w:val="•"/>
      <w:lvlJc w:val="left"/>
      <w:pPr>
        <w:ind w:left="2033" w:hanging="526"/>
      </w:pPr>
      <w:rPr>
        <w:rFonts w:hint="default"/>
        <w:lang w:val="en-US" w:eastAsia="en-US" w:bidi="ar-SA"/>
      </w:rPr>
    </w:lvl>
    <w:lvl w:ilvl="3">
      <w:start w:val="0"/>
      <w:numFmt w:val="bullet"/>
      <w:lvlText w:val="•"/>
      <w:lvlJc w:val="left"/>
      <w:pPr>
        <w:ind w:left="2989" w:hanging="526"/>
      </w:pPr>
      <w:rPr>
        <w:rFonts w:hint="default"/>
        <w:lang w:val="en-US" w:eastAsia="en-US" w:bidi="ar-SA"/>
      </w:rPr>
    </w:lvl>
    <w:lvl w:ilvl="4">
      <w:start w:val="0"/>
      <w:numFmt w:val="bullet"/>
      <w:lvlText w:val="•"/>
      <w:lvlJc w:val="left"/>
      <w:pPr>
        <w:ind w:left="3946" w:hanging="526"/>
      </w:pPr>
      <w:rPr>
        <w:rFonts w:hint="default"/>
        <w:lang w:val="en-US" w:eastAsia="en-US" w:bidi="ar-SA"/>
      </w:rPr>
    </w:lvl>
    <w:lvl w:ilvl="5">
      <w:start w:val="0"/>
      <w:numFmt w:val="bullet"/>
      <w:lvlText w:val="•"/>
      <w:lvlJc w:val="left"/>
      <w:pPr>
        <w:ind w:left="4903" w:hanging="526"/>
      </w:pPr>
      <w:rPr>
        <w:rFonts w:hint="default"/>
        <w:lang w:val="en-US" w:eastAsia="en-US" w:bidi="ar-SA"/>
      </w:rPr>
    </w:lvl>
    <w:lvl w:ilvl="6">
      <w:start w:val="0"/>
      <w:numFmt w:val="bullet"/>
      <w:lvlText w:val="•"/>
      <w:lvlJc w:val="left"/>
      <w:pPr>
        <w:ind w:left="5859" w:hanging="526"/>
      </w:pPr>
      <w:rPr>
        <w:rFonts w:hint="default"/>
        <w:lang w:val="en-US" w:eastAsia="en-US" w:bidi="ar-SA"/>
      </w:rPr>
    </w:lvl>
    <w:lvl w:ilvl="7">
      <w:start w:val="0"/>
      <w:numFmt w:val="bullet"/>
      <w:lvlText w:val="•"/>
      <w:lvlJc w:val="left"/>
      <w:pPr>
        <w:ind w:left="6816" w:hanging="526"/>
      </w:pPr>
      <w:rPr>
        <w:rFonts w:hint="default"/>
        <w:lang w:val="en-US" w:eastAsia="en-US" w:bidi="ar-SA"/>
      </w:rPr>
    </w:lvl>
    <w:lvl w:ilvl="8">
      <w:start w:val="0"/>
      <w:numFmt w:val="bullet"/>
      <w:lvlText w:val="•"/>
      <w:lvlJc w:val="left"/>
      <w:pPr>
        <w:ind w:left="7773" w:hanging="526"/>
      </w:pPr>
      <w:rPr>
        <w:rFonts w:hint="default"/>
        <w:lang w:val="en-US" w:eastAsia="en-US" w:bidi="ar-SA"/>
      </w:rPr>
    </w:lvl>
  </w:abstractNum>
  <w:abstractNum w:abstractNumId="2">
    <w:nsid w:val="042B108A"/>
    <w:multiLevelType w:val="multilevel"/>
    <w:tmpl w:val="E4EA6AD2"/>
    <w:lvl w:ilvl="0">
      <w:start w:val="4"/>
      <w:numFmt w:val="decimal"/>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0"/>
      <w:numFmt w:val="bullet"/>
      <w:lvlText w:val="•"/>
      <w:lvlJc w:val="left"/>
      <w:pPr>
        <w:ind w:left="3617" w:hanging="526"/>
      </w:pPr>
      <w:rPr>
        <w:rFonts w:hint="default"/>
        <w:lang w:val="en-US" w:eastAsia="en-US" w:bidi="ar-SA"/>
      </w:rPr>
    </w:lvl>
    <w:lvl w:ilvl="3">
      <w:start w:val="0"/>
      <w:numFmt w:val="bullet"/>
      <w:lvlText w:val="•"/>
      <w:lvlJc w:val="left"/>
      <w:pPr>
        <w:ind w:left="4525" w:hanging="526"/>
      </w:pPr>
      <w:rPr>
        <w:rFonts w:hint="default"/>
        <w:lang w:val="en-US" w:eastAsia="en-US" w:bidi="ar-SA"/>
      </w:rPr>
    </w:lvl>
    <w:lvl w:ilvl="4">
      <w:start w:val="0"/>
      <w:numFmt w:val="bullet"/>
      <w:lvlText w:val="•"/>
      <w:lvlJc w:val="left"/>
      <w:pPr>
        <w:ind w:left="5434" w:hanging="526"/>
      </w:pPr>
      <w:rPr>
        <w:rFonts w:hint="default"/>
        <w:lang w:val="en-US" w:eastAsia="en-US" w:bidi="ar-SA"/>
      </w:rPr>
    </w:lvl>
    <w:lvl w:ilvl="5">
      <w:start w:val="0"/>
      <w:numFmt w:val="bullet"/>
      <w:lvlText w:val="•"/>
      <w:lvlJc w:val="left"/>
      <w:pPr>
        <w:ind w:left="6343" w:hanging="526"/>
      </w:pPr>
      <w:rPr>
        <w:rFonts w:hint="default"/>
        <w:lang w:val="en-US" w:eastAsia="en-US" w:bidi="ar-SA"/>
      </w:rPr>
    </w:lvl>
    <w:lvl w:ilvl="6">
      <w:start w:val="0"/>
      <w:numFmt w:val="bullet"/>
      <w:lvlText w:val="•"/>
      <w:lvlJc w:val="left"/>
      <w:pPr>
        <w:ind w:left="7251" w:hanging="526"/>
      </w:pPr>
      <w:rPr>
        <w:rFonts w:hint="default"/>
        <w:lang w:val="en-US" w:eastAsia="en-US" w:bidi="ar-SA"/>
      </w:rPr>
    </w:lvl>
    <w:lvl w:ilvl="7">
      <w:start w:val="0"/>
      <w:numFmt w:val="bullet"/>
      <w:lvlText w:val="•"/>
      <w:lvlJc w:val="left"/>
      <w:pPr>
        <w:ind w:left="8160" w:hanging="526"/>
      </w:pPr>
      <w:rPr>
        <w:rFonts w:hint="default"/>
        <w:lang w:val="en-US" w:eastAsia="en-US" w:bidi="ar-SA"/>
      </w:rPr>
    </w:lvl>
    <w:lvl w:ilvl="8">
      <w:start w:val="0"/>
      <w:numFmt w:val="bullet"/>
      <w:lvlText w:val="•"/>
      <w:lvlJc w:val="left"/>
      <w:pPr>
        <w:ind w:left="9069" w:hanging="526"/>
      </w:pPr>
      <w:rPr>
        <w:rFonts w:hint="default"/>
        <w:lang w:val="en-US" w:eastAsia="en-US" w:bidi="ar-SA"/>
      </w:rPr>
    </w:lvl>
  </w:abstractNum>
  <w:abstractNum w:abstractNumId="3">
    <w:nsid w:val="10A77D99"/>
    <w:multiLevelType w:val="multilevel"/>
    <w:tmpl w:val="6E54FD3E"/>
    <w:lvl w:ilvl="0">
      <w:start w:val="11"/>
      <w:numFmt w:val="decimal"/>
      <w:lvlText w:val="%1"/>
      <w:lvlJc w:val="left"/>
      <w:pPr>
        <w:ind w:left="1908" w:hanging="632"/>
        <w:jc w:val="left"/>
      </w:pPr>
      <w:rPr>
        <w:rFonts w:hint="default"/>
        <w:lang w:val="en-US" w:eastAsia="en-US" w:bidi="ar-SA"/>
      </w:rPr>
    </w:lvl>
    <w:lvl w:ilvl="1">
      <w:start w:val="1"/>
      <w:numFmt w:val="decimal"/>
      <w:lvlText w:val="%1.%2"/>
      <w:lvlJc w:val="left"/>
      <w:pPr>
        <w:ind w:left="1908" w:hanging="632"/>
        <w:jc w:val="left"/>
      </w:pPr>
      <w:rPr>
        <w:rFonts w:ascii="黑体" w:eastAsia="黑体" w:hAnsi="黑体" w:cs="黑体" w:hint="default"/>
        <w:w w:val="100"/>
        <w:sz w:val="21"/>
        <w:szCs w:val="21"/>
        <w:lang w:val="en-US" w:eastAsia="en-US" w:bidi="ar-SA"/>
      </w:rPr>
    </w:lvl>
    <w:lvl w:ilvl="2">
      <w:start w:val="0"/>
      <w:numFmt w:val="bullet"/>
      <w:lvlText w:val="•"/>
      <w:lvlJc w:val="left"/>
      <w:pPr>
        <w:ind w:left="3697" w:hanging="632"/>
      </w:pPr>
      <w:rPr>
        <w:rFonts w:hint="default"/>
        <w:lang w:val="en-US" w:eastAsia="en-US" w:bidi="ar-SA"/>
      </w:rPr>
    </w:lvl>
    <w:lvl w:ilvl="3">
      <w:start w:val="0"/>
      <w:numFmt w:val="bullet"/>
      <w:lvlText w:val="•"/>
      <w:lvlJc w:val="left"/>
      <w:pPr>
        <w:ind w:left="4595" w:hanging="632"/>
      </w:pPr>
      <w:rPr>
        <w:rFonts w:hint="default"/>
        <w:lang w:val="en-US" w:eastAsia="en-US" w:bidi="ar-SA"/>
      </w:rPr>
    </w:lvl>
    <w:lvl w:ilvl="4">
      <w:start w:val="0"/>
      <w:numFmt w:val="bullet"/>
      <w:lvlText w:val="•"/>
      <w:lvlJc w:val="left"/>
      <w:pPr>
        <w:ind w:left="5494" w:hanging="632"/>
      </w:pPr>
      <w:rPr>
        <w:rFonts w:hint="default"/>
        <w:lang w:val="en-US" w:eastAsia="en-US" w:bidi="ar-SA"/>
      </w:rPr>
    </w:lvl>
    <w:lvl w:ilvl="5">
      <w:start w:val="0"/>
      <w:numFmt w:val="bullet"/>
      <w:lvlText w:val="•"/>
      <w:lvlJc w:val="left"/>
      <w:pPr>
        <w:ind w:left="6393" w:hanging="632"/>
      </w:pPr>
      <w:rPr>
        <w:rFonts w:hint="default"/>
        <w:lang w:val="en-US" w:eastAsia="en-US" w:bidi="ar-SA"/>
      </w:rPr>
    </w:lvl>
    <w:lvl w:ilvl="6">
      <w:start w:val="0"/>
      <w:numFmt w:val="bullet"/>
      <w:lvlText w:val="•"/>
      <w:lvlJc w:val="left"/>
      <w:pPr>
        <w:ind w:left="7291" w:hanging="632"/>
      </w:pPr>
      <w:rPr>
        <w:rFonts w:hint="default"/>
        <w:lang w:val="en-US" w:eastAsia="en-US" w:bidi="ar-SA"/>
      </w:rPr>
    </w:lvl>
    <w:lvl w:ilvl="7">
      <w:start w:val="0"/>
      <w:numFmt w:val="bullet"/>
      <w:lvlText w:val="•"/>
      <w:lvlJc w:val="left"/>
      <w:pPr>
        <w:ind w:left="8190" w:hanging="632"/>
      </w:pPr>
      <w:rPr>
        <w:rFonts w:hint="default"/>
        <w:lang w:val="en-US" w:eastAsia="en-US" w:bidi="ar-SA"/>
      </w:rPr>
    </w:lvl>
    <w:lvl w:ilvl="8">
      <w:start w:val="0"/>
      <w:numFmt w:val="bullet"/>
      <w:lvlText w:val="•"/>
      <w:lvlJc w:val="left"/>
      <w:pPr>
        <w:ind w:left="9089" w:hanging="632"/>
      </w:pPr>
      <w:rPr>
        <w:rFonts w:hint="default"/>
        <w:lang w:val="en-US" w:eastAsia="en-US" w:bidi="ar-SA"/>
      </w:rPr>
    </w:lvl>
  </w:abstractNum>
  <w:abstractNum w:abstractNumId="4">
    <w:nsid w:val="19DE17FC"/>
    <w:multiLevelType w:val="multilevel"/>
    <w:tmpl w:val="E49A98FC"/>
    <w:lvl w:ilvl="0">
      <w:start w:val="1"/>
      <w:numFmt w:val="upperLetter"/>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0"/>
      <w:numFmt w:val="bullet"/>
      <w:lvlText w:val="•"/>
      <w:lvlJc w:val="left"/>
      <w:pPr>
        <w:ind w:left="3617" w:hanging="526"/>
      </w:pPr>
      <w:rPr>
        <w:rFonts w:hint="default"/>
        <w:lang w:val="en-US" w:eastAsia="en-US" w:bidi="ar-SA"/>
      </w:rPr>
    </w:lvl>
    <w:lvl w:ilvl="3">
      <w:start w:val="0"/>
      <w:numFmt w:val="bullet"/>
      <w:lvlText w:val="•"/>
      <w:lvlJc w:val="left"/>
      <w:pPr>
        <w:ind w:left="4525" w:hanging="526"/>
      </w:pPr>
      <w:rPr>
        <w:rFonts w:hint="default"/>
        <w:lang w:val="en-US" w:eastAsia="en-US" w:bidi="ar-SA"/>
      </w:rPr>
    </w:lvl>
    <w:lvl w:ilvl="4">
      <w:start w:val="0"/>
      <w:numFmt w:val="bullet"/>
      <w:lvlText w:val="•"/>
      <w:lvlJc w:val="left"/>
      <w:pPr>
        <w:ind w:left="5434" w:hanging="526"/>
      </w:pPr>
      <w:rPr>
        <w:rFonts w:hint="default"/>
        <w:lang w:val="en-US" w:eastAsia="en-US" w:bidi="ar-SA"/>
      </w:rPr>
    </w:lvl>
    <w:lvl w:ilvl="5">
      <w:start w:val="0"/>
      <w:numFmt w:val="bullet"/>
      <w:lvlText w:val="•"/>
      <w:lvlJc w:val="left"/>
      <w:pPr>
        <w:ind w:left="6343" w:hanging="526"/>
      </w:pPr>
      <w:rPr>
        <w:rFonts w:hint="default"/>
        <w:lang w:val="en-US" w:eastAsia="en-US" w:bidi="ar-SA"/>
      </w:rPr>
    </w:lvl>
    <w:lvl w:ilvl="6">
      <w:start w:val="0"/>
      <w:numFmt w:val="bullet"/>
      <w:lvlText w:val="•"/>
      <w:lvlJc w:val="left"/>
      <w:pPr>
        <w:ind w:left="7251" w:hanging="526"/>
      </w:pPr>
      <w:rPr>
        <w:rFonts w:hint="default"/>
        <w:lang w:val="en-US" w:eastAsia="en-US" w:bidi="ar-SA"/>
      </w:rPr>
    </w:lvl>
    <w:lvl w:ilvl="7">
      <w:start w:val="0"/>
      <w:numFmt w:val="bullet"/>
      <w:lvlText w:val="•"/>
      <w:lvlJc w:val="left"/>
      <w:pPr>
        <w:ind w:left="8160" w:hanging="526"/>
      </w:pPr>
      <w:rPr>
        <w:rFonts w:hint="default"/>
        <w:lang w:val="en-US" w:eastAsia="en-US" w:bidi="ar-SA"/>
      </w:rPr>
    </w:lvl>
    <w:lvl w:ilvl="8">
      <w:start w:val="0"/>
      <w:numFmt w:val="bullet"/>
      <w:lvlText w:val="•"/>
      <w:lvlJc w:val="left"/>
      <w:pPr>
        <w:ind w:left="9069" w:hanging="526"/>
      </w:pPr>
      <w:rPr>
        <w:rFonts w:hint="default"/>
        <w:lang w:val="en-US" w:eastAsia="en-US" w:bidi="ar-SA"/>
      </w:rPr>
    </w:lvl>
  </w:abstractNum>
  <w:abstractNum w:abstractNumId="5">
    <w:nsid w:val="1E623ADF"/>
    <w:multiLevelType w:val="multilevel"/>
    <w:tmpl w:val="67C0D100"/>
    <w:lvl w:ilvl="0">
      <w:start w:val="7"/>
      <w:numFmt w:val="decimal"/>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0"/>
      <w:numFmt w:val="bullet"/>
      <w:lvlText w:val="•"/>
      <w:lvlJc w:val="left"/>
      <w:pPr>
        <w:ind w:left="3128" w:hanging="737"/>
      </w:pPr>
      <w:rPr>
        <w:rFonts w:hint="default"/>
        <w:lang w:val="en-US" w:eastAsia="en-US" w:bidi="ar-SA"/>
      </w:rPr>
    </w:lvl>
    <w:lvl w:ilvl="4">
      <w:start w:val="0"/>
      <w:numFmt w:val="bullet"/>
      <w:lvlText w:val="•"/>
      <w:lvlJc w:val="left"/>
      <w:pPr>
        <w:ind w:left="4236" w:hanging="737"/>
      </w:pPr>
      <w:rPr>
        <w:rFonts w:hint="default"/>
        <w:lang w:val="en-US" w:eastAsia="en-US" w:bidi="ar-SA"/>
      </w:rPr>
    </w:lvl>
    <w:lvl w:ilvl="5">
      <w:start w:val="0"/>
      <w:numFmt w:val="bullet"/>
      <w:lvlText w:val="•"/>
      <w:lvlJc w:val="left"/>
      <w:pPr>
        <w:ind w:left="5344" w:hanging="737"/>
      </w:pPr>
      <w:rPr>
        <w:rFonts w:hint="default"/>
        <w:lang w:val="en-US" w:eastAsia="en-US" w:bidi="ar-SA"/>
      </w:rPr>
    </w:lvl>
    <w:lvl w:ilvl="6">
      <w:start w:val="0"/>
      <w:numFmt w:val="bullet"/>
      <w:lvlText w:val="•"/>
      <w:lvlJc w:val="left"/>
      <w:pPr>
        <w:ind w:left="6453" w:hanging="737"/>
      </w:pPr>
      <w:rPr>
        <w:rFonts w:hint="default"/>
        <w:lang w:val="en-US" w:eastAsia="en-US" w:bidi="ar-SA"/>
      </w:rPr>
    </w:lvl>
    <w:lvl w:ilvl="7">
      <w:start w:val="0"/>
      <w:numFmt w:val="bullet"/>
      <w:lvlText w:val="•"/>
      <w:lvlJc w:val="left"/>
      <w:pPr>
        <w:ind w:left="7561" w:hanging="737"/>
      </w:pPr>
      <w:rPr>
        <w:rFonts w:hint="default"/>
        <w:lang w:val="en-US" w:eastAsia="en-US" w:bidi="ar-SA"/>
      </w:rPr>
    </w:lvl>
    <w:lvl w:ilvl="8">
      <w:start w:val="0"/>
      <w:numFmt w:val="bullet"/>
      <w:lvlText w:val="•"/>
      <w:lvlJc w:val="left"/>
      <w:pPr>
        <w:ind w:left="8669" w:hanging="737"/>
      </w:pPr>
      <w:rPr>
        <w:rFonts w:hint="default"/>
        <w:lang w:val="en-US" w:eastAsia="en-US" w:bidi="ar-SA"/>
      </w:rPr>
    </w:lvl>
  </w:abstractNum>
  <w:abstractNum w:abstractNumId="6">
    <w:nsid w:val="1FBC207C"/>
    <w:multiLevelType w:val="multilevel"/>
    <w:tmpl w:val="92E6211A"/>
    <w:lvl w:ilvl="0">
      <w:start w:val="10"/>
      <w:numFmt w:val="decimal"/>
      <w:lvlText w:val="%1"/>
      <w:lvlJc w:val="left"/>
      <w:pPr>
        <w:ind w:left="1908" w:hanging="632"/>
        <w:jc w:val="left"/>
      </w:pPr>
      <w:rPr>
        <w:rFonts w:hint="default"/>
        <w:lang w:val="en-US" w:eastAsia="en-US" w:bidi="ar-SA"/>
      </w:rPr>
    </w:lvl>
    <w:lvl w:ilvl="1">
      <w:start w:val="1"/>
      <w:numFmt w:val="decimal"/>
      <w:lvlText w:val="%1.%2"/>
      <w:lvlJc w:val="left"/>
      <w:pPr>
        <w:ind w:left="1908" w:hanging="632"/>
        <w:jc w:val="left"/>
      </w:pPr>
      <w:rPr>
        <w:rFonts w:ascii="黑体" w:eastAsia="黑体" w:hAnsi="黑体" w:cs="黑体" w:hint="default"/>
        <w:w w:val="100"/>
        <w:sz w:val="21"/>
        <w:szCs w:val="21"/>
        <w:lang w:val="en-US" w:eastAsia="en-US" w:bidi="ar-SA"/>
      </w:rPr>
    </w:lvl>
    <w:lvl w:ilvl="2">
      <w:start w:val="1"/>
      <w:numFmt w:val="decimal"/>
      <w:lvlText w:val="%1.%2.%3"/>
      <w:lvlJc w:val="left"/>
      <w:pPr>
        <w:ind w:left="2119" w:hanging="843"/>
        <w:jc w:val="left"/>
      </w:pPr>
      <w:rPr>
        <w:rFonts w:ascii="黑体" w:eastAsia="黑体" w:hAnsi="黑体" w:cs="黑体" w:hint="default"/>
        <w:w w:val="100"/>
        <w:sz w:val="21"/>
        <w:szCs w:val="21"/>
        <w:lang w:val="en-US" w:eastAsia="en-US" w:bidi="ar-SA"/>
      </w:rPr>
    </w:lvl>
    <w:lvl w:ilvl="3">
      <w:start w:val="1"/>
      <w:numFmt w:val="lowerLetter"/>
      <w:lvlText w:val="%4）"/>
      <w:lvlJc w:val="left"/>
      <w:pPr>
        <w:ind w:left="2102" w:hanging="423"/>
        <w:jc w:val="left"/>
      </w:pPr>
      <w:rPr>
        <w:rFonts w:ascii="宋体" w:eastAsia="宋体" w:hAnsi="宋体" w:cs="宋体" w:hint="default"/>
        <w:w w:val="100"/>
        <w:sz w:val="21"/>
        <w:szCs w:val="21"/>
        <w:lang w:val="en-US" w:eastAsia="en-US" w:bidi="ar-SA"/>
      </w:rPr>
    </w:lvl>
    <w:lvl w:ilvl="4">
      <w:start w:val="0"/>
      <w:numFmt w:val="bullet"/>
      <w:lvlText w:val="•"/>
      <w:lvlJc w:val="left"/>
      <w:pPr>
        <w:ind w:left="4311" w:hanging="423"/>
      </w:pPr>
      <w:rPr>
        <w:rFonts w:hint="default"/>
        <w:lang w:val="en-US" w:eastAsia="en-US" w:bidi="ar-SA"/>
      </w:rPr>
    </w:lvl>
    <w:lvl w:ilvl="5">
      <w:start w:val="0"/>
      <w:numFmt w:val="bullet"/>
      <w:lvlText w:val="•"/>
      <w:lvlJc w:val="left"/>
      <w:pPr>
        <w:ind w:left="5407" w:hanging="423"/>
      </w:pPr>
      <w:rPr>
        <w:rFonts w:hint="default"/>
        <w:lang w:val="en-US" w:eastAsia="en-US" w:bidi="ar-SA"/>
      </w:rPr>
    </w:lvl>
    <w:lvl w:ilvl="6">
      <w:start w:val="0"/>
      <w:numFmt w:val="bullet"/>
      <w:lvlText w:val="•"/>
      <w:lvlJc w:val="left"/>
      <w:pPr>
        <w:ind w:left="6503" w:hanging="423"/>
      </w:pPr>
      <w:rPr>
        <w:rFonts w:hint="default"/>
        <w:lang w:val="en-US" w:eastAsia="en-US" w:bidi="ar-SA"/>
      </w:rPr>
    </w:lvl>
    <w:lvl w:ilvl="7">
      <w:start w:val="0"/>
      <w:numFmt w:val="bullet"/>
      <w:lvlText w:val="•"/>
      <w:lvlJc w:val="left"/>
      <w:pPr>
        <w:ind w:left="7599" w:hanging="423"/>
      </w:pPr>
      <w:rPr>
        <w:rFonts w:hint="default"/>
        <w:lang w:val="en-US" w:eastAsia="en-US" w:bidi="ar-SA"/>
      </w:rPr>
    </w:lvl>
    <w:lvl w:ilvl="8">
      <w:start w:val="0"/>
      <w:numFmt w:val="bullet"/>
      <w:lvlText w:val="•"/>
      <w:lvlJc w:val="left"/>
      <w:pPr>
        <w:ind w:left="8694" w:hanging="423"/>
      </w:pPr>
      <w:rPr>
        <w:rFonts w:hint="default"/>
        <w:lang w:val="en-US" w:eastAsia="en-US" w:bidi="ar-SA"/>
      </w:rPr>
    </w:lvl>
  </w:abstractNum>
  <w:abstractNum w:abstractNumId="7">
    <w:nsid w:val="2206B190"/>
    <w:multiLevelType w:val="multilevel"/>
    <w:tmpl w:val="E6AE3D08"/>
    <w:lvl w:ilvl="0">
      <w:start w:val="5"/>
      <w:numFmt w:val="decimal"/>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0"/>
      <w:numFmt w:val="bullet"/>
      <w:lvlText w:val="•"/>
      <w:lvlJc w:val="left"/>
      <w:pPr>
        <w:ind w:left="3990" w:hanging="737"/>
      </w:pPr>
      <w:rPr>
        <w:rFonts w:hint="default"/>
        <w:lang w:val="en-US" w:eastAsia="en-US" w:bidi="ar-SA"/>
      </w:rPr>
    </w:lvl>
    <w:lvl w:ilvl="4">
      <w:start w:val="0"/>
      <w:numFmt w:val="bullet"/>
      <w:lvlText w:val="•"/>
      <w:lvlJc w:val="left"/>
      <w:pPr>
        <w:ind w:left="4975" w:hanging="737"/>
      </w:pPr>
      <w:rPr>
        <w:rFonts w:hint="default"/>
        <w:lang w:val="en-US" w:eastAsia="en-US" w:bidi="ar-SA"/>
      </w:rPr>
    </w:lvl>
    <w:lvl w:ilvl="5">
      <w:start w:val="0"/>
      <w:numFmt w:val="bullet"/>
      <w:lvlText w:val="•"/>
      <w:lvlJc w:val="left"/>
      <w:pPr>
        <w:ind w:left="5960" w:hanging="737"/>
      </w:pPr>
      <w:rPr>
        <w:rFonts w:hint="default"/>
        <w:lang w:val="en-US" w:eastAsia="en-US" w:bidi="ar-SA"/>
      </w:rPr>
    </w:lvl>
    <w:lvl w:ilvl="6">
      <w:start w:val="0"/>
      <w:numFmt w:val="bullet"/>
      <w:lvlText w:val="•"/>
      <w:lvlJc w:val="left"/>
      <w:pPr>
        <w:ind w:left="6945" w:hanging="737"/>
      </w:pPr>
      <w:rPr>
        <w:rFonts w:hint="default"/>
        <w:lang w:val="en-US" w:eastAsia="en-US" w:bidi="ar-SA"/>
      </w:rPr>
    </w:lvl>
    <w:lvl w:ilvl="7">
      <w:start w:val="0"/>
      <w:numFmt w:val="bullet"/>
      <w:lvlText w:val="•"/>
      <w:lvlJc w:val="left"/>
      <w:pPr>
        <w:ind w:left="7930" w:hanging="737"/>
      </w:pPr>
      <w:rPr>
        <w:rFonts w:hint="default"/>
        <w:lang w:val="en-US" w:eastAsia="en-US" w:bidi="ar-SA"/>
      </w:rPr>
    </w:lvl>
    <w:lvl w:ilvl="8">
      <w:start w:val="0"/>
      <w:numFmt w:val="bullet"/>
      <w:lvlText w:val="•"/>
      <w:lvlJc w:val="left"/>
      <w:pPr>
        <w:ind w:left="8916" w:hanging="737"/>
      </w:pPr>
      <w:rPr>
        <w:rFonts w:hint="default"/>
        <w:lang w:val="en-US" w:eastAsia="en-US" w:bidi="ar-SA"/>
      </w:rPr>
    </w:lvl>
  </w:abstractNum>
  <w:abstractNum w:abstractNumId="8">
    <w:nsid w:val="341B2171"/>
    <w:multiLevelType w:val="hybridMultilevel"/>
    <w:tmpl w:val="51245522"/>
    <w:lvl w:ilvl="0">
      <w:start w:val="1"/>
      <w:numFmt w:val="lowerLetter"/>
      <w:lvlText w:val="%1）"/>
      <w:lvlJc w:val="left"/>
      <w:pPr>
        <w:ind w:left="2102" w:hanging="425"/>
        <w:jc w:val="left"/>
      </w:pPr>
      <w:rPr>
        <w:rFonts w:ascii="宋体" w:eastAsia="宋体" w:hAnsi="宋体" w:cs="宋体" w:hint="default"/>
        <w:w w:val="100"/>
        <w:sz w:val="21"/>
        <w:szCs w:val="21"/>
        <w:lang w:val="en-US" w:eastAsia="en-US" w:bidi="ar-SA"/>
      </w:rPr>
    </w:lvl>
    <w:lvl w:ilvl="1">
      <w:start w:val="0"/>
      <w:numFmt w:val="bullet"/>
      <w:lvlText w:val="•"/>
      <w:lvlJc w:val="left"/>
      <w:pPr>
        <w:ind w:left="2978" w:hanging="425"/>
      </w:pPr>
      <w:rPr>
        <w:rFonts w:hint="default"/>
        <w:lang w:val="en-US" w:eastAsia="en-US" w:bidi="ar-SA"/>
      </w:rPr>
    </w:lvl>
    <w:lvl w:ilvl="2">
      <w:start w:val="0"/>
      <w:numFmt w:val="bullet"/>
      <w:lvlText w:val="•"/>
      <w:lvlJc w:val="left"/>
      <w:pPr>
        <w:ind w:left="3857" w:hanging="425"/>
      </w:pPr>
      <w:rPr>
        <w:rFonts w:hint="default"/>
        <w:lang w:val="en-US" w:eastAsia="en-US" w:bidi="ar-SA"/>
      </w:rPr>
    </w:lvl>
    <w:lvl w:ilvl="3">
      <w:start w:val="0"/>
      <w:numFmt w:val="bullet"/>
      <w:lvlText w:val="•"/>
      <w:lvlJc w:val="left"/>
      <w:pPr>
        <w:ind w:left="4735" w:hanging="425"/>
      </w:pPr>
      <w:rPr>
        <w:rFonts w:hint="default"/>
        <w:lang w:val="en-US" w:eastAsia="en-US" w:bidi="ar-SA"/>
      </w:rPr>
    </w:lvl>
    <w:lvl w:ilvl="4">
      <w:start w:val="0"/>
      <w:numFmt w:val="bullet"/>
      <w:lvlText w:val="•"/>
      <w:lvlJc w:val="left"/>
      <w:pPr>
        <w:ind w:left="5614" w:hanging="425"/>
      </w:pPr>
      <w:rPr>
        <w:rFonts w:hint="default"/>
        <w:lang w:val="en-US" w:eastAsia="en-US" w:bidi="ar-SA"/>
      </w:rPr>
    </w:lvl>
    <w:lvl w:ilvl="5">
      <w:start w:val="0"/>
      <w:numFmt w:val="bullet"/>
      <w:lvlText w:val="•"/>
      <w:lvlJc w:val="left"/>
      <w:pPr>
        <w:ind w:left="6493" w:hanging="425"/>
      </w:pPr>
      <w:rPr>
        <w:rFonts w:hint="default"/>
        <w:lang w:val="en-US" w:eastAsia="en-US" w:bidi="ar-SA"/>
      </w:rPr>
    </w:lvl>
    <w:lvl w:ilvl="6">
      <w:start w:val="0"/>
      <w:numFmt w:val="bullet"/>
      <w:lvlText w:val="•"/>
      <w:lvlJc w:val="left"/>
      <w:pPr>
        <w:ind w:left="7371" w:hanging="425"/>
      </w:pPr>
      <w:rPr>
        <w:rFonts w:hint="default"/>
        <w:lang w:val="en-US" w:eastAsia="en-US" w:bidi="ar-SA"/>
      </w:rPr>
    </w:lvl>
    <w:lvl w:ilvl="7">
      <w:start w:val="0"/>
      <w:numFmt w:val="bullet"/>
      <w:lvlText w:val="•"/>
      <w:lvlJc w:val="left"/>
      <w:pPr>
        <w:ind w:left="8250" w:hanging="425"/>
      </w:pPr>
      <w:rPr>
        <w:rFonts w:hint="default"/>
        <w:lang w:val="en-US" w:eastAsia="en-US" w:bidi="ar-SA"/>
      </w:rPr>
    </w:lvl>
    <w:lvl w:ilvl="8">
      <w:start w:val="0"/>
      <w:numFmt w:val="bullet"/>
      <w:lvlText w:val="•"/>
      <w:lvlJc w:val="left"/>
      <w:pPr>
        <w:ind w:left="9129" w:hanging="425"/>
      </w:pPr>
      <w:rPr>
        <w:rFonts w:hint="default"/>
        <w:lang w:val="en-US" w:eastAsia="en-US" w:bidi="ar-SA"/>
      </w:rPr>
    </w:lvl>
  </w:abstractNum>
  <w:abstractNum w:abstractNumId="9">
    <w:nsid w:val="38A96F2D"/>
    <w:multiLevelType w:val="hybridMultilevel"/>
    <w:tmpl w:val="C3D67EDE"/>
    <w:lvl w:ilvl="0">
      <w:start w:val="1"/>
      <w:numFmt w:val="lowerLetter"/>
      <w:lvlText w:val="%1）"/>
      <w:lvlJc w:val="left"/>
      <w:pPr>
        <w:ind w:left="2117" w:hanging="389"/>
        <w:jc w:val="left"/>
      </w:pPr>
      <w:rPr>
        <w:rFonts w:ascii="宋体" w:eastAsia="宋体" w:hAnsi="宋体" w:cs="宋体" w:hint="default"/>
        <w:w w:val="100"/>
        <w:sz w:val="21"/>
        <w:szCs w:val="21"/>
        <w:lang w:val="en-US" w:eastAsia="en-US" w:bidi="ar-SA"/>
      </w:rPr>
    </w:lvl>
    <w:lvl w:ilvl="1">
      <w:start w:val="0"/>
      <w:numFmt w:val="bullet"/>
      <w:lvlText w:val="•"/>
      <w:lvlJc w:val="left"/>
      <w:pPr>
        <w:ind w:left="2996" w:hanging="389"/>
      </w:pPr>
      <w:rPr>
        <w:rFonts w:hint="default"/>
        <w:lang w:val="en-US" w:eastAsia="en-US" w:bidi="ar-SA"/>
      </w:rPr>
    </w:lvl>
    <w:lvl w:ilvl="2">
      <w:start w:val="0"/>
      <w:numFmt w:val="bullet"/>
      <w:lvlText w:val="•"/>
      <w:lvlJc w:val="left"/>
      <w:pPr>
        <w:ind w:left="3873" w:hanging="389"/>
      </w:pPr>
      <w:rPr>
        <w:rFonts w:hint="default"/>
        <w:lang w:val="en-US" w:eastAsia="en-US" w:bidi="ar-SA"/>
      </w:rPr>
    </w:lvl>
    <w:lvl w:ilvl="3">
      <w:start w:val="0"/>
      <w:numFmt w:val="bullet"/>
      <w:lvlText w:val="•"/>
      <w:lvlJc w:val="left"/>
      <w:pPr>
        <w:ind w:left="4749" w:hanging="389"/>
      </w:pPr>
      <w:rPr>
        <w:rFonts w:hint="default"/>
        <w:lang w:val="en-US" w:eastAsia="en-US" w:bidi="ar-SA"/>
      </w:rPr>
    </w:lvl>
    <w:lvl w:ilvl="4">
      <w:start w:val="0"/>
      <w:numFmt w:val="bullet"/>
      <w:lvlText w:val="•"/>
      <w:lvlJc w:val="left"/>
      <w:pPr>
        <w:ind w:left="5626" w:hanging="389"/>
      </w:pPr>
      <w:rPr>
        <w:rFonts w:hint="default"/>
        <w:lang w:val="en-US" w:eastAsia="en-US" w:bidi="ar-SA"/>
      </w:rPr>
    </w:lvl>
    <w:lvl w:ilvl="5">
      <w:start w:val="0"/>
      <w:numFmt w:val="bullet"/>
      <w:lvlText w:val="•"/>
      <w:lvlJc w:val="left"/>
      <w:pPr>
        <w:ind w:left="6503" w:hanging="389"/>
      </w:pPr>
      <w:rPr>
        <w:rFonts w:hint="default"/>
        <w:lang w:val="en-US" w:eastAsia="en-US" w:bidi="ar-SA"/>
      </w:rPr>
    </w:lvl>
    <w:lvl w:ilvl="6">
      <w:start w:val="0"/>
      <w:numFmt w:val="bullet"/>
      <w:lvlText w:val="•"/>
      <w:lvlJc w:val="left"/>
      <w:pPr>
        <w:ind w:left="7379" w:hanging="389"/>
      </w:pPr>
      <w:rPr>
        <w:rFonts w:hint="default"/>
        <w:lang w:val="en-US" w:eastAsia="en-US" w:bidi="ar-SA"/>
      </w:rPr>
    </w:lvl>
    <w:lvl w:ilvl="7">
      <w:start w:val="0"/>
      <w:numFmt w:val="bullet"/>
      <w:lvlText w:val="•"/>
      <w:lvlJc w:val="left"/>
      <w:pPr>
        <w:ind w:left="8256" w:hanging="389"/>
      </w:pPr>
      <w:rPr>
        <w:rFonts w:hint="default"/>
        <w:lang w:val="en-US" w:eastAsia="en-US" w:bidi="ar-SA"/>
      </w:rPr>
    </w:lvl>
    <w:lvl w:ilvl="8">
      <w:start w:val="0"/>
      <w:numFmt w:val="bullet"/>
      <w:lvlText w:val="•"/>
      <w:lvlJc w:val="left"/>
      <w:pPr>
        <w:ind w:left="9133" w:hanging="389"/>
      </w:pPr>
      <w:rPr>
        <w:rFonts w:hint="default"/>
        <w:lang w:val="en-US" w:eastAsia="en-US" w:bidi="ar-SA"/>
      </w:rPr>
    </w:lvl>
  </w:abstractNum>
  <w:abstractNum w:abstractNumId="10">
    <w:nsid w:val="3BF0381A"/>
    <w:multiLevelType w:val="multilevel"/>
    <w:tmpl w:val="51EAE8EC"/>
    <w:lvl w:ilvl="0">
      <w:start w:val="6"/>
      <w:numFmt w:val="decimal"/>
      <w:lvlText w:val="%1"/>
      <w:lvlJc w:val="left"/>
      <w:pPr>
        <w:ind w:left="1277" w:hanging="528"/>
        <w:jc w:val="left"/>
      </w:pPr>
      <w:rPr>
        <w:rFonts w:hint="default"/>
        <w:lang w:val="en-US" w:eastAsia="en-US" w:bidi="ar-SA"/>
      </w:rPr>
    </w:lvl>
    <w:lvl w:ilvl="1">
      <w:start w:val="1"/>
      <w:numFmt w:val="decimal"/>
      <w:lvlText w:val="%1.%2"/>
      <w:lvlJc w:val="left"/>
      <w:pPr>
        <w:ind w:left="1277" w:hanging="528"/>
        <w:jc w:val="left"/>
      </w:pPr>
      <w:rPr>
        <w:rFonts w:ascii="黑体" w:eastAsia="黑体" w:hAnsi="黑体" w:cs="黑体" w:hint="default"/>
        <w:w w:val="100"/>
        <w:sz w:val="21"/>
        <w:szCs w:val="21"/>
        <w:lang w:val="en-US" w:eastAsia="en-US" w:bidi="ar-SA"/>
      </w:rPr>
    </w:lvl>
    <w:lvl w:ilvl="2">
      <w:start w:val="0"/>
      <w:numFmt w:val="bullet"/>
      <w:lvlText w:val="•"/>
      <w:lvlJc w:val="left"/>
      <w:pPr>
        <w:ind w:left="3201" w:hanging="528"/>
      </w:pPr>
      <w:rPr>
        <w:rFonts w:hint="default"/>
        <w:lang w:val="en-US" w:eastAsia="en-US" w:bidi="ar-SA"/>
      </w:rPr>
    </w:lvl>
    <w:lvl w:ilvl="3">
      <w:start w:val="0"/>
      <w:numFmt w:val="bullet"/>
      <w:lvlText w:val="•"/>
      <w:lvlJc w:val="left"/>
      <w:pPr>
        <w:ind w:left="4161" w:hanging="528"/>
      </w:pPr>
      <w:rPr>
        <w:rFonts w:hint="default"/>
        <w:lang w:val="en-US" w:eastAsia="en-US" w:bidi="ar-SA"/>
      </w:rPr>
    </w:lvl>
    <w:lvl w:ilvl="4">
      <w:start w:val="0"/>
      <w:numFmt w:val="bullet"/>
      <w:lvlText w:val="•"/>
      <w:lvlJc w:val="left"/>
      <w:pPr>
        <w:ind w:left="5122" w:hanging="528"/>
      </w:pPr>
      <w:rPr>
        <w:rFonts w:hint="default"/>
        <w:lang w:val="en-US" w:eastAsia="en-US" w:bidi="ar-SA"/>
      </w:rPr>
    </w:lvl>
    <w:lvl w:ilvl="5">
      <w:start w:val="0"/>
      <w:numFmt w:val="bullet"/>
      <w:lvlText w:val="•"/>
      <w:lvlJc w:val="left"/>
      <w:pPr>
        <w:ind w:left="6083" w:hanging="528"/>
      </w:pPr>
      <w:rPr>
        <w:rFonts w:hint="default"/>
        <w:lang w:val="en-US" w:eastAsia="en-US" w:bidi="ar-SA"/>
      </w:rPr>
    </w:lvl>
    <w:lvl w:ilvl="6">
      <w:start w:val="0"/>
      <w:numFmt w:val="bullet"/>
      <w:lvlText w:val="•"/>
      <w:lvlJc w:val="left"/>
      <w:pPr>
        <w:ind w:left="7043" w:hanging="528"/>
      </w:pPr>
      <w:rPr>
        <w:rFonts w:hint="default"/>
        <w:lang w:val="en-US" w:eastAsia="en-US" w:bidi="ar-SA"/>
      </w:rPr>
    </w:lvl>
    <w:lvl w:ilvl="7">
      <w:start w:val="0"/>
      <w:numFmt w:val="bullet"/>
      <w:lvlText w:val="•"/>
      <w:lvlJc w:val="left"/>
      <w:pPr>
        <w:ind w:left="8004" w:hanging="528"/>
      </w:pPr>
      <w:rPr>
        <w:rFonts w:hint="default"/>
        <w:lang w:val="en-US" w:eastAsia="en-US" w:bidi="ar-SA"/>
      </w:rPr>
    </w:lvl>
    <w:lvl w:ilvl="8">
      <w:start w:val="0"/>
      <w:numFmt w:val="bullet"/>
      <w:lvlText w:val="•"/>
      <w:lvlJc w:val="left"/>
      <w:pPr>
        <w:ind w:left="8965" w:hanging="528"/>
      </w:pPr>
      <w:rPr>
        <w:rFonts w:hint="default"/>
        <w:lang w:val="en-US" w:eastAsia="en-US" w:bidi="ar-SA"/>
      </w:rPr>
    </w:lvl>
  </w:abstractNum>
  <w:abstractNum w:abstractNumId="11">
    <w:nsid w:val="3D5D47AE"/>
    <w:multiLevelType w:val="hybridMultilevel"/>
    <w:tmpl w:val="2AFED7DE"/>
    <w:lvl w:ilvl="0">
      <w:start w:val="1"/>
      <w:numFmt w:val="lowerLetter"/>
      <w:lvlText w:val="%1）"/>
      <w:lvlJc w:val="left"/>
      <w:pPr>
        <w:ind w:left="2117"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2996" w:hanging="423"/>
      </w:pPr>
      <w:rPr>
        <w:rFonts w:hint="default"/>
        <w:lang w:val="en-US" w:eastAsia="en-US" w:bidi="ar-SA"/>
      </w:rPr>
    </w:lvl>
    <w:lvl w:ilvl="2">
      <w:start w:val="0"/>
      <w:numFmt w:val="bullet"/>
      <w:lvlText w:val="•"/>
      <w:lvlJc w:val="left"/>
      <w:pPr>
        <w:ind w:left="3873" w:hanging="423"/>
      </w:pPr>
      <w:rPr>
        <w:rFonts w:hint="default"/>
        <w:lang w:val="en-US" w:eastAsia="en-US" w:bidi="ar-SA"/>
      </w:rPr>
    </w:lvl>
    <w:lvl w:ilvl="3">
      <w:start w:val="0"/>
      <w:numFmt w:val="bullet"/>
      <w:lvlText w:val="•"/>
      <w:lvlJc w:val="left"/>
      <w:pPr>
        <w:ind w:left="4749" w:hanging="423"/>
      </w:pPr>
      <w:rPr>
        <w:rFonts w:hint="default"/>
        <w:lang w:val="en-US" w:eastAsia="en-US" w:bidi="ar-SA"/>
      </w:rPr>
    </w:lvl>
    <w:lvl w:ilvl="4">
      <w:start w:val="0"/>
      <w:numFmt w:val="bullet"/>
      <w:lvlText w:val="•"/>
      <w:lvlJc w:val="left"/>
      <w:pPr>
        <w:ind w:left="5626" w:hanging="423"/>
      </w:pPr>
      <w:rPr>
        <w:rFonts w:hint="default"/>
        <w:lang w:val="en-US" w:eastAsia="en-US" w:bidi="ar-SA"/>
      </w:rPr>
    </w:lvl>
    <w:lvl w:ilvl="5">
      <w:start w:val="0"/>
      <w:numFmt w:val="bullet"/>
      <w:lvlText w:val="•"/>
      <w:lvlJc w:val="left"/>
      <w:pPr>
        <w:ind w:left="6503" w:hanging="423"/>
      </w:pPr>
      <w:rPr>
        <w:rFonts w:hint="default"/>
        <w:lang w:val="en-US" w:eastAsia="en-US" w:bidi="ar-SA"/>
      </w:rPr>
    </w:lvl>
    <w:lvl w:ilvl="6">
      <w:start w:val="0"/>
      <w:numFmt w:val="bullet"/>
      <w:lvlText w:val="•"/>
      <w:lvlJc w:val="left"/>
      <w:pPr>
        <w:ind w:left="7379" w:hanging="423"/>
      </w:pPr>
      <w:rPr>
        <w:rFonts w:hint="default"/>
        <w:lang w:val="en-US" w:eastAsia="en-US" w:bidi="ar-SA"/>
      </w:rPr>
    </w:lvl>
    <w:lvl w:ilvl="7">
      <w:start w:val="0"/>
      <w:numFmt w:val="bullet"/>
      <w:lvlText w:val="•"/>
      <w:lvlJc w:val="left"/>
      <w:pPr>
        <w:ind w:left="8256" w:hanging="423"/>
      </w:pPr>
      <w:rPr>
        <w:rFonts w:hint="default"/>
        <w:lang w:val="en-US" w:eastAsia="en-US" w:bidi="ar-SA"/>
      </w:rPr>
    </w:lvl>
    <w:lvl w:ilvl="8">
      <w:start w:val="0"/>
      <w:numFmt w:val="bullet"/>
      <w:lvlText w:val="•"/>
      <w:lvlJc w:val="left"/>
      <w:pPr>
        <w:ind w:left="9133" w:hanging="423"/>
      </w:pPr>
      <w:rPr>
        <w:rFonts w:hint="default"/>
        <w:lang w:val="en-US" w:eastAsia="en-US" w:bidi="ar-SA"/>
      </w:rPr>
    </w:lvl>
  </w:abstractNum>
  <w:abstractNum w:abstractNumId="12">
    <w:nsid w:val="422A17E5"/>
    <w:multiLevelType w:val="hybridMultilevel"/>
    <w:tmpl w:val="B9349E96"/>
    <w:lvl w:ilvl="0">
      <w:start w:val="1"/>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2996" w:hanging="423"/>
      </w:pPr>
      <w:rPr>
        <w:rFonts w:hint="default"/>
        <w:lang w:val="en-US" w:eastAsia="en-US" w:bidi="ar-SA"/>
      </w:rPr>
    </w:lvl>
    <w:lvl w:ilvl="2">
      <w:start w:val="0"/>
      <w:numFmt w:val="bullet"/>
      <w:lvlText w:val="•"/>
      <w:lvlJc w:val="left"/>
      <w:pPr>
        <w:ind w:left="3873" w:hanging="423"/>
      </w:pPr>
      <w:rPr>
        <w:rFonts w:hint="default"/>
        <w:lang w:val="en-US" w:eastAsia="en-US" w:bidi="ar-SA"/>
      </w:rPr>
    </w:lvl>
    <w:lvl w:ilvl="3">
      <w:start w:val="0"/>
      <w:numFmt w:val="bullet"/>
      <w:lvlText w:val="•"/>
      <w:lvlJc w:val="left"/>
      <w:pPr>
        <w:ind w:left="4749" w:hanging="423"/>
      </w:pPr>
      <w:rPr>
        <w:rFonts w:hint="default"/>
        <w:lang w:val="en-US" w:eastAsia="en-US" w:bidi="ar-SA"/>
      </w:rPr>
    </w:lvl>
    <w:lvl w:ilvl="4">
      <w:start w:val="0"/>
      <w:numFmt w:val="bullet"/>
      <w:lvlText w:val="•"/>
      <w:lvlJc w:val="left"/>
      <w:pPr>
        <w:ind w:left="5626" w:hanging="423"/>
      </w:pPr>
      <w:rPr>
        <w:rFonts w:hint="default"/>
        <w:lang w:val="en-US" w:eastAsia="en-US" w:bidi="ar-SA"/>
      </w:rPr>
    </w:lvl>
    <w:lvl w:ilvl="5">
      <w:start w:val="0"/>
      <w:numFmt w:val="bullet"/>
      <w:lvlText w:val="•"/>
      <w:lvlJc w:val="left"/>
      <w:pPr>
        <w:ind w:left="6503" w:hanging="423"/>
      </w:pPr>
      <w:rPr>
        <w:rFonts w:hint="default"/>
        <w:lang w:val="en-US" w:eastAsia="en-US" w:bidi="ar-SA"/>
      </w:rPr>
    </w:lvl>
    <w:lvl w:ilvl="6">
      <w:start w:val="0"/>
      <w:numFmt w:val="bullet"/>
      <w:lvlText w:val="•"/>
      <w:lvlJc w:val="left"/>
      <w:pPr>
        <w:ind w:left="7379" w:hanging="423"/>
      </w:pPr>
      <w:rPr>
        <w:rFonts w:hint="default"/>
        <w:lang w:val="en-US" w:eastAsia="en-US" w:bidi="ar-SA"/>
      </w:rPr>
    </w:lvl>
    <w:lvl w:ilvl="7">
      <w:start w:val="0"/>
      <w:numFmt w:val="bullet"/>
      <w:lvlText w:val="•"/>
      <w:lvlJc w:val="left"/>
      <w:pPr>
        <w:ind w:left="8256" w:hanging="423"/>
      </w:pPr>
      <w:rPr>
        <w:rFonts w:hint="default"/>
        <w:lang w:val="en-US" w:eastAsia="en-US" w:bidi="ar-SA"/>
      </w:rPr>
    </w:lvl>
    <w:lvl w:ilvl="8">
      <w:start w:val="0"/>
      <w:numFmt w:val="bullet"/>
      <w:lvlText w:val="•"/>
      <w:lvlJc w:val="left"/>
      <w:pPr>
        <w:ind w:left="9133" w:hanging="423"/>
      </w:pPr>
      <w:rPr>
        <w:rFonts w:hint="default"/>
        <w:lang w:val="en-US" w:eastAsia="en-US" w:bidi="ar-SA"/>
      </w:rPr>
    </w:lvl>
  </w:abstractNum>
  <w:abstractNum w:abstractNumId="13">
    <w:nsid w:val="43706E06"/>
    <w:multiLevelType w:val="multilevel"/>
    <w:tmpl w:val="5D9220AA"/>
    <w:lvl w:ilvl="0">
      <w:start w:val="10"/>
      <w:numFmt w:val="decimal"/>
      <w:lvlText w:val="%1"/>
      <w:lvlJc w:val="left"/>
      <w:pPr>
        <w:ind w:left="2328" w:hanging="1052"/>
        <w:jc w:val="left"/>
      </w:pPr>
      <w:rPr>
        <w:rFonts w:hint="default"/>
        <w:lang w:val="en-US" w:eastAsia="en-US" w:bidi="ar-SA"/>
      </w:rPr>
    </w:lvl>
    <w:lvl w:ilvl="1">
      <w:start w:val="2"/>
      <w:numFmt w:val="decimal"/>
      <w:lvlText w:val="%1.%2"/>
      <w:lvlJc w:val="left"/>
      <w:pPr>
        <w:ind w:left="2328" w:hanging="1052"/>
        <w:jc w:val="left"/>
      </w:pPr>
      <w:rPr>
        <w:rFonts w:hint="default"/>
        <w:lang w:val="en-US" w:eastAsia="en-US" w:bidi="ar-SA"/>
      </w:rPr>
    </w:lvl>
    <w:lvl w:ilvl="2">
      <w:start w:val="1"/>
      <w:numFmt w:val="decimal"/>
      <w:lvlText w:val="%1.%2.%3"/>
      <w:lvlJc w:val="left"/>
      <w:pPr>
        <w:ind w:left="2328" w:hanging="1052"/>
        <w:jc w:val="left"/>
      </w:pPr>
      <w:rPr>
        <w:rFonts w:hint="default"/>
        <w:lang w:val="en-US" w:eastAsia="en-US" w:bidi="ar-SA"/>
      </w:rPr>
    </w:lvl>
    <w:lvl w:ilvl="3">
      <w:start w:val="1"/>
      <w:numFmt w:val="decimal"/>
      <w:lvlText w:val="%1.%2.%3.%4"/>
      <w:lvlJc w:val="left"/>
      <w:pPr>
        <w:ind w:left="2328" w:hanging="1052"/>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2074" w:hanging="404"/>
        <w:jc w:val="left"/>
      </w:pPr>
      <w:rPr>
        <w:rFonts w:ascii="宋体" w:eastAsia="宋体" w:hAnsi="宋体" w:cs="宋体" w:hint="default"/>
        <w:w w:val="100"/>
        <w:sz w:val="21"/>
        <w:szCs w:val="21"/>
        <w:lang w:val="en-US" w:eastAsia="en-US" w:bidi="ar-SA"/>
      </w:rPr>
    </w:lvl>
    <w:lvl w:ilvl="5">
      <w:start w:val="0"/>
      <w:numFmt w:val="bullet"/>
      <w:lvlText w:val="•"/>
      <w:lvlJc w:val="left"/>
      <w:pPr>
        <w:ind w:left="6127" w:hanging="404"/>
      </w:pPr>
      <w:rPr>
        <w:rFonts w:hint="default"/>
        <w:lang w:val="en-US" w:eastAsia="en-US" w:bidi="ar-SA"/>
      </w:rPr>
    </w:lvl>
    <w:lvl w:ilvl="6">
      <w:start w:val="0"/>
      <w:numFmt w:val="bullet"/>
      <w:lvlText w:val="•"/>
      <w:lvlJc w:val="left"/>
      <w:pPr>
        <w:ind w:left="7079" w:hanging="404"/>
      </w:pPr>
      <w:rPr>
        <w:rFonts w:hint="default"/>
        <w:lang w:val="en-US" w:eastAsia="en-US" w:bidi="ar-SA"/>
      </w:rPr>
    </w:lvl>
    <w:lvl w:ilvl="7">
      <w:start w:val="0"/>
      <w:numFmt w:val="bullet"/>
      <w:lvlText w:val="•"/>
      <w:lvlJc w:val="left"/>
      <w:pPr>
        <w:ind w:left="8030" w:hanging="404"/>
      </w:pPr>
      <w:rPr>
        <w:rFonts w:hint="default"/>
        <w:lang w:val="en-US" w:eastAsia="en-US" w:bidi="ar-SA"/>
      </w:rPr>
    </w:lvl>
    <w:lvl w:ilvl="8">
      <w:start w:val="0"/>
      <w:numFmt w:val="bullet"/>
      <w:lvlText w:val="•"/>
      <w:lvlJc w:val="left"/>
      <w:pPr>
        <w:ind w:left="8982" w:hanging="404"/>
      </w:pPr>
      <w:rPr>
        <w:rFonts w:hint="default"/>
        <w:lang w:val="en-US" w:eastAsia="en-US" w:bidi="ar-SA"/>
      </w:rPr>
    </w:lvl>
  </w:abstractNum>
  <w:abstractNum w:abstractNumId="14">
    <w:nsid w:val="47C47A70"/>
    <w:multiLevelType w:val="hybridMultilevel"/>
    <w:tmpl w:val="FA2E4AE6"/>
    <w:lvl w:ilvl="0">
      <w:start w:val="1"/>
      <w:numFmt w:val="decimal"/>
      <w:lvlText w:val="%1）"/>
      <w:lvlJc w:val="left"/>
      <w:pPr>
        <w:ind w:left="254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3374" w:hanging="423"/>
      </w:pPr>
      <w:rPr>
        <w:rFonts w:hint="default"/>
        <w:lang w:val="en-US" w:eastAsia="en-US" w:bidi="ar-SA"/>
      </w:rPr>
    </w:lvl>
    <w:lvl w:ilvl="2">
      <w:start w:val="0"/>
      <w:numFmt w:val="bullet"/>
      <w:lvlText w:val="•"/>
      <w:lvlJc w:val="left"/>
      <w:pPr>
        <w:ind w:left="4209" w:hanging="423"/>
      </w:pPr>
      <w:rPr>
        <w:rFonts w:hint="default"/>
        <w:lang w:val="en-US" w:eastAsia="en-US" w:bidi="ar-SA"/>
      </w:rPr>
    </w:lvl>
    <w:lvl w:ilvl="3">
      <w:start w:val="0"/>
      <w:numFmt w:val="bullet"/>
      <w:lvlText w:val="•"/>
      <w:lvlJc w:val="left"/>
      <w:pPr>
        <w:ind w:left="5043" w:hanging="423"/>
      </w:pPr>
      <w:rPr>
        <w:rFonts w:hint="default"/>
        <w:lang w:val="en-US" w:eastAsia="en-US" w:bidi="ar-SA"/>
      </w:rPr>
    </w:lvl>
    <w:lvl w:ilvl="4">
      <w:start w:val="0"/>
      <w:numFmt w:val="bullet"/>
      <w:lvlText w:val="•"/>
      <w:lvlJc w:val="left"/>
      <w:pPr>
        <w:ind w:left="5878" w:hanging="423"/>
      </w:pPr>
      <w:rPr>
        <w:rFonts w:hint="default"/>
        <w:lang w:val="en-US" w:eastAsia="en-US" w:bidi="ar-SA"/>
      </w:rPr>
    </w:lvl>
    <w:lvl w:ilvl="5">
      <w:start w:val="0"/>
      <w:numFmt w:val="bullet"/>
      <w:lvlText w:val="•"/>
      <w:lvlJc w:val="left"/>
      <w:pPr>
        <w:ind w:left="6713" w:hanging="423"/>
      </w:pPr>
      <w:rPr>
        <w:rFonts w:hint="default"/>
        <w:lang w:val="en-US" w:eastAsia="en-US" w:bidi="ar-SA"/>
      </w:rPr>
    </w:lvl>
    <w:lvl w:ilvl="6">
      <w:start w:val="0"/>
      <w:numFmt w:val="bullet"/>
      <w:lvlText w:val="•"/>
      <w:lvlJc w:val="left"/>
      <w:pPr>
        <w:ind w:left="7547" w:hanging="423"/>
      </w:pPr>
      <w:rPr>
        <w:rFonts w:hint="default"/>
        <w:lang w:val="en-US" w:eastAsia="en-US" w:bidi="ar-SA"/>
      </w:rPr>
    </w:lvl>
    <w:lvl w:ilvl="7">
      <w:start w:val="0"/>
      <w:numFmt w:val="bullet"/>
      <w:lvlText w:val="•"/>
      <w:lvlJc w:val="left"/>
      <w:pPr>
        <w:ind w:left="8382" w:hanging="423"/>
      </w:pPr>
      <w:rPr>
        <w:rFonts w:hint="default"/>
        <w:lang w:val="en-US" w:eastAsia="en-US" w:bidi="ar-SA"/>
      </w:rPr>
    </w:lvl>
    <w:lvl w:ilvl="8">
      <w:start w:val="0"/>
      <w:numFmt w:val="bullet"/>
      <w:lvlText w:val="•"/>
      <w:lvlJc w:val="left"/>
      <w:pPr>
        <w:ind w:left="9217" w:hanging="423"/>
      </w:pPr>
      <w:rPr>
        <w:rFonts w:hint="default"/>
        <w:lang w:val="en-US" w:eastAsia="en-US" w:bidi="ar-SA"/>
      </w:rPr>
    </w:lvl>
  </w:abstractNum>
  <w:abstractNum w:abstractNumId="15">
    <w:nsid w:val="49CE2DB9"/>
    <w:multiLevelType w:val="hybridMultilevel"/>
    <w:tmpl w:val="A59830AE"/>
    <w:lvl w:ilvl="0">
      <w:start w:val="1"/>
      <w:numFmt w:val="decimal"/>
      <w:lvlText w:val="%1）"/>
      <w:lvlJc w:val="left"/>
      <w:pPr>
        <w:ind w:left="2539" w:hanging="420"/>
        <w:jc w:val="left"/>
      </w:pPr>
      <w:rPr>
        <w:rFonts w:ascii="宋体" w:eastAsia="宋体" w:hAnsi="宋体" w:cs="宋体" w:hint="default"/>
        <w:spacing w:val="-3"/>
        <w:w w:val="100"/>
        <w:sz w:val="21"/>
        <w:szCs w:val="21"/>
        <w:lang w:val="en-US" w:eastAsia="en-US" w:bidi="ar-SA"/>
      </w:rPr>
    </w:lvl>
    <w:lvl w:ilvl="1">
      <w:start w:val="0"/>
      <w:numFmt w:val="bullet"/>
      <w:lvlText w:val="•"/>
      <w:lvlJc w:val="left"/>
      <w:pPr>
        <w:ind w:left="3374" w:hanging="420"/>
      </w:pPr>
      <w:rPr>
        <w:rFonts w:hint="default"/>
        <w:lang w:val="en-US" w:eastAsia="en-US" w:bidi="ar-SA"/>
      </w:rPr>
    </w:lvl>
    <w:lvl w:ilvl="2">
      <w:start w:val="0"/>
      <w:numFmt w:val="bullet"/>
      <w:lvlText w:val="•"/>
      <w:lvlJc w:val="left"/>
      <w:pPr>
        <w:ind w:left="4209" w:hanging="420"/>
      </w:pPr>
      <w:rPr>
        <w:rFonts w:hint="default"/>
        <w:lang w:val="en-US" w:eastAsia="en-US" w:bidi="ar-SA"/>
      </w:rPr>
    </w:lvl>
    <w:lvl w:ilvl="3">
      <w:start w:val="0"/>
      <w:numFmt w:val="bullet"/>
      <w:lvlText w:val="•"/>
      <w:lvlJc w:val="left"/>
      <w:pPr>
        <w:ind w:left="5043" w:hanging="420"/>
      </w:pPr>
      <w:rPr>
        <w:rFonts w:hint="default"/>
        <w:lang w:val="en-US" w:eastAsia="en-US" w:bidi="ar-SA"/>
      </w:rPr>
    </w:lvl>
    <w:lvl w:ilvl="4">
      <w:start w:val="0"/>
      <w:numFmt w:val="bullet"/>
      <w:lvlText w:val="•"/>
      <w:lvlJc w:val="left"/>
      <w:pPr>
        <w:ind w:left="5878" w:hanging="420"/>
      </w:pPr>
      <w:rPr>
        <w:rFonts w:hint="default"/>
        <w:lang w:val="en-US" w:eastAsia="en-US" w:bidi="ar-SA"/>
      </w:rPr>
    </w:lvl>
    <w:lvl w:ilvl="5">
      <w:start w:val="0"/>
      <w:numFmt w:val="bullet"/>
      <w:lvlText w:val="•"/>
      <w:lvlJc w:val="left"/>
      <w:pPr>
        <w:ind w:left="6713" w:hanging="420"/>
      </w:pPr>
      <w:rPr>
        <w:rFonts w:hint="default"/>
        <w:lang w:val="en-US" w:eastAsia="en-US" w:bidi="ar-SA"/>
      </w:rPr>
    </w:lvl>
    <w:lvl w:ilvl="6">
      <w:start w:val="0"/>
      <w:numFmt w:val="bullet"/>
      <w:lvlText w:val="•"/>
      <w:lvlJc w:val="left"/>
      <w:pPr>
        <w:ind w:left="7547" w:hanging="420"/>
      </w:pPr>
      <w:rPr>
        <w:rFonts w:hint="default"/>
        <w:lang w:val="en-US" w:eastAsia="en-US" w:bidi="ar-SA"/>
      </w:rPr>
    </w:lvl>
    <w:lvl w:ilvl="7">
      <w:start w:val="0"/>
      <w:numFmt w:val="bullet"/>
      <w:lvlText w:val="•"/>
      <w:lvlJc w:val="left"/>
      <w:pPr>
        <w:ind w:left="8382" w:hanging="420"/>
      </w:pPr>
      <w:rPr>
        <w:rFonts w:hint="default"/>
        <w:lang w:val="en-US" w:eastAsia="en-US" w:bidi="ar-SA"/>
      </w:rPr>
    </w:lvl>
    <w:lvl w:ilvl="8">
      <w:start w:val="0"/>
      <w:numFmt w:val="bullet"/>
      <w:lvlText w:val="•"/>
      <w:lvlJc w:val="left"/>
      <w:pPr>
        <w:ind w:left="9217" w:hanging="420"/>
      </w:pPr>
      <w:rPr>
        <w:rFonts w:hint="default"/>
        <w:lang w:val="en-US" w:eastAsia="en-US" w:bidi="ar-SA"/>
      </w:rPr>
    </w:lvl>
  </w:abstractNum>
  <w:abstractNum w:abstractNumId="16">
    <w:nsid w:val="52D02C12"/>
    <w:multiLevelType w:val="hybridMultilevel"/>
    <w:tmpl w:val="EB8E4E20"/>
    <w:lvl w:ilvl="0">
      <w:start w:val="1"/>
      <w:numFmt w:val="lowerLetter"/>
      <w:lvlText w:val="%1）"/>
      <w:lvlJc w:val="left"/>
      <w:pPr>
        <w:ind w:left="2102" w:hanging="399"/>
        <w:jc w:val="left"/>
      </w:pPr>
      <w:rPr>
        <w:rFonts w:ascii="宋体" w:eastAsia="宋体" w:hAnsi="宋体" w:cs="宋体" w:hint="default"/>
        <w:w w:val="100"/>
        <w:sz w:val="21"/>
        <w:szCs w:val="21"/>
        <w:lang w:val="en-US" w:eastAsia="en-US" w:bidi="ar-SA"/>
      </w:rPr>
    </w:lvl>
    <w:lvl w:ilvl="1">
      <w:start w:val="0"/>
      <w:numFmt w:val="bullet"/>
      <w:lvlText w:val="•"/>
      <w:lvlJc w:val="left"/>
      <w:pPr>
        <w:ind w:left="2978" w:hanging="399"/>
      </w:pPr>
      <w:rPr>
        <w:rFonts w:hint="default"/>
        <w:lang w:val="en-US" w:eastAsia="en-US" w:bidi="ar-SA"/>
      </w:rPr>
    </w:lvl>
    <w:lvl w:ilvl="2">
      <w:start w:val="0"/>
      <w:numFmt w:val="bullet"/>
      <w:lvlText w:val="•"/>
      <w:lvlJc w:val="left"/>
      <w:pPr>
        <w:ind w:left="3857" w:hanging="399"/>
      </w:pPr>
      <w:rPr>
        <w:rFonts w:hint="default"/>
        <w:lang w:val="en-US" w:eastAsia="en-US" w:bidi="ar-SA"/>
      </w:rPr>
    </w:lvl>
    <w:lvl w:ilvl="3">
      <w:start w:val="0"/>
      <w:numFmt w:val="bullet"/>
      <w:lvlText w:val="•"/>
      <w:lvlJc w:val="left"/>
      <w:pPr>
        <w:ind w:left="4735" w:hanging="399"/>
      </w:pPr>
      <w:rPr>
        <w:rFonts w:hint="default"/>
        <w:lang w:val="en-US" w:eastAsia="en-US" w:bidi="ar-SA"/>
      </w:rPr>
    </w:lvl>
    <w:lvl w:ilvl="4">
      <w:start w:val="0"/>
      <w:numFmt w:val="bullet"/>
      <w:lvlText w:val="•"/>
      <w:lvlJc w:val="left"/>
      <w:pPr>
        <w:ind w:left="5614" w:hanging="399"/>
      </w:pPr>
      <w:rPr>
        <w:rFonts w:hint="default"/>
        <w:lang w:val="en-US" w:eastAsia="en-US" w:bidi="ar-SA"/>
      </w:rPr>
    </w:lvl>
    <w:lvl w:ilvl="5">
      <w:start w:val="0"/>
      <w:numFmt w:val="bullet"/>
      <w:lvlText w:val="•"/>
      <w:lvlJc w:val="left"/>
      <w:pPr>
        <w:ind w:left="6493" w:hanging="399"/>
      </w:pPr>
      <w:rPr>
        <w:rFonts w:hint="default"/>
        <w:lang w:val="en-US" w:eastAsia="en-US" w:bidi="ar-SA"/>
      </w:rPr>
    </w:lvl>
    <w:lvl w:ilvl="6">
      <w:start w:val="0"/>
      <w:numFmt w:val="bullet"/>
      <w:lvlText w:val="•"/>
      <w:lvlJc w:val="left"/>
      <w:pPr>
        <w:ind w:left="7371" w:hanging="399"/>
      </w:pPr>
      <w:rPr>
        <w:rFonts w:hint="default"/>
        <w:lang w:val="en-US" w:eastAsia="en-US" w:bidi="ar-SA"/>
      </w:rPr>
    </w:lvl>
    <w:lvl w:ilvl="7">
      <w:start w:val="0"/>
      <w:numFmt w:val="bullet"/>
      <w:lvlText w:val="•"/>
      <w:lvlJc w:val="left"/>
      <w:pPr>
        <w:ind w:left="8250" w:hanging="399"/>
      </w:pPr>
      <w:rPr>
        <w:rFonts w:hint="default"/>
        <w:lang w:val="en-US" w:eastAsia="en-US" w:bidi="ar-SA"/>
      </w:rPr>
    </w:lvl>
    <w:lvl w:ilvl="8">
      <w:start w:val="0"/>
      <w:numFmt w:val="bullet"/>
      <w:lvlText w:val="•"/>
      <w:lvlJc w:val="left"/>
      <w:pPr>
        <w:ind w:left="9129" w:hanging="399"/>
      </w:pPr>
      <w:rPr>
        <w:rFonts w:hint="default"/>
        <w:lang w:val="en-US" w:eastAsia="en-US" w:bidi="ar-SA"/>
      </w:rPr>
    </w:lvl>
  </w:abstractNum>
  <w:abstractNum w:abstractNumId="17">
    <w:nsid w:val="53122774"/>
    <w:multiLevelType w:val="hybridMultilevel"/>
    <w:tmpl w:val="905EE812"/>
    <w:lvl w:ilvl="0">
      <w:start w:val="2"/>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1"/>
      <w:numFmt w:val="decimal"/>
      <w:lvlText w:val="%2）"/>
      <w:lvlJc w:val="left"/>
      <w:pPr>
        <w:ind w:left="2522" w:hanging="396"/>
        <w:jc w:val="left"/>
      </w:pPr>
      <w:rPr>
        <w:rFonts w:ascii="宋体" w:eastAsia="宋体" w:hAnsi="宋体" w:cs="宋体" w:hint="default"/>
        <w:spacing w:val="-3"/>
        <w:w w:val="100"/>
        <w:sz w:val="21"/>
        <w:szCs w:val="21"/>
        <w:lang w:val="en-US" w:eastAsia="en-US" w:bidi="ar-SA"/>
      </w:rPr>
    </w:lvl>
    <w:lvl w:ilvl="2">
      <w:start w:val="0"/>
      <w:numFmt w:val="bullet"/>
      <w:lvlText w:val="•"/>
      <w:lvlJc w:val="left"/>
      <w:pPr>
        <w:ind w:left="3449" w:hanging="396"/>
      </w:pPr>
      <w:rPr>
        <w:rFonts w:hint="default"/>
        <w:lang w:val="en-US" w:eastAsia="en-US" w:bidi="ar-SA"/>
      </w:rPr>
    </w:lvl>
    <w:lvl w:ilvl="3">
      <w:start w:val="0"/>
      <w:numFmt w:val="bullet"/>
      <w:lvlText w:val="•"/>
      <w:lvlJc w:val="left"/>
      <w:pPr>
        <w:ind w:left="4379" w:hanging="396"/>
      </w:pPr>
      <w:rPr>
        <w:rFonts w:hint="default"/>
        <w:lang w:val="en-US" w:eastAsia="en-US" w:bidi="ar-SA"/>
      </w:rPr>
    </w:lvl>
    <w:lvl w:ilvl="4">
      <w:start w:val="0"/>
      <w:numFmt w:val="bullet"/>
      <w:lvlText w:val="•"/>
      <w:lvlJc w:val="left"/>
      <w:pPr>
        <w:ind w:left="5308" w:hanging="396"/>
      </w:pPr>
      <w:rPr>
        <w:rFonts w:hint="default"/>
        <w:lang w:val="en-US" w:eastAsia="en-US" w:bidi="ar-SA"/>
      </w:rPr>
    </w:lvl>
    <w:lvl w:ilvl="5">
      <w:start w:val="0"/>
      <w:numFmt w:val="bullet"/>
      <w:lvlText w:val="•"/>
      <w:lvlJc w:val="left"/>
      <w:pPr>
        <w:ind w:left="6238" w:hanging="396"/>
      </w:pPr>
      <w:rPr>
        <w:rFonts w:hint="default"/>
        <w:lang w:val="en-US" w:eastAsia="en-US" w:bidi="ar-SA"/>
      </w:rPr>
    </w:lvl>
    <w:lvl w:ilvl="6">
      <w:start w:val="0"/>
      <w:numFmt w:val="bullet"/>
      <w:lvlText w:val="•"/>
      <w:lvlJc w:val="left"/>
      <w:pPr>
        <w:ind w:left="7168" w:hanging="396"/>
      </w:pPr>
      <w:rPr>
        <w:rFonts w:hint="default"/>
        <w:lang w:val="en-US" w:eastAsia="en-US" w:bidi="ar-SA"/>
      </w:rPr>
    </w:lvl>
    <w:lvl w:ilvl="7">
      <w:start w:val="0"/>
      <w:numFmt w:val="bullet"/>
      <w:lvlText w:val="•"/>
      <w:lvlJc w:val="left"/>
      <w:pPr>
        <w:ind w:left="8097" w:hanging="396"/>
      </w:pPr>
      <w:rPr>
        <w:rFonts w:hint="default"/>
        <w:lang w:val="en-US" w:eastAsia="en-US" w:bidi="ar-SA"/>
      </w:rPr>
    </w:lvl>
    <w:lvl w:ilvl="8">
      <w:start w:val="0"/>
      <w:numFmt w:val="bullet"/>
      <w:lvlText w:val="•"/>
      <w:lvlJc w:val="left"/>
      <w:pPr>
        <w:ind w:left="9027" w:hanging="396"/>
      </w:pPr>
      <w:rPr>
        <w:rFonts w:hint="default"/>
        <w:lang w:val="en-US" w:eastAsia="en-US" w:bidi="ar-SA"/>
      </w:rPr>
    </w:lvl>
  </w:abstractNum>
  <w:abstractNum w:abstractNumId="18">
    <w:nsid w:val="565001BD"/>
    <w:multiLevelType w:val="multilevel"/>
    <w:tmpl w:val="659A2B42"/>
    <w:lvl w:ilvl="0">
      <w:start w:val="8"/>
      <w:numFmt w:val="decimal"/>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1"/>
      <w:numFmt w:val="lowerLetter"/>
      <w:lvlText w:val="%4）"/>
      <w:lvlJc w:val="left"/>
      <w:pPr>
        <w:ind w:left="2117" w:hanging="423"/>
        <w:jc w:val="left"/>
      </w:pPr>
      <w:rPr>
        <w:rFonts w:ascii="宋体" w:eastAsia="宋体" w:hAnsi="宋体" w:cs="宋体" w:hint="default"/>
        <w:w w:val="100"/>
        <w:sz w:val="21"/>
        <w:szCs w:val="21"/>
        <w:lang w:val="en-US" w:eastAsia="en-US" w:bidi="ar-SA"/>
      </w:rPr>
    </w:lvl>
    <w:lvl w:ilvl="4">
      <w:start w:val="0"/>
      <w:numFmt w:val="bullet"/>
      <w:lvlText w:val="•"/>
      <w:lvlJc w:val="left"/>
      <w:pPr>
        <w:ind w:left="3372" w:hanging="423"/>
      </w:pPr>
      <w:rPr>
        <w:rFonts w:hint="default"/>
        <w:lang w:val="en-US" w:eastAsia="en-US" w:bidi="ar-SA"/>
      </w:rPr>
    </w:lvl>
    <w:lvl w:ilvl="5">
      <w:start w:val="0"/>
      <w:numFmt w:val="bullet"/>
      <w:lvlText w:val="•"/>
      <w:lvlJc w:val="left"/>
      <w:pPr>
        <w:ind w:left="4624" w:hanging="423"/>
      </w:pPr>
      <w:rPr>
        <w:rFonts w:hint="default"/>
        <w:lang w:val="en-US" w:eastAsia="en-US" w:bidi="ar-SA"/>
      </w:rPr>
    </w:lvl>
    <w:lvl w:ilvl="6">
      <w:start w:val="0"/>
      <w:numFmt w:val="bullet"/>
      <w:lvlText w:val="•"/>
      <w:lvlJc w:val="left"/>
      <w:pPr>
        <w:ind w:left="5877" w:hanging="423"/>
      </w:pPr>
      <w:rPr>
        <w:rFonts w:hint="default"/>
        <w:lang w:val="en-US" w:eastAsia="en-US" w:bidi="ar-SA"/>
      </w:rPr>
    </w:lvl>
    <w:lvl w:ilvl="7">
      <w:start w:val="0"/>
      <w:numFmt w:val="bullet"/>
      <w:lvlText w:val="•"/>
      <w:lvlJc w:val="left"/>
      <w:pPr>
        <w:ind w:left="7129" w:hanging="423"/>
      </w:pPr>
      <w:rPr>
        <w:rFonts w:hint="default"/>
        <w:lang w:val="en-US" w:eastAsia="en-US" w:bidi="ar-SA"/>
      </w:rPr>
    </w:lvl>
    <w:lvl w:ilvl="8">
      <w:start w:val="0"/>
      <w:numFmt w:val="bullet"/>
      <w:lvlText w:val="•"/>
      <w:lvlJc w:val="left"/>
      <w:pPr>
        <w:ind w:left="8381" w:hanging="423"/>
      </w:pPr>
      <w:rPr>
        <w:rFonts w:hint="default"/>
        <w:lang w:val="en-US" w:eastAsia="en-US" w:bidi="ar-SA"/>
      </w:rPr>
    </w:lvl>
  </w:abstractNum>
  <w:abstractNum w:abstractNumId="19">
    <w:nsid w:val="57A35ABE"/>
    <w:multiLevelType w:val="multilevel"/>
    <w:tmpl w:val="C90EBE88"/>
    <w:lvl w:ilvl="0">
      <w:start w:val="9"/>
      <w:numFmt w:val="decimal"/>
      <w:lvlText w:val="%1"/>
      <w:lvlJc w:val="left"/>
      <w:pPr>
        <w:ind w:left="1802" w:hanging="526"/>
        <w:jc w:val="left"/>
      </w:pPr>
      <w:rPr>
        <w:rFonts w:hint="default"/>
        <w:lang w:val="en-US" w:eastAsia="en-US" w:bidi="ar-SA"/>
      </w:rPr>
    </w:lvl>
    <w:lvl w:ilvl="1">
      <w:start w:val="1"/>
      <w:numFmt w:val="decimal"/>
      <w:lvlText w:val="%1.%2"/>
      <w:lvlJc w:val="left"/>
      <w:pPr>
        <w:ind w:left="18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2014" w:hanging="737"/>
        <w:jc w:val="left"/>
      </w:pPr>
      <w:rPr>
        <w:rFonts w:ascii="黑体" w:eastAsia="黑体" w:hAnsi="黑体" w:cs="黑体" w:hint="default"/>
        <w:w w:val="100"/>
        <w:sz w:val="21"/>
        <w:szCs w:val="21"/>
        <w:lang w:val="en-US" w:eastAsia="en-US" w:bidi="ar-SA"/>
      </w:rPr>
    </w:lvl>
    <w:lvl w:ilvl="3">
      <w:start w:val="0"/>
      <w:numFmt w:val="bullet"/>
      <w:lvlText w:val="•"/>
      <w:lvlJc w:val="left"/>
      <w:pPr>
        <w:ind w:left="3990" w:hanging="737"/>
      </w:pPr>
      <w:rPr>
        <w:rFonts w:hint="default"/>
        <w:lang w:val="en-US" w:eastAsia="en-US" w:bidi="ar-SA"/>
      </w:rPr>
    </w:lvl>
    <w:lvl w:ilvl="4">
      <w:start w:val="0"/>
      <w:numFmt w:val="bullet"/>
      <w:lvlText w:val="•"/>
      <w:lvlJc w:val="left"/>
      <w:pPr>
        <w:ind w:left="4975" w:hanging="737"/>
      </w:pPr>
      <w:rPr>
        <w:rFonts w:hint="default"/>
        <w:lang w:val="en-US" w:eastAsia="en-US" w:bidi="ar-SA"/>
      </w:rPr>
    </w:lvl>
    <w:lvl w:ilvl="5">
      <w:start w:val="0"/>
      <w:numFmt w:val="bullet"/>
      <w:lvlText w:val="•"/>
      <w:lvlJc w:val="left"/>
      <w:pPr>
        <w:ind w:left="5960" w:hanging="737"/>
      </w:pPr>
      <w:rPr>
        <w:rFonts w:hint="default"/>
        <w:lang w:val="en-US" w:eastAsia="en-US" w:bidi="ar-SA"/>
      </w:rPr>
    </w:lvl>
    <w:lvl w:ilvl="6">
      <w:start w:val="0"/>
      <w:numFmt w:val="bullet"/>
      <w:lvlText w:val="•"/>
      <w:lvlJc w:val="left"/>
      <w:pPr>
        <w:ind w:left="6945" w:hanging="737"/>
      </w:pPr>
      <w:rPr>
        <w:rFonts w:hint="default"/>
        <w:lang w:val="en-US" w:eastAsia="en-US" w:bidi="ar-SA"/>
      </w:rPr>
    </w:lvl>
    <w:lvl w:ilvl="7">
      <w:start w:val="0"/>
      <w:numFmt w:val="bullet"/>
      <w:lvlText w:val="•"/>
      <w:lvlJc w:val="left"/>
      <w:pPr>
        <w:ind w:left="7930" w:hanging="737"/>
      </w:pPr>
      <w:rPr>
        <w:rFonts w:hint="default"/>
        <w:lang w:val="en-US" w:eastAsia="en-US" w:bidi="ar-SA"/>
      </w:rPr>
    </w:lvl>
    <w:lvl w:ilvl="8">
      <w:start w:val="0"/>
      <w:numFmt w:val="bullet"/>
      <w:lvlText w:val="•"/>
      <w:lvlJc w:val="left"/>
      <w:pPr>
        <w:ind w:left="8916" w:hanging="737"/>
      </w:pPr>
      <w:rPr>
        <w:rFonts w:hint="default"/>
        <w:lang w:val="en-US" w:eastAsia="en-US" w:bidi="ar-SA"/>
      </w:rPr>
    </w:lvl>
  </w:abstractNum>
  <w:abstractNum w:abstractNumId="20">
    <w:nsid w:val="5D8E544E"/>
    <w:multiLevelType w:val="multilevel"/>
    <w:tmpl w:val="0B9A8D2A"/>
    <w:lvl w:ilvl="0">
      <w:start w:val="12"/>
      <w:numFmt w:val="decimal"/>
      <w:lvlText w:val="%1"/>
      <w:lvlJc w:val="left"/>
      <w:pPr>
        <w:ind w:left="1277" w:hanging="632"/>
        <w:jc w:val="left"/>
      </w:pPr>
      <w:rPr>
        <w:rFonts w:hint="default"/>
        <w:lang w:val="en-US" w:eastAsia="en-US" w:bidi="ar-SA"/>
      </w:rPr>
    </w:lvl>
    <w:lvl w:ilvl="1">
      <w:start w:val="1"/>
      <w:numFmt w:val="decimal"/>
      <w:lvlText w:val="%1.%2"/>
      <w:lvlJc w:val="left"/>
      <w:pPr>
        <w:ind w:left="1277" w:hanging="632"/>
        <w:jc w:val="left"/>
      </w:pPr>
      <w:rPr>
        <w:rFonts w:ascii="黑体" w:eastAsia="黑体" w:hAnsi="黑体" w:cs="黑体" w:hint="default"/>
        <w:w w:val="100"/>
        <w:sz w:val="21"/>
        <w:szCs w:val="21"/>
        <w:lang w:val="en-US" w:eastAsia="en-US" w:bidi="ar-SA"/>
      </w:rPr>
    </w:lvl>
    <w:lvl w:ilvl="2">
      <w:start w:val="0"/>
      <w:numFmt w:val="bullet"/>
      <w:lvlText w:val="•"/>
      <w:lvlJc w:val="left"/>
      <w:pPr>
        <w:ind w:left="3201" w:hanging="632"/>
      </w:pPr>
      <w:rPr>
        <w:rFonts w:hint="default"/>
        <w:lang w:val="en-US" w:eastAsia="en-US" w:bidi="ar-SA"/>
      </w:rPr>
    </w:lvl>
    <w:lvl w:ilvl="3">
      <w:start w:val="0"/>
      <w:numFmt w:val="bullet"/>
      <w:lvlText w:val="•"/>
      <w:lvlJc w:val="left"/>
      <w:pPr>
        <w:ind w:left="4161" w:hanging="632"/>
      </w:pPr>
      <w:rPr>
        <w:rFonts w:hint="default"/>
        <w:lang w:val="en-US" w:eastAsia="en-US" w:bidi="ar-SA"/>
      </w:rPr>
    </w:lvl>
    <w:lvl w:ilvl="4">
      <w:start w:val="0"/>
      <w:numFmt w:val="bullet"/>
      <w:lvlText w:val="•"/>
      <w:lvlJc w:val="left"/>
      <w:pPr>
        <w:ind w:left="5122" w:hanging="632"/>
      </w:pPr>
      <w:rPr>
        <w:rFonts w:hint="default"/>
        <w:lang w:val="en-US" w:eastAsia="en-US" w:bidi="ar-SA"/>
      </w:rPr>
    </w:lvl>
    <w:lvl w:ilvl="5">
      <w:start w:val="0"/>
      <w:numFmt w:val="bullet"/>
      <w:lvlText w:val="•"/>
      <w:lvlJc w:val="left"/>
      <w:pPr>
        <w:ind w:left="6083" w:hanging="632"/>
      </w:pPr>
      <w:rPr>
        <w:rFonts w:hint="default"/>
        <w:lang w:val="en-US" w:eastAsia="en-US" w:bidi="ar-SA"/>
      </w:rPr>
    </w:lvl>
    <w:lvl w:ilvl="6">
      <w:start w:val="0"/>
      <w:numFmt w:val="bullet"/>
      <w:lvlText w:val="•"/>
      <w:lvlJc w:val="left"/>
      <w:pPr>
        <w:ind w:left="7043" w:hanging="632"/>
      </w:pPr>
      <w:rPr>
        <w:rFonts w:hint="default"/>
        <w:lang w:val="en-US" w:eastAsia="en-US" w:bidi="ar-SA"/>
      </w:rPr>
    </w:lvl>
    <w:lvl w:ilvl="7">
      <w:start w:val="0"/>
      <w:numFmt w:val="bullet"/>
      <w:lvlText w:val="•"/>
      <w:lvlJc w:val="left"/>
      <w:pPr>
        <w:ind w:left="8004" w:hanging="632"/>
      </w:pPr>
      <w:rPr>
        <w:rFonts w:hint="default"/>
        <w:lang w:val="en-US" w:eastAsia="en-US" w:bidi="ar-SA"/>
      </w:rPr>
    </w:lvl>
    <w:lvl w:ilvl="8">
      <w:start w:val="0"/>
      <w:numFmt w:val="bullet"/>
      <w:lvlText w:val="•"/>
      <w:lvlJc w:val="left"/>
      <w:pPr>
        <w:ind w:left="8965" w:hanging="632"/>
      </w:pPr>
      <w:rPr>
        <w:rFonts w:hint="default"/>
        <w:lang w:val="en-US" w:eastAsia="en-US" w:bidi="ar-SA"/>
      </w:rPr>
    </w:lvl>
  </w:abstractNum>
  <w:abstractNum w:abstractNumId="21">
    <w:nsid w:val="724C1F38"/>
    <w:multiLevelType w:val="hybridMultilevel"/>
    <w:tmpl w:val="DB90E434"/>
    <w:lvl w:ilvl="0">
      <w:start w:val="3"/>
      <w:numFmt w:val="lowerLetter"/>
      <w:lvlText w:val="%1）"/>
      <w:lvlJc w:val="left"/>
      <w:pPr>
        <w:ind w:left="2119" w:hanging="423"/>
        <w:jc w:val="left"/>
      </w:pPr>
      <w:rPr>
        <w:rFonts w:ascii="宋体" w:eastAsia="宋体" w:hAnsi="宋体" w:cs="宋体" w:hint="default"/>
        <w:w w:val="100"/>
        <w:sz w:val="21"/>
        <w:szCs w:val="21"/>
        <w:lang w:val="en-US" w:eastAsia="en-US" w:bidi="ar-SA"/>
      </w:rPr>
    </w:lvl>
    <w:lvl w:ilvl="1">
      <w:start w:val="0"/>
      <w:numFmt w:val="bullet"/>
      <w:lvlText w:val="•"/>
      <w:lvlJc w:val="left"/>
      <w:pPr>
        <w:ind w:left="2996" w:hanging="423"/>
      </w:pPr>
      <w:rPr>
        <w:rFonts w:hint="default"/>
        <w:lang w:val="en-US" w:eastAsia="en-US" w:bidi="ar-SA"/>
      </w:rPr>
    </w:lvl>
    <w:lvl w:ilvl="2">
      <w:start w:val="0"/>
      <w:numFmt w:val="bullet"/>
      <w:lvlText w:val="•"/>
      <w:lvlJc w:val="left"/>
      <w:pPr>
        <w:ind w:left="3873" w:hanging="423"/>
      </w:pPr>
      <w:rPr>
        <w:rFonts w:hint="default"/>
        <w:lang w:val="en-US" w:eastAsia="en-US" w:bidi="ar-SA"/>
      </w:rPr>
    </w:lvl>
    <w:lvl w:ilvl="3">
      <w:start w:val="0"/>
      <w:numFmt w:val="bullet"/>
      <w:lvlText w:val="•"/>
      <w:lvlJc w:val="left"/>
      <w:pPr>
        <w:ind w:left="4749" w:hanging="423"/>
      </w:pPr>
      <w:rPr>
        <w:rFonts w:hint="default"/>
        <w:lang w:val="en-US" w:eastAsia="en-US" w:bidi="ar-SA"/>
      </w:rPr>
    </w:lvl>
    <w:lvl w:ilvl="4">
      <w:start w:val="0"/>
      <w:numFmt w:val="bullet"/>
      <w:lvlText w:val="•"/>
      <w:lvlJc w:val="left"/>
      <w:pPr>
        <w:ind w:left="5626" w:hanging="423"/>
      </w:pPr>
      <w:rPr>
        <w:rFonts w:hint="default"/>
        <w:lang w:val="en-US" w:eastAsia="en-US" w:bidi="ar-SA"/>
      </w:rPr>
    </w:lvl>
    <w:lvl w:ilvl="5">
      <w:start w:val="0"/>
      <w:numFmt w:val="bullet"/>
      <w:lvlText w:val="•"/>
      <w:lvlJc w:val="left"/>
      <w:pPr>
        <w:ind w:left="6503" w:hanging="423"/>
      </w:pPr>
      <w:rPr>
        <w:rFonts w:hint="default"/>
        <w:lang w:val="en-US" w:eastAsia="en-US" w:bidi="ar-SA"/>
      </w:rPr>
    </w:lvl>
    <w:lvl w:ilvl="6">
      <w:start w:val="0"/>
      <w:numFmt w:val="bullet"/>
      <w:lvlText w:val="•"/>
      <w:lvlJc w:val="left"/>
      <w:pPr>
        <w:ind w:left="7379" w:hanging="423"/>
      </w:pPr>
      <w:rPr>
        <w:rFonts w:hint="default"/>
        <w:lang w:val="en-US" w:eastAsia="en-US" w:bidi="ar-SA"/>
      </w:rPr>
    </w:lvl>
    <w:lvl w:ilvl="7">
      <w:start w:val="0"/>
      <w:numFmt w:val="bullet"/>
      <w:lvlText w:val="•"/>
      <w:lvlJc w:val="left"/>
      <w:pPr>
        <w:ind w:left="8256" w:hanging="423"/>
      </w:pPr>
      <w:rPr>
        <w:rFonts w:hint="default"/>
        <w:lang w:val="en-US" w:eastAsia="en-US" w:bidi="ar-SA"/>
      </w:rPr>
    </w:lvl>
    <w:lvl w:ilvl="8">
      <w:start w:val="0"/>
      <w:numFmt w:val="bullet"/>
      <w:lvlText w:val="•"/>
      <w:lvlJc w:val="left"/>
      <w:pPr>
        <w:ind w:left="9133" w:hanging="423"/>
      </w:pPr>
      <w:rPr>
        <w:rFonts w:hint="default"/>
        <w:lang w:val="en-US" w:eastAsia="en-US" w:bidi="ar-SA"/>
      </w:rPr>
    </w:lvl>
  </w:abstractNum>
  <w:abstractNum w:abstractNumId="22">
    <w:nsid w:val="74B34F7D"/>
    <w:multiLevelType w:val="hybridMultilevel"/>
    <w:tmpl w:val="7680A28C"/>
    <w:lvl w:ilvl="0">
      <w:start w:val="1"/>
      <w:numFmt w:val="lowerLetter"/>
      <w:lvlText w:val="%1）"/>
      <w:lvlJc w:val="left"/>
      <w:pPr>
        <w:ind w:left="2102" w:hanging="396"/>
        <w:jc w:val="left"/>
      </w:pPr>
      <w:rPr>
        <w:rFonts w:ascii="宋体" w:eastAsia="宋体" w:hAnsi="宋体" w:cs="宋体" w:hint="default"/>
        <w:w w:val="100"/>
        <w:sz w:val="21"/>
        <w:szCs w:val="21"/>
        <w:lang w:val="en-US" w:eastAsia="en-US" w:bidi="ar-SA"/>
      </w:rPr>
    </w:lvl>
    <w:lvl w:ilvl="1">
      <w:start w:val="0"/>
      <w:numFmt w:val="bullet"/>
      <w:lvlText w:val="•"/>
      <w:lvlJc w:val="left"/>
      <w:pPr>
        <w:ind w:left="2978" w:hanging="396"/>
      </w:pPr>
      <w:rPr>
        <w:rFonts w:hint="default"/>
        <w:lang w:val="en-US" w:eastAsia="en-US" w:bidi="ar-SA"/>
      </w:rPr>
    </w:lvl>
    <w:lvl w:ilvl="2">
      <w:start w:val="0"/>
      <w:numFmt w:val="bullet"/>
      <w:lvlText w:val="•"/>
      <w:lvlJc w:val="left"/>
      <w:pPr>
        <w:ind w:left="3857" w:hanging="396"/>
      </w:pPr>
      <w:rPr>
        <w:rFonts w:hint="default"/>
        <w:lang w:val="en-US" w:eastAsia="en-US" w:bidi="ar-SA"/>
      </w:rPr>
    </w:lvl>
    <w:lvl w:ilvl="3">
      <w:start w:val="0"/>
      <w:numFmt w:val="bullet"/>
      <w:lvlText w:val="•"/>
      <w:lvlJc w:val="left"/>
      <w:pPr>
        <w:ind w:left="4735" w:hanging="396"/>
      </w:pPr>
      <w:rPr>
        <w:rFonts w:hint="default"/>
        <w:lang w:val="en-US" w:eastAsia="en-US" w:bidi="ar-SA"/>
      </w:rPr>
    </w:lvl>
    <w:lvl w:ilvl="4">
      <w:start w:val="0"/>
      <w:numFmt w:val="bullet"/>
      <w:lvlText w:val="•"/>
      <w:lvlJc w:val="left"/>
      <w:pPr>
        <w:ind w:left="5614" w:hanging="396"/>
      </w:pPr>
      <w:rPr>
        <w:rFonts w:hint="default"/>
        <w:lang w:val="en-US" w:eastAsia="en-US" w:bidi="ar-SA"/>
      </w:rPr>
    </w:lvl>
    <w:lvl w:ilvl="5">
      <w:start w:val="0"/>
      <w:numFmt w:val="bullet"/>
      <w:lvlText w:val="•"/>
      <w:lvlJc w:val="left"/>
      <w:pPr>
        <w:ind w:left="6493" w:hanging="396"/>
      </w:pPr>
      <w:rPr>
        <w:rFonts w:hint="default"/>
        <w:lang w:val="en-US" w:eastAsia="en-US" w:bidi="ar-SA"/>
      </w:rPr>
    </w:lvl>
    <w:lvl w:ilvl="6">
      <w:start w:val="0"/>
      <w:numFmt w:val="bullet"/>
      <w:lvlText w:val="•"/>
      <w:lvlJc w:val="left"/>
      <w:pPr>
        <w:ind w:left="7371" w:hanging="396"/>
      </w:pPr>
      <w:rPr>
        <w:rFonts w:hint="default"/>
        <w:lang w:val="en-US" w:eastAsia="en-US" w:bidi="ar-SA"/>
      </w:rPr>
    </w:lvl>
    <w:lvl w:ilvl="7">
      <w:start w:val="0"/>
      <w:numFmt w:val="bullet"/>
      <w:lvlText w:val="•"/>
      <w:lvlJc w:val="left"/>
      <w:pPr>
        <w:ind w:left="8250" w:hanging="396"/>
      </w:pPr>
      <w:rPr>
        <w:rFonts w:hint="default"/>
        <w:lang w:val="en-US" w:eastAsia="en-US" w:bidi="ar-SA"/>
      </w:rPr>
    </w:lvl>
    <w:lvl w:ilvl="8">
      <w:start w:val="0"/>
      <w:numFmt w:val="bullet"/>
      <w:lvlText w:val="•"/>
      <w:lvlJc w:val="left"/>
      <w:pPr>
        <w:ind w:left="9129" w:hanging="396"/>
      </w:pPr>
      <w:rPr>
        <w:rFonts w:hint="default"/>
        <w:lang w:val="en-US" w:eastAsia="en-US" w:bidi="ar-SA"/>
      </w:rPr>
    </w:lvl>
  </w:abstractNum>
  <w:abstractNum w:abstractNumId="23">
    <w:nsid w:val="7718325A"/>
    <w:multiLevelType w:val="hybridMultilevel"/>
    <w:tmpl w:val="AFA27D48"/>
    <w:lvl w:ilvl="0">
      <w:start w:val="1"/>
      <w:numFmt w:val="decimal"/>
      <w:lvlText w:val="%1"/>
      <w:lvlJc w:val="left"/>
      <w:pPr>
        <w:ind w:left="1594" w:hanging="317"/>
        <w:jc w:val="left"/>
      </w:pPr>
      <w:rPr>
        <w:rFonts w:ascii="黑体" w:eastAsia="黑体" w:hAnsi="黑体" w:cs="黑体" w:hint="default"/>
        <w:w w:val="100"/>
        <w:sz w:val="21"/>
        <w:szCs w:val="21"/>
        <w:lang w:val="en-US" w:eastAsia="en-US" w:bidi="ar-SA"/>
      </w:rPr>
    </w:lvl>
    <w:lvl w:ilvl="1">
      <w:start w:val="1"/>
      <w:numFmt w:val="lowerLetter"/>
      <w:lvlText w:val="%2）"/>
      <w:lvlJc w:val="left"/>
      <w:pPr>
        <w:ind w:left="2119" w:hanging="423"/>
        <w:jc w:val="left"/>
      </w:pPr>
      <w:rPr>
        <w:rFonts w:ascii="宋体" w:eastAsia="宋体" w:hAnsi="宋体" w:cs="宋体" w:hint="default"/>
        <w:w w:val="100"/>
        <w:sz w:val="21"/>
        <w:szCs w:val="21"/>
        <w:lang w:val="en-US" w:eastAsia="en-US" w:bidi="ar-SA"/>
      </w:rPr>
    </w:lvl>
    <w:lvl w:ilvl="2">
      <w:start w:val="0"/>
      <w:numFmt w:val="bullet"/>
      <w:lvlText w:val="•"/>
      <w:lvlJc w:val="left"/>
      <w:pPr>
        <w:ind w:left="3094" w:hanging="423"/>
      </w:pPr>
      <w:rPr>
        <w:rFonts w:hint="default"/>
        <w:lang w:val="en-US" w:eastAsia="en-US" w:bidi="ar-SA"/>
      </w:rPr>
    </w:lvl>
    <w:lvl w:ilvl="3">
      <w:start w:val="0"/>
      <w:numFmt w:val="bullet"/>
      <w:lvlText w:val="•"/>
      <w:lvlJc w:val="left"/>
      <w:pPr>
        <w:ind w:left="4068" w:hanging="423"/>
      </w:pPr>
      <w:rPr>
        <w:rFonts w:hint="default"/>
        <w:lang w:val="en-US" w:eastAsia="en-US" w:bidi="ar-SA"/>
      </w:rPr>
    </w:lvl>
    <w:lvl w:ilvl="4">
      <w:start w:val="0"/>
      <w:numFmt w:val="bullet"/>
      <w:lvlText w:val="•"/>
      <w:lvlJc w:val="left"/>
      <w:pPr>
        <w:ind w:left="5042" w:hanging="423"/>
      </w:pPr>
      <w:rPr>
        <w:rFonts w:hint="default"/>
        <w:lang w:val="en-US" w:eastAsia="en-US" w:bidi="ar-SA"/>
      </w:rPr>
    </w:lvl>
    <w:lvl w:ilvl="5">
      <w:start w:val="0"/>
      <w:numFmt w:val="bullet"/>
      <w:lvlText w:val="•"/>
      <w:lvlJc w:val="left"/>
      <w:pPr>
        <w:ind w:left="6016" w:hanging="423"/>
      </w:pPr>
      <w:rPr>
        <w:rFonts w:hint="default"/>
        <w:lang w:val="en-US" w:eastAsia="en-US" w:bidi="ar-SA"/>
      </w:rPr>
    </w:lvl>
    <w:lvl w:ilvl="6">
      <w:start w:val="0"/>
      <w:numFmt w:val="bullet"/>
      <w:lvlText w:val="•"/>
      <w:lvlJc w:val="left"/>
      <w:pPr>
        <w:ind w:left="6990" w:hanging="423"/>
      </w:pPr>
      <w:rPr>
        <w:rFonts w:hint="default"/>
        <w:lang w:val="en-US" w:eastAsia="en-US" w:bidi="ar-SA"/>
      </w:rPr>
    </w:lvl>
    <w:lvl w:ilvl="7">
      <w:start w:val="0"/>
      <w:numFmt w:val="bullet"/>
      <w:lvlText w:val="•"/>
      <w:lvlJc w:val="left"/>
      <w:pPr>
        <w:ind w:left="7964" w:hanging="423"/>
      </w:pPr>
      <w:rPr>
        <w:rFonts w:hint="default"/>
        <w:lang w:val="en-US" w:eastAsia="en-US" w:bidi="ar-SA"/>
      </w:rPr>
    </w:lvl>
    <w:lvl w:ilvl="8">
      <w:start w:val="0"/>
      <w:numFmt w:val="bullet"/>
      <w:lvlText w:val="•"/>
      <w:lvlJc w:val="left"/>
      <w:pPr>
        <w:ind w:left="8938" w:hanging="423"/>
      </w:pPr>
      <w:rPr>
        <w:rFonts w:hint="default"/>
        <w:lang w:val="en-US" w:eastAsia="en-US" w:bidi="ar-SA"/>
      </w:rPr>
    </w:lvl>
  </w:abstractNum>
  <w:num w:numId="1">
    <w:abstractNumId w:val="1"/>
  </w:num>
  <w:num w:numId="2">
    <w:abstractNumId w:val="4"/>
  </w:num>
  <w:num w:numId="3">
    <w:abstractNumId w:val="20"/>
  </w:num>
  <w:num w:numId="4">
    <w:abstractNumId w:val="3"/>
  </w:num>
  <w:num w:numId="5">
    <w:abstractNumId w:val="8"/>
  </w:num>
  <w:num w:numId="6">
    <w:abstractNumId w:val="22"/>
  </w:num>
  <w:num w:numId="7">
    <w:abstractNumId w:val="21"/>
  </w:num>
  <w:num w:numId="8">
    <w:abstractNumId w:val="13"/>
  </w:num>
  <w:num w:numId="9">
    <w:abstractNumId w:val="12"/>
  </w:num>
  <w:num w:numId="10">
    <w:abstractNumId w:val="16"/>
  </w:num>
  <w:num w:numId="11">
    <w:abstractNumId w:val="6"/>
  </w:num>
  <w:num w:numId="12">
    <w:abstractNumId w:val="19"/>
  </w:num>
  <w:num w:numId="13">
    <w:abstractNumId w:val="11"/>
  </w:num>
  <w:num w:numId="14">
    <w:abstractNumId w:val="9"/>
  </w:num>
  <w:num w:numId="15">
    <w:abstractNumId w:val="18"/>
  </w:num>
  <w:num w:numId="16">
    <w:abstractNumId w:val="14"/>
  </w:num>
  <w:num w:numId="17">
    <w:abstractNumId w:val="15"/>
  </w:num>
  <w:num w:numId="18">
    <w:abstractNumId w:val="17"/>
  </w:num>
  <w:num w:numId="19">
    <w:abstractNumId w:val="5"/>
  </w:num>
  <w:num w:numId="20">
    <w:abstractNumId w:val="10"/>
  </w:num>
  <w:num w:numId="21">
    <w:abstractNumId w:val="0"/>
  </w:num>
  <w:num w:numId="22">
    <w:abstractNumId w:val="2"/>
  </w:num>
  <w:num w:numId="23">
    <w:abstractNumId w:val="23"/>
  </w:num>
  <w:num w:numId="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D6E"/>
    <w:rsid w:val="0019522B"/>
    <w:rsid w:val="00A36D6E"/>
    <w:rsid w:val="00C036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30"/>
      <w:ind w:left="1022"/>
      <w:jc w:val="center"/>
      <w:outlineLvl w:val="0"/>
    </w:pPr>
    <w:rPr>
      <w:rFonts w:ascii="黑体" w:eastAsia="黑体" w:hAnsi="黑体" w:cs="黑体"/>
      <w:sz w:val="32"/>
      <w:szCs w:val="32"/>
    </w:rPr>
  </w:style>
  <w:style w:type="paragraph" w:styleId="Heading2">
    <w:name w:val="heading 2"/>
    <w:basedOn w:val="Normal"/>
    <w:uiPriority w:val="1"/>
    <w:qFormat/>
    <w:pPr>
      <w:spacing w:before="55"/>
      <w:ind w:left="1697"/>
      <w:outlineLvl w:val="1"/>
    </w:pPr>
    <w:rPr>
      <w:rFonts w:ascii="Times New Roman" w:eastAsia="Times New Roman" w:hAnsi="Times New Roman" w:cs="Times New Roman"/>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21"/>
      <w:szCs w:val="21"/>
    </w:rPr>
  </w:style>
  <w:style w:type="paragraph" w:styleId="Title">
    <w:name w:val="Title"/>
    <w:basedOn w:val="Normal"/>
    <w:uiPriority w:val="1"/>
    <w:qFormat/>
    <w:pPr>
      <w:ind w:left="1296" w:right="1283"/>
      <w:jc w:val="center"/>
    </w:pPr>
    <w:rPr>
      <w:sz w:val="52"/>
      <w:szCs w:val="52"/>
    </w:rPr>
  </w:style>
  <w:style w:type="paragraph" w:styleId="ListParagraph">
    <w:name w:val="List Paragraph"/>
    <w:basedOn w:val="Normal"/>
    <w:uiPriority w:val="1"/>
    <w:qFormat/>
    <w:pPr>
      <w:ind w:left="2014" w:hanging="737"/>
    </w:pPr>
  </w:style>
  <w:style w:type="paragraph" w:customStyle="1" w:styleId="TableParagraph">
    <w:name w:val="Table Paragraph"/>
    <w:basedOn w:val="Normal"/>
    <w:uiPriority w:val="1"/>
    <w:qFormat/>
  </w:style>
  <w:style w:type="paragraph" w:styleId="BalloonText">
    <w:name w:val="Balloon Text"/>
    <w:basedOn w:val="Normal"/>
    <w:link w:val="Char"/>
    <w:uiPriority w:val="99"/>
    <w:semiHidden/>
    <w:unhideWhenUsed/>
    <w:rsid w:val="00C03664"/>
    <w:rPr>
      <w:sz w:val="18"/>
      <w:szCs w:val="18"/>
    </w:rPr>
  </w:style>
  <w:style w:type="character" w:customStyle="1" w:styleId="Char">
    <w:name w:val="批注框文本 Char"/>
    <w:basedOn w:val="DefaultParagraphFont"/>
    <w:link w:val="BalloonText"/>
    <w:uiPriority w:val="99"/>
    <w:semiHidden/>
    <w:rsid w:val="00C03664"/>
    <w:rPr>
      <w:rFonts w:ascii="宋体" w:eastAsia="宋体" w:hAnsi="宋体" w:cs="宋体"/>
      <w:sz w:val="18"/>
      <w:szCs w:val="18"/>
    </w:rPr>
  </w:style>
  <w:style w:type="table" w:customStyle="1" w:styleId="TableNormal00">
    <w:name w:val="Table Normal_0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header" Target="header1.xml" /><Relationship Id="rId14" Type="http://schemas.openxmlformats.org/officeDocument/2006/relationships/header" Target="header2.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header" Target="header3.xml" /><Relationship Id="rId18" Type="http://schemas.openxmlformats.org/officeDocument/2006/relationships/header" Target="header4.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header" Target="header5.xml" /><Relationship Id="rId22" Type="http://schemas.openxmlformats.org/officeDocument/2006/relationships/header" Target="header6.xml" /><Relationship Id="rId23" Type="http://schemas.openxmlformats.org/officeDocument/2006/relationships/footer" Target="footer12.xml" /><Relationship Id="rId24" Type="http://schemas.openxmlformats.org/officeDocument/2006/relationships/footer" Target="footer13.xml" /><Relationship Id="rId25" Type="http://schemas.openxmlformats.org/officeDocument/2006/relationships/header" Target="header7.xml" /><Relationship Id="rId26" Type="http://schemas.openxmlformats.org/officeDocument/2006/relationships/header" Target="header8.xml" /><Relationship Id="rId27" Type="http://schemas.openxmlformats.org/officeDocument/2006/relationships/footer" Target="footer14.xml" /><Relationship Id="rId28" Type="http://schemas.openxmlformats.org/officeDocument/2006/relationships/footer" Target="footer15.xml" /><Relationship Id="rId29" Type="http://schemas.openxmlformats.org/officeDocument/2006/relationships/image" Target="media/image3.png"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header" Target="header10.xml" /><Relationship Id="rId32" Type="http://schemas.openxmlformats.org/officeDocument/2006/relationships/footer" Target="footer16.xml" /><Relationship Id="rId33" Type="http://schemas.openxmlformats.org/officeDocument/2006/relationships/footer" Target="footer17.xml" /><Relationship Id="rId34" Type="http://schemas.openxmlformats.org/officeDocument/2006/relationships/image" Target="media/image4.png" /><Relationship Id="rId35" Type="http://schemas.openxmlformats.org/officeDocument/2006/relationships/header" Target="header11.xml" /><Relationship Id="rId36" Type="http://schemas.openxmlformats.org/officeDocument/2006/relationships/header" Target="header12.xml" /><Relationship Id="rId37" Type="http://schemas.openxmlformats.org/officeDocument/2006/relationships/footer" Target="footer18.xml" /><Relationship Id="rId38" Type="http://schemas.openxmlformats.org/officeDocument/2006/relationships/footer" Target="footer19.xml" /><Relationship Id="rId39" Type="http://schemas.openxmlformats.org/officeDocument/2006/relationships/image" Target="media/image5.png" /><Relationship Id="rId4" Type="http://schemas.openxmlformats.org/officeDocument/2006/relationships/image" Target="media/image1.png" /><Relationship Id="rId40" Type="http://schemas.openxmlformats.org/officeDocument/2006/relationships/header" Target="header13.xml" /><Relationship Id="rId41" Type="http://schemas.openxmlformats.org/officeDocument/2006/relationships/header" Target="header14.xml" /><Relationship Id="rId42" Type="http://schemas.openxmlformats.org/officeDocument/2006/relationships/footer" Target="footer20.xml" /><Relationship Id="rId43" Type="http://schemas.openxmlformats.org/officeDocument/2006/relationships/footer" Target="footer21.xml" /><Relationship Id="rId44" Type="http://schemas.openxmlformats.org/officeDocument/2006/relationships/header" Target="header15.xml" /><Relationship Id="rId45" Type="http://schemas.openxmlformats.org/officeDocument/2006/relationships/header" Target="header16.xml" /><Relationship Id="rId46" Type="http://schemas.openxmlformats.org/officeDocument/2006/relationships/footer" Target="footer22.xml" /><Relationship Id="rId47" Type="http://schemas.openxmlformats.org/officeDocument/2006/relationships/footer" Target="footer23.xml" /><Relationship Id="rId48" Type="http://schemas.openxmlformats.org/officeDocument/2006/relationships/header" Target="header17.xml" /><Relationship Id="rId49" Type="http://schemas.openxmlformats.org/officeDocument/2006/relationships/header" Target="header18.xml" /><Relationship Id="rId5" Type="http://schemas.openxmlformats.org/officeDocument/2006/relationships/image" Target="media/image2.png" /><Relationship Id="rId50" Type="http://schemas.openxmlformats.org/officeDocument/2006/relationships/footer" Target="footer24.xml" /><Relationship Id="rId51" Type="http://schemas.openxmlformats.org/officeDocument/2006/relationships/footer" Target="footer25.xml" /><Relationship Id="rId52" Type="http://schemas.openxmlformats.org/officeDocument/2006/relationships/hyperlink" Target="https://d.book118.com/088011016004006027" TargetMode="External" /><Relationship Id="rId53" Type="http://schemas.openxmlformats.org/officeDocument/2006/relationships/header" Target="header19.xml" /><Relationship Id="rId54" Type="http://schemas.openxmlformats.org/officeDocument/2006/relationships/header" Target="header20.xml" /><Relationship Id="rId55" Type="http://schemas.openxmlformats.org/officeDocument/2006/relationships/footer" Target="footer26.xml" /><Relationship Id="rId56" Type="http://schemas.openxmlformats.org/officeDocument/2006/relationships/footer" Target="footer27.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3341</Words>
  <Characters>19045</Characters>
  <Application>Microsoft Office Word</Application>
  <DocSecurity>0</DocSecurity>
  <Lines>158</Lines>
  <Paragraphs>44</Paragraphs>
  <ScaleCrop>false</ScaleCrop>
  <Company/>
  <LinksUpToDate>false</LinksUpToDate>
  <CharactersWithSpaces>22342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ICS</dc:title>
  <dc:creator>Legend User</dc:creator>
  <cp:lastModifiedBy>admin</cp:lastModifiedBy>
  <cp:revision>2</cp:revision>
  <dcterms:created xsi:type="dcterms:W3CDTF">2024-01-17T13:19:00Z</dcterms:created>
  <dcterms:modified xsi:type="dcterms:W3CDTF">2024-01-17T13:23:00Z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2024-01-08T00:00:00Z</vt:filetime>
  </property>
  <property fmtid="{D5CDD505-2E9C-101B-9397-08002B2CF9AE}" pid="3" name="Creator">
    <vt:lpwstr>Microsoft® Word 2010</vt:lpwstr>
  </property>
  <property fmtid="{D5CDD505-2E9C-101B-9397-08002B2CF9AE}" pid="4" name="LastSaved">
    <vt:filetime>2024-01-17T00:00:00Z</vt:filetime>
  </property>
</Properties>
</file>