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2" w:lineRule="auto"/>
        <w:rPr>
          <w:rFonts w:ascii="Arial"/>
          <w:sz w:val="21"/>
        </w:rPr>
      </w:pPr>
      <w:r>
        <w:pict>
          <v:shape id="_x0000_s1025" style="width:345.7pt;height:1pt;margin-top:179.54pt;margin-left:32.76pt;mso-position-horizontal-relative:page;mso-position-vertical-relative:page;position:absolute;z-index:251659264" coordorigin="0,0" coordsize="6914,20" o:allowincell="f" path="m,19l6913,19l6913,l,l,19xe" filled="t" fillcolor="gray" stroked="f"/>
        </w:pict>
      </w:r>
      <w:r>
        <w:pict>
          <v:shape id="_x0000_s1026" style="width:345.7pt;height:1pt;margin-top:200.9pt;margin-left:32.76pt;mso-position-horizontal-relative:page;mso-position-vertical-relative:page;position:absolute;z-index:251660288" coordorigin="0,0" coordsize="6914,20" o:allowincell="f" path="m,19l6913,19l6913,l,l,19xe" filled="t" fillcolor="gray" stroked="f"/>
        </w:pic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466" w:lineRule="exact"/>
        <w:ind w:firstLine="711"/>
      </w:pPr>
      <w:r>
        <w:rPr>
          <w:position w:val="-9"/>
        </w:rPr>
        <w:drawing>
          <wp:inline distT="0" distB="0" distL="0" distR="0">
            <wp:extent cx="1840972" cy="2956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0972" cy="29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2" w:line="218" w:lineRule="auto"/>
        <w:ind w:left="698"/>
        <w:rPr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-695311</wp:posOffset>
            </wp:positionV>
            <wp:extent cx="7560564" cy="132740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327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z w:val="31"/>
          <w:szCs w:val="31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行业周报</w:t>
      </w:r>
      <w:r>
        <w:rPr>
          <w:color w:val="FFFFFF"/>
          <w:spacing w:val="36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31"/>
          <w:szCs w:val="31"/>
        </w:rPr>
        <w:t>|</w:t>
      </w:r>
      <w:r>
        <w:rPr>
          <w:rFonts w:ascii="Arial" w:eastAsia="Arial" w:hAnsi="Arial" w:cs="Arial"/>
          <w:b/>
          <w:bCs/>
          <w:color w:val="FFFFFF"/>
          <w:spacing w:val="14"/>
          <w:sz w:val="31"/>
          <w:szCs w:val="31"/>
        </w:rPr>
        <w:t xml:space="preserve">  </w:t>
      </w:r>
      <w:r>
        <w:rPr>
          <w:color w:val="FFFFFF"/>
          <w:sz w:val="31"/>
          <w:szCs w:val="31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电力设备</w:t>
      </w: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ectPr>
          <w:footerReference w:type="default" r:id="rId6"/>
          <w:pgSz w:w="11907" w:h="16839"/>
          <w:pgMar w:top="12" w:right="0" w:bottom="867" w:left="0" w:header="0" w:footer="21" w:gutter="0"/>
          <w:cols w:num="1" w:space="708" w:equalWidth="0">
            <w:col w:w="11907" w:space="0"/>
          </w:cols>
        </w:sectPr>
      </w:pPr>
    </w:p>
    <w:p>
      <w:pPr>
        <w:pStyle w:val="BodyText"/>
        <w:spacing w:before="119" w:line="212" w:lineRule="auto"/>
        <w:ind w:left="638"/>
        <w:outlineLvl w:val="0"/>
        <w:rPr>
          <w:sz w:val="36"/>
          <w:szCs w:val="36"/>
        </w:rPr>
      </w:pPr>
      <w:r>
        <w:rPr>
          <w:color w:val="C30F1B"/>
          <w:spacing w:val="-1"/>
          <w:sz w:val="36"/>
          <w:szCs w:val="36"/>
        </w:rPr>
        <w:t>跟踪支架有望成为α环节，</w:t>
      </w:r>
      <w:r>
        <w:rPr>
          <w:rFonts w:ascii="Arial" w:eastAsia="Arial" w:hAnsi="Arial" w:cs="Arial"/>
          <w:color w:val="C30F1B"/>
          <w:spacing w:val="-1"/>
          <w:sz w:val="36"/>
          <w:szCs w:val="36"/>
        </w:rPr>
        <w:t xml:space="preserve">1 </w:t>
      </w:r>
      <w:r>
        <w:rPr>
          <w:color w:val="C30F1B"/>
          <w:spacing w:val="-1"/>
          <w:sz w:val="36"/>
          <w:szCs w:val="36"/>
        </w:rPr>
        <w:t>月新能乘用车批发环比下降</w:t>
      </w:r>
    </w:p>
    <w:p>
      <w:pPr>
        <w:pStyle w:val="BodyText"/>
        <w:spacing w:before="139" w:line="185" w:lineRule="auto"/>
        <w:ind w:left="668"/>
        <w:rPr>
          <w:rFonts w:ascii="Arial" w:eastAsia="Arial" w:hAnsi="Arial" w:cs="Arial"/>
          <w:sz w:val="28"/>
          <w:szCs w:val="28"/>
        </w:rPr>
      </w:pPr>
      <w:r>
        <w:rPr>
          <w:color w:val="1C2632"/>
          <w:spacing w:val="-2"/>
          <w:sz w:val="28"/>
          <w:szCs w:val="28"/>
        </w:rPr>
        <w:t>电新行业周报</w:t>
      </w:r>
      <w:r>
        <w:rPr>
          <w:color w:val="1C2632"/>
          <w:spacing w:val="-57"/>
          <w:sz w:val="28"/>
          <w:szCs w:val="28"/>
        </w:rPr>
        <w:t xml:space="preserve"> </w:t>
      </w:r>
      <w:r>
        <w:rPr>
          <w:rFonts w:ascii="Arial" w:eastAsia="Arial" w:hAnsi="Arial" w:cs="Arial"/>
          <w:color w:val="1C2632"/>
          <w:spacing w:val="-2"/>
          <w:sz w:val="28"/>
          <w:szCs w:val="28"/>
        </w:rPr>
        <w:t>20240219-20240225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0" w:line="226" w:lineRule="auto"/>
        <w:ind w:left="188"/>
        <w:rPr>
          <w:sz w:val="19"/>
          <w:szCs w:val="19"/>
        </w:rPr>
      </w:pPr>
      <w:r>
        <w:rPr>
          <w:color w:val="C30F1B"/>
          <w:spacing w:val="9"/>
          <w:sz w:val="19"/>
          <w:szCs w:val="19"/>
          <w14:textOutline w14:w="3614">
            <w14:solidFill>
              <w14:srgbClr w14:val="C30F1B"/>
            </w14:solidFill>
            <w14:prstDash w14:val="solid"/>
            <w14:miter w14:lim="10"/>
          </w14:textOutline>
        </w:rPr>
        <w:t>证券研究报告</w:t>
      </w:r>
    </w:p>
    <w:p>
      <w:pPr>
        <w:pStyle w:val="BodyText"/>
        <w:spacing w:before="115" w:line="218" w:lineRule="auto"/>
        <w:rPr>
          <w:sz w:val="16"/>
          <w:szCs w:val="16"/>
        </w:rPr>
      </w:pPr>
      <w:r>
        <w:rPr>
          <w:rFonts w:ascii="Arial" w:eastAsia="Arial" w:hAnsi="Arial" w:cs="Arial"/>
          <w:color w:val="141B24"/>
          <w:spacing w:val="-3"/>
          <w:sz w:val="16"/>
          <w:szCs w:val="16"/>
        </w:rPr>
        <w:t xml:space="preserve">2024 </w:t>
      </w:r>
      <w:r>
        <w:rPr>
          <w:color w:val="141B24"/>
          <w:spacing w:val="-3"/>
          <w:sz w:val="16"/>
          <w:szCs w:val="16"/>
        </w:rPr>
        <w:t>年</w:t>
      </w:r>
      <w:r>
        <w:rPr>
          <w:color w:val="141B24"/>
          <w:spacing w:val="-27"/>
          <w:sz w:val="16"/>
          <w:szCs w:val="16"/>
        </w:rPr>
        <w:t xml:space="preserve"> </w:t>
      </w:r>
      <w:r>
        <w:rPr>
          <w:rFonts w:ascii="Arial" w:eastAsia="Arial" w:hAnsi="Arial" w:cs="Arial"/>
          <w:color w:val="141B24"/>
          <w:spacing w:val="-3"/>
          <w:sz w:val="16"/>
          <w:szCs w:val="16"/>
        </w:rPr>
        <w:t xml:space="preserve">02 </w:t>
      </w:r>
      <w:r>
        <w:rPr>
          <w:color w:val="141B24"/>
          <w:spacing w:val="-3"/>
          <w:sz w:val="16"/>
          <w:szCs w:val="16"/>
        </w:rPr>
        <w:t>月</w:t>
      </w:r>
      <w:r>
        <w:rPr>
          <w:color w:val="141B24"/>
          <w:spacing w:val="-32"/>
          <w:sz w:val="16"/>
          <w:szCs w:val="16"/>
        </w:rPr>
        <w:t xml:space="preserve"> </w:t>
      </w:r>
      <w:r>
        <w:rPr>
          <w:rFonts w:ascii="Arial" w:eastAsia="Arial" w:hAnsi="Arial" w:cs="Arial"/>
          <w:color w:val="141B24"/>
          <w:spacing w:val="-3"/>
          <w:sz w:val="16"/>
          <w:szCs w:val="16"/>
        </w:rPr>
        <w:t xml:space="preserve">25  </w:t>
      </w:r>
      <w:r>
        <w:rPr>
          <w:color w:val="141B24"/>
          <w:spacing w:val="-3"/>
          <w:sz w:val="16"/>
          <w:szCs w:val="16"/>
        </w:rPr>
        <w:t>日</w:t>
      </w:r>
    </w:p>
    <w:p>
      <w:pPr>
        <w:spacing w:line="218" w:lineRule="auto"/>
        <w:rPr>
          <w:sz w:val="16"/>
          <w:szCs w:val="16"/>
        </w:rPr>
        <w:sectPr>
          <w:footerReference w:type="default" r:id="rId7"/>
          <w:type w:val="continuous"/>
          <w:pgSz w:w="11907" w:h="16839"/>
          <w:pgMar w:top="12" w:right="0" w:bottom="867" w:left="0" w:header="0" w:footer="21" w:gutter="0"/>
          <w:pgNumType w:start="2"/>
          <w:cols w:num="2" w:space="708" w:equalWidth="0">
            <w:col w:w="9706" w:space="100"/>
            <w:col w:w="2101" w:space="0"/>
          </w:cols>
        </w:sectPr>
      </w:pPr>
    </w:p>
    <w:p>
      <w:pPr>
        <w:spacing w:line="216" w:lineRule="exact"/>
      </w:pPr>
    </w:p>
    <w:p>
      <w:pPr>
        <w:spacing w:line="216" w:lineRule="exact"/>
        <w:sectPr>
          <w:footerReference w:type="default" r:id="rId8"/>
          <w:type w:val="continuous"/>
          <w:pgSz w:w="11907" w:h="16839"/>
          <w:pgMar w:top="12" w:right="0" w:bottom="867" w:left="0" w:header="0" w:footer="21" w:gutter="0"/>
          <w:pgNumType w:start="3"/>
          <w:cols w:num="1" w:space="708" w:equalWidth="0">
            <w:col w:w="11907" w:space="0"/>
          </w:cols>
        </w:sectPr>
      </w:pPr>
    </w:p>
    <w:p>
      <w:pPr>
        <w:pStyle w:val="BodyText"/>
        <w:spacing w:line="223" w:lineRule="auto"/>
        <w:ind w:left="675"/>
      </w:pPr>
      <w:r>
        <w:rPr>
          <w:rFonts w:ascii="Wingdings" w:eastAsia="Wingdings" w:hAnsi="Wingdings" w:cs="Wingdings"/>
          <w:color w:val="C30F1B"/>
          <w:spacing w:val="-16"/>
          <w:w w:val="87"/>
          <w14:textOutline w14:w="3831">
            <w14:solidFill>
              <w14:srgbClr w14:val="C30F1B"/>
            </w14:solidFill>
            <w14:prstDash w14:val="solid"/>
            <w14:miter w14:lim="10"/>
          </w14:textOutline>
        </w:rPr>
        <w:t>.</w:t>
      </w:r>
      <w:r>
        <w:rPr>
          <w:rFonts w:ascii="Wingdings" w:eastAsia="Wingdings" w:hAnsi="Wingdings" w:cs="Wingdings"/>
          <w:color w:val="C30F1B"/>
          <w:spacing w:val="9"/>
        </w:rPr>
        <w:t xml:space="preserve"> </w:t>
      </w:r>
      <w:r>
        <w:rPr>
          <w:color w:val="C30F1B"/>
          <w:spacing w:val="-16"/>
          <w:w w:val="87"/>
          <w14:textOutline w14:w="3831">
            <w14:solidFill>
              <w14:srgbClr w14:val="C30F1B"/>
            </w14:solidFill>
            <w14:prstDash w14:val="solid"/>
            <w14:miter w14:lim="10"/>
          </w14:textOutline>
        </w:rPr>
        <w:t>核心结论</w:t>
      </w:r>
    </w:p>
    <w:p>
      <w:pPr>
        <w:pStyle w:val="BodyText"/>
        <w:spacing w:before="195" w:line="278" w:lineRule="auto"/>
        <w:ind w:left="660" w:right="348" w:firstLine="1"/>
        <w:jc w:val="both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跟踪支架有望成为</w:t>
      </w:r>
      <w:r>
        <w:rPr>
          <w:spacing w:val="-33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 xml:space="preserve">24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年α环节。</w:t>
      </w:r>
      <w:r>
        <w:rPr>
          <w:spacing w:val="-6"/>
        </w:rPr>
        <w:t>跟踪支架的主要市场集中于美国地区，</w:t>
      </w:r>
      <w:r>
        <w:rPr>
          <w:rFonts w:ascii="Arial" w:eastAsia="Arial" w:hAnsi="Arial" w:cs="Arial"/>
          <w:spacing w:val="-6"/>
        </w:rPr>
        <w:t>2024</w:t>
      </w:r>
      <w:r>
        <w:rPr>
          <w:rFonts w:ascii="Arial" w:eastAsia="Arial" w:hAnsi="Arial" w:cs="Arial"/>
        </w:rPr>
        <w:t xml:space="preserve"> </w:t>
      </w:r>
      <w:r>
        <w:rPr>
          <w:spacing w:val="-3"/>
        </w:rPr>
        <w:t>年美国集中式光伏新增装机将在利率下行，政策补贴，</w:t>
      </w:r>
      <w:r>
        <w:rPr>
          <w:spacing w:val="-27"/>
        </w:rPr>
        <w:t xml:space="preserve"> </w:t>
      </w:r>
      <w:r>
        <w:rPr>
          <w:spacing w:val="-3"/>
        </w:rPr>
        <w:t>产业链价格降低的三</w:t>
      </w:r>
      <w:r>
        <w:t xml:space="preserve"> </w:t>
      </w:r>
      <w:r>
        <w:rPr>
          <w:spacing w:val="1"/>
        </w:rPr>
        <w:t>方面刺激因素下有望达到</w:t>
      </w:r>
      <w:r>
        <w:rPr>
          <w:spacing w:val="1"/>
        </w:rPr>
        <w:t xml:space="preserve"> </w:t>
      </w:r>
      <w:r>
        <w:rPr>
          <w:rFonts w:ascii="Arial" w:eastAsia="Arial" w:hAnsi="Arial" w:cs="Arial"/>
          <w:spacing w:val="1"/>
        </w:rPr>
        <w:t>36.4</w:t>
      </w:r>
      <w:r>
        <w:rPr>
          <w:rFonts w:ascii="Arial" w:eastAsia="Arial" w:hAnsi="Arial" w:cs="Arial"/>
        </w:rPr>
        <w:t>GW</w:t>
      </w:r>
      <w:r>
        <w:rPr>
          <w:spacing w:val="1"/>
        </w:rPr>
        <w:t>，同比</w:t>
      </w:r>
      <w:r>
        <w:rPr>
          <w:rFonts w:ascii="Arial" w:eastAsia="Arial" w:hAnsi="Arial" w:cs="Arial"/>
          <w:spacing w:val="1"/>
        </w:rPr>
        <w:t>+97%</w:t>
      </w:r>
      <w:r>
        <w:rPr>
          <w:spacing w:val="1"/>
        </w:rPr>
        <w:t>。同时中东，印度</w:t>
      </w:r>
      <w:r>
        <w:t>等市场也</w:t>
      </w:r>
      <w:r>
        <w:t xml:space="preserve"> </w:t>
      </w:r>
      <w:r>
        <w:rPr>
          <w:spacing w:val="-1"/>
        </w:rPr>
        <w:t>将维持较快增速。跟踪支架在高增长的细分市场中渗透率处于较高水平，因</w:t>
      </w:r>
      <w:r>
        <w:rPr>
          <w:spacing w:val="12"/>
        </w:rPr>
        <w:t xml:space="preserve"> </w:t>
      </w:r>
      <w:r>
        <w:rPr>
          <w:spacing w:val="-3"/>
        </w:rPr>
        <w:t>此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spacing w:val="-3"/>
        </w:rPr>
        <w:t xml:space="preserve">24 </w:t>
      </w:r>
      <w:r>
        <w:rPr>
          <w:spacing w:val="-3"/>
        </w:rPr>
        <w:t>年来看其有望不跟随总量，</w:t>
      </w:r>
      <w:r>
        <w:rPr>
          <w:spacing w:val="-3"/>
        </w:rPr>
        <w:t xml:space="preserve"> </w:t>
      </w:r>
      <w:r>
        <w:rPr>
          <w:spacing w:val="-3"/>
        </w:rPr>
        <w:t>维持高增速。推荐中信博（</w:t>
      </w:r>
      <w:r>
        <w:rPr>
          <w:rFonts w:ascii="Arial" w:eastAsia="Arial" w:hAnsi="Arial" w:cs="Arial"/>
          <w:spacing w:val="-3"/>
        </w:rPr>
        <w:t>688408</w:t>
      </w:r>
      <w:r>
        <w:rPr>
          <w:rFonts w:ascii="Arial" w:eastAsia="Arial" w:hAnsi="Arial" w:cs="Arial"/>
          <w:spacing w:val="-4"/>
        </w:rPr>
        <w:t>.SH</w:t>
      </w:r>
      <w:r>
        <w:rPr>
          <w:spacing w:val="-38"/>
          <w:w w:val="82"/>
        </w:rPr>
        <w:t>），</w:t>
      </w:r>
      <w:r>
        <w:t xml:space="preserve"> </w:t>
      </w:r>
      <w:r>
        <w:rPr>
          <w:spacing w:val="8"/>
        </w:rPr>
        <w:t>建议关注</w:t>
      </w:r>
      <w:r>
        <w:rPr>
          <w:spacing w:val="-53"/>
        </w:rPr>
        <w:t xml:space="preserve"> </w:t>
      </w:r>
      <w:r>
        <w:rPr>
          <w:spacing w:val="8"/>
        </w:rPr>
        <w:t>意华股份（</w:t>
      </w:r>
      <w:r>
        <w:rPr>
          <w:rFonts w:ascii="Arial" w:eastAsia="Arial" w:hAnsi="Arial" w:cs="Arial"/>
          <w:spacing w:val="8"/>
        </w:rPr>
        <w:t>002897.</w:t>
      </w:r>
      <w:r>
        <w:rPr>
          <w:rFonts w:ascii="Arial" w:eastAsia="Arial" w:hAnsi="Arial" w:cs="Arial"/>
        </w:rPr>
        <w:t>SZ</w:t>
      </w:r>
      <w:r>
        <w:rPr>
          <w:rFonts w:ascii="Arial" w:eastAsia="Arial" w:hAnsi="Arial" w:cs="Arial"/>
          <w:spacing w:val="-30"/>
        </w:rPr>
        <w:t xml:space="preserve"> </w:t>
      </w:r>
      <w:r>
        <w:rPr>
          <w:spacing w:val="8"/>
        </w:rPr>
        <w:t>）、振江股份</w:t>
      </w:r>
      <w:r>
        <w:rPr>
          <w:spacing w:val="-62"/>
        </w:rPr>
        <w:t xml:space="preserve"> </w:t>
      </w:r>
      <w:r>
        <w:rPr>
          <w:rFonts w:ascii="Arial" w:eastAsia="Arial" w:hAnsi="Arial" w:cs="Arial"/>
          <w:spacing w:val="8"/>
        </w:rPr>
        <w:t>(603507.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8"/>
        </w:rPr>
        <w:t>)</w:t>
      </w:r>
      <w:r>
        <w:rPr>
          <w:rFonts w:ascii="Arial" w:eastAsia="Arial" w:hAnsi="Arial" w:cs="Arial"/>
          <w:spacing w:val="-31"/>
        </w:rPr>
        <w:t xml:space="preserve"> </w:t>
      </w:r>
      <w:r>
        <w:rPr>
          <w:spacing w:val="8"/>
        </w:rPr>
        <w:t>、清</w:t>
      </w:r>
      <w:r>
        <w:rPr>
          <w:spacing w:val="-56"/>
        </w:rPr>
        <w:t xml:space="preserve"> </w:t>
      </w:r>
      <w:r>
        <w:rPr>
          <w:spacing w:val="8"/>
        </w:rPr>
        <w:t>源股份</w:t>
      </w:r>
      <w:r>
        <w:t xml:space="preserve"> </w:t>
      </w:r>
      <w:r>
        <w:t>（</w:t>
      </w:r>
      <w:r>
        <w:rPr>
          <w:rFonts w:ascii="Arial" w:eastAsia="Arial" w:hAnsi="Arial" w:cs="Arial"/>
        </w:rPr>
        <w:t>603628.SH</w:t>
      </w:r>
      <w:r>
        <w:rPr>
          <w:rFonts w:ascii="Arial" w:eastAsia="Arial" w:hAnsi="Arial" w:cs="Arial"/>
          <w:spacing w:val="-18"/>
        </w:rPr>
        <w:t xml:space="preserve"> </w:t>
      </w:r>
      <w:r>
        <w:t>）。</w:t>
      </w:r>
      <w:r>
        <w:rPr>
          <w:spacing w:val="-54"/>
        </w:rPr>
        <w:t xml:space="preserve"> </w:t>
      </w:r>
      <w:r>
        <w:t>光伏</w:t>
      </w:r>
      <w:r>
        <w:rPr>
          <w:spacing w:val="-62"/>
        </w:rPr>
        <w:t xml:space="preserve"> </w:t>
      </w:r>
      <w:r>
        <w:t>板</w:t>
      </w:r>
      <w:r>
        <w:rPr>
          <w:spacing w:val="-55"/>
        </w:rPr>
        <w:t xml:space="preserve"> </w:t>
      </w:r>
      <w:r>
        <w:t>块</w:t>
      </w:r>
      <w:r>
        <w:rPr>
          <w:spacing w:val="-53"/>
        </w:rPr>
        <w:t xml:space="preserve"> </w:t>
      </w:r>
      <w:r>
        <w:t>推</w:t>
      </w:r>
      <w:r>
        <w:rPr>
          <w:spacing w:val="-61"/>
        </w:rPr>
        <w:t xml:space="preserve"> </w:t>
      </w:r>
      <w:r>
        <w:t>荐</w:t>
      </w:r>
      <w:r>
        <w:rPr>
          <w:spacing w:val="-33"/>
        </w:rPr>
        <w:t xml:space="preserve"> </w:t>
      </w:r>
      <w:r>
        <w:t>阳</w:t>
      </w:r>
      <w:r>
        <w:rPr>
          <w:spacing w:val="-56"/>
        </w:rPr>
        <w:t xml:space="preserve"> </w:t>
      </w:r>
      <w:r>
        <w:t>光</w:t>
      </w:r>
      <w:r>
        <w:rPr>
          <w:spacing w:val="-39"/>
        </w:rPr>
        <w:t xml:space="preserve"> </w:t>
      </w:r>
      <w:r>
        <w:t>电</w:t>
      </w:r>
      <w:r>
        <w:rPr>
          <w:spacing w:val="-44"/>
        </w:rPr>
        <w:t xml:space="preserve"> </w:t>
      </w:r>
      <w:r>
        <w:t>源（</w:t>
      </w:r>
      <w:r>
        <w:rPr>
          <w:rFonts w:ascii="Arial" w:eastAsia="Arial" w:hAnsi="Arial" w:cs="Arial"/>
        </w:rPr>
        <w:t>300274</w:t>
      </w:r>
      <w:r>
        <w:rPr>
          <w:rFonts w:ascii="Arial" w:eastAsia="Arial" w:hAnsi="Arial" w:cs="Arial"/>
          <w:spacing w:val="-1"/>
        </w:rPr>
        <w:t>.SZ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spacing w:val="-33"/>
        </w:rPr>
        <w:t>），</w:t>
      </w:r>
      <w:r>
        <w:rPr>
          <w:spacing w:val="-55"/>
        </w:rPr>
        <w:t xml:space="preserve"> </w:t>
      </w:r>
      <w:r>
        <w:rPr>
          <w:spacing w:val="-1"/>
        </w:rPr>
        <w:t>通</w:t>
      </w:r>
      <w:r>
        <w:rPr>
          <w:spacing w:val="-62"/>
        </w:rPr>
        <w:t xml:space="preserve"> </w:t>
      </w:r>
      <w:r>
        <w:rPr>
          <w:spacing w:val="-1"/>
        </w:rPr>
        <w:t>威</w:t>
      </w:r>
      <w:r>
        <w:rPr>
          <w:spacing w:val="-62"/>
        </w:rPr>
        <w:t xml:space="preserve"> </w:t>
      </w:r>
      <w:r>
        <w:rPr>
          <w:spacing w:val="-1"/>
        </w:rPr>
        <w:t>股份</w:t>
      </w:r>
      <w:r>
        <w:t xml:space="preserve"> </w:t>
      </w:r>
      <w:r>
        <w:rPr>
          <w:spacing w:val="-4"/>
        </w:rPr>
        <w:t>（</w:t>
      </w:r>
      <w:r>
        <w:rPr>
          <w:rFonts w:ascii="Arial" w:eastAsia="Arial" w:hAnsi="Arial" w:cs="Arial"/>
          <w:spacing w:val="-4"/>
        </w:rPr>
        <w:t>600438.SH</w:t>
      </w:r>
      <w:r>
        <w:rPr>
          <w:spacing w:val="-43"/>
          <w:w w:val="94"/>
        </w:rPr>
        <w:t>），</w:t>
      </w:r>
      <w:r>
        <w:rPr>
          <w:spacing w:val="-62"/>
        </w:rPr>
        <w:t xml:space="preserve"> </w:t>
      </w:r>
      <w:r>
        <w:rPr>
          <w:spacing w:val="-4"/>
        </w:rPr>
        <w:t>晶科能源（</w:t>
      </w:r>
      <w:r>
        <w:rPr>
          <w:rFonts w:ascii="Arial" w:eastAsia="Arial" w:hAnsi="Arial" w:cs="Arial"/>
          <w:spacing w:val="-4"/>
        </w:rPr>
        <w:t>688223.SH</w:t>
      </w:r>
      <w:r>
        <w:rPr>
          <w:spacing w:val="-4"/>
        </w:rPr>
        <w:t>）。</w:t>
      </w:r>
    </w:p>
    <w:p>
      <w:pPr>
        <w:pStyle w:val="BodyText"/>
        <w:spacing w:before="176" w:line="279" w:lineRule="auto"/>
        <w:ind w:left="667" w:right="275" w:firstLine="12"/>
        <w:jc w:val="both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陕北</w:t>
      </w:r>
      <w:r>
        <w:rPr>
          <w:rFonts w:ascii="Arial" w:eastAsia="Arial" w:hAnsi="Arial" w:cs="Arial"/>
          <w:b/>
          <w:bCs/>
          <w:spacing w:val="-3"/>
        </w:rPr>
        <w:t>-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安徽±</w:t>
      </w:r>
      <w:r>
        <w:rPr>
          <w:rFonts w:ascii="Arial" w:eastAsia="Arial" w:hAnsi="Arial" w:cs="Arial"/>
          <w:b/>
          <w:bCs/>
          <w:spacing w:val="-3"/>
        </w:rPr>
        <w:t xml:space="preserve">800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千伏特高压直流输电工程近日核准。</w:t>
      </w:r>
      <w:r>
        <w:rPr>
          <w:spacing w:val="-3"/>
        </w:rPr>
        <w:t>近日，陕北</w:t>
      </w:r>
      <w:r>
        <w:rPr>
          <w:rFonts w:ascii="Arial" w:eastAsia="Arial" w:hAnsi="Arial" w:cs="Arial"/>
          <w:spacing w:val="-3"/>
        </w:rPr>
        <w:t>-</w:t>
      </w:r>
      <w:r>
        <w:rPr>
          <w:spacing w:val="-3"/>
        </w:rPr>
        <w:t>安徽±</w:t>
      </w:r>
      <w:r>
        <w:rPr>
          <w:rFonts w:ascii="Arial" w:eastAsia="Arial" w:hAnsi="Arial" w:cs="Arial"/>
          <w:spacing w:val="-3"/>
        </w:rPr>
        <w:t>800</w:t>
      </w:r>
      <w:r>
        <w:rPr>
          <w:rFonts w:ascii="Arial" w:eastAsia="Arial" w:hAnsi="Arial" w:cs="Arial"/>
          <w:spacing w:val="7"/>
        </w:rPr>
        <w:t xml:space="preserve">  </w:t>
      </w:r>
      <w:r>
        <w:t>千伏特高压直流输电工程近日核准，项目将新建送端±</w:t>
      </w:r>
      <w:r>
        <w:rPr>
          <w:rFonts w:ascii="Arial" w:eastAsia="Arial" w:hAnsi="Arial" w:cs="Arial"/>
        </w:rPr>
        <w:t>800k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spacing w:val="-1"/>
        </w:rPr>
        <w:t>陕北换流站、</w:t>
      </w:r>
      <w:r>
        <w:t xml:space="preserve"> </w:t>
      </w:r>
      <w:r>
        <w:rPr>
          <w:spacing w:val="-4"/>
        </w:rPr>
        <w:t>新建受端±</w:t>
      </w:r>
      <w:r>
        <w:rPr>
          <w:rFonts w:ascii="Arial" w:eastAsia="Arial" w:hAnsi="Arial" w:cs="Arial"/>
          <w:spacing w:val="-4"/>
        </w:rPr>
        <w:t xml:space="preserve">800kV </w:t>
      </w:r>
      <w:r>
        <w:rPr>
          <w:spacing w:val="-4"/>
        </w:rPr>
        <w:t>安徽换流站。电力设备板块推荐许继电气（</w:t>
      </w:r>
      <w:r>
        <w:rPr>
          <w:rFonts w:ascii="Arial" w:eastAsia="Arial" w:hAnsi="Arial" w:cs="Arial"/>
          <w:spacing w:val="-4"/>
        </w:rPr>
        <w:t>000400.SZ</w:t>
      </w:r>
      <w:r>
        <w:rPr>
          <w:spacing w:val="-4"/>
        </w:rPr>
        <w:t>）、</w:t>
      </w:r>
      <w:r>
        <w:t xml:space="preserve"> </w:t>
      </w:r>
      <w:r>
        <w:rPr>
          <w:spacing w:val="-7"/>
        </w:rPr>
        <w:t>平高电气（</w:t>
      </w:r>
      <w:r>
        <w:rPr>
          <w:rFonts w:ascii="Arial" w:eastAsia="Arial" w:hAnsi="Arial" w:cs="Arial"/>
          <w:spacing w:val="-7"/>
        </w:rPr>
        <w:t>600312.SH</w:t>
      </w:r>
      <w:r>
        <w:rPr>
          <w:spacing w:val="-7"/>
        </w:rPr>
        <w:t>）、思源电气（</w:t>
      </w:r>
      <w:r>
        <w:rPr>
          <w:rFonts w:ascii="Arial" w:eastAsia="Arial" w:hAnsi="Arial" w:cs="Arial"/>
          <w:spacing w:val="-7"/>
        </w:rPr>
        <w:t>002028.SZ</w:t>
      </w:r>
      <w:r>
        <w:rPr>
          <w:spacing w:val="-7"/>
        </w:rPr>
        <w:t>）、安科瑞（</w:t>
      </w:r>
      <w:r>
        <w:rPr>
          <w:rFonts w:ascii="Arial" w:eastAsia="Arial" w:hAnsi="Arial" w:cs="Arial"/>
          <w:spacing w:val="-7"/>
        </w:rPr>
        <w:t>300286.SZ</w:t>
      </w:r>
      <w:r>
        <w:rPr>
          <w:spacing w:val="-7"/>
        </w:rPr>
        <w:t>）、</w:t>
      </w:r>
      <w:r>
        <w:t xml:space="preserve"> </w:t>
      </w:r>
      <w:r>
        <w:rPr>
          <w:spacing w:val="-9"/>
        </w:rPr>
        <w:t>万马股份（</w:t>
      </w:r>
      <w:r>
        <w:rPr>
          <w:rFonts w:ascii="Arial" w:eastAsia="Arial" w:hAnsi="Arial" w:cs="Arial"/>
          <w:spacing w:val="-9"/>
        </w:rPr>
        <w:t>002276.SZ</w:t>
      </w:r>
      <w:r>
        <w:rPr>
          <w:spacing w:val="-9"/>
        </w:rPr>
        <w:t>）、国电南瑞（</w:t>
      </w:r>
      <w:r>
        <w:rPr>
          <w:rFonts w:ascii="Arial" w:eastAsia="Arial" w:hAnsi="Arial" w:cs="Arial"/>
          <w:spacing w:val="-9"/>
        </w:rPr>
        <w:t>600406.SH</w:t>
      </w:r>
      <w:r>
        <w:rPr>
          <w:spacing w:val="-9"/>
        </w:rPr>
        <w:t>）、中</w:t>
      </w:r>
      <w:r>
        <w:rPr>
          <w:spacing w:val="-10"/>
        </w:rPr>
        <w:t>国西电（</w:t>
      </w:r>
      <w:r>
        <w:rPr>
          <w:rFonts w:ascii="Arial" w:eastAsia="Arial" w:hAnsi="Arial" w:cs="Arial"/>
          <w:spacing w:val="-10"/>
        </w:rPr>
        <w:t>601179.SH</w:t>
      </w:r>
      <w:r>
        <w:rPr>
          <w:spacing w:val="-40"/>
          <w:w w:val="86"/>
        </w:rPr>
        <w:t>），</w:t>
      </w:r>
      <w:r>
        <w:rPr>
          <w:spacing w:val="3"/>
        </w:rPr>
        <w:t xml:space="preserve"> </w:t>
      </w:r>
      <w:r>
        <w:rPr>
          <w:spacing w:val="5"/>
        </w:rPr>
        <w:t>建议关注海兴电力（</w:t>
      </w:r>
      <w:r>
        <w:rPr>
          <w:rFonts w:ascii="Arial" w:eastAsia="Arial" w:hAnsi="Arial" w:cs="Arial"/>
          <w:spacing w:val="5"/>
        </w:rPr>
        <w:t>603556.</w:t>
      </w:r>
      <w:r>
        <w:rPr>
          <w:rFonts w:ascii="Arial" w:eastAsia="Arial" w:hAnsi="Arial" w:cs="Arial"/>
        </w:rPr>
        <w:t>SH</w:t>
      </w:r>
      <w:r>
        <w:rPr>
          <w:spacing w:val="5"/>
        </w:rPr>
        <w:t>）、华明装备（</w:t>
      </w:r>
      <w:r>
        <w:rPr>
          <w:rFonts w:ascii="Arial" w:eastAsia="Arial" w:hAnsi="Arial" w:cs="Arial"/>
          <w:spacing w:val="5"/>
        </w:rPr>
        <w:t>002270.</w:t>
      </w:r>
      <w:r>
        <w:rPr>
          <w:rFonts w:ascii="Arial" w:eastAsia="Arial" w:hAnsi="Arial" w:cs="Arial"/>
        </w:rPr>
        <w:t>SZ</w:t>
      </w:r>
      <w:r>
        <w:rPr>
          <w:spacing w:val="5"/>
        </w:rPr>
        <w:t>）、金盘科技</w:t>
      </w:r>
      <w:r>
        <w:rPr>
          <w:spacing w:val="5"/>
        </w:rPr>
        <w:t xml:space="preserve"> </w:t>
      </w:r>
      <w:r>
        <w:rPr>
          <w:spacing w:val="-1"/>
        </w:rPr>
        <w:t>（</w:t>
      </w:r>
      <w:r>
        <w:rPr>
          <w:rFonts w:ascii="Arial" w:eastAsia="Arial" w:hAnsi="Arial" w:cs="Arial"/>
          <w:spacing w:val="-1"/>
        </w:rPr>
        <w:t>688676.SH</w:t>
      </w:r>
      <w:r>
        <w:rPr>
          <w:spacing w:val="-1"/>
        </w:rPr>
        <w:t>）</w:t>
      </w:r>
    </w:p>
    <w:p>
      <w:pPr>
        <w:pStyle w:val="BodyText"/>
        <w:spacing w:before="224" w:line="279" w:lineRule="auto"/>
        <w:ind w:left="664" w:right="301" w:firstLine="9"/>
        <w:jc w:val="both"/>
      </w:pPr>
      <w:r>
        <w:rPr>
          <w:rFonts w:ascii="Arial" w:eastAsia="Arial" w:hAnsi="Arial" w:cs="Arial"/>
          <w:b/>
          <w:bCs/>
          <w:spacing w:val="-4"/>
        </w:rPr>
        <w:t xml:space="preserve">1 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月新能源乘用车批发环比下降，混动车型同比高增。</w:t>
      </w:r>
      <w:r>
        <w:rPr>
          <w:spacing w:val="-4"/>
        </w:rPr>
        <w:t>根据乘联会数据，</w:t>
      </w:r>
      <w:r>
        <w:rPr>
          <w:spacing w:val="70"/>
        </w:rPr>
        <w:t xml:space="preserve"> </w:t>
      </w:r>
      <w:r>
        <w:rPr>
          <w:rFonts w:ascii="Arial" w:eastAsia="Arial" w:hAnsi="Arial" w:cs="Arial"/>
          <w:spacing w:val="-4"/>
        </w:rPr>
        <w:t>1</w:t>
      </w:r>
      <w:r>
        <w:rPr>
          <w:rFonts w:ascii="Arial" w:eastAsia="Arial" w:hAnsi="Arial" w:cs="Arial"/>
        </w:rPr>
        <w:t xml:space="preserve">  </w:t>
      </w:r>
      <w:r>
        <w:rPr>
          <w:spacing w:val="-6"/>
        </w:rPr>
        <w:t>月新能源乘用车批发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6"/>
        </w:rPr>
        <w:t xml:space="preserve">68.2 </w:t>
      </w:r>
      <w:r>
        <w:rPr>
          <w:spacing w:val="-6"/>
        </w:rPr>
        <w:t>万辆，</w:t>
      </w:r>
      <w:r>
        <w:rPr>
          <w:spacing w:val="-6"/>
        </w:rPr>
        <w:t xml:space="preserve"> </w:t>
      </w:r>
      <w:r>
        <w:rPr>
          <w:spacing w:val="-6"/>
        </w:rPr>
        <w:t>同环比</w:t>
      </w:r>
      <w:r>
        <w:rPr>
          <w:rFonts w:ascii="Arial" w:eastAsia="Arial" w:hAnsi="Arial" w:cs="Arial"/>
          <w:spacing w:val="-6"/>
        </w:rPr>
        <w:t>+76.2%/-38.8%</w:t>
      </w:r>
      <w:r>
        <w:rPr>
          <w:spacing w:val="-6"/>
        </w:rPr>
        <w:t>，其中，</w:t>
      </w:r>
      <w:r>
        <w:rPr>
          <w:spacing w:val="-53"/>
        </w:rPr>
        <w:t xml:space="preserve"> </w:t>
      </w:r>
      <w:r>
        <w:rPr>
          <w:spacing w:val="-7"/>
        </w:rPr>
        <w:t>插混批发销</w:t>
      </w:r>
      <w:r>
        <w:t xml:space="preserve"> </w:t>
      </w:r>
      <w:r>
        <w:rPr>
          <w:spacing w:val="-6"/>
        </w:rPr>
        <w:t>量</w:t>
      </w:r>
      <w:r>
        <w:rPr>
          <w:spacing w:val="-6"/>
        </w:rPr>
        <w:t xml:space="preserve"> </w:t>
      </w:r>
      <w:r>
        <w:rPr>
          <w:rFonts w:ascii="Arial" w:eastAsia="Arial" w:hAnsi="Arial" w:cs="Arial"/>
          <w:spacing w:val="-6"/>
        </w:rPr>
        <w:t>18.8</w:t>
      </w:r>
      <w:r>
        <w:rPr>
          <w:rFonts w:ascii="Arial" w:eastAsia="Arial" w:hAnsi="Arial" w:cs="Arial"/>
          <w:spacing w:val="30"/>
          <w:w w:val="101"/>
        </w:rPr>
        <w:t xml:space="preserve"> </w:t>
      </w:r>
      <w:r>
        <w:rPr>
          <w:spacing w:val="-6"/>
        </w:rPr>
        <w:t>万辆，</w:t>
      </w:r>
      <w:r>
        <w:rPr>
          <w:spacing w:val="-6"/>
        </w:rPr>
        <w:t xml:space="preserve"> </w:t>
      </w:r>
      <w:r>
        <w:rPr>
          <w:spacing w:val="-6"/>
        </w:rPr>
        <w:t>同环比</w:t>
      </w:r>
      <w:r>
        <w:rPr>
          <w:rFonts w:ascii="Arial" w:eastAsia="Arial" w:hAnsi="Arial" w:cs="Arial"/>
          <w:spacing w:val="-6"/>
        </w:rPr>
        <w:t>+104%/-23%</w:t>
      </w:r>
      <w:r>
        <w:rPr>
          <w:rFonts w:ascii="Arial" w:eastAsia="Arial" w:hAnsi="Arial" w:cs="Arial"/>
          <w:spacing w:val="-31"/>
        </w:rPr>
        <w:t xml:space="preserve"> </w:t>
      </w:r>
      <w:r>
        <w:rPr>
          <w:spacing w:val="-6"/>
        </w:rPr>
        <w:t>。</w:t>
      </w:r>
      <w:r>
        <w:rPr>
          <w:rFonts w:ascii="Arial" w:eastAsia="Arial" w:hAnsi="Arial" w:cs="Arial"/>
          <w:spacing w:val="-6"/>
        </w:rPr>
        <w:t>1</w:t>
      </w:r>
      <w:r>
        <w:rPr>
          <w:rFonts w:ascii="Arial" w:eastAsia="Arial" w:hAnsi="Arial" w:cs="Arial"/>
          <w:spacing w:val="32"/>
        </w:rPr>
        <w:t xml:space="preserve"> </w:t>
      </w:r>
      <w:r>
        <w:rPr>
          <w:spacing w:val="-6"/>
        </w:rPr>
        <w:t>月新能源乘用车零售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6"/>
        </w:rPr>
        <w:t>66.</w:t>
      </w:r>
      <w:r>
        <w:rPr>
          <w:rFonts w:ascii="Arial" w:eastAsia="Arial" w:hAnsi="Arial" w:cs="Arial"/>
          <w:spacing w:val="-7"/>
        </w:rPr>
        <w:t>8</w:t>
      </w:r>
      <w:r>
        <w:rPr>
          <w:rFonts w:ascii="Arial" w:eastAsia="Arial" w:hAnsi="Arial" w:cs="Arial"/>
          <w:spacing w:val="28"/>
        </w:rPr>
        <w:t xml:space="preserve"> </w:t>
      </w:r>
      <w:r>
        <w:rPr>
          <w:spacing w:val="-7"/>
        </w:rPr>
        <w:t>万辆，同</w:t>
      </w:r>
      <w:r>
        <w:rPr>
          <w:spacing w:val="-7"/>
        </w:rPr>
        <w:t xml:space="preserve"> </w:t>
      </w:r>
      <w:r>
        <w:rPr>
          <w:spacing w:val="-1"/>
        </w:rPr>
        <w:t>环比</w:t>
      </w:r>
      <w:r>
        <w:rPr>
          <w:rFonts w:ascii="Arial" w:eastAsia="Arial" w:hAnsi="Arial" w:cs="Arial"/>
          <w:spacing w:val="-1"/>
        </w:rPr>
        <w:t>+101.8%/-29.5%</w:t>
      </w:r>
      <w:r>
        <w:rPr>
          <w:spacing w:val="-1"/>
        </w:rPr>
        <w:t>，新能源乘用车渗透率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spacing w:val="-1"/>
        </w:rPr>
        <w:t>32.8%</w:t>
      </w:r>
      <w:r>
        <w:rPr>
          <w:spacing w:val="-1"/>
        </w:rPr>
        <w:t>，同环比</w:t>
      </w:r>
      <w:r>
        <w:rPr>
          <w:rFonts w:ascii="Arial" w:eastAsia="Arial" w:hAnsi="Arial" w:cs="Arial"/>
          <w:spacing w:val="-1"/>
        </w:rPr>
        <w:t>+7.2/-7.5p</w:t>
      </w:r>
      <w:r>
        <w:rPr>
          <w:rFonts w:ascii="Arial" w:eastAsia="Arial" w:hAnsi="Arial" w:cs="Arial"/>
          <w:spacing w:val="-2"/>
        </w:rPr>
        <w:t>cts</w:t>
      </w:r>
      <w:r>
        <w:rPr>
          <w:spacing w:val="-2"/>
        </w:rPr>
        <w:t>；</w:t>
      </w:r>
      <w:r>
        <w:t xml:space="preserve"> </w:t>
      </w:r>
      <w:r>
        <w:rPr>
          <w:spacing w:val="-4"/>
        </w:rPr>
        <w:t>新能源乘用车产量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spacing w:val="-4"/>
        </w:rPr>
        <w:t xml:space="preserve">73.4 </w:t>
      </w:r>
      <w:r>
        <w:rPr>
          <w:spacing w:val="-4"/>
        </w:rPr>
        <w:t>万辆，</w:t>
      </w:r>
      <w:r>
        <w:rPr>
          <w:spacing w:val="-41"/>
        </w:rPr>
        <w:t xml:space="preserve"> </w:t>
      </w:r>
      <w:r>
        <w:rPr>
          <w:spacing w:val="-4"/>
        </w:rPr>
        <w:t>同环比</w:t>
      </w:r>
      <w:r>
        <w:rPr>
          <w:rFonts w:ascii="Arial" w:eastAsia="Arial" w:hAnsi="Arial" w:cs="Arial"/>
          <w:spacing w:val="-4"/>
        </w:rPr>
        <w:t>+85.1%/-33.3%</w:t>
      </w:r>
      <w:r>
        <w:rPr>
          <w:spacing w:val="-4"/>
        </w:rPr>
        <w:t>，环比下滑主要系部分</w:t>
      </w:r>
      <w:r>
        <w:t xml:space="preserve"> </w:t>
      </w:r>
      <w:r>
        <w:rPr>
          <w:spacing w:val="8"/>
        </w:rPr>
        <w:t>需求前置叠加春节将至影响，</w:t>
      </w:r>
      <w:r>
        <w:rPr>
          <w:spacing w:val="8"/>
        </w:rPr>
        <w:t xml:space="preserve"> </w:t>
      </w:r>
      <w:r>
        <w:rPr>
          <w:rFonts w:ascii="Arial" w:eastAsia="Arial" w:hAnsi="Arial" w:cs="Arial"/>
          <w:spacing w:val="8"/>
        </w:rPr>
        <w:t xml:space="preserve">1  </w:t>
      </w:r>
      <w:r>
        <w:rPr>
          <w:spacing w:val="8"/>
        </w:rPr>
        <w:t>月普遍为汽车销量淡季</w:t>
      </w:r>
      <w:r>
        <w:rPr>
          <w:spacing w:val="7"/>
        </w:rPr>
        <w:t>。推荐宁德时代</w:t>
      </w:r>
      <w:r>
        <w:t xml:space="preserve"> </w:t>
      </w:r>
      <w:r>
        <w:rPr>
          <w:rFonts w:ascii="Arial" w:eastAsia="Arial" w:hAnsi="Arial" w:cs="Arial"/>
          <w:spacing w:val="4"/>
        </w:rPr>
        <w:t>(300750.</w:t>
      </w:r>
      <w:r>
        <w:rPr>
          <w:rFonts w:ascii="Arial" w:eastAsia="Arial" w:hAnsi="Arial" w:cs="Arial"/>
        </w:rPr>
        <w:t>SZ</w:t>
      </w:r>
      <w:r>
        <w:rPr>
          <w:rFonts w:ascii="Arial" w:eastAsia="Arial" w:hAnsi="Arial" w:cs="Arial"/>
          <w:spacing w:val="4"/>
        </w:rPr>
        <w:t xml:space="preserve">) </w:t>
      </w:r>
      <w:r>
        <w:rPr>
          <w:spacing w:val="4"/>
        </w:rPr>
        <w:t>、中伟股份</w:t>
      </w:r>
      <w:r>
        <w:rPr>
          <w:spacing w:val="-60"/>
        </w:rPr>
        <w:t xml:space="preserve"> </w:t>
      </w:r>
      <w:r>
        <w:rPr>
          <w:rFonts w:ascii="Arial" w:eastAsia="Arial" w:hAnsi="Arial" w:cs="Arial"/>
          <w:spacing w:val="4"/>
        </w:rPr>
        <w:t>(300919.</w:t>
      </w:r>
      <w:r>
        <w:rPr>
          <w:rFonts w:ascii="Arial" w:eastAsia="Arial" w:hAnsi="Arial" w:cs="Arial"/>
        </w:rPr>
        <w:t>SZ</w:t>
      </w:r>
      <w:r>
        <w:rPr>
          <w:rFonts w:ascii="Arial" w:eastAsia="Arial" w:hAnsi="Arial" w:cs="Arial"/>
          <w:spacing w:val="4"/>
        </w:rPr>
        <w:t xml:space="preserve">) </w:t>
      </w:r>
      <w:r>
        <w:rPr>
          <w:spacing w:val="4"/>
        </w:rPr>
        <w:t>、新宙邦（</w:t>
      </w:r>
      <w:r>
        <w:rPr>
          <w:rFonts w:ascii="Arial" w:eastAsia="Arial" w:hAnsi="Arial" w:cs="Arial"/>
          <w:spacing w:val="4"/>
        </w:rPr>
        <w:t>300</w:t>
      </w:r>
      <w:r>
        <w:rPr>
          <w:rFonts w:ascii="Arial" w:eastAsia="Arial" w:hAnsi="Arial" w:cs="Arial"/>
          <w:spacing w:val="3"/>
        </w:rPr>
        <w:t>037.</w:t>
      </w:r>
      <w:r>
        <w:rPr>
          <w:rFonts w:ascii="Arial" w:eastAsia="Arial" w:hAnsi="Arial" w:cs="Arial"/>
        </w:rPr>
        <w:t>SZ</w:t>
      </w:r>
      <w:r>
        <w:rPr>
          <w:rFonts w:ascii="Arial" w:eastAsia="Arial" w:hAnsi="Arial" w:cs="Arial"/>
          <w:spacing w:val="-28"/>
        </w:rPr>
        <w:t xml:space="preserve"> </w:t>
      </w:r>
      <w:r>
        <w:rPr>
          <w:spacing w:val="3"/>
        </w:rPr>
        <w:t>）、格</w:t>
      </w:r>
      <w:r>
        <w:rPr>
          <w:spacing w:val="-62"/>
        </w:rPr>
        <w:t xml:space="preserve"> </w:t>
      </w:r>
      <w:r>
        <w:rPr>
          <w:spacing w:val="3"/>
        </w:rPr>
        <w:t>力博</w:t>
      </w:r>
      <w:r>
        <w:t xml:space="preserve"> </w:t>
      </w:r>
      <w:r>
        <w:t>（</w:t>
      </w:r>
      <w:r>
        <w:rPr>
          <w:rFonts w:ascii="Arial" w:eastAsia="Arial" w:hAnsi="Arial" w:cs="Arial"/>
        </w:rPr>
        <w:t>301260.SZ</w:t>
      </w:r>
      <w:r>
        <w:t>）、泰和新材</w:t>
      </w:r>
      <w:r>
        <w:rPr>
          <w:rFonts w:ascii="Arial" w:eastAsia="Arial" w:hAnsi="Arial" w:cs="Arial"/>
        </w:rPr>
        <w:t>(00</w:t>
      </w:r>
      <w:r>
        <w:rPr>
          <w:rFonts w:ascii="Arial" w:eastAsia="Arial" w:hAnsi="Arial" w:cs="Arial"/>
          <w:spacing w:val="-1"/>
        </w:rPr>
        <w:t>2254.SZ)</w:t>
      </w:r>
      <w:r>
        <w:rPr>
          <w:spacing w:val="-1"/>
        </w:rPr>
        <w:t>、亿纬锂能</w:t>
      </w:r>
      <w:r>
        <w:rPr>
          <w:rFonts w:ascii="Arial" w:eastAsia="Arial" w:hAnsi="Arial" w:cs="Arial"/>
          <w:spacing w:val="-1"/>
        </w:rPr>
        <w:t>(300014.SZ)</w:t>
      </w:r>
      <w:r>
        <w:rPr>
          <w:spacing w:val="-1"/>
        </w:rPr>
        <w:t>、天赐材料</w:t>
      </w:r>
      <w:r>
        <w:t xml:space="preserve"> </w:t>
      </w:r>
      <w:r>
        <w:rPr>
          <w:rFonts w:ascii="Arial" w:eastAsia="Arial" w:hAnsi="Arial" w:cs="Arial"/>
        </w:rPr>
        <w:t>(002709.SZ)</w:t>
      </w:r>
      <w:r>
        <w:t>、科达利</w:t>
      </w:r>
      <w:r>
        <w:rPr>
          <w:rFonts w:ascii="Arial" w:eastAsia="Arial" w:hAnsi="Arial" w:cs="Arial"/>
        </w:rPr>
        <w:t>(002850</w:t>
      </w:r>
      <w:r>
        <w:rPr>
          <w:rFonts w:ascii="Arial" w:eastAsia="Arial" w:hAnsi="Arial" w:cs="Arial"/>
          <w:spacing w:val="-1"/>
        </w:rPr>
        <w:t>.SZ)</w:t>
      </w:r>
      <w:r>
        <w:rPr>
          <w:spacing w:val="-1"/>
        </w:rPr>
        <w:t>。</w:t>
      </w:r>
    </w:p>
    <w:p>
      <w:pPr>
        <w:pStyle w:val="BodyText"/>
        <w:spacing w:before="179" w:line="279" w:lineRule="auto"/>
        <w:ind w:left="657" w:right="275" w:firstLine="23"/>
      </w:pP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山东</w:t>
      </w:r>
      <w:r>
        <w:t xml:space="preserve"> </w:t>
      </w:r>
      <w:r>
        <w:rPr>
          <w:rFonts w:ascii="Arial" w:eastAsia="Arial" w:hAnsi="Arial" w:cs="Arial"/>
          <w:b/>
          <w:bCs/>
        </w:rPr>
        <w:t xml:space="preserve">24 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年目标新增海上风电装机</w:t>
      </w:r>
      <w:r>
        <w:t xml:space="preserve"> </w:t>
      </w:r>
      <w:r>
        <w:rPr>
          <w:rFonts w:ascii="Arial" w:eastAsia="Arial" w:hAnsi="Arial" w:cs="Arial"/>
          <w:b/>
          <w:bCs/>
        </w:rPr>
        <w:t>1.5GW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，加快风电规模开发。</w:t>
      </w:r>
      <w:r>
        <w:rPr>
          <w:spacing w:val="-1"/>
        </w:rPr>
        <w:t>山东印发</w:t>
      </w:r>
      <w:r>
        <w:rPr>
          <w:spacing w:val="-1"/>
        </w:rPr>
        <w:t xml:space="preserve"> </w:t>
      </w:r>
      <w:r>
        <w:rPr>
          <w:spacing w:val="-7"/>
        </w:rPr>
        <w:t>《</w:t>
      </w:r>
      <w:r>
        <w:rPr>
          <w:rFonts w:ascii="Arial" w:eastAsia="Arial" w:hAnsi="Arial" w:cs="Arial"/>
          <w:spacing w:val="-7"/>
        </w:rPr>
        <w:t xml:space="preserve">2024 </w:t>
      </w:r>
      <w:r>
        <w:rPr>
          <w:spacing w:val="-7"/>
        </w:rPr>
        <w:t>年全省能源转型工作要点》，要求推动省管海域项目实现“应开尽开、</w:t>
      </w:r>
      <w:r>
        <w:t xml:space="preserve"> </w:t>
      </w:r>
      <w:r>
        <w:rPr>
          <w:spacing w:val="-5"/>
        </w:rPr>
        <w:t>能并尽并”，建成渤中</w:t>
      </w:r>
      <w:r>
        <w:rPr>
          <w:spacing w:val="-17"/>
        </w:rPr>
        <w:t xml:space="preserve"> </w:t>
      </w:r>
      <w:r>
        <w:rPr>
          <w:rFonts w:ascii="Arial" w:eastAsia="Arial" w:hAnsi="Arial" w:cs="Arial"/>
          <w:spacing w:val="-5"/>
        </w:rPr>
        <w:t xml:space="preserve">G </w:t>
      </w:r>
      <w:r>
        <w:rPr>
          <w:spacing w:val="-5"/>
        </w:rPr>
        <w:t>一期、半岛南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5"/>
        </w:rPr>
        <w:t xml:space="preserve">U1 </w:t>
      </w:r>
      <w:r>
        <w:rPr>
          <w:spacing w:val="-5"/>
        </w:rPr>
        <w:t>二期、半岛北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5"/>
        </w:rPr>
        <w:t>BW</w:t>
      </w:r>
      <w:r>
        <w:rPr>
          <w:rFonts w:ascii="Arial" w:eastAsia="Arial" w:hAnsi="Arial" w:cs="Arial"/>
          <w:spacing w:val="19"/>
        </w:rPr>
        <w:t xml:space="preserve"> </w:t>
      </w:r>
      <w:r>
        <w:rPr>
          <w:spacing w:val="-5"/>
        </w:rPr>
        <w:t>等项目；积极</w:t>
      </w:r>
      <w:r>
        <w:rPr>
          <w:spacing w:val="-5"/>
        </w:rPr>
        <w:t xml:space="preserve"> </w:t>
      </w:r>
      <w:r>
        <w:rPr>
          <w:spacing w:val="5"/>
        </w:rPr>
        <w:t>开展国管海域项目前期工作，适时启动示范项目建设，新增海上风电装机</w:t>
      </w:r>
      <w:r>
        <w:rPr>
          <w:spacing w:val="5"/>
        </w:rPr>
        <w:t xml:space="preserve"> </w:t>
      </w:r>
      <w:r>
        <w:rPr>
          <w:rFonts w:ascii="Arial" w:eastAsia="Arial" w:hAnsi="Arial" w:cs="Arial"/>
          <w:spacing w:val="-1"/>
        </w:rPr>
        <w:t xml:space="preserve">1.5GW </w:t>
      </w:r>
      <w:r>
        <w:rPr>
          <w:spacing w:val="-1"/>
        </w:rPr>
        <w:t>左右，总规模突破</w:t>
      </w:r>
      <w:r>
        <w:rPr>
          <w:spacing w:val="-26"/>
        </w:rPr>
        <w:t xml:space="preserve"> </w:t>
      </w:r>
      <w:r>
        <w:rPr>
          <w:rFonts w:ascii="Arial" w:eastAsia="Arial" w:hAnsi="Arial" w:cs="Arial"/>
          <w:spacing w:val="-1"/>
        </w:rPr>
        <w:t>6GW</w:t>
      </w:r>
      <w:r>
        <w:rPr>
          <w:spacing w:val="-1"/>
        </w:rPr>
        <w:t>。加快推进首批陆上集中式风电核准开工，</w:t>
      </w:r>
      <w:r>
        <w:rPr>
          <w:spacing w:val="-1"/>
        </w:rPr>
        <w:t xml:space="preserve"> </w:t>
      </w:r>
      <w:r>
        <w:rPr>
          <w:spacing w:val="-5"/>
        </w:rPr>
        <w:t>计划</w:t>
      </w:r>
      <w:r>
        <w:rPr>
          <w:spacing w:val="-40"/>
        </w:rPr>
        <w:t xml:space="preserve"> </w:t>
      </w:r>
      <w:r>
        <w:rPr>
          <w:rFonts w:ascii="Arial" w:eastAsia="Arial" w:hAnsi="Arial" w:cs="Arial"/>
          <w:spacing w:val="-5"/>
        </w:rPr>
        <w:t xml:space="preserve">24 </w:t>
      </w:r>
      <w:r>
        <w:rPr>
          <w:spacing w:val="-5"/>
        </w:rPr>
        <w:t>年全省风电累计装机达到</w:t>
      </w:r>
      <w:r>
        <w:rPr>
          <w:spacing w:val="-48"/>
        </w:rPr>
        <w:t xml:space="preserve"> </w:t>
      </w:r>
      <w:r>
        <w:rPr>
          <w:rFonts w:ascii="Arial" w:eastAsia="Arial" w:hAnsi="Arial" w:cs="Arial"/>
          <w:spacing w:val="-5"/>
        </w:rPr>
        <w:t xml:space="preserve">27GW </w:t>
      </w:r>
      <w:r>
        <w:rPr>
          <w:spacing w:val="-5"/>
        </w:rPr>
        <w:t>左右。山东风电规模开发进度加快，</w:t>
      </w:r>
      <w:r>
        <w:t xml:space="preserve"> </w:t>
      </w:r>
      <w:r>
        <w:rPr>
          <w:spacing w:val="14"/>
        </w:rPr>
        <w:t>将扩大市场推动能</w:t>
      </w:r>
      <w:r>
        <w:rPr>
          <w:spacing w:val="-53"/>
        </w:rPr>
        <w:t xml:space="preserve"> </w:t>
      </w:r>
      <w:r>
        <w:rPr>
          <w:spacing w:val="14"/>
        </w:rPr>
        <w:t>源释放。推荐中天科技（</w:t>
      </w:r>
      <w:r>
        <w:rPr>
          <w:rFonts w:ascii="Arial" w:eastAsia="Arial" w:hAnsi="Arial" w:cs="Arial"/>
          <w:spacing w:val="14"/>
        </w:rPr>
        <w:t>600522.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-28"/>
        </w:rPr>
        <w:t xml:space="preserve"> </w:t>
      </w:r>
      <w:r>
        <w:rPr>
          <w:spacing w:val="14"/>
        </w:rPr>
        <w:t>）、东方</w:t>
      </w:r>
      <w:r>
        <w:rPr>
          <w:spacing w:val="-48"/>
        </w:rPr>
        <w:t xml:space="preserve"> </w:t>
      </w:r>
      <w:r>
        <w:rPr>
          <w:spacing w:val="14"/>
        </w:rPr>
        <w:t>电缆</w:t>
      </w:r>
      <w:r>
        <w:rPr>
          <w:spacing w:val="14"/>
        </w:rPr>
        <w:t xml:space="preserve"> </w:t>
      </w:r>
      <w:r>
        <w:rPr>
          <w:spacing w:val="-8"/>
        </w:rPr>
        <w:t>（</w:t>
      </w:r>
      <w:r>
        <w:rPr>
          <w:rFonts w:ascii="Arial" w:eastAsia="Arial" w:hAnsi="Arial" w:cs="Arial"/>
          <w:spacing w:val="-8"/>
        </w:rPr>
        <w:t>603606.SH</w:t>
      </w:r>
      <w:r>
        <w:rPr>
          <w:spacing w:val="-8"/>
        </w:rPr>
        <w:t>）、天顺风能（</w:t>
      </w:r>
      <w:r>
        <w:rPr>
          <w:rFonts w:ascii="Arial" w:eastAsia="Arial" w:hAnsi="Arial" w:cs="Arial"/>
          <w:spacing w:val="-8"/>
        </w:rPr>
        <w:t>002531.SZ</w:t>
      </w:r>
      <w:r>
        <w:rPr>
          <w:spacing w:val="-8"/>
        </w:rPr>
        <w:t>）、</w:t>
      </w:r>
      <w:r>
        <w:rPr>
          <w:spacing w:val="-9"/>
        </w:rPr>
        <w:t>万马股份（</w:t>
      </w:r>
      <w:r>
        <w:rPr>
          <w:rFonts w:ascii="Arial" w:eastAsia="Arial" w:hAnsi="Arial" w:cs="Arial"/>
          <w:spacing w:val="-9"/>
        </w:rPr>
        <w:t>002276.SZ</w:t>
      </w:r>
      <w:r>
        <w:rPr>
          <w:spacing w:val="-9"/>
        </w:rPr>
        <w:t>）、长盛轴</w:t>
      </w:r>
      <w:r>
        <w:rPr>
          <w:spacing w:val="-9"/>
        </w:rPr>
        <w:t xml:space="preserve"> </w:t>
      </w:r>
      <w:r>
        <w:rPr>
          <w:spacing w:val="-2"/>
        </w:rPr>
        <w:t>承（</w:t>
      </w:r>
      <w:r>
        <w:rPr>
          <w:rFonts w:ascii="Arial" w:eastAsia="Arial" w:hAnsi="Arial" w:cs="Arial"/>
          <w:spacing w:val="-2"/>
        </w:rPr>
        <w:t>300718.SZ</w:t>
      </w:r>
      <w:r>
        <w:rPr>
          <w:spacing w:val="-2"/>
        </w:rPr>
        <w:t>）五洲新春（</w:t>
      </w:r>
      <w:r>
        <w:rPr>
          <w:rFonts w:ascii="Arial" w:eastAsia="Arial" w:hAnsi="Arial" w:cs="Arial"/>
          <w:spacing w:val="-2"/>
        </w:rPr>
        <w:t>603</w:t>
      </w:r>
      <w:r>
        <w:rPr>
          <w:rFonts w:ascii="Arial" w:eastAsia="Arial" w:hAnsi="Arial" w:cs="Arial"/>
          <w:spacing w:val="-3"/>
        </w:rPr>
        <w:t>667.SH</w:t>
      </w:r>
      <w:r>
        <w:rPr>
          <w:spacing w:val="-3"/>
        </w:rPr>
        <w:t>）、明阳智能（</w:t>
      </w:r>
      <w:r>
        <w:rPr>
          <w:rFonts w:ascii="Arial" w:eastAsia="Arial" w:hAnsi="Arial" w:cs="Arial"/>
          <w:spacing w:val="-3"/>
        </w:rPr>
        <w:t>601615.SH</w:t>
      </w:r>
      <w:r>
        <w:rPr>
          <w:spacing w:val="-3"/>
        </w:rPr>
        <w:t>）等。</w:t>
      </w:r>
    </w:p>
    <w:p>
      <w:pPr>
        <w:pStyle w:val="BodyText"/>
        <w:spacing w:before="176" w:line="186" w:lineRule="auto"/>
        <w:ind w:left="662"/>
      </w:pPr>
      <w:r>
        <w:rPr>
          <w:spacing w:val="-3"/>
        </w:rPr>
        <w:t>风险提示：</w:t>
      </w:r>
      <w:r>
        <w:rPr>
          <w:spacing w:val="-20"/>
        </w:rPr>
        <w:t xml:space="preserve"> </w:t>
      </w:r>
      <w:r>
        <w:rPr>
          <w:spacing w:val="-3"/>
        </w:rPr>
        <w:t>政策风险、市场竞争加剧等风险、供应链短缺风险等</w:t>
      </w:r>
    </w:p>
    <w:p>
      <w:pPr>
        <w:spacing w:line="14" w:lineRule="auto"/>
        <w:rPr>
          <w:rFonts w:ascii="Arial"/>
          <w:sz w:val="2"/>
        </w:rPr>
        <w:sectPr>
          <w:footerReference w:type="default" r:id="rId9"/>
          <w:type w:val="continuous"/>
          <w:pgSz w:w="11907" w:h="16839"/>
          <w:pgMar w:top="12" w:right="0" w:bottom="867" w:left="0" w:header="0" w:footer="21" w:gutter="0"/>
          <w:pgNumType w:start="4"/>
          <w:cols w:num="2" w:space="708" w:equalWidth="0">
            <w:col w:w="7921" w:space="100"/>
            <w:col w:w="388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2"/>
      </w:pPr>
    </w:p>
    <w:tbl>
      <w:tblPr>
        <w:tblStyle w:val="TableNormal0"/>
        <w:tblW w:w="318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84"/>
      </w:tblGrid>
      <w:tr>
        <w:tblPrEx>
          <w:tblW w:w="318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5"/>
        </w:trPr>
        <w:tc>
          <w:tcPr>
            <w:tcW w:w="3184" w:type="dxa"/>
            <w:tcBorders>
              <w:top w:val="single" w:sz="2" w:space="0" w:color="808080"/>
              <w:bottom w:val="single" w:sz="2" w:space="0" w:color="808080"/>
            </w:tcBorders>
            <w:vAlign w:val="top"/>
          </w:tcPr>
          <w:p>
            <w:pPr>
              <w:spacing w:before="109" w:line="218" w:lineRule="auto"/>
              <w:ind w:left="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</w:t>
            </w:r>
          </w:p>
        </w:tc>
      </w:tr>
      <w:tr>
        <w:tblPrEx>
          <w:tblW w:w="3184" w:type="dxa"/>
          <w:tblInd w:w="0" w:type="dxa"/>
          <w:tblLayout w:type="fixed"/>
        </w:tblPrEx>
        <w:trPr>
          <w:trHeight w:val="1049"/>
        </w:trPr>
        <w:tc>
          <w:tcPr>
            <w:tcW w:w="3184" w:type="dxa"/>
            <w:tcBorders>
              <w:top w:val="single" w:sz="2" w:space="0" w:color="808080"/>
              <w:bottom w:val="single" w:sz="2" w:space="0" w:color="000000"/>
            </w:tcBorders>
            <w:vAlign w:val="top"/>
          </w:tcPr>
          <w:p>
            <w:pPr>
              <w:spacing w:before="22" w:line="292" w:lineRule="exac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-2"/>
                <w:sz w:val="16"/>
                <w:szCs w:val="16"/>
              </w:rPr>
              <w:drawing>
                <wp:inline distT="0" distB="0" distL="0" distR="0">
                  <wp:extent cx="150495" cy="15113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" cy="1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1"/>
                <w:position w:val="-2"/>
                <w:sz w:val="16"/>
                <w:szCs w:val="16"/>
              </w:rPr>
              <w:t xml:space="preserve">  </w:t>
            </w:r>
            <w:r>
              <w:rPr>
                <w:rFonts w:ascii="KaiTi" w:eastAsia="KaiTi" w:hAnsi="KaiTi" w:cs="KaiTi"/>
                <w:position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杨敬梅</w:t>
            </w:r>
            <w:r>
              <w:rPr>
                <w:rFonts w:ascii="KaiTi" w:eastAsia="KaiTi" w:hAnsi="KaiTi" w:cs="KaiTi"/>
                <w:position w:val="-2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b/>
                <w:bCs/>
                <w:position w:val="-2"/>
                <w:sz w:val="16"/>
                <w:szCs w:val="16"/>
              </w:rPr>
              <w:t>S0800518020002</w:t>
            </w:r>
          </w:p>
          <w:p>
            <w:pPr>
              <w:spacing w:before="41" w:line="241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drawing>
                <wp:inline distT="0" distB="0" distL="0" distR="0">
                  <wp:extent cx="150495" cy="150494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" cy="150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7"/>
                <w:sz w:val="13"/>
                <w:szCs w:val="13"/>
              </w:rPr>
              <w:t xml:space="preserve">    </w:t>
            </w:r>
            <w:r>
              <w:rPr>
                <w:rFonts w:ascii="Arial" w:eastAsia="Arial" w:hAnsi="Arial" w:cs="Arial"/>
                <w:spacing w:val="4"/>
                <w:sz w:val="13"/>
                <w:szCs w:val="13"/>
              </w:rPr>
              <w:t>021-38584220</w:t>
            </w:r>
          </w:p>
          <w:p>
            <w:pPr>
              <w:spacing w:before="58" w:line="268" w:lineRule="exac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position w:val="-2"/>
                <w:sz w:val="13"/>
                <w:szCs w:val="13"/>
              </w:rPr>
              <w:drawing>
                <wp:inline distT="0" distB="0" distL="0" distR="0">
                  <wp:extent cx="150495" cy="150494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" cy="150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4"/>
                <w:position w:val="-2"/>
                <w:sz w:val="13"/>
                <w:szCs w:val="13"/>
              </w:rPr>
              <w:t xml:space="preserve">    </w:t>
            </w:r>
            <w:r>
              <w:rPr>
                <w:rFonts w:ascii="Arial" w:eastAsia="Arial" w:hAnsi="Arial" w:cs="Arial"/>
                <w:spacing w:val="5"/>
                <w:position w:val="-2"/>
                <w:sz w:val="13"/>
                <w:szCs w:val="13"/>
              </w:rPr>
              <w:t>yangjingmei@research.xbmail</w:t>
            </w:r>
            <w:r>
              <w:rPr>
                <w:rFonts w:ascii="Arial" w:eastAsia="Arial" w:hAnsi="Arial" w:cs="Arial"/>
                <w:spacing w:val="4"/>
                <w:position w:val="-2"/>
                <w:sz w:val="13"/>
                <w:szCs w:val="13"/>
              </w:rPr>
              <w:t>.com.cn</w:t>
            </w:r>
          </w:p>
        </w:tc>
      </w:tr>
      <w:tr>
        <w:tblPrEx>
          <w:tblW w:w="3184" w:type="dxa"/>
          <w:tblInd w:w="0" w:type="dxa"/>
          <w:tblLayout w:type="fixed"/>
        </w:tblPrEx>
        <w:trPr>
          <w:trHeight w:val="335"/>
        </w:trPr>
        <w:tc>
          <w:tcPr>
            <w:tcW w:w="31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7" w:line="225" w:lineRule="auto"/>
              <w:ind w:left="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C2632"/>
                <w:spacing w:val="-1"/>
                <w:sz w:val="16"/>
                <w:szCs w:val="16"/>
                <w14:textOutline w14:w="2917">
                  <w14:solidFill>
                    <w14:srgbClr w14:val="1C2632"/>
                  </w14:solidFill>
                  <w14:prstDash w14:val="solid"/>
                  <w14:miter w14:lim="10"/>
                </w14:textOutline>
              </w:rPr>
              <w:t>相关研究</w:t>
            </w:r>
          </w:p>
        </w:tc>
      </w:tr>
    </w:tbl>
    <w:p>
      <w:pPr>
        <w:pStyle w:val="BodyText"/>
        <w:spacing w:before="23" w:line="228" w:lineRule="auto"/>
        <w:ind w:left="4" w:right="730" w:firstLine="17"/>
        <w:rPr>
          <w:rFonts w:ascii="Arial" w:eastAsia="Arial" w:hAnsi="Arial" w:cs="Arial"/>
          <w:sz w:val="16"/>
          <w:szCs w:val="16"/>
        </w:rPr>
      </w:pPr>
      <w:r>
        <w:rPr>
          <w:color w:val="1C2632"/>
          <w:spacing w:val="-1"/>
          <w:sz w:val="16"/>
          <w:szCs w:val="16"/>
        </w:rPr>
        <w:t>电力设备：欧洲组件需求持续改善，</w:t>
      </w:r>
      <w:r>
        <w:rPr>
          <w:rFonts w:ascii="Arial" w:eastAsia="Arial" w:hAnsi="Arial" w:cs="Arial"/>
          <w:color w:val="1C2632"/>
          <w:spacing w:val="-1"/>
          <w:sz w:val="16"/>
          <w:szCs w:val="16"/>
        </w:rPr>
        <w:t>Q2</w:t>
      </w:r>
      <w:r>
        <w:rPr>
          <w:rFonts w:ascii="Arial" w:eastAsia="Arial" w:hAnsi="Arial" w:cs="Arial"/>
          <w:color w:val="1C2632"/>
          <w:spacing w:val="13"/>
          <w:w w:val="102"/>
          <w:sz w:val="16"/>
          <w:szCs w:val="16"/>
        </w:rPr>
        <w:t xml:space="preserve"> </w:t>
      </w:r>
      <w:r>
        <w:rPr>
          <w:color w:val="1C2632"/>
          <w:spacing w:val="-1"/>
          <w:sz w:val="16"/>
          <w:szCs w:val="16"/>
        </w:rPr>
        <w:t>锂电</w:t>
      </w:r>
      <w:r>
        <w:rPr>
          <w:color w:val="1C2632"/>
          <w:sz w:val="16"/>
          <w:szCs w:val="16"/>
        </w:rPr>
        <w:t xml:space="preserve"> </w:t>
      </w:r>
      <w:r>
        <w:rPr>
          <w:color w:val="1C2632"/>
          <w:spacing w:val="12"/>
          <w:sz w:val="16"/>
          <w:szCs w:val="16"/>
        </w:rPr>
        <w:t>产业链有望迎来补库需求—</w:t>
      </w:r>
      <w:r>
        <w:rPr>
          <w:color w:val="1C2632"/>
          <w:spacing w:val="-28"/>
          <w:sz w:val="16"/>
          <w:szCs w:val="16"/>
        </w:rPr>
        <w:t xml:space="preserve"> </w:t>
      </w:r>
      <w:r>
        <w:rPr>
          <w:color w:val="1C2632"/>
          <w:spacing w:val="12"/>
          <w:sz w:val="16"/>
          <w:szCs w:val="16"/>
        </w:rPr>
        <w:t>电新行业周报</w:t>
      </w:r>
      <w:r>
        <w:rPr>
          <w:color w:val="1C2632"/>
          <w:sz w:val="16"/>
          <w:szCs w:val="16"/>
        </w:rPr>
        <w:t xml:space="preserve"> </w:t>
      </w:r>
      <w:r>
        <w:rPr>
          <w:rFonts w:ascii="Arial" w:eastAsia="Arial" w:hAnsi="Arial" w:cs="Arial"/>
          <w:color w:val="1C2632"/>
          <w:sz w:val="16"/>
          <w:szCs w:val="16"/>
        </w:rPr>
        <w:t>20240205-20240218</w:t>
      </w:r>
      <w:r>
        <w:rPr>
          <w:rFonts w:ascii="Arial" w:eastAsia="Arial" w:hAnsi="Arial" w:cs="Arial"/>
          <w:color w:val="1C2632"/>
          <w:spacing w:val="11"/>
          <w:sz w:val="16"/>
          <w:szCs w:val="16"/>
        </w:rPr>
        <w:t xml:space="preserve">   </w:t>
      </w:r>
      <w:r>
        <w:rPr>
          <w:rFonts w:ascii="Arial" w:eastAsia="Arial" w:hAnsi="Arial" w:cs="Arial"/>
          <w:color w:val="1C2632"/>
          <w:sz w:val="16"/>
          <w:szCs w:val="16"/>
        </w:rPr>
        <w:t>2024-</w:t>
      </w:r>
      <w:r>
        <w:rPr>
          <w:rFonts w:ascii="Arial" w:eastAsia="Arial" w:hAnsi="Arial" w:cs="Arial"/>
          <w:color w:val="1C2632"/>
          <w:spacing w:val="-1"/>
          <w:sz w:val="16"/>
          <w:szCs w:val="16"/>
        </w:rPr>
        <w:t>02-18</w:t>
      </w:r>
    </w:p>
    <w:p>
      <w:pPr>
        <w:pStyle w:val="BodyText"/>
        <w:spacing w:before="30" w:line="228" w:lineRule="auto"/>
        <w:ind w:left="5" w:right="729" w:firstLine="16"/>
        <w:rPr>
          <w:rFonts w:ascii="Arial" w:eastAsia="Arial" w:hAnsi="Arial" w:cs="Arial"/>
          <w:sz w:val="16"/>
          <w:szCs w:val="16"/>
        </w:rPr>
      </w:pPr>
      <w:r>
        <w:rPr>
          <w:color w:val="1C2632"/>
          <w:spacing w:val="-9"/>
          <w:sz w:val="16"/>
          <w:szCs w:val="16"/>
        </w:rPr>
        <w:t>电力设备：</w:t>
      </w:r>
      <w:r>
        <w:rPr>
          <w:color w:val="1C2632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color w:val="1C2632"/>
          <w:spacing w:val="-9"/>
          <w:sz w:val="16"/>
          <w:szCs w:val="16"/>
        </w:rPr>
        <w:t>23Q4</w:t>
      </w:r>
      <w:r>
        <w:rPr>
          <w:rFonts w:ascii="Arial" w:eastAsia="Arial" w:hAnsi="Arial" w:cs="Arial"/>
          <w:color w:val="1C2632"/>
          <w:spacing w:val="14"/>
          <w:w w:val="101"/>
          <w:sz w:val="16"/>
          <w:szCs w:val="16"/>
        </w:rPr>
        <w:t xml:space="preserve"> </w:t>
      </w:r>
      <w:r>
        <w:rPr>
          <w:color w:val="1C2632"/>
          <w:spacing w:val="-9"/>
          <w:sz w:val="16"/>
          <w:szCs w:val="16"/>
        </w:rPr>
        <w:t>电力设备持仓环比下降，</w:t>
      </w:r>
      <w:r>
        <w:rPr>
          <w:color w:val="1C2632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color w:val="1C2632"/>
          <w:spacing w:val="-9"/>
          <w:sz w:val="16"/>
          <w:szCs w:val="16"/>
        </w:rPr>
        <w:t>24</w:t>
      </w:r>
      <w:r>
        <w:rPr>
          <w:rFonts w:ascii="Arial" w:eastAsia="Arial" w:hAnsi="Arial" w:cs="Arial"/>
          <w:color w:val="1C2632"/>
          <w:sz w:val="16"/>
          <w:szCs w:val="16"/>
        </w:rPr>
        <w:t xml:space="preserve"> </w:t>
      </w:r>
      <w:r>
        <w:rPr>
          <w:color w:val="1C2632"/>
          <w:spacing w:val="1"/>
          <w:sz w:val="16"/>
          <w:szCs w:val="16"/>
        </w:rPr>
        <w:t>年</w:t>
      </w:r>
      <w:r>
        <w:rPr>
          <w:color w:val="1C2632"/>
          <w:spacing w:val="41"/>
          <w:sz w:val="16"/>
          <w:szCs w:val="16"/>
        </w:rPr>
        <w:t xml:space="preserve"> </w:t>
      </w:r>
      <w:r>
        <w:rPr>
          <w:rFonts w:ascii="Arial" w:eastAsia="Arial" w:hAnsi="Arial" w:cs="Arial"/>
          <w:color w:val="1C2632"/>
          <w:spacing w:val="1"/>
          <w:sz w:val="16"/>
          <w:szCs w:val="16"/>
        </w:rPr>
        <w:t xml:space="preserve">1  </w:t>
      </w:r>
      <w:r>
        <w:rPr>
          <w:color w:val="1C2632"/>
          <w:spacing w:val="1"/>
          <w:sz w:val="16"/>
          <w:szCs w:val="16"/>
        </w:rPr>
        <w:t>月电车销量同比高增</w:t>
      </w:r>
      <w:r>
        <w:rPr>
          <w:color w:val="1C2632"/>
          <w:spacing w:val="1"/>
          <w:sz w:val="16"/>
          <w:szCs w:val="16"/>
        </w:rPr>
        <w:t xml:space="preserve"> </w:t>
      </w:r>
      <w:r>
        <w:rPr>
          <w:color w:val="1C2632"/>
          <w:spacing w:val="1"/>
          <w:sz w:val="16"/>
          <w:szCs w:val="16"/>
        </w:rPr>
        <w:t>—</w:t>
      </w:r>
      <w:r>
        <w:rPr>
          <w:color w:val="1C2632"/>
          <w:spacing w:val="-52"/>
          <w:sz w:val="16"/>
          <w:szCs w:val="16"/>
        </w:rPr>
        <w:t xml:space="preserve"> </w:t>
      </w:r>
      <w:r>
        <w:rPr>
          <w:color w:val="1C2632"/>
          <w:spacing w:val="1"/>
          <w:sz w:val="16"/>
          <w:szCs w:val="16"/>
        </w:rPr>
        <w:t>电新行业周报</w:t>
      </w:r>
      <w:r>
        <w:rPr>
          <w:color w:val="1C2632"/>
          <w:sz w:val="16"/>
          <w:szCs w:val="16"/>
        </w:rPr>
        <w:t xml:space="preserve"> </w:t>
      </w:r>
      <w:r>
        <w:rPr>
          <w:rFonts w:ascii="Arial" w:eastAsia="Arial" w:hAnsi="Arial" w:cs="Arial"/>
          <w:color w:val="1C2632"/>
          <w:spacing w:val="-1"/>
          <w:sz w:val="16"/>
          <w:szCs w:val="16"/>
        </w:rPr>
        <w:t>20240129-20240204</w:t>
      </w:r>
      <w:r>
        <w:rPr>
          <w:rFonts w:ascii="Arial" w:eastAsia="Arial" w:hAnsi="Arial" w:cs="Arial"/>
          <w:color w:val="1C2632"/>
          <w:spacing w:val="15"/>
          <w:w w:val="101"/>
          <w:sz w:val="16"/>
          <w:szCs w:val="16"/>
        </w:rPr>
        <w:t xml:space="preserve">   </w:t>
      </w:r>
      <w:r>
        <w:rPr>
          <w:rFonts w:ascii="Arial" w:eastAsia="Arial" w:hAnsi="Arial" w:cs="Arial"/>
          <w:color w:val="1C2632"/>
          <w:spacing w:val="-1"/>
          <w:sz w:val="16"/>
          <w:szCs w:val="16"/>
        </w:rPr>
        <w:t>2024-02-04</w:t>
      </w:r>
    </w:p>
    <w:p>
      <w:pPr>
        <w:pStyle w:val="BodyText"/>
        <w:spacing w:before="30" w:line="228" w:lineRule="auto"/>
        <w:ind w:left="5" w:right="728" w:firstLine="16"/>
        <w:rPr>
          <w:rFonts w:ascii="Arial" w:eastAsia="Arial" w:hAnsi="Arial" w:cs="Arial"/>
          <w:sz w:val="16"/>
          <w:szCs w:val="16"/>
        </w:rPr>
      </w:pPr>
      <w:r>
        <w:rPr>
          <w:color w:val="1C2632"/>
          <w:spacing w:val="4"/>
          <w:sz w:val="16"/>
          <w:szCs w:val="16"/>
        </w:rPr>
        <w:t>电力设备：海外储能景气度稳中有升，锂电</w:t>
      </w:r>
      <w:r>
        <w:rPr>
          <w:color w:val="1C2632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color w:val="1C2632"/>
          <w:spacing w:val="-6"/>
          <w:sz w:val="16"/>
          <w:szCs w:val="16"/>
        </w:rPr>
        <w:t xml:space="preserve">OPE   </w:t>
      </w:r>
      <w:r>
        <w:rPr>
          <w:color w:val="1C2632"/>
          <w:spacing w:val="-6"/>
          <w:sz w:val="16"/>
          <w:szCs w:val="16"/>
        </w:rPr>
        <w:t>发</w:t>
      </w:r>
      <w:r>
        <w:rPr>
          <w:color w:val="1C2632"/>
          <w:spacing w:val="-22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展</w:t>
      </w:r>
      <w:r>
        <w:rPr>
          <w:color w:val="1C2632"/>
          <w:spacing w:val="-23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有</w:t>
      </w:r>
      <w:r>
        <w:rPr>
          <w:color w:val="1C2632"/>
          <w:spacing w:val="-17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望</w:t>
      </w:r>
      <w:r>
        <w:rPr>
          <w:color w:val="1C2632"/>
          <w:spacing w:val="-29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提</w:t>
      </w:r>
      <w:r>
        <w:rPr>
          <w:color w:val="1C2632"/>
          <w:spacing w:val="-23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速</w:t>
      </w:r>
      <w:r>
        <w:rPr>
          <w:color w:val="1C2632"/>
          <w:spacing w:val="-29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—</w:t>
      </w:r>
      <w:r>
        <w:rPr>
          <w:color w:val="1C2632"/>
          <w:spacing w:val="-6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电</w:t>
      </w:r>
      <w:r>
        <w:rPr>
          <w:color w:val="1C2632"/>
          <w:spacing w:val="-19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新</w:t>
      </w:r>
      <w:r>
        <w:rPr>
          <w:color w:val="1C2632"/>
          <w:spacing w:val="-23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行</w:t>
      </w:r>
      <w:r>
        <w:rPr>
          <w:color w:val="1C2632"/>
          <w:spacing w:val="-6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业</w:t>
      </w:r>
      <w:r>
        <w:rPr>
          <w:color w:val="1C2632"/>
          <w:spacing w:val="-25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周</w:t>
      </w:r>
      <w:r>
        <w:rPr>
          <w:color w:val="1C2632"/>
          <w:spacing w:val="-26"/>
          <w:sz w:val="16"/>
          <w:szCs w:val="16"/>
        </w:rPr>
        <w:t xml:space="preserve"> </w:t>
      </w:r>
      <w:r>
        <w:rPr>
          <w:color w:val="1C2632"/>
          <w:spacing w:val="-6"/>
          <w:sz w:val="16"/>
          <w:szCs w:val="16"/>
        </w:rPr>
        <w:t>报</w:t>
      </w:r>
      <w:r>
        <w:rPr>
          <w:color w:val="1C2632"/>
          <w:sz w:val="16"/>
          <w:szCs w:val="16"/>
        </w:rPr>
        <w:t xml:space="preserve"> </w:t>
      </w:r>
      <w:r>
        <w:rPr>
          <w:rFonts w:ascii="Arial" w:eastAsia="Arial" w:hAnsi="Arial" w:cs="Arial"/>
          <w:color w:val="1C2632"/>
          <w:spacing w:val="-1"/>
          <w:sz w:val="16"/>
          <w:szCs w:val="16"/>
        </w:rPr>
        <w:t>20240122-20240128</w:t>
      </w:r>
      <w:r>
        <w:rPr>
          <w:rFonts w:ascii="Arial" w:eastAsia="Arial" w:hAnsi="Arial" w:cs="Arial"/>
          <w:color w:val="1C2632"/>
          <w:spacing w:val="15"/>
          <w:w w:val="101"/>
          <w:sz w:val="16"/>
          <w:szCs w:val="16"/>
        </w:rPr>
        <w:t xml:space="preserve">   </w:t>
      </w:r>
      <w:r>
        <w:rPr>
          <w:rFonts w:ascii="Arial" w:eastAsia="Arial" w:hAnsi="Arial" w:cs="Arial"/>
          <w:color w:val="1C2632"/>
          <w:spacing w:val="-1"/>
          <w:sz w:val="16"/>
          <w:szCs w:val="16"/>
        </w:rPr>
        <w:t>2024-01-28</w:t>
      </w:r>
    </w:p>
    <w:p>
      <w:pPr>
        <w:spacing w:line="228" w:lineRule="auto"/>
        <w:rPr>
          <w:rFonts w:ascii="Arial" w:eastAsia="Arial" w:hAnsi="Arial" w:cs="Arial"/>
          <w:sz w:val="16"/>
          <w:szCs w:val="16"/>
        </w:rPr>
        <w:sectPr>
          <w:footerReference w:type="default" r:id="rId13"/>
          <w:type w:val="nextPage"/>
          <w:pgSz w:w="11907" w:h="16839"/>
          <w:pgMar w:top="12" w:right="0" w:bottom="867" w:left="0" w:header="0" w:footer="21" w:gutter="0"/>
          <w:pgNumType w:start="5"/>
          <w:cols w:num="2" w:space="708" w:equalWidth="0">
            <w:col w:w="7921" w:space="100"/>
            <w:col w:w="3886" w:space="0"/>
          </w:cols>
          <w:titlePg w:val="0"/>
        </w:sectPr>
      </w:pPr>
    </w:p>
    <w:p>
      <w:pPr>
        <w:pStyle w:val="BodyText"/>
        <w:spacing w:before="271" w:line="623" w:lineRule="exact"/>
        <w:ind w:left="669"/>
        <w:rPr>
          <w:sz w:val="31"/>
          <w:szCs w:val="31"/>
        </w:rPr>
      </w:pP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column">
                  <wp:posOffset>425450</wp:posOffset>
                </wp:positionH>
                <wp:positionV relativeFrom="paragraph">
                  <wp:posOffset>514730</wp:posOffset>
                </wp:positionV>
                <wp:extent cx="6696075" cy="53975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25450" y="514730"/>
                          <a:ext cx="6696075" cy="53975"/>
                        </a:xfrm>
                        <a:prstGeom prst="rect">
                          <a:avLst/>
                        </a:prstGeom>
                        <a:solidFill>
                          <a:srgbClr val="C30F1B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4" o:spid="_x0000_s1027" style="width:527.25pt;height:4.25pt;margin-top:40.53pt;margin-left:33.5pt;mso-wrap-distance-bottom:0;mso-wrap-distance-left:0;mso-wrap-distance-right:0;mso-wrap-distance-top:0;position:absolute;v-text-anchor:top;z-index:-251655168" fillcolor="#c30f1b" stroked="f"/>
            </w:pict>
          </mc:Fallback>
        </mc:AlternateContent>
      </w:r>
      <w:r>
        <w:rPr>
          <w:rFonts w:ascii="Arial" w:eastAsia="Arial" w:hAnsi="Arial" w:cs="Arial"/>
          <w:color w:val="C30F1B"/>
          <w:spacing w:val="-3"/>
          <w:position w:val="2"/>
          <w:sz w:val="31"/>
          <w:szCs w:val="31"/>
        </w:rPr>
        <w:t>I</w:t>
      </w:r>
      <w:r>
        <w:rPr>
          <w:rFonts w:ascii="Arial" w:eastAsia="Arial" w:hAnsi="Arial" w:cs="Arial"/>
          <w:color w:val="C30F1B"/>
          <w:spacing w:val="9"/>
          <w:position w:val="2"/>
          <w:sz w:val="31"/>
          <w:szCs w:val="31"/>
        </w:rPr>
        <w:t xml:space="preserve">  </w:t>
      </w:r>
      <w:r>
        <w:rPr>
          <w:color w:val="0D0D0D"/>
          <w:spacing w:val="-3"/>
          <w:position w:val="11"/>
          <w:sz w:val="31"/>
          <w:szCs w:val="31"/>
        </w:rPr>
        <w:t>索引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223" w:lineRule="auto"/>
        <w:ind w:left="3123"/>
        <w:rPr>
          <w:sz w:val="31"/>
          <w:szCs w:val="31"/>
        </w:rPr>
      </w:pPr>
      <w:r>
        <w:rPr>
          <w:spacing w:val="-4"/>
          <w:sz w:val="31"/>
          <w:szCs w:val="31"/>
        </w:rPr>
        <w:t>内容目录</w:t>
      </w:r>
    </w:p>
    <w:sdt>
      <w:sdtPr>
        <w:rPr>
          <w:rFonts w:ascii="KaiTi" w:eastAsia="KaiTi" w:hAnsi="KaiTi" w:cs="KaiTi"/>
          <w:sz w:val="19"/>
          <w:szCs w:val="19"/>
        </w:rPr>
        <w:id w:val="192422251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1205"/>
            </w:tabs>
            <w:spacing w:before="201" w:line="239" w:lineRule="auto"/>
            <w:ind w:left="3084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专题一：跟踪支架有望成为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24 </w:t>
          </w:r>
          <w:r>
            <w:rPr>
              <w:spacing w:val="6"/>
              <w:sz w:val="19"/>
              <w:szCs w:val="19"/>
            </w:rPr>
            <w:t>年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α </w:t>
          </w:r>
          <w:r>
            <w:rPr>
              <w:spacing w:val="6"/>
              <w:sz w:val="19"/>
              <w:szCs w:val="19"/>
            </w:rPr>
            <w:t>环节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28" w:line="223" w:lineRule="auto"/>
            <w:ind w:left="3374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8"/>
              <w:sz w:val="19"/>
              <w:szCs w:val="19"/>
            </w:rPr>
            <w:t xml:space="preserve">2025 </w:t>
          </w:r>
          <w:r>
            <w:rPr>
              <w:spacing w:val="8"/>
              <w:sz w:val="19"/>
              <w:szCs w:val="19"/>
            </w:rPr>
            <w:t>年全球跟踪支架市场有望突破千亿规模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5" w:line="235" w:lineRule="auto"/>
            <w:ind w:left="33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建议关注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3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32" w:line="221" w:lineRule="auto"/>
            <w:ind w:left="3699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中信博：</w:t>
          </w:r>
          <w:r>
            <w:rPr>
              <w:spacing w:val="46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受益于亚洲市场，沙特订单带来利润弹性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4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9" w:line="226" w:lineRule="auto"/>
            <w:ind w:left="3686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意华股份：美国支架代工业务利润丰厚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2" w:line="235" w:lineRule="auto"/>
            <w:ind w:left="3084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-2"/>
              <w:sz w:val="19"/>
              <w:szCs w:val="19"/>
            </w:rPr>
            <w:t>专题二：</w:t>
          </w:r>
          <w:r>
            <w:rPr>
              <w:spacing w:val="-2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微导纳米：</w:t>
          </w:r>
          <w:r>
            <w:rPr>
              <w:spacing w:val="-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-2"/>
              <w:sz w:val="19"/>
              <w:szCs w:val="19"/>
            </w:rPr>
            <w:t xml:space="preserve">ALD </w:t>
          </w:r>
          <w:r>
            <w:rPr>
              <w:spacing w:val="-2"/>
              <w:sz w:val="19"/>
              <w:szCs w:val="19"/>
            </w:rPr>
            <w:t>技术光伏</w:t>
          </w:r>
          <w:r>
            <w:rPr>
              <w:rFonts w:ascii="Arial" w:eastAsia="Arial" w:hAnsi="Arial" w:cs="Arial"/>
              <w:spacing w:val="-2"/>
              <w:sz w:val="19"/>
              <w:szCs w:val="19"/>
            </w:rPr>
            <w:t>&amp;</w:t>
          </w:r>
          <w:r>
            <w:rPr>
              <w:spacing w:val="-2"/>
              <w:sz w:val="19"/>
              <w:szCs w:val="19"/>
            </w:rPr>
            <w:t>半导</w:t>
          </w:r>
          <w:r>
            <w:rPr>
              <w:spacing w:val="-3"/>
              <w:sz w:val="19"/>
              <w:szCs w:val="19"/>
            </w:rPr>
            <w:t>体平台型龙头，</w:t>
          </w:r>
          <w:r>
            <w:rPr>
              <w:spacing w:val="64"/>
              <w:sz w:val="19"/>
              <w:szCs w:val="19"/>
            </w:rPr>
            <w:t xml:space="preserve"> </w:t>
          </w:r>
          <w:r>
            <w:rPr>
              <w:spacing w:val="-3"/>
              <w:sz w:val="19"/>
              <w:szCs w:val="19"/>
            </w:rPr>
            <w:t>拓展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-3"/>
              <w:sz w:val="19"/>
              <w:szCs w:val="19"/>
            </w:rPr>
            <w:t>CVD</w:t>
          </w:r>
          <w:r>
            <w:rPr>
              <w:rFonts w:ascii="Arial" w:eastAsia="Arial" w:hAnsi="Arial" w:cs="Arial"/>
              <w:spacing w:val="22"/>
              <w:sz w:val="19"/>
              <w:szCs w:val="19"/>
            </w:rPr>
            <w:t xml:space="preserve"> </w:t>
          </w:r>
          <w:r>
            <w:rPr>
              <w:spacing w:val="-3"/>
              <w:sz w:val="19"/>
              <w:szCs w:val="19"/>
            </w:rPr>
            <w:t>能力圈</w:t>
          </w:r>
          <w:r>
            <w:rPr>
              <w:spacing w:val="-4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6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33" w:line="230" w:lineRule="auto"/>
            <w:ind w:left="337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核心观点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7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8" w:line="221" w:lineRule="auto"/>
            <w:ind w:left="3378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先进制程驱动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ALD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设备需求持续提升，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25 </w:t>
          </w:r>
          <w:r>
            <w:rPr>
              <w:spacing w:val="5"/>
              <w:sz w:val="19"/>
              <w:szCs w:val="19"/>
            </w:rPr>
            <w:t>年市场空间超百亿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7" w:line="221" w:lineRule="auto"/>
            <w:ind w:left="33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光伏电池技术加速渗透，技术迭代拉平周期下行影响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50" w:line="221" w:lineRule="auto"/>
            <w:ind w:left="3090"/>
            <w:rPr>
              <w:rFonts w:ascii="Arial" w:eastAsia="Arial" w:hAnsi="Arial" w:cs="Arial"/>
              <w:sz w:val="19"/>
              <w:szCs w:val="19"/>
            </w:rPr>
          </w:pPr>
          <w:r>
            <w:rPr>
              <w:rFonts w:ascii="Arial" w:eastAsia="Arial" w:hAnsi="Arial" w:cs="Arial"/>
              <w:spacing w:val="8"/>
              <w:sz w:val="19"/>
              <w:szCs w:val="19"/>
            </w:rPr>
            <w:t xml:space="preserve">1 </w:t>
          </w:r>
          <w:r>
            <w:rPr>
              <w:spacing w:val="8"/>
              <w:sz w:val="19"/>
              <w:szCs w:val="19"/>
            </w:rPr>
            <w:t>月国内新能源乘用车环比降低，混动车型同比高增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6" w:line="230" w:lineRule="auto"/>
            <w:ind w:left="3072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价格追踪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8" w:line="224" w:lineRule="auto"/>
            <w:ind w:left="33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光伏价格产业</w:t>
          </w:r>
          <w:r>
            <w:rPr>
              <w:spacing w:val="-7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4" w:line="231" w:lineRule="auto"/>
            <w:ind w:left="308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行业动态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3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7" w:line="227" w:lineRule="auto"/>
            <w:ind w:left="3388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美国首家太阳能玻璃厂！光伏制造供应链再</w:t>
          </w:r>
          <w:r>
            <w:rPr>
              <w:spacing w:val="8"/>
              <w:sz w:val="19"/>
              <w:szCs w:val="19"/>
            </w:rPr>
            <w:t>完善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4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3" w:line="236" w:lineRule="auto"/>
            <w:ind w:left="3389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陕北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-</w:t>
          </w:r>
          <w:r>
            <w:rPr>
              <w:spacing w:val="7"/>
              <w:sz w:val="19"/>
              <w:szCs w:val="19"/>
            </w:rPr>
            <w:t>安徽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±800 </w:t>
          </w:r>
          <w:r>
            <w:rPr>
              <w:spacing w:val="7"/>
              <w:sz w:val="19"/>
              <w:szCs w:val="19"/>
            </w:rPr>
            <w:t>千伏特高压直流输电工程近日核准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5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1" w:line="226" w:lineRule="auto"/>
            <w:ind w:left="3382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交通运输部：今年全国计划新增公路服务区充电桩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30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00 </w:t>
          </w:r>
          <w:r>
            <w:rPr>
              <w:spacing w:val="7"/>
              <w:sz w:val="19"/>
              <w:szCs w:val="19"/>
            </w:rPr>
            <w:t>个</w:t>
          </w:r>
          <w:r>
            <w:rPr>
              <w:spacing w:val="-4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6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3" w:line="224" w:lineRule="auto"/>
            <w:ind w:left="339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宁德时代神行超充电池全球量产首搭星纪元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ET</w:t>
          </w:r>
          <w:r>
            <w:rPr>
              <w:rFonts w:ascii="Arial" w:eastAsia="Arial" w:hAnsi="Arial" w:cs="Arial"/>
              <w:spacing w:val="-1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hyperlink w:anchor="bookmark17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3" w:line="224" w:lineRule="auto"/>
            <w:ind w:left="3394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比亚迪等车企同日降价掀起价格战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8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7" w:line="221" w:lineRule="auto"/>
            <w:ind w:left="339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山东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24 </w:t>
          </w:r>
          <w:r>
            <w:rPr>
              <w:spacing w:val="7"/>
              <w:sz w:val="19"/>
              <w:szCs w:val="19"/>
            </w:rPr>
            <w:t>年目标新增海上风电装机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1.5</w:t>
          </w:r>
          <w:r>
            <w:rPr>
              <w:rFonts w:ascii="Arial" w:eastAsia="Arial" w:hAnsi="Arial" w:cs="Arial"/>
              <w:sz w:val="19"/>
              <w:szCs w:val="19"/>
            </w:rPr>
            <w:t>GW</w:t>
          </w:r>
          <w:r>
            <w:rPr>
              <w:spacing w:val="7"/>
              <w:sz w:val="19"/>
              <w:szCs w:val="19"/>
            </w:rPr>
            <w:t>，加快风电规模开发</w:t>
          </w:r>
          <w:r>
            <w:rPr>
              <w:spacing w:val="-7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9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6" w:line="226" w:lineRule="auto"/>
            <w:ind w:left="3377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上海公布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4 </w:t>
          </w:r>
          <w:r>
            <w:rPr>
              <w:spacing w:val="7"/>
              <w:sz w:val="19"/>
              <w:szCs w:val="19"/>
            </w:rPr>
            <w:t>个重大海上风电工程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0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3" w:line="221" w:lineRule="auto"/>
            <w:ind w:left="3386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海南公布重大风电项目，总投资超千亿元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1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7" w:line="221" w:lineRule="auto"/>
            <w:ind w:left="3375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优必选人形机器人进厂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“</w:t>
          </w:r>
          <w:r>
            <w:rPr>
              <w:spacing w:val="7"/>
              <w:sz w:val="19"/>
              <w:szCs w:val="19"/>
            </w:rPr>
            <w:t>打工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”</w:t>
          </w:r>
          <w:r>
            <w:rPr>
              <w:rFonts w:ascii="Arial" w:eastAsia="Arial" w:hAnsi="Arial" w:cs="Arial"/>
              <w:spacing w:val="-32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，</w:t>
          </w:r>
          <w:r>
            <w:rPr>
              <w:spacing w:val="-55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国产人形机器人迈出重要</w:t>
          </w:r>
          <w:r>
            <w:rPr>
              <w:spacing w:val="6"/>
              <w:sz w:val="19"/>
              <w:szCs w:val="19"/>
            </w:rPr>
            <w:t>一步</w:t>
          </w:r>
          <w:r>
            <w:rPr>
              <w:spacing w:val="-6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2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22</w:t>
            </w:r>
          </w:hyperlink>
        </w:p>
        <w:p>
          <w:pPr>
            <w:pStyle w:val="BodyText"/>
            <w:spacing w:before="147" w:line="221" w:lineRule="auto"/>
            <w:ind w:left="3385"/>
            <w:rPr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英伟达宣布举办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GTC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 xml:space="preserve"> 2024  </w:t>
          </w:r>
          <w:r>
            <w:rPr>
              <w:spacing w:val="8"/>
              <w:sz w:val="19"/>
              <w:szCs w:val="19"/>
            </w:rPr>
            <w:t>大会，将发布加速计算、</w:t>
          </w:r>
          <w:r>
            <w:rPr>
              <w:spacing w:val="7"/>
              <w:sz w:val="19"/>
              <w:szCs w:val="19"/>
            </w:rPr>
            <w:t>生成式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AI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  </w:t>
          </w:r>
          <w:r>
            <w:rPr>
              <w:spacing w:val="7"/>
              <w:sz w:val="19"/>
              <w:szCs w:val="19"/>
            </w:rPr>
            <w:t>以及机器人领域的最新突</w:t>
          </w:r>
        </w:p>
        <w:p>
          <w:pPr>
            <w:pStyle w:val="BodyText"/>
            <w:tabs>
              <w:tab w:val="right" w:leader="dot" w:pos="11204"/>
            </w:tabs>
            <w:spacing w:before="148" w:line="226" w:lineRule="auto"/>
            <w:ind w:left="307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破性成果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3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3" w:line="228" w:lineRule="auto"/>
            <w:ind w:left="3079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一周行情小结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4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23</w:t>
            </w:r>
          </w:hyperlink>
        </w:p>
      </w:sdtContent>
    </w:sdt>
    <w:p>
      <w:pPr>
        <w:spacing w:line="440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27878919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spacing w:before="101" w:line="224" w:lineRule="auto"/>
            <w:ind w:left="3119"/>
            <w:rPr>
              <w:sz w:val="31"/>
              <w:szCs w:val="31"/>
            </w:rPr>
          </w:pPr>
          <w:r>
            <w:rPr>
              <w:spacing w:val="-4"/>
              <w:sz w:val="31"/>
              <w:szCs w:val="31"/>
            </w:rPr>
            <w:t>图表目录</w:t>
          </w:r>
        </w:p>
        <w:p>
          <w:pPr>
            <w:pStyle w:val="BodyText"/>
            <w:tabs>
              <w:tab w:val="right" w:leader="dot" w:pos="11205"/>
            </w:tabs>
            <w:spacing w:before="196" w:line="226" w:lineRule="auto"/>
            <w:ind w:left="3100"/>
            <w:rPr>
              <w:rFonts w:ascii="Arial" w:eastAsia="Arial" w:hAnsi="Arial" w:cs="Arial"/>
              <w:sz w:val="19"/>
              <w:szCs w:val="19"/>
            </w:rPr>
            <w:sectPr>
              <w:headerReference w:type="default" r:id="rId14"/>
              <w:footerReference w:type="default" r:id="rId15"/>
              <w:pgSz w:w="11907" w:h="16839"/>
              <w:pgMar w:top="1202" w:right="14" w:bottom="928" w:left="11" w:header="10" w:footer="21" w:gutter="0"/>
              <w:pgNumType w:start="6"/>
              <w:cols w:space="708"/>
            </w:sect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1</w:t>
          </w:r>
          <w:r>
            <w:rPr>
              <w:spacing w:val="5"/>
              <w:sz w:val="19"/>
              <w:szCs w:val="19"/>
            </w:rPr>
            <w:t>：美国是跟踪支架主要市场</w:t>
          </w:r>
          <w:r>
            <w:rPr>
              <w:spacing w:val="-6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1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49950930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1205"/>
            </w:tabs>
            <w:spacing w:before="145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</w:t>
          </w:r>
          <w:r>
            <w:rPr>
              <w:spacing w:val="5"/>
              <w:sz w:val="19"/>
              <w:szCs w:val="19"/>
            </w:rPr>
            <w:t>：美国市场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2023 </w:t>
          </w:r>
          <w:r>
            <w:rPr>
              <w:spacing w:val="5"/>
              <w:sz w:val="19"/>
              <w:szCs w:val="19"/>
            </w:rPr>
            <w:t>年新增装机快速增长</w:t>
          </w:r>
          <w:r>
            <w:rPr>
              <w:spacing w:val="-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2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3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2023 </w:t>
          </w:r>
          <w:r>
            <w:rPr>
              <w:spacing w:val="6"/>
              <w:sz w:val="19"/>
              <w:szCs w:val="19"/>
            </w:rPr>
            <w:t>年美国发电结构中光伏占比仅为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4%</w:t>
          </w:r>
          <w:r>
            <w:rPr>
              <w:rFonts w:ascii="Arial" w:eastAsia="Arial" w:hAnsi="Arial" w:cs="Arial"/>
              <w:spacing w:val="-2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hyperlink w:anchor="bookmark25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2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4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年美国装机结构中光伏占比仅为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9%</w:t>
          </w:r>
          <w:r>
            <w:rPr>
              <w:rFonts w:ascii="Arial" w:eastAsia="Arial" w:hAnsi="Arial" w:cs="Arial"/>
              <w:spacing w:val="-2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hyperlink w:anchor="bookmark26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1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5</w:t>
          </w:r>
          <w:r>
            <w:rPr>
              <w:spacing w:val="7"/>
              <w:sz w:val="19"/>
              <w:szCs w:val="19"/>
            </w:rPr>
            <w:t>：中信博订单以印度、中东、中亚为主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7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5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6</w:t>
          </w:r>
          <w:r>
            <w:rPr>
              <w:spacing w:val="7"/>
              <w:sz w:val="19"/>
              <w:szCs w:val="19"/>
            </w:rPr>
            <w:t>：印度光伏装机需求有望重新恢复增长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8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8</w:t>
            </w:r>
          </w:hyperlink>
        </w:p>
      </w:sdtContent>
    </w:sdt>
    <w:p>
      <w:pPr>
        <w:spacing w:line="223" w:lineRule="auto"/>
        <w:rPr>
          <w:rFonts w:ascii="Arial" w:eastAsia="Arial" w:hAnsi="Arial" w:cs="Arial"/>
          <w:sz w:val="19"/>
          <w:szCs w:val="19"/>
        </w:rPr>
        <w:sectPr>
          <w:headerReference w:type="default" r:id="rId16"/>
          <w:footerReference w:type="default" r:id="rId17"/>
          <w:type w:val="nextPage"/>
          <w:pgSz w:w="11907" w:h="16839"/>
          <w:pgMar w:top="1202" w:right="14" w:bottom="928" w:left="11" w:header="10" w:footer="21" w:gutter="0"/>
          <w:pgNumType w:start="7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19"/>
          <w:szCs w:val="19"/>
        </w:rPr>
        <w:id w:val="110900270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1205"/>
            </w:tabs>
            <w:spacing w:before="62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7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24 </w:t>
          </w:r>
          <w:r>
            <w:rPr>
              <w:spacing w:val="6"/>
              <w:sz w:val="19"/>
              <w:szCs w:val="19"/>
            </w:rPr>
            <w:t>年中东市场有望实现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20%</w:t>
          </w:r>
          <w:r>
            <w:rPr>
              <w:spacing w:val="6"/>
              <w:sz w:val="19"/>
              <w:szCs w:val="19"/>
            </w:rPr>
            <w:t>以</w:t>
          </w:r>
          <w:r>
            <w:rPr>
              <w:spacing w:val="5"/>
              <w:sz w:val="19"/>
              <w:szCs w:val="19"/>
            </w:rPr>
            <w:t>上增长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9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1" w:line="221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8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 xml:space="preserve">2020 </w:t>
          </w:r>
          <w:r>
            <w:rPr>
              <w:spacing w:val="2"/>
              <w:sz w:val="19"/>
              <w:szCs w:val="19"/>
            </w:rPr>
            <w:t>年，</w:t>
          </w:r>
          <w:r>
            <w:rPr>
              <w:spacing w:val="-1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ALD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设备占据薄膜沉积设备市场的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11%</w:t>
          </w:r>
          <w:r>
            <w:rPr>
              <w:rFonts w:ascii="Arial" w:eastAsia="Arial" w:hAnsi="Arial" w:cs="Arial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r>
            <w:rPr>
              <w:rFonts w:ascii="Arial" w:eastAsia="Arial" w:hAnsi="Arial" w:cs="Arial"/>
              <w:spacing w:val="-24"/>
              <w:sz w:val="19"/>
              <w:szCs w:val="19"/>
            </w:rPr>
            <w:t xml:space="preserve"> </w:t>
          </w:r>
          <w:hyperlink w:anchor="bookmark30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6" w:line="225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>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年半导体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ALD</w:t>
          </w:r>
          <w:r>
            <w:rPr>
              <w:rFonts w:ascii="Arial" w:eastAsia="Arial" w:hAnsi="Arial" w:cs="Arial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设备销量大幅增加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51"/>
              <w:sz w:val="19"/>
              <w:szCs w:val="19"/>
            </w:rPr>
            <w:t xml:space="preserve"> </w:t>
          </w:r>
          <w:hyperlink w:anchor="bookmark31" w:history="1"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4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10</w:t>
          </w:r>
          <w:r>
            <w:rPr>
              <w:spacing w:val="4"/>
              <w:sz w:val="19"/>
              <w:szCs w:val="19"/>
            </w:rPr>
            <w:t>：存储为主要订单来源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51"/>
              <w:sz w:val="19"/>
              <w:szCs w:val="19"/>
            </w:rPr>
            <w:t xml:space="preserve"> </w:t>
          </w:r>
          <w:hyperlink w:anchor="bookmark32" w:history="1"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2" w:line="225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11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2017-2025 </w:t>
          </w:r>
          <w:r>
            <w:rPr>
              <w:spacing w:val="5"/>
              <w:sz w:val="19"/>
              <w:szCs w:val="19"/>
            </w:rPr>
            <w:t>年半导体薄膜沉积设备市场快速增长</w:t>
          </w:r>
          <w:r>
            <w:rPr>
              <w:spacing w:val="-6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3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3" w:line="224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12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 xml:space="preserve">2023 </w:t>
          </w:r>
          <w:r>
            <w:rPr>
              <w:spacing w:val="4"/>
              <w:sz w:val="19"/>
              <w:szCs w:val="19"/>
            </w:rPr>
            <w:t>年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TOPCon</w:t>
          </w:r>
          <w:r>
            <w:rPr>
              <w:rFonts w:ascii="Arial" w:eastAsia="Arial" w:hAnsi="Arial" w:cs="Arial"/>
              <w:spacing w:val="17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总规划产能达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1430</w:t>
          </w:r>
          <w:r>
            <w:rPr>
              <w:rFonts w:ascii="Arial" w:eastAsia="Arial" w:hAnsi="Arial" w:cs="Arial"/>
              <w:sz w:val="19"/>
              <w:szCs w:val="19"/>
            </w:rPr>
            <w:t>GW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r>
            <w:rPr>
              <w:rFonts w:ascii="Arial" w:eastAsia="Arial" w:hAnsi="Arial" w:cs="Arial"/>
              <w:spacing w:val="-24"/>
              <w:sz w:val="19"/>
              <w:szCs w:val="19"/>
            </w:rPr>
            <w:t xml:space="preserve"> </w:t>
          </w:r>
          <w:hyperlink w:anchor="bookmark34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4" w:line="222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13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202101-202401</w:t>
          </w:r>
          <w:r>
            <w:rPr>
              <w:rFonts w:ascii="Arial" w:eastAsia="Arial" w:hAnsi="Arial" w:cs="Arial"/>
              <w:spacing w:val="29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国内新能源乘用车产量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6" w:line="222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14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202101-202401</w:t>
          </w:r>
          <w:r>
            <w:rPr>
              <w:rFonts w:ascii="Arial" w:eastAsia="Arial" w:hAnsi="Arial" w:cs="Arial"/>
              <w:spacing w:val="29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国内新能源乘用车批发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6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8" w:line="222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15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202101-202401</w:t>
          </w:r>
          <w:r>
            <w:rPr>
              <w:rFonts w:ascii="Arial" w:eastAsia="Arial" w:hAnsi="Arial" w:cs="Arial"/>
              <w:spacing w:val="29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国内新能源乘用车零售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6" w:line="222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16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202201-202401</w:t>
          </w:r>
          <w:r>
            <w:rPr>
              <w:rFonts w:ascii="Arial" w:eastAsia="Arial" w:hAnsi="Arial" w:cs="Arial"/>
              <w:spacing w:val="29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国内新能源乘用车出口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7" w:line="229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2"/>
              <w:sz w:val="19"/>
              <w:szCs w:val="19"/>
            </w:rPr>
            <w:t>17</w:t>
          </w:r>
          <w:r>
            <w:rPr>
              <w:spacing w:val="2"/>
              <w:sz w:val="19"/>
              <w:szCs w:val="19"/>
            </w:rPr>
            <w:t>：多晶硅价格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8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18</w:t>
          </w:r>
          <w:r>
            <w:rPr>
              <w:spacing w:val="1"/>
              <w:sz w:val="19"/>
              <w:szCs w:val="19"/>
            </w:rPr>
            <w:t>：硅片价格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2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19</w:t>
          </w:r>
          <w:r>
            <w:rPr>
              <w:spacing w:val="3"/>
              <w:sz w:val="19"/>
              <w:szCs w:val="19"/>
            </w:rPr>
            <w:t>：电池片价格（元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/W</w:t>
          </w:r>
          <w:r>
            <w:rPr>
              <w:spacing w:val="3"/>
              <w:sz w:val="19"/>
              <w:szCs w:val="19"/>
            </w:rPr>
            <w:t>）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5" w:line="22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20</w:t>
          </w:r>
          <w:r>
            <w:rPr>
              <w:spacing w:val="4"/>
              <w:sz w:val="19"/>
              <w:szCs w:val="19"/>
            </w:rPr>
            <w:t>：组件价格（元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/W</w:t>
          </w:r>
          <w:r>
            <w:rPr>
              <w:spacing w:val="4"/>
              <w:sz w:val="19"/>
              <w:szCs w:val="19"/>
            </w:rPr>
            <w:t>）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9" w:line="23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21</w:t>
          </w:r>
          <w:r>
            <w:rPr>
              <w:spacing w:val="1"/>
              <w:sz w:val="19"/>
              <w:szCs w:val="19"/>
            </w:rPr>
            <w:t>：光伏玻璃价格（元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/</w:t>
          </w:r>
          <w:r>
            <w:rPr>
              <w:spacing w:val="1"/>
              <w:sz w:val="19"/>
              <w:szCs w:val="19"/>
            </w:rPr>
            <w:t>平方米）</w:t>
          </w:r>
          <w:r>
            <w:rPr>
              <w:spacing w:val="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2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0" w:line="23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22</w:t>
          </w:r>
          <w:r>
            <w:rPr>
              <w:spacing w:val="1"/>
              <w:sz w:val="19"/>
              <w:szCs w:val="19"/>
            </w:rPr>
            <w:t>：光伏胶膜价格（元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/</w:t>
          </w:r>
          <w:r>
            <w:rPr>
              <w:spacing w:val="1"/>
              <w:sz w:val="19"/>
              <w:szCs w:val="19"/>
            </w:rPr>
            <w:t>平方米）</w:t>
          </w:r>
          <w:r>
            <w:rPr>
              <w:spacing w:val="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29" w:line="222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23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白银价格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(</w:t>
          </w:r>
          <w:r>
            <w:rPr>
              <w:spacing w:val="1"/>
              <w:sz w:val="19"/>
              <w:szCs w:val="19"/>
            </w:rPr>
            <w:t>元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>/</w:t>
          </w:r>
          <w:r>
            <w:rPr>
              <w:rFonts w:ascii="Arial" w:eastAsia="Arial" w:hAnsi="Arial" w:cs="Arial"/>
              <w:sz w:val="19"/>
              <w:szCs w:val="19"/>
            </w:rPr>
            <w:t>kg</w:t>
          </w:r>
          <w:r>
            <w:rPr>
              <w:rFonts w:ascii="Arial" w:eastAsia="Arial" w:hAnsi="Arial" w:cs="Arial"/>
              <w:spacing w:val="1"/>
              <w:sz w:val="19"/>
              <w:szCs w:val="19"/>
            </w:rPr>
            <w:t xml:space="preserve">) </w:t>
          </w:r>
          <w:r>
            <w:rPr>
              <w:rFonts w:ascii="Arial" w:eastAsia="Arial" w:hAnsi="Arial" w:cs="Arial"/>
              <w:sz w:val="19"/>
              <w:szCs w:val="19"/>
            </w:rPr>
            <w:tab/>
          </w:r>
          <w:r>
            <w:rPr>
              <w:rFonts w:ascii="Arial" w:eastAsia="Arial" w:hAnsi="Arial" w:cs="Arial"/>
              <w:spacing w:val="-24"/>
              <w:sz w:val="19"/>
              <w:szCs w:val="19"/>
            </w:rPr>
            <w:t xml:space="preserve"> </w:t>
          </w:r>
          <w:hyperlink w:anchor="bookmark44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6" w:line="229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2021.01-2024.02 </w:t>
          </w:r>
          <w:r>
            <w:rPr>
              <w:spacing w:val="4"/>
              <w:sz w:val="19"/>
              <w:szCs w:val="19"/>
            </w:rPr>
            <w:t>动力电池价格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5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1" w:line="229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25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 xml:space="preserve">2021.06-2024.02 </w:t>
          </w:r>
          <w:r>
            <w:rPr>
              <w:spacing w:val="4"/>
              <w:sz w:val="19"/>
              <w:szCs w:val="19"/>
            </w:rPr>
            <w:t>锂盐价格</w:t>
          </w:r>
          <w:r>
            <w:rPr>
              <w:spacing w:val="-6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6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9" w:line="223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26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2021.01-2024.02</w:t>
          </w:r>
          <w:r>
            <w:rPr>
              <w:rFonts w:ascii="Arial" w:eastAsia="Arial" w:hAnsi="Arial" w:cs="Arial"/>
              <w:sz w:val="19"/>
              <w:szCs w:val="19"/>
            </w:rPr>
            <w:t>LME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镍及镍盐价格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7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5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2021.01-2024.02 </w:t>
          </w:r>
          <w:r>
            <w:rPr>
              <w:spacing w:val="5"/>
              <w:sz w:val="19"/>
              <w:szCs w:val="19"/>
            </w:rPr>
            <w:t>钴金属及钴盐价格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8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2" w:line="229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28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2021.01-2024.02 </w:t>
          </w:r>
          <w:r>
            <w:rPr>
              <w:spacing w:val="4"/>
              <w:sz w:val="19"/>
              <w:szCs w:val="19"/>
            </w:rPr>
            <w:t>正极材料价格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9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9" w:line="229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29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3"/>
              <w:sz w:val="19"/>
              <w:szCs w:val="19"/>
            </w:rPr>
            <w:t>2021.01-2024.02</w:t>
          </w:r>
          <w:r>
            <w:rPr>
              <w:rFonts w:ascii="Arial" w:eastAsia="Arial" w:hAnsi="Arial" w:cs="Arial"/>
              <w:spacing w:val="33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负极材料价格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0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1" w:line="229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30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 xml:space="preserve">2021.01-2024.02 </w:t>
          </w:r>
          <w:r>
            <w:rPr>
              <w:spacing w:val="4"/>
              <w:sz w:val="19"/>
              <w:szCs w:val="19"/>
            </w:rPr>
            <w:t>湿法隔膜价格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1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9" w:line="228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31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2021.01-2024.02</w:t>
          </w:r>
          <w:r>
            <w:rPr>
              <w:rFonts w:ascii="Arial" w:eastAsia="Arial" w:hAnsi="Arial" w:cs="Arial"/>
              <w:spacing w:val="24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电</w:t>
          </w:r>
          <w:r>
            <w:rPr>
              <w:spacing w:val="4"/>
              <w:sz w:val="19"/>
              <w:szCs w:val="19"/>
            </w:rPr>
            <w:t>解液及相关材料价格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2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39" w:line="226" w:lineRule="auto"/>
            <w:ind w:left="3100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4"/>
              <w:sz w:val="19"/>
              <w:szCs w:val="19"/>
            </w:rPr>
            <w:t>32</w:t>
          </w:r>
          <w:r>
            <w:rPr>
              <w:spacing w:val="4"/>
              <w:sz w:val="19"/>
              <w:szCs w:val="19"/>
            </w:rPr>
            <w:t>：每周板块变动</w:t>
          </w:r>
          <w:r>
            <w:rPr>
              <w:spacing w:val="-6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24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23</w:t>
            </w:r>
          </w:hyperlink>
        </w:p>
        <w:p>
          <w:pPr>
            <w:spacing w:line="404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1205"/>
            </w:tabs>
            <w:spacing w:before="62" w:line="221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>：美国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IRA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补贴奖励丰厚，有望刺激美国</w:t>
          </w:r>
          <w:r>
            <w:rPr>
              <w:spacing w:val="6"/>
              <w:sz w:val="19"/>
              <w:szCs w:val="19"/>
            </w:rPr>
            <w:t>市场持续扩容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3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6" w:line="223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2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 xml:space="preserve">2025 </w:t>
          </w:r>
          <w:r>
            <w:rPr>
              <w:spacing w:val="8"/>
              <w:sz w:val="19"/>
              <w:szCs w:val="19"/>
            </w:rPr>
            <w:t>年全球跟踪支架市场规模有望突破千亿</w:t>
          </w:r>
          <w:r>
            <w:rPr>
              <w:spacing w:val="-4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4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6" w:line="226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表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3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2022 </w:t>
          </w:r>
          <w:r>
            <w:rPr>
              <w:spacing w:val="5"/>
              <w:sz w:val="19"/>
              <w:szCs w:val="19"/>
            </w:rPr>
            <w:t>年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11 </w:t>
          </w:r>
          <w:r>
            <w:rPr>
              <w:spacing w:val="5"/>
              <w:sz w:val="19"/>
              <w:szCs w:val="19"/>
            </w:rPr>
            <w:t>月以来中信博订单不断突破</w:t>
          </w:r>
          <w:r>
            <w:rPr>
              <w:spacing w:val="-5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5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5" w:line="226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4</w:t>
          </w:r>
          <w:r>
            <w:rPr>
              <w:spacing w:val="8"/>
              <w:sz w:val="19"/>
              <w:szCs w:val="19"/>
            </w:rPr>
            <w:t>：中信博财务预测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6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1205"/>
            </w:tabs>
            <w:spacing w:before="141" w:line="224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5</w:t>
          </w:r>
          <w:r>
            <w:rPr>
              <w:spacing w:val="7"/>
              <w:sz w:val="19"/>
              <w:szCs w:val="19"/>
            </w:rPr>
            <w:t>：意华股份美国工厂有望带来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7"/>
              <w:sz w:val="19"/>
              <w:szCs w:val="19"/>
            </w:rPr>
            <w:t>140</w:t>
          </w:r>
          <w:r>
            <w:rPr>
              <w:rFonts w:ascii="Arial" w:eastAsia="Arial" w:hAnsi="Arial" w:cs="Arial"/>
              <w:spacing w:val="18"/>
              <w:w w:val="101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美元以上的单吨净利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57" w:history="1"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4" w:line="226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表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6</w:t>
          </w:r>
          <w:r>
            <w:rPr>
              <w:spacing w:val="5"/>
              <w:sz w:val="19"/>
              <w:szCs w:val="19"/>
            </w:rPr>
            <w:t>：预计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2025 </w:t>
          </w:r>
          <w:r>
            <w:rPr>
              <w:spacing w:val="5"/>
              <w:sz w:val="19"/>
              <w:szCs w:val="19"/>
            </w:rPr>
            <w:t>年我国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z w:val="19"/>
              <w:szCs w:val="19"/>
            </w:rPr>
            <w:t>ALD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设备市场规模达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126.6 </w:t>
          </w:r>
          <w:r>
            <w:rPr>
              <w:spacing w:val="5"/>
              <w:sz w:val="19"/>
              <w:szCs w:val="19"/>
            </w:rPr>
            <w:t>亿元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51"/>
              <w:sz w:val="19"/>
              <w:szCs w:val="19"/>
            </w:rPr>
            <w:t xml:space="preserve"> </w:t>
          </w:r>
          <w:hyperlink w:anchor="bookmark58" w:history="1"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1204"/>
            </w:tabs>
            <w:spacing w:before="142" w:line="226" w:lineRule="auto"/>
            <w:ind w:left="3071"/>
            <w:rPr>
              <w:rFonts w:ascii="Arial" w:eastAsia="Arial" w:hAnsi="Arial" w:cs="Arial"/>
              <w:sz w:val="19"/>
              <w:szCs w:val="19"/>
            </w:rPr>
            <w:sectPr>
              <w:headerReference w:type="default" r:id="rId18"/>
              <w:footerReference w:type="default" r:id="rId19"/>
              <w:pgSz w:w="11907" w:h="16839"/>
              <w:pgMar w:top="1202" w:right="14" w:bottom="928" w:left="11" w:header="10" w:footer="21" w:gutter="0"/>
              <w:pgNumType w:start="8"/>
              <w:cols w:space="708"/>
            </w:sectPr>
          </w:pPr>
          <w:r>
            <w:rPr>
              <w:spacing w:val="5"/>
              <w:sz w:val="19"/>
              <w:szCs w:val="19"/>
            </w:rPr>
            <w:t>表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>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2025 </w:t>
          </w:r>
          <w:r>
            <w:rPr>
              <w:spacing w:val="5"/>
              <w:sz w:val="19"/>
              <w:szCs w:val="19"/>
            </w:rPr>
            <w:t>年公司设备市场空间达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5"/>
              <w:sz w:val="19"/>
              <w:szCs w:val="19"/>
            </w:rPr>
            <w:t xml:space="preserve">130 </w:t>
          </w:r>
          <w:r>
            <w:rPr>
              <w:spacing w:val="5"/>
              <w:sz w:val="19"/>
              <w:szCs w:val="19"/>
            </w:rPr>
            <w:t>亿元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9" w:history="1"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13</w:t>
            </w:r>
          </w:hyperlink>
        </w:p>
      </w:sdtContent>
    </w:sdt>
    <w:sdt>
      <w:sdtPr>
        <w:rPr>
          <w:rFonts w:ascii="KaiTi" w:eastAsia="KaiTi" w:hAnsi="KaiTi" w:cs="KaiTi"/>
          <w:sz w:val="19"/>
          <w:szCs w:val="19"/>
        </w:rPr>
        <w:id w:val="175919630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1204"/>
            </w:tabs>
            <w:spacing w:before="145" w:line="228" w:lineRule="auto"/>
            <w:ind w:left="3071"/>
            <w:rPr>
              <w:rFonts w:ascii="Arial" w:eastAsia="Arial" w:hAnsi="Arial" w:cs="Arial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Arial" w:eastAsia="Arial" w:hAnsi="Arial" w:cs="Arial"/>
              <w:spacing w:val="8"/>
              <w:sz w:val="19"/>
              <w:szCs w:val="19"/>
            </w:rPr>
            <w:t>8</w:t>
          </w:r>
          <w:r>
            <w:rPr>
              <w:spacing w:val="8"/>
              <w:sz w:val="19"/>
              <w:szCs w:val="19"/>
            </w:rPr>
            <w:t>：重点覆盖公司估值表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60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23</w:t>
            </w:r>
          </w:hyperlink>
        </w:p>
      </w:sdtContent>
    </w:sdt>
    <w:p>
      <w:pPr>
        <w:spacing w:line="228" w:lineRule="auto"/>
        <w:rPr>
          <w:rFonts w:ascii="Arial" w:eastAsia="Arial" w:hAnsi="Arial" w:cs="Arial"/>
          <w:sz w:val="19"/>
          <w:szCs w:val="19"/>
        </w:rPr>
        <w:sectPr>
          <w:headerReference w:type="default" r:id="rId20"/>
          <w:footerReference w:type="default" r:id="rId21"/>
          <w:type w:val="nextPage"/>
          <w:pgSz w:w="11907" w:h="16839"/>
          <w:pgMar w:top="1202" w:right="14" w:bottom="928" w:left="11" w:header="10" w:footer="21" w:gutter="0"/>
          <w:pgNumType w:start="9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  <w:r>
        <w:pict>
          <v:shape id="_x0000_s1028" style="width:407.35pt;height:0.5pt;margin-top:217.82pt;margin-left:154.46pt;mso-position-horizontal-relative:page;mso-position-vertical-relative:page;position:absolute;z-index:251667456" coordorigin="0,0" coordsize="8147,10" o:allowincell="f" path="m,9l8146,9l8146,l,l,9xe" filled="t" fillcolor="black" stroked="f"/>
        </w:pict>
      </w:r>
      <w:r>
        <w:pict>
          <v:shape id="_x0000_s1029" style="width:407.35pt;height:0.5pt;margin-top:401.21pt;margin-left:154.46pt;mso-position-horizontal-relative:page;mso-position-vertical-relative:page;position:absolute;z-index:251666432" coordorigin="0,0" coordsize="8147,10" o:allowincell="f" path="m,9l8146,9l8146,l,l,9xe" filled="t" fillcolor="black" stroked="f"/>
        </w:pict>
      </w:r>
      <w:r>
        <w:pict>
          <v:shape id="_x0000_s1030" style="width:407.35pt;height:0.5pt;margin-top:523.99pt;margin-left:154.46pt;mso-position-horizontal-relative:page;mso-position-vertical-relative:page;position:absolute;z-index:251668480" coordorigin="0,0" coordsize="8147,10" o:allowincell="f" path="m,9l8146,9l8146,l,l,9xe" filled="t" fillcolor="black" stroked="f"/>
        </w:pict>
      </w:r>
      <w:r>
        <w:pict>
          <v:shape id="_x0000_s1031" style="width:407.35pt;height:0.5pt;margin-top:707.38pt;margin-left:154.46pt;mso-position-horizontal-relative:page;mso-position-vertical-relative:page;position:absolute;z-index:251665408" coordorigin="0,0" coordsize="8147,10" o:allowincell="f" path="m,9l8146,9l8146,l,l,9xe" filled="t" fillcolor="black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2698241</wp:posOffset>
            </wp:positionH>
            <wp:positionV relativeFrom="page">
              <wp:posOffset>7172706</wp:posOffset>
            </wp:positionV>
            <wp:extent cx="3802379" cy="1415796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02379" cy="1415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2612136</wp:posOffset>
            </wp:positionH>
            <wp:positionV relativeFrom="page">
              <wp:posOffset>7085076</wp:posOffset>
            </wp:positionV>
            <wp:extent cx="3976115" cy="151180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76115" cy="1511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1" w:line="531" w:lineRule="exact"/>
        <w:ind w:left="3094"/>
        <w:rPr>
          <w:sz w:val="31"/>
          <w:szCs w:val="31"/>
        </w:rPr>
      </w:pPr>
      <w:bookmarkStart w:id="0" w:name="bookmark1"/>
      <w:bookmarkEnd w:id="0"/>
      <w:bookmarkStart w:id="1" w:name="bookmark2"/>
      <w:bookmarkEnd w:id="1"/>
      <w:r>
        <w:rPr>
          <w:color w:val="C30F1B"/>
          <w:spacing w:val="9"/>
          <w:position w:val="1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专题一：跟踪支架有望成为</w:t>
      </w:r>
      <w:r>
        <w:rPr>
          <w:rFonts w:ascii="Arial" w:eastAsia="Arial" w:hAnsi="Arial" w:cs="Arial"/>
          <w:b/>
          <w:bCs/>
          <w:color w:val="C30F1B"/>
          <w:spacing w:val="9"/>
          <w:position w:val="16"/>
          <w:sz w:val="31"/>
          <w:szCs w:val="31"/>
        </w:rPr>
        <w:t>24</w:t>
      </w:r>
      <w:r>
        <w:rPr>
          <w:color w:val="C30F1B"/>
          <w:spacing w:val="9"/>
          <w:position w:val="1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年α环节</w:t>
      </w:r>
    </w:p>
    <w:p>
      <w:pPr>
        <w:pStyle w:val="BodyText"/>
        <w:spacing w:line="213" w:lineRule="auto"/>
        <w:ind w:left="3074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C30F1B"/>
          <w:sz w:val="24"/>
          <w:szCs w:val="24"/>
        </w:rPr>
        <w:t>2025</w:t>
      </w: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年全球跟踪支架市场有望突破千亿规模</w:t>
      </w:r>
    </w:p>
    <w:p>
      <w:pPr>
        <w:pStyle w:val="BodyText"/>
        <w:spacing w:before="225" w:line="269" w:lineRule="auto"/>
        <w:ind w:left="3076" w:right="600" w:hanging="4"/>
        <w:jc w:val="both"/>
      </w:pP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跟踪支架主要市场在美国。</w:t>
      </w:r>
      <w:r>
        <w:t>当前，美国作为全球最大的太阳能跟踪支</w:t>
      </w:r>
      <w:r>
        <w:rPr>
          <w:spacing w:val="-1"/>
        </w:rPr>
        <w:t>架市场，其</w:t>
      </w:r>
      <w:r>
        <w:rPr>
          <w:spacing w:val="-33"/>
        </w:rPr>
        <w:t xml:space="preserve"> </w:t>
      </w:r>
      <w:r>
        <w:rPr>
          <w:rFonts w:ascii="Arial" w:eastAsia="Arial" w:hAnsi="Arial" w:cs="Arial"/>
          <w:spacing w:val="-1"/>
        </w:rPr>
        <w:t xml:space="preserve">2020 </w:t>
      </w:r>
      <w:r>
        <w:rPr>
          <w:spacing w:val="-1"/>
        </w:rPr>
        <w:t>年</w:t>
      </w:r>
      <w:r>
        <w:t xml:space="preserve"> </w:t>
      </w:r>
      <w:r>
        <w:rPr>
          <w:spacing w:val="-2"/>
        </w:rPr>
        <w:t>的跟踪支架出货量占据了全球总量的</w:t>
      </w:r>
      <w:r>
        <w:rPr>
          <w:spacing w:val="-33"/>
        </w:rPr>
        <w:t xml:space="preserve"> </w:t>
      </w:r>
      <w:r>
        <w:rPr>
          <w:rFonts w:ascii="Arial" w:eastAsia="Arial" w:hAnsi="Arial" w:cs="Arial"/>
          <w:spacing w:val="-2"/>
        </w:rPr>
        <w:t>49.37%</w:t>
      </w:r>
      <w:r>
        <w:rPr>
          <w:spacing w:val="-2"/>
        </w:rPr>
        <w:t>，而中国同年的相应比例为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2"/>
        </w:rPr>
        <w:t>14.98%</w:t>
      </w:r>
      <w:r>
        <w:rPr>
          <w:spacing w:val="-2"/>
        </w:rPr>
        <w:t>。此外，</w:t>
      </w:r>
      <w:r>
        <w:t xml:space="preserve"> </w:t>
      </w:r>
      <w:r>
        <w:rPr>
          <w:spacing w:val="-1"/>
        </w:rPr>
        <w:t>拉丁美洲、西班牙、澳大利亚、印度及中东等地区，由于其优越</w:t>
      </w:r>
      <w:r>
        <w:rPr>
          <w:spacing w:val="-2"/>
        </w:rPr>
        <w:t>的光照条件，对跟踪支架</w:t>
      </w:r>
      <w:r>
        <w:t xml:space="preserve"> </w:t>
      </w:r>
      <w:r>
        <w:rPr>
          <w:spacing w:val="-2"/>
        </w:rPr>
        <w:t>的需求同样呈现出增长态势。</w:t>
      </w:r>
    </w:p>
    <w:p>
      <w:pPr>
        <w:pStyle w:val="BodyText"/>
        <w:spacing w:before="256" w:line="217" w:lineRule="auto"/>
        <w:ind w:left="3106"/>
        <w:rPr>
          <w:sz w:val="18"/>
          <w:szCs w:val="18"/>
        </w:rPr>
      </w:pPr>
      <w:r>
        <w:rPr>
          <w:color w:val="0D0D0D"/>
          <w:spacing w:val="-5"/>
          <w:sz w:val="18"/>
          <w:szCs w:val="18"/>
        </w:rPr>
        <w:t>图</w:t>
      </w:r>
      <w:r>
        <w:rPr>
          <w:color w:val="0D0D0D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5"/>
          <w:sz w:val="18"/>
          <w:szCs w:val="18"/>
        </w:rPr>
        <w:t>1</w:t>
      </w:r>
      <w:r>
        <w:rPr>
          <w:color w:val="0D0D0D"/>
          <w:spacing w:val="-5"/>
          <w:sz w:val="18"/>
          <w:szCs w:val="18"/>
        </w:rPr>
        <w:t>：美国是跟踪支架主要市场</w:t>
      </w:r>
    </w:p>
    <w:p>
      <w:pPr>
        <w:pStyle w:val="BodyText"/>
        <w:spacing w:before="237" w:line="218" w:lineRule="auto"/>
        <w:ind w:left="5977"/>
        <w:rPr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drawing>
          <wp:inline distT="0" distB="0" distL="0" distR="0">
            <wp:extent cx="76199" cy="77724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"/>
          <w:sz w:val="16"/>
          <w:szCs w:val="16"/>
        </w:rPr>
        <w:t>2020</w:t>
      </w:r>
      <w:r>
        <w:rPr>
          <w:spacing w:val="1"/>
          <w:sz w:val="16"/>
          <w:szCs w:val="16"/>
        </w:rPr>
        <w:t>年全球跟踪支架出货的终端市场情况</w:t>
      </w:r>
    </w:p>
    <w:p>
      <w:pPr>
        <w:spacing w:line="35" w:lineRule="exact"/>
      </w:pPr>
    </w:p>
    <w:p>
      <w:pPr>
        <w:spacing w:line="35" w:lineRule="exact"/>
        <w:sectPr>
          <w:headerReference w:type="default" r:id="rId25"/>
          <w:footerReference w:type="default" r:id="rId26"/>
          <w:pgSz w:w="11907" w:h="16839"/>
          <w:pgMar w:top="1202" w:right="14" w:bottom="928" w:left="11" w:header="10" w:footer="21" w:gutter="0"/>
          <w:pgNumType w:start="10"/>
          <w:cols w:num="1" w:space="708" w:equalWidth="0">
            <w:col w:w="11881" w:space="0"/>
          </w:cols>
        </w:sectPr>
      </w:pPr>
    </w:p>
    <w:p>
      <w:pPr>
        <w:spacing w:before="132" w:line="417" w:lineRule="auto"/>
        <w:ind w:left="3672" w:right="33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0.6</w:t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pacing w:val="-2"/>
          <w:sz w:val="16"/>
          <w:szCs w:val="16"/>
        </w:rPr>
        <w:t>0.5</w:t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pacing w:val="-2"/>
          <w:sz w:val="16"/>
          <w:szCs w:val="16"/>
        </w:rPr>
        <w:t>0.4</w:t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pacing w:val="-2"/>
          <w:sz w:val="16"/>
          <w:szCs w:val="16"/>
        </w:rPr>
        <w:t>0.3</w:t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pacing w:val="-2"/>
          <w:sz w:val="16"/>
          <w:szCs w:val="16"/>
        </w:rPr>
        <w:t>0.2</w:t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pacing w:val="-2"/>
          <w:sz w:val="16"/>
          <w:szCs w:val="16"/>
        </w:rPr>
        <w:t>0.1</w:t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291" w:lineRule="exact"/>
      </w:pPr>
      <w:r>
        <w:rPr>
          <w:position w:val="-45"/>
        </w:rPr>
        <w:pict>
          <v:group id="_x0000_i1032" style="width:354.25pt;height:114.65pt;mso-position-horizontal-relative:char;mso-position-vertical-relative:line" coordorigin="0,0" coordsize="7085,2293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width:6607;height:1713;left:238;position:absolute;top:565" filled="f" stroked="f">
              <v:imagedata r:id="rId27" o:title=""/>
            </v:shape>
            <v:shape id="_x0000_s1034" type="#_x0000_t75" style="width:1143;height:146;left:3364;position:absolute;top:2132" filled="f" stroked="f">
              <v:imagedata r:id="rId28" o:title=""/>
            </v:shape>
            <v:shape id="_x0000_s1035" type="#_x0000_t75" style="width:2932;height:2083;position:absolute;top:196" filled="f" stroked="f">
              <v:imagedata r:id="rId2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width:7125;height:233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70"/>
                      </w:tabs>
                      <w:spacing w:before="20" w:line="241" w:lineRule="exact"/>
                      <w:ind w:left="22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  <w:p>
                    <w:pPr>
                      <w:tabs>
                        <w:tab w:val="left" w:pos="70"/>
                      </w:tabs>
                      <w:spacing w:before="85" w:line="158" w:lineRule="auto"/>
                      <w:ind w:left="22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z w:val="16"/>
                        <w:szCs w:val="16"/>
                        <w:u w:val="single" w:color="auto"/>
                      </w:rPr>
                      <w:tab/>
                    </w:r>
                    <w:r>
                      <w:rPr>
                        <w:rFonts w:ascii="Arial" w:eastAsia="Arial" w:hAnsi="Arial" w:cs="Arial"/>
                        <w:spacing w:val="35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"/>
                        <w:sz w:val="16"/>
                        <w:szCs w:val="16"/>
                      </w:rPr>
                      <w:t>49.37%</w:t>
                    </w:r>
                  </w:p>
                  <w:p>
                    <w:pPr>
                      <w:tabs>
                        <w:tab w:val="left" w:pos="70"/>
                      </w:tabs>
                      <w:spacing w:before="245" w:line="241" w:lineRule="exact"/>
                      <w:ind w:left="22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  <w:p>
                    <w:pPr>
                      <w:tabs>
                        <w:tab w:val="left" w:pos="70"/>
                      </w:tabs>
                      <w:spacing w:before="106" w:line="241" w:lineRule="exact"/>
                      <w:ind w:left="22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  <w:p>
                    <w:pPr>
                      <w:tabs>
                        <w:tab w:val="left" w:pos="70"/>
                      </w:tabs>
                      <w:spacing w:before="238" w:line="175" w:lineRule="auto"/>
                      <w:ind w:left="22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trike/>
                        <w:position w:val="3"/>
                        <w:sz w:val="16"/>
                        <w:szCs w:val="16"/>
                      </w:rPr>
                      <w:tab/>
                    </w:r>
                    <w:r>
                      <w:rPr>
                        <w:rFonts w:ascii="Arial" w:eastAsia="Arial" w:hAnsi="Arial" w:cs="Arial"/>
                        <w:spacing w:val="1"/>
                        <w:position w:val="3"/>
                        <w:sz w:val="16"/>
                        <w:szCs w:val="16"/>
                      </w:rPr>
                      <w:t xml:space="preserve">                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3"/>
                        <w:sz w:val="16"/>
                        <w:szCs w:val="16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3"/>
                        <w:sz w:val="16"/>
                        <w:szCs w:val="16"/>
                        <w:u w:val="single" w:color="C30F1B"/>
                      </w:rPr>
                      <w:t>4.98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3"/>
                        <w:sz w:val="16"/>
                        <w:szCs w:val="16"/>
                      </w:rPr>
                      <w:t xml:space="preserve">%                                                                                    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3"/>
                        <w:sz w:val="16"/>
                        <w:szCs w:val="16"/>
                      </w:rPr>
                      <w:t xml:space="preserve">                               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-3"/>
                        <w:sz w:val="16"/>
                        <w:szCs w:val="16"/>
                      </w:rPr>
                      <w:t>12.87%</w:t>
                    </w:r>
                  </w:p>
                  <w:p>
                    <w:pPr>
                      <w:spacing w:before="43"/>
                      <w:ind w:left="20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2003" cy="222503"/>
                          <wp:effectExtent l="0" t="0" r="0" b="0"/>
                          <wp:docPr id="26" name="IM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IM 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2003" cy="22250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"/>
                        <w:position w:val="28"/>
                        <w:sz w:val="16"/>
                        <w:szCs w:val="16"/>
                        <w:u w:val="single" w:color="auto"/>
                      </w:rPr>
                      <w:t xml:space="preserve">                </w:t>
                    </w:r>
                    <w:r>
                      <w:rPr>
                        <w:rFonts w:ascii="Arial" w:eastAsia="Arial" w:hAnsi="Arial" w:cs="Arial"/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1"/>
                        <w:position w:val="28"/>
                        <w:sz w:val="16"/>
                        <w:szCs w:val="16"/>
                        <w:u w:val="single" w:color="auto"/>
                      </w:rPr>
                      <w:t xml:space="preserve">    </w:t>
                    </w:r>
                    <w:r>
                      <w:rPr>
                        <w:rFonts w:ascii="Arial" w:eastAsia="Arial" w:hAnsi="Arial" w:cs="Arial"/>
                        <w:position w:val="-3"/>
                        <w:sz w:val="16"/>
                        <w:szCs w:val="16"/>
                      </w:rPr>
                      <w:drawing>
                        <wp:inline distT="0" distB="0" distL="0" distR="0">
                          <wp:extent cx="225552" cy="339090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5552" cy="33909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9"/>
                        <w:position w:val="28"/>
                        <w:sz w:val="16"/>
                        <w:szCs w:val="16"/>
                        <w:u w:val="single" w:color="auto"/>
                      </w:rPr>
                      <w:t xml:space="preserve">    </w:t>
                    </w:r>
                    <w:r>
                      <w:rPr>
                        <w:rFonts w:ascii="Arial" w:eastAsia="Arial" w:hAnsi="Arial" w:cs="Arial"/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2"/>
                        <w:position w:val="28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28"/>
                        <w:sz w:val="16"/>
                        <w:szCs w:val="16"/>
                        <w:u w:val="single" w:color="auto"/>
                      </w:rPr>
                      <w:t>5.49%</w:t>
                    </w:r>
                    <w:r>
                      <w:rPr>
                        <w:rFonts w:ascii="Arial" w:eastAsia="Arial" w:hAnsi="Arial" w:cs="Arial"/>
                        <w:spacing w:val="10"/>
                        <w:position w:val="28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1"/>
                        <w:position w:val="26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26"/>
                        <w:sz w:val="16"/>
                        <w:szCs w:val="16"/>
                        <w:u w:val="single" w:color="auto"/>
                      </w:rPr>
                      <w:t>4.85%</w:t>
                    </w:r>
                    <w:r>
                      <w:rPr>
                        <w:rFonts w:ascii="Arial" w:eastAsia="Arial" w:hAnsi="Arial" w:cs="Arial"/>
                        <w:spacing w:val="10"/>
                        <w:position w:val="26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36" name="IM 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" name="IM 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1"/>
                        <w:position w:val="24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24"/>
                        <w:sz w:val="16"/>
                        <w:szCs w:val="16"/>
                        <w:u w:val="single" w:color="auto"/>
                      </w:rPr>
                      <w:t>4.22%</w:t>
                    </w:r>
                    <w:r>
                      <w:rPr>
                        <w:rFonts w:ascii="Arial" w:eastAsia="Arial" w:hAnsi="Arial" w:cs="Arial"/>
                        <w:spacing w:val="10"/>
                        <w:position w:val="24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38" name="IM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" name="IM 3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2"/>
                        <w:w w:val="101"/>
                        <w:position w:val="22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22"/>
                        <w:sz w:val="16"/>
                        <w:szCs w:val="16"/>
                        <w:u w:val="single" w:color="auto"/>
                      </w:rPr>
                      <w:t>3.80%</w:t>
                    </w:r>
                    <w:r>
                      <w:rPr>
                        <w:rFonts w:ascii="Arial" w:eastAsia="Arial" w:hAnsi="Arial" w:cs="Arial"/>
                        <w:spacing w:val="10"/>
                        <w:position w:val="22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40" name="IM 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" name="IM 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1"/>
                        <w:w w:val="101"/>
                        <w:position w:val="19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19"/>
                        <w:sz w:val="16"/>
                        <w:szCs w:val="16"/>
                        <w:u w:val="single" w:color="auto"/>
                      </w:rPr>
                      <w:t>2.74%</w:t>
                    </w:r>
                    <w:r>
                      <w:rPr>
                        <w:rFonts w:ascii="Arial" w:eastAsia="Arial" w:hAnsi="Arial" w:cs="Arial"/>
                        <w:spacing w:val="10"/>
                        <w:position w:val="19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42" name="IM 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" name="IM 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1"/>
                        <w:position w:val="15"/>
                        <w:sz w:val="16"/>
                        <w:szCs w:val="16"/>
                        <w:u w:val="single" w:color="auto"/>
                      </w:rPr>
                      <w:t xml:space="preserve"> 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15"/>
                        <w:sz w:val="16"/>
                        <w:szCs w:val="16"/>
                        <w:u w:val="single" w:color="auto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15"/>
                        <w:sz w:val="16"/>
                        <w:szCs w:val="16"/>
                        <w:u w:val="single" w:color="auto"/>
                      </w:rPr>
                      <w:t>.69%</w:t>
                    </w:r>
                    <w:r>
                      <w:rPr>
                        <w:rFonts w:ascii="Arial" w:eastAsia="Arial" w:hAnsi="Arial" w:cs="Arial"/>
                        <w:spacing w:val="9"/>
                        <w:position w:val="15"/>
                        <w:sz w:val="16"/>
                        <w:szCs w:val="16"/>
                        <w:u w:val="single" w:color="auto"/>
                      </w:rPr>
                      <w:t xml:space="preserve">   </w:t>
                    </w:r>
                    <w:r>
                      <w:rPr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44" name="IM 4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" name="IM 4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9"/>
                        <w:position w:val="15"/>
                        <w:sz w:val="16"/>
                        <w:szCs w:val="16"/>
                        <w:u w:val="single" w:color="auto"/>
                      </w:rPr>
                      <w:t xml:space="preserve">    </w:t>
                    </w:r>
                    <w:r>
                      <w:rPr>
                        <w:position w:val="-3"/>
                        <w:sz w:val="16"/>
                        <w:szCs w:val="16"/>
                      </w:rPr>
                      <w:drawing>
                        <wp:inline distT="0" distB="0" distL="0" distR="0">
                          <wp:extent cx="225552" cy="304800"/>
                          <wp:effectExtent l="0" t="0" r="0" b="0"/>
                          <wp:docPr id="46" name="IM 4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6" name="IM 4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5552" cy="3048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spacing w:val="9"/>
                        <w:position w:val="15"/>
                        <w:sz w:val="16"/>
                        <w:szCs w:val="16"/>
                        <w:u w:val="single" w:color="auto"/>
                      </w:rPr>
                      <w:t xml:space="preserve">    </w:t>
                    </w:r>
                    <w:r>
                      <w:rPr>
                        <w:position w:val="-2"/>
                        <w:sz w:val="16"/>
                        <w:szCs w:val="16"/>
                      </w:rPr>
                      <w:drawing>
                        <wp:inline distT="0" distB="0" distL="0" distR="0">
                          <wp:extent cx="3047" cy="30479"/>
                          <wp:effectExtent l="0" t="0" r="0" b="0"/>
                          <wp:docPr id="48" name="IM 4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" name="IM 4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7" cy="304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37" type="#_x0000_t202" style="width:355;height:282;left:218;position:absolute;top:348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334"/>
                      </w:tabs>
                      <w:spacing w:before="20" w:line="241" w:lineRule="exact"/>
                      <w:ind w:left="20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6" w:line="186" w:lineRule="auto"/>
        <w:ind w:left="252"/>
        <w:rPr>
          <w:sz w:val="16"/>
          <w:szCs w:val="16"/>
        </w:rPr>
      </w:pPr>
      <w:r>
        <w:rPr>
          <w:spacing w:val="-4"/>
          <w:sz w:val="16"/>
          <w:szCs w:val="16"/>
        </w:rPr>
        <w:t>美国</w:t>
      </w:r>
      <w:r>
        <w:rPr>
          <w:spacing w:val="-4"/>
          <w:sz w:val="16"/>
          <w:szCs w:val="16"/>
        </w:rPr>
        <w:t xml:space="preserve">      </w:t>
      </w:r>
      <w:r>
        <w:rPr>
          <w:spacing w:val="-4"/>
          <w:sz w:val="16"/>
          <w:szCs w:val="16"/>
        </w:rPr>
        <w:t>中国</w:t>
      </w:r>
      <w:r>
        <w:rPr>
          <w:spacing w:val="4"/>
          <w:sz w:val="16"/>
          <w:szCs w:val="16"/>
        </w:rPr>
        <w:t xml:space="preserve">      </w:t>
      </w:r>
      <w:r>
        <w:rPr>
          <w:spacing w:val="-4"/>
          <w:sz w:val="16"/>
          <w:szCs w:val="16"/>
        </w:rPr>
        <w:t>巴西</w:t>
      </w:r>
      <w:r>
        <w:rPr>
          <w:spacing w:val="1"/>
          <w:sz w:val="16"/>
          <w:szCs w:val="16"/>
        </w:rPr>
        <w:t xml:space="preserve">     </w:t>
      </w:r>
      <w:r>
        <w:rPr>
          <w:spacing w:val="-4"/>
          <w:sz w:val="16"/>
          <w:szCs w:val="16"/>
        </w:rPr>
        <w:t>西班牙</w:t>
      </w:r>
      <w:r>
        <w:rPr>
          <w:spacing w:val="-4"/>
          <w:sz w:val="16"/>
          <w:szCs w:val="16"/>
        </w:rPr>
        <w:t xml:space="preserve">     </w:t>
      </w:r>
      <w:r>
        <w:rPr>
          <w:spacing w:val="-4"/>
          <w:sz w:val="16"/>
          <w:szCs w:val="16"/>
        </w:rPr>
        <w:t>智利</w:t>
      </w:r>
      <w:r>
        <w:rPr>
          <w:spacing w:val="26"/>
          <w:sz w:val="16"/>
          <w:szCs w:val="16"/>
        </w:rPr>
        <w:t xml:space="preserve">   </w:t>
      </w:r>
      <w:r>
        <w:rPr>
          <w:spacing w:val="-4"/>
          <w:sz w:val="16"/>
          <w:szCs w:val="16"/>
        </w:rPr>
        <w:t>澳大利亚</w:t>
      </w:r>
      <w:r>
        <w:rPr>
          <w:spacing w:val="1"/>
          <w:sz w:val="16"/>
          <w:szCs w:val="16"/>
        </w:rPr>
        <w:t xml:space="preserve">    </w:t>
      </w:r>
      <w:r>
        <w:rPr>
          <w:spacing w:val="-4"/>
          <w:sz w:val="16"/>
          <w:szCs w:val="16"/>
        </w:rPr>
        <w:t>印度</w:t>
      </w:r>
      <w:r>
        <w:rPr>
          <w:sz w:val="16"/>
          <w:szCs w:val="16"/>
        </w:rPr>
        <w:t xml:space="preserve">     </w:t>
      </w:r>
      <w:r>
        <w:rPr>
          <w:spacing w:val="-4"/>
          <w:sz w:val="16"/>
          <w:szCs w:val="16"/>
        </w:rPr>
        <w:t>墨西哥</w:t>
      </w:r>
      <w:r>
        <w:rPr>
          <w:spacing w:val="-4"/>
          <w:sz w:val="16"/>
          <w:szCs w:val="16"/>
        </w:rPr>
        <w:t xml:space="preserve">     </w:t>
      </w:r>
      <w:r>
        <w:rPr>
          <w:spacing w:val="-4"/>
          <w:sz w:val="16"/>
          <w:szCs w:val="16"/>
        </w:rPr>
        <w:t>其他</w:t>
      </w:r>
    </w:p>
    <w:p>
      <w:pPr>
        <w:spacing w:line="186" w:lineRule="auto"/>
        <w:rPr>
          <w:sz w:val="16"/>
          <w:szCs w:val="16"/>
        </w:rPr>
        <w:sectPr>
          <w:headerReference w:type="default" r:id="rId42"/>
          <w:footerReference w:type="default" r:id="rId43"/>
          <w:type w:val="continuous"/>
          <w:pgSz w:w="11907" w:h="16839"/>
          <w:pgMar w:top="1202" w:right="14" w:bottom="928" w:left="11" w:header="10" w:footer="21" w:gutter="0"/>
          <w:pgNumType w:start="11"/>
          <w:cols w:num="2" w:space="708" w:equalWidth="0">
            <w:col w:w="3924" w:space="100"/>
            <w:col w:w="7858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43" w:line="225" w:lineRule="auto"/>
        <w:ind w:left="3089"/>
        <w:rPr>
          <w:sz w:val="13"/>
          <w:szCs w:val="13"/>
        </w:rPr>
      </w:pPr>
      <w:r>
        <w:rPr>
          <w:spacing w:val="4"/>
          <w:sz w:val="13"/>
          <w:szCs w:val="13"/>
        </w:rPr>
        <w:t>资料来源：华经产业研究院，</w:t>
      </w:r>
      <w:r>
        <w:rPr>
          <w:spacing w:val="45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西部证券研发中心</w:t>
      </w:r>
    </w:p>
    <w:p>
      <w:pPr>
        <w:pStyle w:val="BodyText"/>
        <w:spacing w:before="134" w:line="272" w:lineRule="auto"/>
        <w:ind w:left="3071" w:right="600" w:firstLine="18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美国市场光伏装机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 xml:space="preserve">23Q1-23Q3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快速增长。</w:t>
      </w:r>
      <w:r>
        <w:rPr>
          <w:rFonts w:ascii="Arial" w:eastAsia="Arial" w:hAnsi="Arial" w:cs="Arial"/>
          <w:spacing w:val="-3"/>
        </w:rPr>
        <w:t xml:space="preserve">2022 </w:t>
      </w:r>
      <w:r>
        <w:rPr>
          <w:spacing w:val="-3"/>
        </w:rPr>
        <w:t>年由于贸易政策原因，以及美国本土产能</w:t>
      </w:r>
      <w:r>
        <w:t xml:space="preserve"> </w:t>
      </w:r>
      <w:r>
        <w:rPr>
          <w:spacing w:val="-5"/>
        </w:rPr>
        <w:t>不足原因，</w:t>
      </w:r>
      <w:r>
        <w:rPr>
          <w:spacing w:val="-59"/>
        </w:rPr>
        <w:t xml:space="preserve"> </w:t>
      </w:r>
      <w:r>
        <w:rPr>
          <w:spacing w:val="-5"/>
        </w:rPr>
        <w:t>美国市场光伏装机低于预期，</w:t>
      </w:r>
      <w:r>
        <w:rPr>
          <w:rFonts w:ascii="Arial" w:eastAsia="Arial" w:hAnsi="Arial" w:cs="Arial"/>
          <w:spacing w:val="-5"/>
        </w:rPr>
        <w:t xml:space="preserve">2023 </w:t>
      </w:r>
      <w:r>
        <w:rPr>
          <w:spacing w:val="-5"/>
        </w:rPr>
        <w:t>年随着组件价格</w:t>
      </w:r>
      <w:r>
        <w:rPr>
          <w:spacing w:val="-6"/>
        </w:rPr>
        <w:t>降低，美国市场恢复增长。</w:t>
      </w:r>
      <w:r>
        <w:t xml:space="preserve">  </w:t>
      </w:r>
      <w:r>
        <w:rPr>
          <w:spacing w:val="-3"/>
        </w:rPr>
        <w:t>根据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-3"/>
        </w:rPr>
        <w:t xml:space="preserve">SEIA </w:t>
      </w:r>
      <w:r>
        <w:rPr>
          <w:spacing w:val="-3"/>
        </w:rPr>
        <w:t>（美国光伏协会</w:t>
      </w:r>
      <w:r>
        <w:rPr>
          <w:spacing w:val="-44"/>
        </w:rPr>
        <w:t>），</w:t>
      </w:r>
      <w:r>
        <w:rPr>
          <w:rFonts w:ascii="Arial" w:eastAsia="Arial" w:hAnsi="Arial" w:cs="Arial"/>
          <w:spacing w:val="-3"/>
        </w:rPr>
        <w:t>2022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spacing w:val="-3"/>
        </w:rPr>
        <w:t>年全年美国光伏市场装机为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-3"/>
        </w:rPr>
        <w:t>21.17GW</w:t>
      </w:r>
      <w:r>
        <w:rPr>
          <w:spacing w:val="-3"/>
        </w:rPr>
        <w:t>，同比</w:t>
      </w:r>
      <w:r>
        <w:rPr>
          <w:rFonts w:ascii="Arial" w:eastAsia="Arial" w:hAnsi="Arial" w:cs="Arial"/>
          <w:spacing w:val="-3"/>
        </w:rPr>
        <w:t>-12.2%</w:t>
      </w:r>
      <w:r>
        <w:rPr>
          <w:spacing w:val="-3"/>
        </w:rPr>
        <w:t>，</w:t>
      </w:r>
      <w:r>
        <w:t xml:space="preserve"> </w:t>
      </w:r>
      <w:r>
        <w:rPr>
          <w:spacing w:val="-3"/>
        </w:rPr>
        <w:t>而</w:t>
      </w:r>
      <w:r>
        <w:rPr>
          <w:spacing w:val="-47"/>
        </w:rPr>
        <w:t xml:space="preserve"> </w:t>
      </w:r>
      <w:r>
        <w:rPr>
          <w:rFonts w:ascii="Arial" w:eastAsia="Arial" w:hAnsi="Arial" w:cs="Arial"/>
          <w:spacing w:val="-3"/>
        </w:rPr>
        <w:t xml:space="preserve">2023 </w:t>
      </w:r>
      <w:r>
        <w:rPr>
          <w:spacing w:val="-3"/>
        </w:rPr>
        <w:t>前三季度已达到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3"/>
        </w:rPr>
        <w:t>19.32GW</w:t>
      </w:r>
      <w:r>
        <w:rPr>
          <w:spacing w:val="-3"/>
        </w:rPr>
        <w:t>。根据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3"/>
        </w:rPr>
        <w:t xml:space="preserve">SEIA </w:t>
      </w:r>
      <w:r>
        <w:rPr>
          <w:spacing w:val="-3"/>
        </w:rPr>
        <w:t>预测，美国市场全年有望达到</w:t>
      </w:r>
      <w:r>
        <w:rPr>
          <w:spacing w:val="-45"/>
        </w:rPr>
        <w:t xml:space="preserve"> </w:t>
      </w:r>
      <w:r>
        <w:rPr>
          <w:rFonts w:ascii="Arial" w:eastAsia="Arial" w:hAnsi="Arial" w:cs="Arial"/>
          <w:spacing w:val="-3"/>
        </w:rPr>
        <w:t>33GW</w:t>
      </w:r>
      <w:r>
        <w:rPr>
          <w:spacing w:val="-3"/>
        </w:rPr>
        <w:t>，同</w:t>
      </w:r>
      <w:r>
        <w:t xml:space="preserve">  </w:t>
      </w:r>
      <w:r>
        <w:rPr>
          <w:spacing w:val="-2"/>
        </w:rPr>
        <w:t>比</w:t>
      </w:r>
      <w:r>
        <w:rPr>
          <w:rFonts w:ascii="Arial" w:eastAsia="Arial" w:hAnsi="Arial" w:cs="Arial"/>
          <w:spacing w:val="-2"/>
        </w:rPr>
        <w:t>+55.8%</w:t>
      </w:r>
      <w:r>
        <w:rPr>
          <w:spacing w:val="-2"/>
        </w:rPr>
        <w:t>，其中集中式电站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2"/>
        </w:rPr>
        <w:t>18.4GW</w:t>
      </w:r>
      <w:r>
        <w:rPr>
          <w:spacing w:val="-2"/>
        </w:rPr>
        <w:t>，分布式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-2"/>
        </w:rPr>
        <w:t>14.6GW</w:t>
      </w:r>
      <w:r>
        <w:rPr>
          <w:spacing w:val="-2"/>
        </w:rPr>
        <w:t>。</w:t>
      </w:r>
    </w:p>
    <w:p>
      <w:pPr>
        <w:pStyle w:val="BodyText"/>
        <w:spacing w:before="257" w:line="217" w:lineRule="auto"/>
        <w:ind w:left="3106"/>
        <w:rPr>
          <w:sz w:val="18"/>
          <w:szCs w:val="18"/>
        </w:rPr>
      </w:pPr>
      <w:r>
        <w:rPr>
          <w:color w:val="0D0D0D"/>
          <w:spacing w:val="-3"/>
          <w:sz w:val="18"/>
          <w:szCs w:val="18"/>
        </w:rPr>
        <w:t>图</w:t>
      </w:r>
      <w:r>
        <w:rPr>
          <w:color w:val="0D0D0D"/>
          <w:spacing w:val="-39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>2</w:t>
      </w:r>
      <w:r>
        <w:rPr>
          <w:color w:val="0D0D0D"/>
          <w:spacing w:val="-3"/>
          <w:sz w:val="18"/>
          <w:szCs w:val="18"/>
        </w:rPr>
        <w:t>：美国市场</w:t>
      </w:r>
      <w:r>
        <w:rPr>
          <w:color w:val="0D0D0D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 xml:space="preserve">2023 </w:t>
      </w:r>
      <w:r>
        <w:rPr>
          <w:color w:val="0D0D0D"/>
          <w:spacing w:val="-3"/>
          <w:sz w:val="18"/>
          <w:szCs w:val="18"/>
        </w:rPr>
        <w:t>年新增装机快速增长</w:t>
      </w:r>
    </w:p>
    <w:tbl>
      <w:tblPr>
        <w:tblStyle w:val="TableNormal1"/>
        <w:tblW w:w="7338" w:type="dxa"/>
        <w:tblInd w:w="37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1"/>
        <w:gridCol w:w="6398"/>
        <w:gridCol w:w="699"/>
      </w:tblGrid>
      <w:tr>
        <w:tblPrEx>
          <w:tblW w:w="7338" w:type="dxa"/>
          <w:tblInd w:w="379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5"/>
        </w:trPr>
        <w:tc>
          <w:tcPr>
            <w:tcW w:w="241" w:type="dxa"/>
            <w:vAlign w:val="top"/>
          </w:tcPr>
          <w:p>
            <w:pPr>
              <w:pStyle w:val="TableText"/>
              <w:spacing w:line="215" w:lineRule="exact"/>
              <w:rPr>
                <w:sz w:val="18"/>
              </w:rPr>
            </w:pPr>
          </w:p>
        </w:tc>
        <w:tc>
          <w:tcPr>
            <w:tcW w:w="6398" w:type="dxa"/>
            <w:vAlign w:val="top"/>
          </w:tcPr>
          <w:p>
            <w:pPr>
              <w:pStyle w:val="TableText"/>
              <w:spacing w:line="216" w:lineRule="auto"/>
              <w:ind w:left="111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</w:rPr>
              <w:drawing>
                <wp:inline distT="0" distB="0" distL="0" distR="0">
                  <wp:extent cx="269747" cy="76199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47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9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</w:rPr>
              <w:t>美国新增装机量（</w:t>
            </w:r>
            <w:r>
              <w:rPr>
                <w:spacing w:val="-2"/>
              </w:rPr>
              <w:t>GW</w:t>
            </w:r>
            <w:r>
              <w:rPr>
                <w:rFonts w:ascii="KaiTi" w:eastAsia="KaiTi" w:hAnsi="KaiTi" w:cs="KaiTi"/>
                <w:spacing w:val="-2"/>
              </w:rPr>
              <w:t>）</w:t>
            </w:r>
            <w:r>
              <w:rPr>
                <w:rFonts w:ascii="KaiTi" w:eastAsia="KaiTi" w:hAnsi="KaiTi" w:cs="KaiTi"/>
                <w:spacing w:val="2"/>
              </w:rPr>
              <w:t xml:space="preserve">              </w:t>
            </w:r>
            <w:r>
              <w:rPr>
                <w:position w:val="2"/>
              </w:rPr>
              <w:drawing>
                <wp:inline distT="0" distB="0" distL="0" distR="0">
                  <wp:extent cx="272796" cy="28956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96" cy="28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5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</w:rPr>
              <w:t>同比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line="215" w:lineRule="exact"/>
              <w:rPr>
                <w:sz w:val="18"/>
              </w:rPr>
            </w:pPr>
          </w:p>
        </w:tc>
      </w:tr>
      <w:tr>
        <w:tblPrEx>
          <w:tblW w:w="7338" w:type="dxa"/>
          <w:tblInd w:w="3793" w:type="dxa"/>
          <w:tblLayout w:type="fixed"/>
        </w:tblPrEx>
        <w:trPr>
          <w:trHeight w:val="273"/>
        </w:trPr>
        <w:tc>
          <w:tcPr>
            <w:tcW w:w="241" w:type="dxa"/>
            <w:vAlign w:val="top"/>
          </w:tcPr>
          <w:p>
            <w:pPr>
              <w:pStyle w:val="TableText"/>
              <w:spacing w:before="66" w:line="195" w:lineRule="auto"/>
              <w:ind w:left="2"/>
            </w:pPr>
            <w:r>
              <w:rPr>
                <w:spacing w:val="-2"/>
              </w:rPr>
              <w:t>35</w:t>
            </w:r>
          </w:p>
        </w:tc>
        <w:tc>
          <w:tcPr>
            <w:tcW w:w="6398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65" w:line="197" w:lineRule="auto"/>
              <w:jc w:val="right"/>
            </w:pPr>
            <w:r>
              <w:rPr>
                <w:spacing w:val="-3"/>
              </w:rPr>
              <w:t>120.00%</w:t>
            </w:r>
          </w:p>
        </w:tc>
      </w:tr>
      <w:tr>
        <w:tblPrEx>
          <w:tblW w:w="7338" w:type="dxa"/>
          <w:tblInd w:w="3793" w:type="dxa"/>
          <w:tblLayout w:type="fixed"/>
        </w:tblPrEx>
        <w:trPr>
          <w:trHeight w:val="316"/>
        </w:trPr>
        <w:tc>
          <w:tcPr>
            <w:tcW w:w="241" w:type="dxa"/>
            <w:vAlign w:val="top"/>
          </w:tcPr>
          <w:p>
            <w:pPr>
              <w:pStyle w:val="TableText"/>
              <w:spacing w:before="131" w:line="195" w:lineRule="auto"/>
              <w:ind w:left="2"/>
            </w:pPr>
            <w:r>
              <w:rPr>
                <w:spacing w:val="-2"/>
              </w:rPr>
              <w:t>30</w:t>
            </w:r>
          </w:p>
        </w:tc>
        <w:tc>
          <w:tcPr>
            <w:tcW w:w="6398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87" w:line="197" w:lineRule="auto"/>
              <w:jc w:val="right"/>
            </w:pPr>
            <w:r>
              <w:rPr>
                <w:spacing w:val="-3"/>
              </w:rPr>
              <w:t>100.00%</w:t>
            </w:r>
          </w:p>
        </w:tc>
      </w:tr>
      <w:tr>
        <w:tblPrEx>
          <w:tblW w:w="7338" w:type="dxa"/>
          <w:tblInd w:w="3793" w:type="dxa"/>
          <w:tblLayout w:type="fixed"/>
        </w:tblPrEx>
        <w:trPr>
          <w:trHeight w:val="1439"/>
        </w:trPr>
        <w:tc>
          <w:tcPr>
            <w:tcW w:w="241" w:type="dxa"/>
            <w:vAlign w:val="top"/>
          </w:tcPr>
          <w:p>
            <w:pPr>
              <w:pStyle w:val="TableText"/>
              <w:spacing w:before="153" w:line="195" w:lineRule="auto"/>
            </w:pPr>
            <w:r>
              <w:rPr>
                <w:spacing w:val="-2"/>
              </w:rPr>
              <w:t>25</w:t>
            </w:r>
          </w:p>
          <w:p>
            <w:pPr>
              <w:pStyle w:val="TableText"/>
              <w:spacing w:before="188" w:line="195" w:lineRule="auto"/>
            </w:pPr>
            <w:r>
              <w:rPr>
                <w:spacing w:val="-2"/>
              </w:rPr>
              <w:t>20</w:t>
            </w:r>
          </w:p>
          <w:p>
            <w:pPr>
              <w:pStyle w:val="TableText"/>
              <w:spacing w:before="188" w:line="195" w:lineRule="auto"/>
              <w:ind w:left="12"/>
            </w:pPr>
            <w:r>
              <w:rPr>
                <w:spacing w:val="-5"/>
              </w:rPr>
              <w:t>15</w:t>
            </w:r>
          </w:p>
        </w:tc>
        <w:tc>
          <w:tcPr>
            <w:tcW w:w="6398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66" w:line="386" w:lineRule="auto"/>
              <w:ind w:left="69" w:right="88" w:firstLine="4"/>
              <w:jc w:val="both"/>
            </w:pPr>
            <w:r>
              <w:rPr>
                <w:spacing w:val="-1"/>
              </w:rPr>
              <w:t>80.00%</w:t>
            </w:r>
            <w:r>
              <w:t xml:space="preserve"> </w:t>
            </w:r>
            <w:r>
              <w:rPr>
                <w:spacing w:val="-1"/>
              </w:rPr>
              <w:t>60.00%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40.00%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20.00%</w:t>
            </w:r>
          </w:p>
        </w:tc>
      </w:tr>
    </w:tbl>
    <w:p>
      <w:pPr>
        <w:sectPr>
          <w:headerReference w:type="default" r:id="rId46"/>
          <w:footerReference w:type="default" r:id="rId47"/>
          <w:type w:val="continuous"/>
          <w:pgSz w:w="11907" w:h="16839"/>
          <w:pgMar w:top="1202" w:right="14" w:bottom="928" w:left="11" w:header="10" w:footer="21" w:gutter="0"/>
          <w:pgNumType w:start="12"/>
          <w:cols w:num="1" w:space="708" w:equalWidth="0">
            <w:col w:w="11881" w:space="0"/>
          </w:cols>
        </w:sectPr>
      </w:pPr>
    </w:p>
    <w:tbl>
      <w:tblPr>
        <w:tblStyle w:val="TableNormal2"/>
        <w:tblW w:w="7338" w:type="dxa"/>
        <w:tblInd w:w="37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1"/>
        <w:gridCol w:w="6398"/>
        <w:gridCol w:w="699"/>
      </w:tblGrid>
      <w:tr>
        <w:tblPrEx>
          <w:tblW w:w="7338" w:type="dxa"/>
          <w:tblInd w:w="379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439"/>
        </w:trPr>
        <w:tc>
          <w:tcPr>
            <w:tcW w:w="241" w:type="dxa"/>
            <w:vAlign w:val="top"/>
          </w:tcPr>
          <w:p>
            <w:pPr>
              <w:pStyle w:val="TableText"/>
              <w:spacing w:before="188" w:line="195" w:lineRule="auto"/>
              <w:ind w:left="12"/>
            </w:pPr>
            <w:r>
              <w:rPr>
                <w:spacing w:val="-5"/>
              </w:rPr>
              <w:t>10</w:t>
            </w:r>
          </w:p>
        </w:tc>
        <w:tc>
          <w:tcPr>
            <w:tcW w:w="6398" w:type="dxa"/>
            <w:vAlign w:val="top"/>
          </w:tcPr>
          <w:p/>
        </w:tc>
        <w:tc>
          <w:tcPr>
            <w:tcW w:w="699" w:type="dxa"/>
            <w:vAlign w:val="top"/>
          </w:tcPr>
          <w:p>
            <w:pPr>
              <w:pStyle w:val="TableText"/>
              <w:spacing w:line="196" w:lineRule="auto"/>
              <w:ind w:left="73"/>
            </w:pPr>
            <w:r>
              <w:rPr>
                <w:spacing w:val="-2"/>
              </w:rPr>
              <w:t>0.00%</w:t>
            </w:r>
          </w:p>
        </w:tc>
      </w:tr>
      <w:tr>
        <w:tblPrEx>
          <w:tblW w:w="7338" w:type="dxa"/>
          <w:tblInd w:w="3793" w:type="dxa"/>
          <w:tblLayout w:type="fixed"/>
        </w:tblPrEx>
        <w:trPr>
          <w:trHeight w:val="315"/>
        </w:trPr>
        <w:tc>
          <w:tcPr>
            <w:tcW w:w="241" w:type="dxa"/>
            <w:vAlign w:val="top"/>
          </w:tcPr>
          <w:p>
            <w:pPr>
              <w:pStyle w:val="TableText"/>
              <w:spacing w:before="68" w:line="192" w:lineRule="auto"/>
              <w:ind w:left="90"/>
            </w:pPr>
            <w:r>
              <w:t>5</w:t>
            </w:r>
          </w:p>
        </w:tc>
        <w:tc>
          <w:tcPr>
            <w:tcW w:w="6398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06" w:line="197" w:lineRule="auto"/>
              <w:ind w:left="72"/>
            </w:pPr>
            <w:r>
              <w:rPr>
                <w:spacing w:val="-1"/>
              </w:rPr>
              <w:t>-20.00%</w:t>
            </w:r>
          </w:p>
        </w:tc>
      </w:tr>
      <w:tr>
        <w:tblPrEx>
          <w:tblW w:w="7338" w:type="dxa"/>
          <w:tblInd w:w="3793" w:type="dxa"/>
          <w:tblLayout w:type="fixed"/>
        </w:tblPrEx>
        <w:trPr>
          <w:trHeight w:val="237"/>
        </w:trPr>
        <w:tc>
          <w:tcPr>
            <w:tcW w:w="241" w:type="dxa"/>
            <w:vAlign w:val="top"/>
          </w:tcPr>
          <w:p>
            <w:pPr>
              <w:pStyle w:val="TableText"/>
              <w:spacing w:before="89" w:line="180" w:lineRule="auto"/>
              <w:ind w:left="90"/>
            </w:pPr>
            <w:r>
              <w:t>0</w:t>
            </w:r>
          </w:p>
        </w:tc>
        <w:tc>
          <w:tcPr>
            <w:tcW w:w="6398" w:type="dxa"/>
            <w:vAlign w:val="top"/>
          </w:tcPr>
          <w:p>
            <w:pPr>
              <w:pStyle w:val="TableText"/>
              <w:spacing w:line="227" w:lineRule="exact"/>
              <w:rPr>
                <w:sz w:val="19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87" w:line="182" w:lineRule="auto"/>
              <w:ind w:left="72"/>
            </w:pPr>
            <w:r>
              <w:rPr>
                <w:spacing w:val="-1"/>
              </w:rPr>
              <w:t>-40.00%</w:t>
            </w:r>
          </w:p>
        </w:tc>
      </w:tr>
      <w:tr>
        <w:tblPrEx>
          <w:tblW w:w="7338" w:type="dxa"/>
          <w:tblInd w:w="3793" w:type="dxa"/>
          <w:tblLayout w:type="fixed"/>
        </w:tblPrEx>
        <w:trPr>
          <w:trHeight w:val="131"/>
        </w:trPr>
        <w:tc>
          <w:tcPr>
            <w:tcW w:w="241" w:type="dxa"/>
            <w:vAlign w:val="top"/>
          </w:tcPr>
          <w:p>
            <w:pPr>
              <w:pStyle w:val="TableText"/>
              <w:spacing w:line="121" w:lineRule="exact"/>
              <w:rPr>
                <w:sz w:val="10"/>
              </w:rPr>
            </w:pPr>
          </w:p>
        </w:tc>
        <w:tc>
          <w:tcPr>
            <w:tcW w:w="6398" w:type="dxa"/>
            <w:vAlign w:val="top"/>
          </w:tcPr>
          <w:p>
            <w:pPr>
              <w:pStyle w:val="TableText"/>
              <w:spacing w:before="29" w:line="92" w:lineRule="exact"/>
              <w:ind w:left="141"/>
              <w:rPr>
                <w:sz w:val="13"/>
                <w:szCs w:val="13"/>
              </w:rPr>
            </w:pPr>
            <w:r>
              <w:rPr>
                <w:spacing w:val="4"/>
                <w:position w:val="-2"/>
                <w:sz w:val="13"/>
                <w:szCs w:val="13"/>
              </w:rPr>
              <w:t>2010   2011    2012    2013   2014    2015    2016   2017</w:t>
            </w:r>
            <w:r>
              <w:rPr>
                <w:spacing w:val="3"/>
                <w:position w:val="-2"/>
                <w:sz w:val="13"/>
                <w:szCs w:val="13"/>
              </w:rPr>
              <w:t xml:space="preserve">    2018    2019   2020    2021    2022  2023E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line="121" w:lineRule="exact"/>
              <w:rPr>
                <w:sz w:val="10"/>
              </w:rPr>
            </w:pPr>
          </w:p>
        </w:tc>
      </w:tr>
    </w:tbl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43" w:line="225" w:lineRule="auto"/>
        <w:ind w:left="3089"/>
        <w:rPr>
          <w:sz w:val="13"/>
          <w:szCs w:val="13"/>
        </w:rPr>
      </w:pPr>
      <w:r>
        <w:rPr>
          <w:spacing w:val="9"/>
          <w:sz w:val="13"/>
          <w:szCs w:val="13"/>
        </w:rPr>
        <w:t>资料来源：</w:t>
      </w:r>
      <w:r>
        <w:rPr>
          <w:rFonts w:ascii="Arial" w:eastAsia="Arial" w:hAnsi="Arial" w:cs="Arial"/>
          <w:sz w:val="13"/>
          <w:szCs w:val="13"/>
        </w:rPr>
        <w:t>SEIA</w:t>
      </w:r>
      <w:r>
        <w:rPr>
          <w:spacing w:val="9"/>
          <w:sz w:val="13"/>
          <w:szCs w:val="13"/>
        </w:rPr>
        <w:t>，西部证券研发中心</w:t>
      </w:r>
    </w:p>
    <w:p>
      <w:pPr>
        <w:pStyle w:val="BodyText"/>
        <w:spacing w:before="130" w:line="262" w:lineRule="auto"/>
        <w:ind w:left="3077" w:right="662" w:firstLine="12"/>
      </w:pP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美国光伏发电量占比目前仍然处于较低水平，</w:t>
      </w:r>
      <w:r>
        <w:rPr>
          <w:spacing w:val="69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存在较大空间。</w:t>
      </w:r>
      <w:r>
        <w:rPr>
          <w:spacing w:val="35"/>
        </w:rPr>
        <w:t xml:space="preserve"> </w:t>
      </w:r>
      <w:r>
        <w:rPr>
          <w:rFonts w:ascii="Arial" w:eastAsia="Arial" w:hAnsi="Arial" w:cs="Arial"/>
          <w:spacing w:val="-8"/>
        </w:rPr>
        <w:t>2023</w:t>
      </w:r>
      <w:r>
        <w:rPr>
          <w:rFonts w:ascii="Arial" w:eastAsia="Arial" w:hAnsi="Arial" w:cs="Arial"/>
          <w:spacing w:val="47"/>
          <w:w w:val="101"/>
        </w:rPr>
        <w:t xml:space="preserve"> </w:t>
      </w:r>
      <w:r>
        <w:rPr>
          <w:spacing w:val="-8"/>
        </w:rPr>
        <w:t>年美国的光伏发电量</w:t>
      </w:r>
      <w:r>
        <w:t xml:space="preserve"> </w:t>
      </w:r>
      <w:r>
        <w:rPr>
          <w:spacing w:val="-8"/>
        </w:rPr>
        <w:t>占比仅为</w:t>
      </w:r>
      <w:r>
        <w:rPr>
          <w:spacing w:val="-48"/>
        </w:rPr>
        <w:t xml:space="preserve"> </w:t>
      </w:r>
      <w:r>
        <w:rPr>
          <w:rFonts w:ascii="Arial" w:eastAsia="Arial" w:hAnsi="Arial" w:cs="Arial"/>
          <w:spacing w:val="-8"/>
        </w:rPr>
        <w:t>4%</w:t>
      </w:r>
      <w:r>
        <w:rPr>
          <w:spacing w:val="-8"/>
        </w:rPr>
        <w:t>，风电为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spacing w:val="-8"/>
        </w:rPr>
        <w:t>10%</w:t>
      </w:r>
      <w:r>
        <w:rPr>
          <w:spacing w:val="-8"/>
        </w:rPr>
        <w:t>，占整体比重较小，仍存在较大上升空间。根据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spacing w:val="-9"/>
        </w:rPr>
        <w:t xml:space="preserve">EIA </w:t>
      </w:r>
      <w:r>
        <w:rPr>
          <w:spacing w:val="-9"/>
        </w:rPr>
        <w:t>预测，</w:t>
      </w:r>
      <w:r>
        <w:rPr>
          <w:rFonts w:ascii="Arial" w:eastAsia="Arial" w:hAnsi="Arial" w:cs="Arial"/>
          <w:spacing w:val="-9"/>
        </w:rPr>
        <w:t>2024</w:t>
      </w:r>
      <w:r>
        <w:rPr>
          <w:rFonts w:ascii="Arial" w:eastAsia="Arial" w:hAnsi="Arial" w:cs="Arial"/>
        </w:rPr>
        <w:t xml:space="preserve"> </w:t>
      </w:r>
      <w:r>
        <w:rPr>
          <w:spacing w:val="-3"/>
        </w:rPr>
        <w:t>年美国集中式光伏新增装机将在利率下行，政策补贴，</w:t>
      </w:r>
      <w:r>
        <w:rPr>
          <w:spacing w:val="-39"/>
        </w:rPr>
        <w:t xml:space="preserve"> </w:t>
      </w:r>
      <w:r>
        <w:rPr>
          <w:spacing w:val="-3"/>
        </w:rPr>
        <w:t>产业链价格降低的三方面刺激因素</w:t>
      </w:r>
      <w:r>
        <w:t xml:space="preserve"> </w:t>
      </w:r>
      <w:r>
        <w:t>下达到</w:t>
      </w:r>
      <w:r>
        <w:t xml:space="preserve"> </w:t>
      </w:r>
      <w:r>
        <w:rPr>
          <w:rFonts w:ascii="Arial" w:eastAsia="Arial" w:hAnsi="Arial" w:cs="Arial"/>
        </w:rPr>
        <w:t>36.4GW</w:t>
      </w:r>
      <w:r>
        <w:t>，同比</w:t>
      </w:r>
      <w:r>
        <w:rPr>
          <w:rFonts w:ascii="Arial" w:eastAsia="Arial" w:hAnsi="Arial" w:cs="Arial"/>
        </w:rPr>
        <w:t>+97%</w:t>
      </w:r>
      <w:r>
        <w:t>。由于美国市场以集中式为主，且分布式市场对于利率与产</w:t>
      </w:r>
    </w:p>
    <w:p>
      <w:pPr>
        <w:spacing w:line="262" w:lineRule="auto"/>
        <w:sectPr>
          <w:headerReference w:type="default" r:id="rId48"/>
          <w:footerReference w:type="default" r:id="rId49"/>
          <w:type w:val="nextPage"/>
          <w:pgSz w:w="11907" w:h="16839"/>
          <w:pgMar w:top="1202" w:right="14" w:bottom="928" w:left="11" w:header="10" w:footer="21" w:gutter="0"/>
          <w:pgNumType w:start="13"/>
          <w:cols w:num="1" w:space="708" w:equalWidth="0">
            <w:col w:w="11881" w:space="0"/>
          </w:cols>
          <w:titlePg w:val="0"/>
        </w:sectPr>
      </w:pPr>
    </w:p>
    <w:p>
      <w:pPr>
        <w:pStyle w:val="BodyText"/>
        <w:spacing w:before="280" w:line="250" w:lineRule="auto"/>
        <w:ind w:left="3081" w:right="706" w:firstLine="5"/>
      </w:pPr>
      <w:r>
        <w:pict>
          <v:shape id="_x0000_s1038" style="width:257.85pt;height:0.5pt;margin-top:128.18pt;margin-left:33.96pt;mso-position-horizontal-relative:page;mso-position-vertical-relative:page;position:absolute;z-index:251674624" coordorigin="0,0" coordsize="5157,10" o:allowincell="f" path="m,9l5156,9l5156,l,l,9xe" filled="t" fillcolor="black" stroked="f"/>
        </w:pict>
      </w:r>
      <w:r>
        <w:pict>
          <v:shape id="_x0000_s1039" style="width:257.85pt;height:0.5pt;margin-top:294.29pt;margin-left:33.96pt;mso-position-horizontal-relative:page;mso-position-vertical-relative:page;position:absolute;z-index:251675648" coordorigin="0,0" coordsize="5157,10" o:allowincell="f" path="m,9l5156,9l5156,l,l,9xe" filled="t" fillcolor="black" stroked="f"/>
        </w:pict>
      </w:r>
      <w:r>
        <w:pict>
          <v:group id="_x0000_s1040" style="width:63.85pt;height:63.9pt;margin-top:179.9pt;margin-left:131.16pt;mso-position-horizontal-relative:page;mso-position-vertical-relative:page;position:absolute;z-index:-251644928" coordorigin="0,0" coordsize="1276,1278" o:allowincell="f" filled="f" stroked="f">
            <v:shape id="_x0000_s1041" style="width:634;height:1215;left:642;position:absolute" coordorigin="0,0" coordsize="634,1215" path="m,c349,,633,283,633,633c633,885,484,1113,253,1214l,633l,xe" filled="t" fillcolor="#c30f1b" stroked="f"/>
            <v:shape id="_x0000_s1042" style="width:614;height:644;left:283;position:absolute;top:633" coordorigin="0,0" coordsize="614,644" path="m613,580c412,668,180,646,,521l359,l613,580xe" filled="t" fillcolor="#ba9873" stroked="f"/>
            <v:shape id="_x0000_s1043" style="width:643;height:632;position:absolute;top:523" coordorigin="0,0" coordsize="643,632" path="m283,631c78,491,-24,244,18,l642,110l283,631xe" filled="t" fillcolor="#c8c8c8" stroked="f"/>
            <v:shape id="_x0000_s1044" style="width:577;height:554;left:66;position:absolute;top:80" coordorigin="0,0" coordsize="577,554" path="m,290c56,167,150,65,268,l576,553l,290xe" filled="t" fillcolor="#dc5969" stroked="f"/>
            <v:shape id="_x0000_s1045" style="width:308;height:634;left:334;position:absolute" coordorigin="0,0" coordsize="308,634" path="m,80m,80c94,27,200,,308,l308,633l,80xe" filled="t" fillcolor="#8e1515" stroked="f"/>
          </v:group>
        </w:pict>
      </w:r>
      <w:r>
        <w:pict>
          <v:shape id="_x0000_s1046" style="width:31.25pt;height:13.2pt;margin-top:198.42pt;margin-left:132.09pt;mso-position-horizontal-relative:page;mso-position-vertical-relative:page;position:absolute;z-index:-251645952" coordorigin="0,0" coordsize="625,263" o:allowincell="f" path="m,153c9,100,25,48,47,l624,263l,153xe" filled="t" fillcolor="#eab3a7" stroked="f"/>
        </w:pict>
      </w:r>
      <w:r>
        <w:pict>
          <v:shape id="_x0000_s1047" style="width:257.85pt;height:0.5pt;margin-top:128.18pt;margin-left:303.53pt;mso-position-horizontal-relative:page;mso-position-vertical-relative:page;position:absolute;z-index:251676672" coordorigin="0,0" coordsize="5157,10" o:allowincell="f" path="m,9l5156,9l5156,l,l,9xe" filled="t" fillcolor="black" stroked="f"/>
        </w:pict>
      </w:r>
      <w:r>
        <w:pict>
          <v:shape id="_x0000_s1048" style="width:257.85pt;height:0.5pt;margin-top:294.29pt;margin-left:303.53pt;mso-position-horizontal-relative:page;mso-position-vertical-relative:page;position:absolute;z-index:251677696" coordorigin="0,0" coordsize="5157,10" o:allowincell="f" path="m,9l5156,9l5156,l,l,9xe" filled="t" fillcolor="black" stroked="f"/>
        </w:pict>
      </w:r>
      <w:r>
        <w:pict>
          <v:group id="_x0000_s1049" style="width:64.65pt;height:64.65pt;margin-top:171.35pt;margin-left:396.41pt;mso-position-horizontal-relative:page;mso-position-vertical-relative:page;position:absolute;z-index:-251646976" coordorigin="0,0" coordsize="1293,1293" o:allowincell="f" filled="f" stroked="f">
            <v:shape id="_x0000_s1050" style="width:641;height:1183;left:651;position:absolute" coordorigin="0,0" coordsize="641,1183" path="m,c354,,641,287,641,641c641,860,528,1065,343,1182l,641l,xe" filled="t" fillcolor="#c30f1b" stroked="f"/>
            <v:shape id="_x0000_s1051" style="width:653;height:650;left:342;position:absolute;top:641" coordorigin="0,0" coordsize="653,650" path="m652,541c455,666,205,674,,561l308,l652,541xe" filled="t" fillcolor="#ba9873" stroked="f"/>
            <v:shape id="_x0000_s1052" style="width:542;height:562;left:109;position:absolute;top:641" coordorigin="0,0" coordsize="542,562" path="m232,561c137,510,57,434,,343l541,l232,561xe" filled="t" fillcolor="#c8c8c8" stroked="f"/>
            <v:shape id="_x0000_s1053" style="width:651;height:457;position:absolute;top:264" coordorigin="0,0" coordsize="651,457" path="m14,457c-5,295,36,131,132,l651,376l14,457xe" filled="t" fillcolor="#dc5969" stroked="f"/>
            <v:shape id="_x0000_s1054" style="width:519;height:542;left:132;position:absolute;top:99" coordorigin="0,0" coordsize="519,542" path="m,164m,164c47,99,107,43,175,l518,541l,164xe" filled="t" fillcolor="#8e1515" stroked="f"/>
            <v:shape id="_x0000_s1055" style="width:344;height:597;left:307;position:absolute;top:45" coordorigin="0,0" coordsize="344,597" path="m,54m,54c33,33,70,14,107,l343,596l,54xe" filled="t" fillcolor="#ee7300" stroked="f"/>
            <v:shape id="_x0000_s1056" style="width:236;height:641;left:415;position:absolute" coordorigin="0,0" coordsize="236,641" path="m,45m,45c75,15,155,,235,l235,641l,45xe" filled="t" fillcolor="#eeb077" stroked="f"/>
          </v:group>
        </w:pict>
      </w:r>
      <w:r>
        <w:pict>
          <v:shape id="_x0000_s1057" style="width:31.85pt;height:17.2pt;margin-top:203.41pt;margin-left:397.15pt;mso-position-horizontal-relative:page;mso-position-vertical-relative:page;position:absolute;z-index:251672576" coordorigin="0,0" coordsize="637,344" o:allowincell="f" path="m94,343c44,264,11,174,,80l636,l94,343xe" filled="t" fillcolor="#eab3a7" stroked="f"/>
        </w:pict>
      </w:r>
      <w:r>
        <w:pict>
          <v:shape id="_x0000_s1058" style="width:407.65pt;height:0.5pt;margin-top:767.62pt;margin-left:153.74pt;mso-position-horizontal-relative:page;mso-position-vertical-relative:page;position:absolute;z-index:251673600" coordorigin="0,0" coordsize="8152,10" o:allowincell="f" path="m,9l2292,9l2292,l,l,9xem2278,9l2287,9l2287,l2278,l2278,9xem2287,9l3536,9l3536,l2287,l2287,9xem3521,9l3531,9l3531,l3521,l3521,9xem3531,9l4719,9l4719,l3531,l3531,9xem4705,9l4714,9l4714,l4705,l4705,9xem4714,9l5905,9l5905,l4714,l4714,9xem5891,9l5900,9l5900,l5891,l5891,9xem5900,9l7088,9l7088,l5900,l5900,9xem7074,9l7084,9l7084,l7074,l7074,9xem7084,9l8152,9l8152,l7084,l7084,9xe" filled="t" fillcolor="black" stroked="f"/>
        </w:pict>
      </w:r>
      <w:r>
        <w:rPr>
          <w:spacing w:val="-5"/>
        </w:rPr>
        <w:t>业链价格刺激不敏感，我们保守假设美国分布式新增装机与</w:t>
      </w:r>
      <w:r>
        <w:rPr>
          <w:spacing w:val="-52"/>
        </w:rPr>
        <w:t xml:space="preserve"> </w:t>
      </w:r>
      <w:r>
        <w:rPr>
          <w:rFonts w:ascii="Arial" w:eastAsia="Arial" w:hAnsi="Arial" w:cs="Arial"/>
          <w:spacing w:val="-5"/>
        </w:rPr>
        <w:t>23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spacing w:val="-5"/>
        </w:rPr>
        <w:t>年处于同样水平</w:t>
      </w:r>
      <w:r>
        <w:rPr>
          <w:spacing w:val="-49"/>
        </w:rPr>
        <w:t xml:space="preserve"> </w:t>
      </w:r>
      <w:r>
        <w:rPr>
          <w:rFonts w:ascii="Arial" w:eastAsia="Arial" w:hAnsi="Arial" w:cs="Arial"/>
          <w:spacing w:val="-5"/>
        </w:rPr>
        <w:t>14.6GW</w:t>
      </w:r>
      <w:r>
        <w:rPr>
          <w:spacing w:val="-5"/>
        </w:rPr>
        <w:t>，</w:t>
      </w:r>
      <w:r>
        <w:t xml:space="preserve"> </w:t>
      </w:r>
      <w:r>
        <w:rPr>
          <w:spacing w:val="-1"/>
        </w:rPr>
        <w:t>则美国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1"/>
        </w:rPr>
        <w:t xml:space="preserve">2024 </w:t>
      </w:r>
      <w:r>
        <w:rPr>
          <w:spacing w:val="-1"/>
        </w:rPr>
        <w:t>年光伏新增装机有望达到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1"/>
        </w:rPr>
        <w:t>51GW</w:t>
      </w:r>
      <w:r>
        <w:rPr>
          <w:spacing w:val="-1"/>
        </w:rPr>
        <w:t>，同比</w:t>
      </w:r>
      <w:r>
        <w:rPr>
          <w:rFonts w:ascii="Arial" w:eastAsia="Arial" w:hAnsi="Arial" w:cs="Arial"/>
          <w:spacing w:val="-1"/>
        </w:rPr>
        <w:t>+54%</w:t>
      </w:r>
      <w:r>
        <w:rPr>
          <w:spacing w:val="-1"/>
        </w:rPr>
        <w:t>。</w:t>
      </w:r>
    </w:p>
    <w:p>
      <w:pPr>
        <w:spacing w:line="218" w:lineRule="exact"/>
      </w:pPr>
    </w:p>
    <w:p>
      <w:pPr>
        <w:spacing w:line="218" w:lineRule="exact"/>
        <w:sectPr>
          <w:headerReference w:type="default" r:id="rId50"/>
          <w:footerReference w:type="default" r:id="rId51"/>
          <w:pgSz w:w="11907" w:h="16839"/>
          <w:pgMar w:top="1202" w:right="14" w:bottom="928" w:left="11" w:header="10" w:footer="21" w:gutter="0"/>
          <w:pgNumType w:start="14"/>
          <w:cols w:num="1" w:space="708" w:equalWidth="0">
            <w:col w:w="11881" w:space="0"/>
          </w:cols>
        </w:sectPr>
      </w:pPr>
    </w:p>
    <w:p>
      <w:pPr>
        <w:pStyle w:val="BodyText"/>
        <w:spacing w:before="38" w:line="230" w:lineRule="auto"/>
        <w:ind w:left="699"/>
        <w:rPr>
          <w:rFonts w:ascii="Arial" w:eastAsia="Arial" w:hAnsi="Arial" w:cs="Arial"/>
          <w:sz w:val="18"/>
          <w:szCs w:val="18"/>
        </w:rPr>
      </w:pPr>
      <w:r>
        <w:rPr>
          <w:color w:val="0D0D0D"/>
          <w:spacing w:val="-2"/>
          <w:sz w:val="18"/>
          <w:szCs w:val="18"/>
        </w:rPr>
        <w:t>图</w:t>
      </w:r>
      <w:r>
        <w:rPr>
          <w:color w:val="0D0D0D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3</w:t>
      </w:r>
      <w:r>
        <w:rPr>
          <w:color w:val="0D0D0D"/>
          <w:spacing w:val="-2"/>
          <w:sz w:val="18"/>
          <w:szCs w:val="18"/>
        </w:rPr>
        <w:t>：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 xml:space="preserve">2023 </w:t>
      </w:r>
      <w:r>
        <w:rPr>
          <w:color w:val="0D0D0D"/>
          <w:spacing w:val="-2"/>
          <w:sz w:val="18"/>
          <w:szCs w:val="18"/>
        </w:rPr>
        <w:t>年美国发电结构中光伏占比仅为</w:t>
      </w:r>
      <w:r>
        <w:rPr>
          <w:color w:val="0D0D0D"/>
          <w:spacing w:val="-39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4%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46" w:line="197" w:lineRule="auto"/>
        <w:ind w:left="283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2"/>
          <w:sz w:val="16"/>
          <w:szCs w:val="16"/>
        </w:rPr>
        <w:t>8%</w:t>
      </w:r>
    </w:p>
    <w:p>
      <w:pPr>
        <w:spacing w:before="49" w:line="197" w:lineRule="auto"/>
        <w:ind w:left="239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4"/>
          <w:sz w:val="16"/>
          <w:szCs w:val="16"/>
        </w:rPr>
        <w:t>10%</w:t>
      </w:r>
    </w:p>
    <w:p>
      <w:pPr>
        <w:spacing w:before="175" w:line="197" w:lineRule="auto"/>
        <w:ind w:left="2326"/>
        <w:rPr>
          <w:rFonts w:ascii="Arial" w:eastAsia="Arial" w:hAnsi="Arial" w:cs="Arial"/>
          <w:sz w:val="16"/>
          <w:szCs w:val="16"/>
        </w:rPr>
      </w:pPr>
      <w:r>
        <w:pict>
          <v:shape id="_x0000_s1059" type="#_x0000_t202" style="width:17.95pt;height:9.55pt;margin-top:11.41pt;margin-left:197.62pt;position:absolute;z-index:251679744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254061"/>
                      <w:spacing w:val="-1"/>
                      <w:sz w:val="16"/>
                      <w:szCs w:val="16"/>
                    </w:rPr>
                    <w:t>43%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254061"/>
          <w:spacing w:val="-1"/>
          <w:sz w:val="16"/>
          <w:szCs w:val="16"/>
        </w:rPr>
        <w:t>4%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46" w:line="197" w:lineRule="auto"/>
        <w:ind w:left="227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4"/>
          <w:sz w:val="16"/>
          <w:szCs w:val="16"/>
        </w:rPr>
        <w:t>18%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47" w:line="197" w:lineRule="auto"/>
        <w:ind w:left="298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4"/>
          <w:sz w:val="16"/>
          <w:szCs w:val="16"/>
        </w:rPr>
        <w:t>16%</w:t>
      </w:r>
    </w:p>
    <w:p>
      <w:pPr>
        <w:pStyle w:val="BodyText"/>
        <w:spacing w:before="29" w:line="218" w:lineRule="auto"/>
        <w:ind w:left="1133"/>
        <w:rPr>
          <w:sz w:val="18"/>
          <w:szCs w:val="18"/>
        </w:rPr>
      </w:pPr>
      <w:r>
        <w:rPr>
          <w:color w:val="254061"/>
          <w:position w:val="1"/>
          <w:sz w:val="18"/>
          <w:szCs w:val="18"/>
        </w:rPr>
        <w:drawing>
          <wp:inline distT="0" distB="0" distL="0" distR="0">
            <wp:extent cx="56387" cy="57911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6387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3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天然气</w:t>
      </w:r>
      <w:r>
        <w:rPr>
          <w:color w:val="254061"/>
          <w:spacing w:val="21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9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煤炭</w:t>
      </w:r>
      <w:r>
        <w:rPr>
          <w:color w:val="254061"/>
          <w:spacing w:val="20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50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核能</w:t>
      </w:r>
      <w:r>
        <w:rPr>
          <w:color w:val="254061"/>
          <w:spacing w:val="20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2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光伏</w:t>
      </w:r>
      <w:r>
        <w:rPr>
          <w:color w:val="254061"/>
          <w:spacing w:val="20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7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风电</w:t>
      </w:r>
      <w:r>
        <w:rPr>
          <w:color w:val="254061"/>
          <w:spacing w:val="20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1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其他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43" w:line="211" w:lineRule="auto"/>
        <w:ind w:left="682"/>
        <w:rPr>
          <w:sz w:val="13"/>
          <w:szCs w:val="13"/>
        </w:rPr>
      </w:pPr>
      <w:r>
        <w:rPr>
          <w:spacing w:val="9"/>
          <w:sz w:val="13"/>
          <w:szCs w:val="13"/>
        </w:rPr>
        <w:t>资料来源：</w:t>
      </w:r>
      <w:r>
        <w:rPr>
          <w:rFonts w:ascii="Arial" w:eastAsia="Arial" w:hAnsi="Arial" w:cs="Arial"/>
          <w:sz w:val="13"/>
          <w:szCs w:val="13"/>
        </w:rPr>
        <w:t>EIA</w:t>
      </w:r>
      <w:r>
        <w:rPr>
          <w:rFonts w:ascii="Arial" w:eastAsia="Arial" w:hAnsi="Arial" w:cs="Arial"/>
          <w:spacing w:val="9"/>
          <w:sz w:val="13"/>
          <w:szCs w:val="13"/>
        </w:rPr>
        <w:t>,</w:t>
      </w:r>
      <w:r>
        <w:rPr>
          <w:spacing w:val="9"/>
          <w:sz w:val="13"/>
          <w:szCs w:val="13"/>
        </w:rPr>
        <w:t>西部证券研发中心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7" w:line="230" w:lineRule="auto"/>
        <w:ind w:left="31"/>
        <w:rPr>
          <w:rFonts w:ascii="Arial" w:eastAsia="Arial" w:hAnsi="Arial" w:cs="Arial"/>
          <w:sz w:val="18"/>
          <w:szCs w:val="18"/>
        </w:rPr>
      </w:pPr>
      <w:r>
        <w:rPr>
          <w:color w:val="0D0D0D"/>
          <w:spacing w:val="-2"/>
          <w:sz w:val="18"/>
          <w:szCs w:val="18"/>
        </w:rPr>
        <w:t>图</w:t>
      </w:r>
      <w:r>
        <w:rPr>
          <w:color w:val="0D0D0D"/>
          <w:spacing w:val="-40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4</w:t>
      </w:r>
      <w:r>
        <w:rPr>
          <w:color w:val="0D0D0D"/>
          <w:spacing w:val="-2"/>
          <w:sz w:val="18"/>
          <w:szCs w:val="18"/>
        </w:rPr>
        <w:t>：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 xml:space="preserve">2022 </w:t>
      </w:r>
      <w:r>
        <w:rPr>
          <w:color w:val="0D0D0D"/>
          <w:spacing w:val="-2"/>
          <w:sz w:val="18"/>
          <w:szCs w:val="18"/>
        </w:rPr>
        <w:t>年美国装机结构中光伏占比仅为</w:t>
      </w:r>
      <w:r>
        <w:rPr>
          <w:color w:val="0D0D0D"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9%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46" w:line="175" w:lineRule="exact"/>
        <w:ind w:left="191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3"/>
          <w:position w:val="-3"/>
          <w:sz w:val="16"/>
          <w:szCs w:val="16"/>
        </w:rPr>
        <w:t>3%</w:t>
      </w:r>
      <w:r>
        <w:rPr>
          <w:rFonts w:ascii="Arial" w:eastAsia="Arial" w:hAnsi="Arial" w:cs="Arial"/>
          <w:color w:val="254061"/>
          <w:spacing w:val="-12"/>
          <w:position w:val="-3"/>
          <w:sz w:val="16"/>
          <w:szCs w:val="16"/>
        </w:rPr>
        <w:t xml:space="preserve"> </w:t>
      </w:r>
      <w:r>
        <w:rPr>
          <w:rFonts w:ascii="Arial" w:eastAsia="Arial" w:hAnsi="Arial" w:cs="Arial"/>
          <w:color w:val="254061"/>
          <w:spacing w:val="-3"/>
          <w:position w:val="3"/>
          <w:sz w:val="16"/>
          <w:szCs w:val="16"/>
        </w:rPr>
        <w:t>6%</w:t>
      </w:r>
    </w:p>
    <w:p>
      <w:pPr>
        <w:spacing w:line="188" w:lineRule="auto"/>
        <w:ind w:left="175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2"/>
          <w:sz w:val="16"/>
          <w:szCs w:val="16"/>
        </w:rPr>
        <w:t>6%</w:t>
      </w:r>
    </w:p>
    <w:p>
      <w:pPr>
        <w:spacing w:before="259" w:line="197" w:lineRule="auto"/>
        <w:ind w:left="1490"/>
        <w:rPr>
          <w:rFonts w:ascii="Arial" w:eastAsia="Arial" w:hAnsi="Arial" w:cs="Arial"/>
          <w:sz w:val="16"/>
          <w:szCs w:val="16"/>
        </w:rPr>
      </w:pPr>
      <w:r>
        <w:pict>
          <v:shape id="_x0000_s1060" type="#_x0000_t202" style="width:17.95pt;height:9.55pt;margin-top:10.8pt;margin-left:160.2pt;position:absolute;z-index:251678720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254061"/>
                      <w:spacing w:val="-1"/>
                      <w:sz w:val="16"/>
                      <w:szCs w:val="16"/>
                    </w:rPr>
                    <w:t>41%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254061"/>
          <w:spacing w:val="-4"/>
          <w:sz w:val="16"/>
          <w:szCs w:val="16"/>
        </w:rPr>
        <w:t>12%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46" w:line="197" w:lineRule="auto"/>
        <w:ind w:left="158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2"/>
          <w:sz w:val="16"/>
          <w:szCs w:val="16"/>
        </w:rPr>
        <w:t>7%</w:t>
      </w:r>
    </w:p>
    <w:p>
      <w:pPr>
        <w:spacing w:before="188" w:line="197" w:lineRule="auto"/>
        <w:ind w:left="175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2"/>
          <w:sz w:val="16"/>
          <w:szCs w:val="16"/>
        </w:rPr>
        <w:t>8%</w:t>
      </w:r>
    </w:p>
    <w:p>
      <w:pPr>
        <w:spacing w:before="29" w:line="197" w:lineRule="auto"/>
        <w:ind w:left="240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54061"/>
          <w:spacing w:val="-4"/>
          <w:sz w:val="16"/>
          <w:szCs w:val="16"/>
        </w:rPr>
        <w:t>17%</w:t>
      </w:r>
    </w:p>
    <w:p>
      <w:pPr>
        <w:spacing w:line="110" w:lineRule="exact"/>
      </w:pPr>
    </w:p>
    <w:tbl>
      <w:tblPr>
        <w:tblStyle w:val="TableNormal3"/>
        <w:tblW w:w="3915" w:type="dxa"/>
        <w:tblInd w:w="65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36"/>
        <w:gridCol w:w="2679"/>
      </w:tblGrid>
      <w:tr>
        <w:tblPrEx>
          <w:tblW w:w="3915" w:type="dxa"/>
          <w:tblInd w:w="65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49"/>
        </w:trPr>
        <w:tc>
          <w:tcPr>
            <w:tcW w:w="1236" w:type="dxa"/>
            <w:vAlign w:val="top"/>
          </w:tcPr>
          <w:p>
            <w:pPr>
              <w:spacing w:line="189" w:lineRule="auto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254061"/>
                <w:position w:val="1"/>
                <w:sz w:val="18"/>
                <w:szCs w:val="18"/>
              </w:rPr>
              <w:drawing>
                <wp:inline distT="0" distB="0" distL="0" distR="0">
                  <wp:extent cx="57911" cy="56388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3"/>
                <w:sz w:val="18"/>
                <w:szCs w:val="18"/>
              </w:rPr>
              <w:t>天然气</w:t>
            </w:r>
          </w:p>
          <w:p>
            <w:pPr>
              <w:spacing w:line="189" w:lineRule="auto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254061"/>
                <w:position w:val="1"/>
                <w:sz w:val="18"/>
                <w:szCs w:val="18"/>
              </w:rPr>
              <w:drawing>
                <wp:inline distT="0" distB="0" distL="0" distR="0">
                  <wp:extent cx="57911" cy="56388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3"/>
                <w:sz w:val="18"/>
                <w:szCs w:val="18"/>
              </w:rPr>
              <w:t>水电</w:t>
            </w:r>
          </w:p>
          <w:p>
            <w:pPr>
              <w:spacing w:line="173" w:lineRule="auto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254061"/>
                <w:position w:val="1"/>
                <w:sz w:val="18"/>
                <w:szCs w:val="18"/>
              </w:rPr>
              <w:drawing>
                <wp:inline distT="0" distB="0" distL="0" distR="0">
                  <wp:extent cx="57911" cy="53067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2"/>
                <w:sz w:val="18"/>
                <w:szCs w:val="18"/>
              </w:rPr>
              <w:t>分布式光伏</w:t>
            </w:r>
          </w:p>
        </w:tc>
        <w:tc>
          <w:tcPr>
            <w:tcW w:w="2679" w:type="dxa"/>
            <w:vAlign w:val="top"/>
          </w:tcPr>
          <w:p>
            <w:pPr>
              <w:spacing w:line="189" w:lineRule="auto"/>
              <w:ind w:left="20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254061"/>
                <w:position w:val="1"/>
                <w:sz w:val="18"/>
                <w:szCs w:val="18"/>
              </w:rPr>
              <w:drawing>
                <wp:inline distT="0" distB="0" distL="0" distR="0">
                  <wp:extent cx="57911" cy="56388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2"/>
                <w:sz w:val="18"/>
                <w:szCs w:val="18"/>
              </w:rPr>
              <w:t>煤炭</w:t>
            </w:r>
            <w:r>
              <w:rPr>
                <w:rFonts w:ascii="KaiTi" w:eastAsia="KaiTi" w:hAnsi="KaiTi" w:cs="KaiTi"/>
                <w:color w:val="254061"/>
                <w:spacing w:val="5"/>
                <w:sz w:val="18"/>
                <w:szCs w:val="18"/>
              </w:rPr>
              <w:t xml:space="preserve">          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57911" cy="56388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2"/>
                <w:sz w:val="18"/>
                <w:szCs w:val="18"/>
              </w:rPr>
              <w:t>核能</w:t>
            </w:r>
          </w:p>
          <w:p>
            <w:pPr>
              <w:spacing w:line="189" w:lineRule="auto"/>
              <w:jc w:val="right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254061"/>
                <w:position w:val="1"/>
                <w:sz w:val="18"/>
                <w:szCs w:val="18"/>
              </w:rPr>
              <w:drawing>
                <wp:inline distT="0" distB="0" distL="0" distR="0">
                  <wp:extent cx="57902" cy="56388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02" cy="5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4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2"/>
                <w:sz w:val="18"/>
                <w:szCs w:val="18"/>
              </w:rPr>
              <w:t>风电</w:t>
            </w:r>
            <w:r>
              <w:rPr>
                <w:rFonts w:ascii="KaiTi" w:eastAsia="KaiTi" w:hAnsi="KaiTi" w:cs="KaiTi"/>
                <w:color w:val="254061"/>
                <w:spacing w:val="5"/>
                <w:sz w:val="18"/>
                <w:szCs w:val="18"/>
              </w:rPr>
              <w:t xml:space="preserve">          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57902" cy="56388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02" cy="5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2"/>
                <w:sz w:val="18"/>
                <w:szCs w:val="18"/>
              </w:rPr>
              <w:t>集中式光伏</w:t>
            </w:r>
          </w:p>
          <w:p>
            <w:pPr>
              <w:spacing w:line="173" w:lineRule="auto"/>
              <w:ind w:left="20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254061"/>
                <w:position w:val="1"/>
                <w:sz w:val="18"/>
                <w:szCs w:val="18"/>
              </w:rPr>
              <w:drawing>
                <wp:inline distT="0" distB="0" distL="0" distR="0">
                  <wp:extent cx="57911" cy="53067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3"/>
                <w:sz w:val="18"/>
                <w:szCs w:val="18"/>
              </w:rPr>
              <w:t>其他</w:t>
            </w:r>
          </w:p>
        </w:tc>
      </w:tr>
    </w:tbl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43" w:line="211" w:lineRule="auto"/>
        <w:ind w:left="13"/>
        <w:rPr>
          <w:sz w:val="13"/>
          <w:szCs w:val="13"/>
        </w:rPr>
      </w:pPr>
      <w:r>
        <w:rPr>
          <w:spacing w:val="9"/>
          <w:sz w:val="13"/>
          <w:szCs w:val="13"/>
        </w:rPr>
        <w:t>资料来源：</w:t>
      </w:r>
      <w:r>
        <w:rPr>
          <w:rFonts w:ascii="Arial" w:eastAsia="Arial" w:hAnsi="Arial" w:cs="Arial"/>
          <w:sz w:val="13"/>
          <w:szCs w:val="13"/>
        </w:rPr>
        <w:t>EIA</w:t>
      </w:r>
      <w:r>
        <w:rPr>
          <w:spacing w:val="9"/>
          <w:sz w:val="13"/>
          <w:szCs w:val="13"/>
        </w:rPr>
        <w:t>，西部证券研发中心</w:t>
      </w:r>
    </w:p>
    <w:p>
      <w:pPr>
        <w:spacing w:line="211" w:lineRule="auto"/>
        <w:rPr>
          <w:sz w:val="13"/>
          <w:szCs w:val="13"/>
        </w:rPr>
        <w:sectPr>
          <w:headerReference w:type="default" r:id="rId66"/>
          <w:footerReference w:type="default" r:id="rId67"/>
          <w:type w:val="continuous"/>
          <w:pgSz w:w="11907" w:h="16839"/>
          <w:pgMar w:top="1202" w:right="14" w:bottom="928" w:left="11" w:header="10" w:footer="21" w:gutter="0"/>
          <w:pgNumType w:start="15"/>
          <w:cols w:num="2" w:space="708" w:equalWidth="0">
            <w:col w:w="5960" w:space="100"/>
            <w:col w:w="5822" w:space="0"/>
          </w:cols>
        </w:sectPr>
      </w:pPr>
    </w:p>
    <w:p>
      <w:pPr>
        <w:pStyle w:val="BodyText"/>
        <w:spacing w:before="143" w:line="269" w:lineRule="auto"/>
        <w:ind w:left="3069" w:right="660" w:firstLine="13"/>
        <w:jc w:val="both"/>
      </w:pPr>
      <w:r>
        <w:rPr>
          <w:rFonts w:ascii="Arial" w:eastAsia="Arial" w:hAnsi="Arial" w:cs="Arial"/>
          <w:b/>
          <w:bCs/>
          <w:spacing w:val="-7"/>
        </w:rPr>
        <w:t xml:space="preserve">IRA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补贴刺激跟踪支架厂商扩产。</w:t>
      </w:r>
      <w:r>
        <w:rPr>
          <w:spacing w:val="-7"/>
        </w:rPr>
        <w:t xml:space="preserve"> </w:t>
      </w:r>
      <w:r>
        <w:rPr>
          <w:spacing w:val="-7"/>
        </w:rPr>
        <w:t>美国东部时间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7"/>
        </w:rPr>
        <w:t>2022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spacing w:val="-7"/>
        </w:rPr>
        <w:t>年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-7"/>
        </w:rPr>
        <w:t>8</w:t>
      </w:r>
      <w:r>
        <w:rPr>
          <w:rFonts w:ascii="Arial" w:eastAsia="Arial" w:hAnsi="Arial" w:cs="Arial"/>
          <w:spacing w:val="23"/>
        </w:rPr>
        <w:t xml:space="preserve"> </w:t>
      </w:r>
      <w:r>
        <w:rPr>
          <w:spacing w:val="-7"/>
        </w:rPr>
        <w:t>月</w:t>
      </w:r>
      <w:r>
        <w:rPr>
          <w:spacing w:val="-7"/>
        </w:rPr>
        <w:t xml:space="preserve"> </w:t>
      </w:r>
      <w:r>
        <w:rPr>
          <w:rFonts w:ascii="Arial" w:eastAsia="Arial" w:hAnsi="Arial" w:cs="Arial"/>
          <w:spacing w:val="-7"/>
        </w:rPr>
        <w:t xml:space="preserve">16  </w:t>
      </w:r>
      <w:r>
        <w:rPr>
          <w:spacing w:val="-7"/>
        </w:rPr>
        <w:t>日，《</w:t>
      </w:r>
      <w:r>
        <w:rPr>
          <w:rFonts w:ascii="Arial" w:eastAsia="Arial" w:hAnsi="Arial" w:cs="Arial"/>
          <w:spacing w:val="-7"/>
        </w:rPr>
        <w:t xml:space="preserve">2022 </w:t>
      </w:r>
      <w:r>
        <w:rPr>
          <w:spacing w:val="-7"/>
        </w:rPr>
        <w:t>年通胀削减</w:t>
      </w:r>
      <w:r>
        <w:t xml:space="preserve"> </w:t>
      </w:r>
      <w:r>
        <w:rPr>
          <w:spacing w:val="-2"/>
        </w:rPr>
        <w:t>法案》（</w:t>
      </w:r>
      <w:r>
        <w:rPr>
          <w:rFonts w:ascii="Arial" w:eastAsia="Arial" w:hAnsi="Arial" w:cs="Arial"/>
          <w:spacing w:val="-2"/>
        </w:rPr>
        <w:t>Inflation</w:t>
      </w:r>
      <w:r>
        <w:rPr>
          <w:rFonts w:ascii="Arial" w:eastAsia="Arial" w:hAnsi="Arial" w:cs="Arial"/>
          <w:spacing w:val="45"/>
          <w:w w:val="101"/>
        </w:rPr>
        <w:t xml:space="preserve"> </w:t>
      </w:r>
      <w:r>
        <w:rPr>
          <w:rFonts w:ascii="Arial" w:eastAsia="Arial" w:hAnsi="Arial" w:cs="Arial"/>
          <w:spacing w:val="-2"/>
        </w:rPr>
        <w:t>Reduction</w:t>
      </w:r>
      <w:r>
        <w:rPr>
          <w:rFonts w:ascii="Arial" w:eastAsia="Arial" w:hAnsi="Arial" w:cs="Arial"/>
          <w:spacing w:val="28"/>
        </w:rPr>
        <w:t xml:space="preserve"> </w:t>
      </w:r>
      <w:r>
        <w:rPr>
          <w:rFonts w:ascii="Arial" w:eastAsia="Arial" w:hAnsi="Arial" w:cs="Arial"/>
          <w:spacing w:val="-2"/>
        </w:rPr>
        <w:t>Act</w:t>
      </w:r>
      <w:r>
        <w:rPr>
          <w:spacing w:val="-2"/>
        </w:rPr>
        <w:t>）正式生</w:t>
      </w:r>
      <w:r>
        <w:rPr>
          <w:spacing w:val="-3"/>
        </w:rPr>
        <w:t>效。该法案涵盖了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3"/>
        </w:rPr>
        <w:t xml:space="preserve">3,690 </w:t>
      </w:r>
      <w:r>
        <w:rPr>
          <w:spacing w:val="-3"/>
        </w:rPr>
        <w:t>亿美元的气候和能源相</w:t>
      </w:r>
      <w:r>
        <w:t xml:space="preserve"> </w:t>
      </w:r>
      <w:r>
        <w:rPr>
          <w:spacing w:val="-1"/>
        </w:rPr>
        <w:t>关支出，其目标是在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1"/>
        </w:rPr>
        <w:t xml:space="preserve">2030 </w:t>
      </w:r>
      <w:r>
        <w:rPr>
          <w:spacing w:val="-1"/>
        </w:rPr>
        <w:t>年前将美国的碳排放量减少约</w:t>
      </w:r>
      <w:r>
        <w:rPr>
          <w:spacing w:val="-49"/>
        </w:rPr>
        <w:t xml:space="preserve"> </w:t>
      </w:r>
      <w:r>
        <w:rPr>
          <w:rFonts w:ascii="Arial" w:eastAsia="Arial" w:hAnsi="Arial" w:cs="Arial"/>
          <w:spacing w:val="-1"/>
        </w:rPr>
        <w:t>40%</w:t>
      </w:r>
      <w:r>
        <w:rPr>
          <w:spacing w:val="-1"/>
        </w:rPr>
        <w:t>。根据</w:t>
      </w:r>
      <w:r>
        <w:rPr>
          <w:spacing w:val="-2"/>
        </w:rPr>
        <w:t>该法案，美国将为光</w:t>
      </w:r>
      <w:r>
        <w:t xml:space="preserve"> </w:t>
      </w:r>
      <w:r>
        <w:t>伏产品的制造和电站投资提供补贴或税收抵免。</w:t>
      </w:r>
    </w:p>
    <w:p>
      <w:pPr>
        <w:pStyle w:val="BodyText"/>
        <w:spacing w:before="239" w:line="269" w:lineRule="auto"/>
        <w:ind w:left="3087" w:right="660" w:hanging="9"/>
        <w:jc w:val="both"/>
      </w:pPr>
      <w:r>
        <w:rPr>
          <w:spacing w:val="-1"/>
        </w:rPr>
        <w:t>具体来说，《通胀削减法案》为在美国本土完成最终</w:t>
      </w:r>
      <w:r>
        <w:rPr>
          <w:spacing w:val="-2"/>
        </w:rPr>
        <w:t>生产和销售的光伏制造业提供了财政</w:t>
      </w:r>
      <w:r>
        <w:t xml:space="preserve"> </w:t>
      </w:r>
      <w:r>
        <w:rPr>
          <w:spacing w:val="-1"/>
        </w:rPr>
        <w:t>支持。从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1"/>
        </w:rPr>
        <w:t>2023</w:t>
      </w:r>
      <w:r>
        <w:rPr>
          <w:rFonts w:ascii="Arial" w:eastAsia="Arial" w:hAnsi="Arial" w:cs="Arial"/>
          <w:spacing w:val="21"/>
        </w:rPr>
        <w:t xml:space="preserve"> </w:t>
      </w:r>
      <w:r>
        <w:rPr>
          <w:spacing w:val="-1"/>
        </w:rPr>
        <w:t>年至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1"/>
        </w:rPr>
        <w:t>2029</w:t>
      </w:r>
      <w:r>
        <w:rPr>
          <w:rFonts w:ascii="Arial" w:eastAsia="Arial" w:hAnsi="Arial" w:cs="Arial"/>
          <w:spacing w:val="20"/>
          <w:w w:val="101"/>
        </w:rPr>
        <w:t xml:space="preserve"> </w:t>
      </w:r>
      <w:r>
        <w:rPr>
          <w:spacing w:val="-1"/>
        </w:rPr>
        <w:t>年，针对硅料、硅片、电池片、组件、背板、逆变器等生产环</w:t>
      </w:r>
      <w:r>
        <w:t xml:space="preserve"> </w:t>
      </w:r>
      <w:r>
        <w:rPr>
          <w:spacing w:val="-3"/>
        </w:rPr>
        <w:t>节，将提供不同幅度的补贴。随后在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3"/>
        </w:rPr>
        <w:t>2030</w:t>
      </w:r>
      <w:r>
        <w:rPr>
          <w:rFonts w:ascii="Arial" w:eastAsia="Arial" w:hAnsi="Arial" w:cs="Arial"/>
          <w:spacing w:val="18"/>
          <w:w w:val="101"/>
        </w:rPr>
        <w:t xml:space="preserve"> </w:t>
      </w:r>
      <w:r>
        <w:rPr>
          <w:spacing w:val="-3"/>
        </w:rPr>
        <w:t>年至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spacing w:val="-3"/>
        </w:rPr>
        <w:t>2033</w:t>
      </w:r>
      <w:r>
        <w:rPr>
          <w:rFonts w:ascii="Arial" w:eastAsia="Arial" w:hAnsi="Arial" w:cs="Arial"/>
          <w:spacing w:val="21"/>
          <w:w w:val="101"/>
        </w:rPr>
        <w:t xml:space="preserve"> </w:t>
      </w:r>
      <w:r>
        <w:rPr>
          <w:spacing w:val="-3"/>
        </w:rPr>
        <w:t>年期间，</w:t>
      </w:r>
      <w:r>
        <w:rPr>
          <w:spacing w:val="-20"/>
        </w:rPr>
        <w:t xml:space="preserve"> </w:t>
      </w:r>
      <w:r>
        <w:rPr>
          <w:spacing w:val="-3"/>
        </w:rPr>
        <w:t>这些补贴将逐步</w:t>
      </w:r>
      <w:r>
        <w:rPr>
          <w:spacing w:val="-4"/>
        </w:rPr>
        <w:t>递减，分</w:t>
      </w:r>
      <w:r>
        <w:t xml:space="preserve"> </w:t>
      </w:r>
      <w:r>
        <w:rPr>
          <w:spacing w:val="-1"/>
        </w:rPr>
        <w:t>别降至原有补贴额度的</w:t>
      </w:r>
      <w:r>
        <w:rPr>
          <w:spacing w:val="-40"/>
        </w:rPr>
        <w:t xml:space="preserve"> </w:t>
      </w:r>
      <w:r>
        <w:rPr>
          <w:rFonts w:ascii="Arial" w:eastAsia="Arial" w:hAnsi="Arial" w:cs="Arial"/>
          <w:spacing w:val="-1"/>
        </w:rPr>
        <w:t>75%</w:t>
      </w:r>
      <w:r>
        <w:rPr>
          <w:spacing w:val="-1"/>
        </w:rPr>
        <w:t>、</w:t>
      </w:r>
      <w:r>
        <w:rPr>
          <w:rFonts w:ascii="Arial" w:eastAsia="Arial" w:hAnsi="Arial" w:cs="Arial"/>
          <w:spacing w:val="-1"/>
        </w:rPr>
        <w:t>50%</w:t>
      </w:r>
      <w:r>
        <w:rPr>
          <w:spacing w:val="-1"/>
        </w:rPr>
        <w:t>、</w:t>
      </w:r>
      <w:r>
        <w:rPr>
          <w:rFonts w:ascii="Arial" w:eastAsia="Arial" w:hAnsi="Arial" w:cs="Arial"/>
          <w:spacing w:val="-1"/>
        </w:rPr>
        <w:t>25%</w:t>
      </w:r>
      <w:r>
        <w:rPr>
          <w:spacing w:val="-1"/>
        </w:rPr>
        <w:t>，直至完全取消。</w:t>
      </w:r>
    </w:p>
    <w:p>
      <w:pPr>
        <w:pStyle w:val="BodyText"/>
        <w:spacing w:before="251" w:line="221" w:lineRule="auto"/>
        <w:ind w:left="3071"/>
        <w:rPr>
          <w:sz w:val="19"/>
          <w:szCs w:val="19"/>
        </w:rPr>
      </w:pPr>
      <w:r>
        <w:rPr>
          <w:color w:val="0D0D0D"/>
          <w:spacing w:val="7"/>
          <w:sz w:val="19"/>
          <w:szCs w:val="19"/>
        </w:rPr>
        <w:t>表</w:t>
      </w:r>
      <w:r>
        <w:rPr>
          <w:color w:val="0D0D0D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7"/>
          <w:sz w:val="19"/>
          <w:szCs w:val="19"/>
        </w:rPr>
        <w:t>1</w:t>
      </w:r>
      <w:r>
        <w:rPr>
          <w:color w:val="0D0D0D"/>
          <w:spacing w:val="7"/>
          <w:sz w:val="19"/>
          <w:szCs w:val="19"/>
        </w:rPr>
        <w:t>：美国</w:t>
      </w:r>
      <w:r>
        <w:rPr>
          <w:color w:val="0D0D0D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z w:val="19"/>
          <w:szCs w:val="19"/>
        </w:rPr>
        <w:t>IRA</w:t>
      </w:r>
      <w:r>
        <w:rPr>
          <w:rFonts w:ascii="Arial" w:eastAsia="Arial" w:hAnsi="Arial" w:cs="Arial"/>
          <w:color w:val="0D0D0D"/>
          <w:spacing w:val="7"/>
          <w:sz w:val="19"/>
          <w:szCs w:val="19"/>
        </w:rPr>
        <w:t xml:space="preserve"> </w:t>
      </w:r>
      <w:r>
        <w:rPr>
          <w:color w:val="0D0D0D"/>
          <w:spacing w:val="7"/>
          <w:sz w:val="19"/>
          <w:szCs w:val="19"/>
        </w:rPr>
        <w:t>补贴奖励丰厚，有望刺激美国</w:t>
      </w:r>
      <w:r>
        <w:rPr>
          <w:color w:val="0D0D0D"/>
          <w:spacing w:val="6"/>
          <w:sz w:val="19"/>
          <w:szCs w:val="19"/>
        </w:rPr>
        <w:t>市场持续扩容</w:t>
      </w:r>
    </w:p>
    <w:p>
      <w:pPr>
        <w:pStyle w:val="BodyText"/>
        <w:spacing w:before="34" w:line="327" w:lineRule="exact"/>
        <w:ind w:firstLine="3078"/>
      </w:pPr>
      <w:r>
        <w:rPr>
          <w:position w:val="-6"/>
        </w:rPr>
        <w:pict>
          <v:shape id="_x0000_i1061" type="#_x0000_t202" style="width:407.05pt;height:16.35pt;mso-position-horizontal-relative:char;mso-position-vertical-relative:line" filled="t" fillcolor="#c30f1b" stroked="f">
            <o:lock v:ext="edit" aspectratio="f"/>
            <v:textbox inset="0,0,0,0">
              <w:txbxContent>
                <w:p>
                  <w:pPr>
                    <w:spacing w:before="82" w:line="218" w:lineRule="auto"/>
                    <w:ind w:left="98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z w:val="16"/>
                      <w:szCs w:val="16"/>
                      <w14:textOutline w14:w="2917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年份</w:t>
                  </w:r>
                  <w:r>
                    <w:rPr>
                      <w:rFonts w:ascii="KaiTi" w:eastAsia="KaiTi" w:hAnsi="KaiTi" w:cs="KaiTi"/>
                      <w:color w:val="FFFFFF"/>
                      <w:sz w:val="16"/>
                      <w:szCs w:val="16"/>
                    </w:rPr>
                    <w:t xml:space="preserve">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16"/>
                      <w:szCs w:val="16"/>
                    </w:rPr>
                    <w:t xml:space="preserve">2023-2029               2030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6"/>
                      <w:szCs w:val="16"/>
                    </w:rPr>
                    <w:t xml:space="preserve">                  2031                   2032                  2033</w:t>
                  </w:r>
                </w:p>
              </w:txbxContent>
            </v:textbox>
            <w10:wrap type="none"/>
          </v:shape>
        </w:pict>
      </w:r>
    </w:p>
    <w:tbl>
      <w:tblPr>
        <w:tblStyle w:val="TableNormal3"/>
        <w:tblW w:w="7824" w:type="dxa"/>
        <w:tblInd w:w="30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99"/>
        <w:gridCol w:w="955"/>
        <w:gridCol w:w="1479"/>
        <w:gridCol w:w="1185"/>
        <w:gridCol w:w="1186"/>
        <w:gridCol w:w="920"/>
      </w:tblGrid>
      <w:tr>
        <w:tblPrEx>
          <w:tblW w:w="7824" w:type="dxa"/>
          <w:tblInd w:w="30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4"/>
        </w:trPr>
        <w:tc>
          <w:tcPr>
            <w:tcW w:w="2099" w:type="dxa"/>
            <w:vAlign w:val="top"/>
          </w:tcPr>
          <w:p>
            <w:pPr>
              <w:pStyle w:val="TableText"/>
              <w:spacing w:line="234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TableText"/>
              <w:spacing w:line="234" w:lineRule="exact"/>
              <w:rPr>
                <w:sz w:val="20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TableText"/>
              <w:spacing w:line="233" w:lineRule="auto"/>
              <w:ind w:left="475"/>
            </w:pPr>
            <w:r>
              <w:rPr>
                <w:rFonts w:ascii="KaiTi" w:eastAsia="KaiTi" w:hAnsi="KaiTi" w:cs="KaiTi"/>
                <w:spacing w:val="-3"/>
              </w:rPr>
              <w:t>退坡至</w:t>
            </w:r>
            <w:r>
              <w:rPr>
                <w:rFonts w:ascii="KaiTi" w:eastAsia="KaiTi" w:hAnsi="KaiTi" w:cs="KaiTi"/>
                <w:spacing w:val="-31"/>
              </w:rPr>
              <w:t xml:space="preserve"> </w:t>
            </w:r>
            <w:r>
              <w:rPr>
                <w:spacing w:val="-3"/>
              </w:rPr>
              <w:t>75%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line="233" w:lineRule="auto"/>
              <w:ind w:left="180"/>
            </w:pPr>
            <w:r>
              <w:rPr>
                <w:rFonts w:ascii="KaiTi" w:eastAsia="KaiTi" w:hAnsi="KaiTi" w:cs="KaiTi"/>
                <w:spacing w:val="-3"/>
              </w:rPr>
              <w:t>退坡至</w:t>
            </w:r>
            <w:r>
              <w:rPr>
                <w:rFonts w:ascii="KaiTi" w:eastAsia="KaiTi" w:hAnsi="KaiTi" w:cs="KaiTi"/>
                <w:spacing w:val="-31"/>
              </w:rPr>
              <w:t xml:space="preserve"> </w:t>
            </w:r>
            <w:r>
              <w:rPr>
                <w:spacing w:val="-3"/>
              </w:rPr>
              <w:t>50%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line="233" w:lineRule="auto"/>
              <w:ind w:left="181"/>
            </w:pPr>
            <w:r>
              <w:rPr>
                <w:rFonts w:ascii="KaiTi" w:eastAsia="KaiTi" w:hAnsi="KaiTi" w:cs="KaiTi"/>
                <w:spacing w:val="-3"/>
              </w:rPr>
              <w:t>退坡至</w:t>
            </w:r>
            <w:r>
              <w:rPr>
                <w:rFonts w:ascii="KaiTi" w:eastAsia="KaiTi" w:hAnsi="KaiTi" w:cs="KaiTi"/>
                <w:spacing w:val="-31"/>
              </w:rPr>
              <w:t xml:space="preserve"> </w:t>
            </w:r>
            <w:r>
              <w:rPr>
                <w:spacing w:val="-3"/>
              </w:rPr>
              <w:t>25%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line="233" w:lineRule="auto"/>
              <w:jc w:val="right"/>
            </w:pPr>
            <w:r>
              <w:rPr>
                <w:rFonts w:ascii="KaiTi" w:eastAsia="KaiTi" w:hAnsi="KaiTi" w:cs="KaiTi"/>
                <w:spacing w:val="-4"/>
              </w:rPr>
              <w:t>退坡至</w:t>
            </w:r>
            <w:r>
              <w:rPr>
                <w:rFonts w:ascii="KaiTi" w:eastAsia="KaiTi" w:hAnsi="KaiTi" w:cs="KaiTi"/>
                <w:spacing w:val="-31"/>
              </w:rPr>
              <w:t xml:space="preserve"> </w:t>
            </w:r>
            <w:r>
              <w:rPr>
                <w:spacing w:val="-4"/>
              </w:rPr>
              <w:t>0%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6"/>
        </w:trPr>
        <w:tc>
          <w:tcPr>
            <w:tcW w:w="2099" w:type="dxa"/>
            <w:vAlign w:val="top"/>
          </w:tcPr>
          <w:p>
            <w:pPr>
              <w:spacing w:before="82" w:line="224" w:lineRule="auto"/>
              <w:ind w:left="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主材及辅材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85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8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6"/>
        </w:trPr>
        <w:tc>
          <w:tcPr>
            <w:tcW w:w="2099" w:type="dxa"/>
            <w:vAlign w:val="top"/>
          </w:tcPr>
          <w:p>
            <w:pPr>
              <w:pStyle w:val="TableText"/>
              <w:spacing w:before="83" w:line="220" w:lineRule="auto"/>
              <w:ind w:left="9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2"/>
              </w:rPr>
              <w:t>组件（美分</w:t>
            </w:r>
            <w:r>
              <w:rPr>
                <w:spacing w:val="-2"/>
              </w:rPr>
              <w:t>/Wdc</w:t>
            </w:r>
            <w:r>
              <w:rPr>
                <w:rFonts w:ascii="KaiTi" w:eastAsia="KaiTi" w:hAnsi="KaiTi" w:cs="KaiTi"/>
                <w:spacing w:val="-2"/>
              </w:rPr>
              <w:t>）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4" w:line="193" w:lineRule="auto"/>
              <w:ind w:left="184"/>
            </w:pPr>
            <w:r>
              <w:t>7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2" w:line="195" w:lineRule="auto"/>
              <w:ind w:left="471"/>
            </w:pPr>
            <w:r>
              <w:rPr>
                <w:spacing w:val="-2"/>
              </w:rPr>
              <w:t>5.25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2" w:line="195" w:lineRule="auto"/>
              <w:ind w:left="176"/>
            </w:pPr>
            <w:r>
              <w:rPr>
                <w:spacing w:val="-2"/>
              </w:rPr>
              <w:t>3.5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2" w:line="195" w:lineRule="auto"/>
              <w:ind w:left="188"/>
            </w:pPr>
            <w:r>
              <w:rPr>
                <w:spacing w:val="-5"/>
              </w:rPr>
              <w:t>1.75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02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6"/>
        </w:trPr>
        <w:tc>
          <w:tcPr>
            <w:tcW w:w="2099" w:type="dxa"/>
            <w:vAlign w:val="top"/>
          </w:tcPr>
          <w:p>
            <w:pPr>
              <w:pStyle w:val="TableText"/>
              <w:spacing w:before="83" w:line="219" w:lineRule="auto"/>
              <w:ind w:left="9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薄膜电池（美分</w:t>
            </w:r>
            <w:r>
              <w:rPr>
                <w:spacing w:val="-1"/>
              </w:rPr>
              <w:t>/Wdc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5" w:line="192" w:lineRule="auto"/>
              <w:ind w:left="183"/>
            </w:pPr>
            <w:r>
              <w:t>5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3" w:line="195" w:lineRule="auto"/>
              <w:ind w:left="471"/>
            </w:pPr>
            <w:r>
              <w:rPr>
                <w:spacing w:val="-2"/>
              </w:rPr>
              <w:t>3.75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3" w:line="195" w:lineRule="auto"/>
              <w:ind w:left="174"/>
            </w:pPr>
            <w:r>
              <w:rPr>
                <w:spacing w:val="-2"/>
              </w:rPr>
              <w:t>2.5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3" w:line="195" w:lineRule="auto"/>
              <w:ind w:left="188"/>
            </w:pPr>
            <w:r>
              <w:rPr>
                <w:spacing w:val="-5"/>
              </w:rPr>
              <w:t>1.25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03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5"/>
        </w:trPr>
        <w:tc>
          <w:tcPr>
            <w:tcW w:w="2099" w:type="dxa"/>
            <w:vAlign w:val="top"/>
          </w:tcPr>
          <w:p>
            <w:pPr>
              <w:pStyle w:val="TableText"/>
              <w:spacing w:before="83" w:line="222" w:lineRule="auto"/>
              <w:ind w:left="1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2"/>
              </w:rPr>
              <w:t>晶硅电池（美分</w:t>
            </w:r>
            <w:r>
              <w:rPr>
                <w:spacing w:val="-2"/>
              </w:rPr>
              <w:t>/Wdc</w:t>
            </w:r>
            <w:r>
              <w:rPr>
                <w:rFonts w:ascii="KaiTi" w:eastAsia="KaiTi" w:hAnsi="KaiTi" w:cs="KaiTi"/>
                <w:spacing w:val="-2"/>
              </w:rPr>
              <w:t>）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4" w:line="194" w:lineRule="auto"/>
              <w:ind w:left="178"/>
            </w:pPr>
            <w:r>
              <w:t>4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3" w:line="195" w:lineRule="auto"/>
              <w:ind w:left="471"/>
            </w:pPr>
            <w:r>
              <w:t>3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3" w:line="195" w:lineRule="auto"/>
              <w:ind w:left="174"/>
            </w:pPr>
            <w:r>
              <w:t>2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3" w:line="195" w:lineRule="auto"/>
              <w:ind w:left="188"/>
            </w:pPr>
            <w:r>
              <w:t>1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03" w:line="195" w:lineRule="auto"/>
              <w:ind w:left="174"/>
            </w:pPr>
            <w:r>
              <w:t>0</w:t>
            </w:r>
          </w:p>
        </w:tc>
      </w:tr>
    </w:tbl>
    <w:p>
      <w:pPr>
        <w:sectPr>
          <w:headerReference w:type="default" r:id="rId68"/>
          <w:footerReference w:type="default" r:id="rId69"/>
          <w:type w:val="continuous"/>
          <w:pgSz w:w="11907" w:h="16839"/>
          <w:pgMar w:top="1202" w:right="14" w:bottom="928" w:left="11" w:header="10" w:footer="21" w:gutter="0"/>
          <w:pgNumType w:start="16"/>
          <w:cols w:num="1" w:space="708" w:equalWidth="0">
            <w:col w:w="11881" w:space="0"/>
          </w:cols>
        </w:sectPr>
      </w:pPr>
    </w:p>
    <w:tbl>
      <w:tblPr>
        <w:tblStyle w:val="TableNormal4"/>
        <w:tblW w:w="7824" w:type="dxa"/>
        <w:tblInd w:w="30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99"/>
        <w:gridCol w:w="955"/>
        <w:gridCol w:w="1479"/>
        <w:gridCol w:w="1185"/>
        <w:gridCol w:w="1186"/>
        <w:gridCol w:w="920"/>
      </w:tblGrid>
      <w:tr>
        <w:tblPrEx>
          <w:tblW w:w="7824" w:type="dxa"/>
          <w:tblInd w:w="30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5"/>
        </w:trPr>
        <w:tc>
          <w:tcPr>
            <w:tcW w:w="2099" w:type="dxa"/>
            <w:vAlign w:val="top"/>
          </w:tcPr>
          <w:p>
            <w:pPr>
              <w:pStyle w:val="TableText"/>
              <w:spacing w:before="82" w:line="218" w:lineRule="auto"/>
              <w:ind w:left="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硅片（美元</w:t>
            </w:r>
            <w:r>
              <w:rPr>
                <w:spacing w:val="-1"/>
              </w:rPr>
              <w:t>/m2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2" w:line="195" w:lineRule="auto"/>
              <w:ind w:left="194"/>
            </w:pPr>
            <w:r>
              <w:rPr>
                <w:spacing w:val="-5"/>
              </w:rPr>
              <w:t>12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2" w:line="195" w:lineRule="auto"/>
              <w:ind w:left="471"/>
            </w:pPr>
            <w:r>
              <w:t>9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2" w:line="195" w:lineRule="auto"/>
              <w:ind w:left="175"/>
            </w:pPr>
            <w:r>
              <w:t>6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2" w:line="195" w:lineRule="auto"/>
              <w:ind w:left="177"/>
            </w:pPr>
            <w:r>
              <w:t>3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02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32"/>
        </w:trPr>
        <w:tc>
          <w:tcPr>
            <w:tcW w:w="2099" w:type="dxa"/>
            <w:vAlign w:val="top"/>
          </w:tcPr>
          <w:p>
            <w:pPr>
              <w:pStyle w:val="TableText"/>
              <w:spacing w:before="84" w:line="213" w:lineRule="auto"/>
              <w:ind w:left="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硅料（美元</w:t>
            </w:r>
            <w:r>
              <w:rPr>
                <w:spacing w:val="-1"/>
              </w:rPr>
              <w:t>/kg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4" w:line="195" w:lineRule="auto"/>
              <w:ind w:left="183"/>
            </w:pPr>
            <w:r>
              <w:t>3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3" w:line="195" w:lineRule="auto"/>
              <w:ind w:left="469"/>
            </w:pPr>
            <w:r>
              <w:rPr>
                <w:spacing w:val="-1"/>
              </w:rPr>
              <w:t>2.25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3" w:line="195" w:lineRule="auto"/>
              <w:ind w:left="186"/>
            </w:pPr>
            <w:r>
              <w:rPr>
                <w:spacing w:val="-6"/>
              </w:rPr>
              <w:t>1.5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3" w:line="195" w:lineRule="auto"/>
              <w:ind w:left="177"/>
            </w:pPr>
            <w:r>
              <w:rPr>
                <w:spacing w:val="-2"/>
              </w:rPr>
              <w:t>0.75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03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1"/>
        </w:trPr>
        <w:tc>
          <w:tcPr>
            <w:tcW w:w="2099" w:type="dxa"/>
            <w:vAlign w:val="top"/>
          </w:tcPr>
          <w:p>
            <w:pPr>
              <w:pStyle w:val="TableText"/>
              <w:spacing w:before="78" w:line="218" w:lineRule="auto"/>
              <w:ind w:left="9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背板（美元</w:t>
            </w:r>
            <w:r>
              <w:rPr>
                <w:spacing w:val="-1"/>
              </w:rPr>
              <w:t>/m2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98" w:line="195" w:lineRule="auto"/>
              <w:ind w:left="183"/>
            </w:pPr>
            <w:r>
              <w:rPr>
                <w:spacing w:val="-2"/>
              </w:rPr>
              <w:t>0.4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98" w:line="195" w:lineRule="auto"/>
              <w:ind w:left="471"/>
            </w:pPr>
            <w:r>
              <w:rPr>
                <w:spacing w:val="-2"/>
              </w:rPr>
              <w:t>0.3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98" w:line="195" w:lineRule="auto"/>
              <w:ind w:left="176"/>
            </w:pPr>
            <w:r>
              <w:rPr>
                <w:spacing w:val="-2"/>
              </w:rPr>
              <w:t>0.2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8" w:line="195" w:lineRule="auto"/>
              <w:ind w:left="177"/>
            </w:pPr>
            <w:r>
              <w:rPr>
                <w:spacing w:val="-2"/>
              </w:rPr>
              <w:t>0.1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98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7"/>
        </w:trPr>
        <w:tc>
          <w:tcPr>
            <w:tcW w:w="2099" w:type="dxa"/>
            <w:vAlign w:val="top"/>
          </w:tcPr>
          <w:p>
            <w:pPr>
              <w:spacing w:before="84" w:line="225" w:lineRule="auto"/>
              <w:ind w:left="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逆变器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85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8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32"/>
        </w:trPr>
        <w:tc>
          <w:tcPr>
            <w:tcW w:w="2099" w:type="dxa"/>
            <w:vAlign w:val="top"/>
          </w:tcPr>
          <w:p>
            <w:pPr>
              <w:pStyle w:val="TableText"/>
              <w:spacing w:before="83" w:line="213" w:lineRule="auto"/>
              <w:ind w:left="5"/>
            </w:pPr>
            <w:r>
              <w:rPr>
                <w:rFonts w:ascii="KaiTi" w:eastAsia="KaiTi" w:hAnsi="KaiTi" w:cs="KaiTi"/>
                <w:spacing w:val="-1"/>
              </w:rPr>
              <w:t>集中式逆变器</w:t>
            </w:r>
            <w:r>
              <w:rPr>
                <w:spacing w:val="-1"/>
              </w:rPr>
              <w:t>(</w:t>
            </w:r>
            <w:r>
              <w:rPr>
                <w:rFonts w:ascii="KaiTi" w:eastAsia="KaiTi" w:hAnsi="KaiTi" w:cs="KaiTi"/>
                <w:spacing w:val="-1"/>
              </w:rPr>
              <w:t>美分</w:t>
            </w:r>
            <w:r>
              <w:rPr>
                <w:spacing w:val="-1"/>
              </w:rPr>
              <w:t>/Wac)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3" w:line="195" w:lineRule="auto"/>
              <w:ind w:left="183"/>
            </w:pPr>
            <w:r>
              <w:rPr>
                <w:spacing w:val="-2"/>
              </w:rPr>
              <w:t>0.25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3" w:line="195" w:lineRule="auto"/>
              <w:ind w:left="471"/>
            </w:pPr>
            <w:r>
              <w:rPr>
                <w:spacing w:val="-2"/>
              </w:rPr>
              <w:t>0.19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3" w:line="195" w:lineRule="auto"/>
              <w:ind w:left="176"/>
            </w:pPr>
            <w:r>
              <w:rPr>
                <w:spacing w:val="-2"/>
              </w:rPr>
              <w:t>0.13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3" w:line="195" w:lineRule="auto"/>
              <w:ind w:left="177"/>
            </w:pPr>
            <w:r>
              <w:rPr>
                <w:spacing w:val="-2"/>
              </w:rPr>
              <w:t>0.06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03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5"/>
        </w:trPr>
        <w:tc>
          <w:tcPr>
            <w:tcW w:w="2099" w:type="dxa"/>
            <w:vAlign w:val="top"/>
          </w:tcPr>
          <w:p>
            <w:pPr>
              <w:pStyle w:val="TableText"/>
              <w:spacing w:before="78" w:line="213" w:lineRule="auto"/>
              <w:ind w:left="3"/>
            </w:pPr>
            <w:r>
              <w:rPr>
                <w:rFonts w:ascii="KaiTi" w:eastAsia="KaiTi" w:hAnsi="KaiTi" w:cs="KaiTi"/>
                <w:spacing w:val="-1"/>
              </w:rPr>
              <w:t>地面电站逆变器</w:t>
            </w:r>
            <w:r>
              <w:rPr>
                <w:spacing w:val="-1"/>
              </w:rPr>
              <w:t>(</w:t>
            </w:r>
            <w:r>
              <w:rPr>
                <w:rFonts w:ascii="KaiTi" w:eastAsia="KaiTi" w:hAnsi="KaiTi" w:cs="KaiTi"/>
                <w:spacing w:val="-1"/>
              </w:rPr>
              <w:t>美分</w:t>
            </w:r>
            <w:r>
              <w:rPr>
                <w:spacing w:val="-1"/>
              </w:rPr>
              <w:t>/Wac)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98" w:line="195" w:lineRule="auto"/>
              <w:ind w:left="194"/>
            </w:pPr>
            <w:r>
              <w:rPr>
                <w:spacing w:val="-6"/>
              </w:rPr>
              <w:t>1.5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98" w:line="195" w:lineRule="auto"/>
              <w:ind w:left="482"/>
            </w:pPr>
            <w:r>
              <w:rPr>
                <w:spacing w:val="-5"/>
              </w:rPr>
              <w:t>1.13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98" w:line="195" w:lineRule="auto"/>
              <w:ind w:left="176"/>
            </w:pPr>
            <w:r>
              <w:rPr>
                <w:spacing w:val="-2"/>
              </w:rPr>
              <w:t>0.75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8" w:line="195" w:lineRule="auto"/>
              <w:ind w:left="177"/>
            </w:pPr>
            <w:r>
              <w:rPr>
                <w:spacing w:val="-2"/>
              </w:rPr>
              <w:t>0.38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98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5"/>
        </w:trPr>
        <w:tc>
          <w:tcPr>
            <w:tcW w:w="2099" w:type="dxa"/>
            <w:vAlign w:val="top"/>
          </w:tcPr>
          <w:p>
            <w:pPr>
              <w:pStyle w:val="TableText"/>
              <w:spacing w:before="77" w:line="213" w:lineRule="auto"/>
              <w:ind w:left="4"/>
            </w:pPr>
            <w:r>
              <w:rPr>
                <w:rFonts w:ascii="KaiTi" w:eastAsia="KaiTi" w:hAnsi="KaiTi" w:cs="KaiTi"/>
                <w:spacing w:val="-1"/>
              </w:rPr>
              <w:t>工商业逆变器</w:t>
            </w:r>
            <w:r>
              <w:rPr>
                <w:spacing w:val="-1"/>
              </w:rPr>
              <w:t>(</w:t>
            </w:r>
            <w:r>
              <w:rPr>
                <w:rFonts w:ascii="KaiTi" w:eastAsia="KaiTi" w:hAnsi="KaiTi" w:cs="KaiTi"/>
                <w:spacing w:val="-1"/>
              </w:rPr>
              <w:t>美分</w:t>
            </w:r>
            <w:r>
              <w:rPr>
                <w:spacing w:val="-1"/>
              </w:rPr>
              <w:t>/Wac)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97" w:line="195" w:lineRule="auto"/>
              <w:ind w:left="181"/>
            </w:pPr>
            <w:r>
              <w:t>2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97" w:line="195" w:lineRule="auto"/>
              <w:ind w:left="482"/>
            </w:pPr>
            <w:r>
              <w:rPr>
                <w:spacing w:val="-6"/>
              </w:rPr>
              <w:t>1.5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97" w:line="195" w:lineRule="auto"/>
              <w:ind w:left="186"/>
            </w:pPr>
            <w:r>
              <w:t>1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7" w:line="195" w:lineRule="auto"/>
              <w:ind w:left="177"/>
            </w:pPr>
            <w:r>
              <w:rPr>
                <w:spacing w:val="-2"/>
              </w:rPr>
              <w:t>0.5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97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7"/>
        </w:trPr>
        <w:tc>
          <w:tcPr>
            <w:tcW w:w="2099" w:type="dxa"/>
            <w:vAlign w:val="top"/>
          </w:tcPr>
          <w:p>
            <w:pPr>
              <w:pStyle w:val="TableText"/>
              <w:spacing w:before="78" w:line="213" w:lineRule="auto"/>
              <w:ind w:left="9"/>
            </w:pPr>
            <w:r>
              <w:rPr>
                <w:rFonts w:ascii="KaiTi" w:eastAsia="KaiTi" w:hAnsi="KaiTi" w:cs="KaiTi"/>
                <w:spacing w:val="-2"/>
              </w:rPr>
              <w:t>户用逆变器</w:t>
            </w:r>
            <w:r>
              <w:rPr>
                <w:spacing w:val="-2"/>
              </w:rPr>
              <w:t>(</w:t>
            </w:r>
            <w:r>
              <w:rPr>
                <w:rFonts w:ascii="KaiTi" w:eastAsia="KaiTi" w:hAnsi="KaiTi" w:cs="KaiTi"/>
                <w:spacing w:val="-2"/>
              </w:rPr>
              <w:t>美分</w:t>
            </w:r>
            <w:r>
              <w:rPr>
                <w:spacing w:val="-2"/>
              </w:rPr>
              <w:t>/Wac)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98" w:line="195" w:lineRule="auto"/>
              <w:ind w:left="182"/>
            </w:pPr>
            <w:r>
              <w:t>6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98" w:line="195" w:lineRule="auto"/>
              <w:ind w:left="467"/>
            </w:pPr>
            <w:r>
              <w:rPr>
                <w:spacing w:val="-1"/>
              </w:rPr>
              <w:t>4.88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98" w:line="195" w:lineRule="auto"/>
              <w:ind w:left="176"/>
            </w:pPr>
            <w:r>
              <w:rPr>
                <w:spacing w:val="-2"/>
              </w:rPr>
              <w:t>3.25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8" w:line="195" w:lineRule="auto"/>
              <w:ind w:left="188"/>
            </w:pPr>
            <w:r>
              <w:rPr>
                <w:spacing w:val="-5"/>
              </w:rPr>
              <w:t>1.63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98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7"/>
        </w:trPr>
        <w:tc>
          <w:tcPr>
            <w:tcW w:w="2099" w:type="dxa"/>
            <w:vAlign w:val="top"/>
          </w:tcPr>
          <w:p>
            <w:pPr>
              <w:pStyle w:val="TableText"/>
              <w:spacing w:before="78" w:line="213" w:lineRule="auto"/>
            </w:pPr>
            <w:r>
              <w:rPr>
                <w:rFonts w:ascii="KaiTi" w:eastAsia="KaiTi" w:hAnsi="KaiTi" w:cs="KaiTi"/>
                <w:spacing w:val="-1"/>
              </w:rPr>
              <w:t>微型逆变器</w:t>
            </w:r>
            <w:r>
              <w:rPr>
                <w:spacing w:val="-1"/>
              </w:rPr>
              <w:t>(</w:t>
            </w:r>
            <w:r>
              <w:rPr>
                <w:rFonts w:ascii="KaiTi" w:eastAsia="KaiTi" w:hAnsi="KaiTi" w:cs="KaiTi"/>
                <w:spacing w:val="-1"/>
              </w:rPr>
              <w:t>美分</w:t>
            </w:r>
            <w:r>
              <w:rPr>
                <w:spacing w:val="-1"/>
              </w:rPr>
              <w:t>/Wac)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98" w:line="195" w:lineRule="auto"/>
              <w:ind w:left="194"/>
            </w:pPr>
            <w:r>
              <w:rPr>
                <w:spacing w:val="-8"/>
              </w:rPr>
              <w:t>11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97" w:line="195" w:lineRule="auto"/>
              <w:ind w:left="471"/>
            </w:pPr>
            <w:r>
              <w:rPr>
                <w:spacing w:val="-2"/>
              </w:rPr>
              <w:t>8.25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0" w:line="192" w:lineRule="auto"/>
              <w:ind w:left="176"/>
            </w:pPr>
            <w:r>
              <w:rPr>
                <w:spacing w:val="-2"/>
              </w:rPr>
              <w:t>5.5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7" w:line="195" w:lineRule="auto"/>
              <w:ind w:left="175"/>
            </w:pPr>
            <w:r>
              <w:rPr>
                <w:spacing w:val="-1"/>
              </w:rPr>
              <w:t>2.75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97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21"/>
        </w:trPr>
        <w:tc>
          <w:tcPr>
            <w:tcW w:w="2099" w:type="dxa"/>
            <w:vAlign w:val="top"/>
          </w:tcPr>
          <w:p>
            <w:pPr>
              <w:spacing w:before="77" w:line="218" w:lineRule="auto"/>
              <w:ind w:left="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支架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85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8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332"/>
        </w:trPr>
        <w:tc>
          <w:tcPr>
            <w:tcW w:w="2099" w:type="dxa"/>
            <w:vAlign w:val="top"/>
          </w:tcPr>
          <w:p>
            <w:pPr>
              <w:pStyle w:val="TableText"/>
              <w:spacing w:before="82" w:line="213" w:lineRule="auto"/>
              <w:ind w:left="4"/>
            </w:pPr>
            <w:r>
              <w:rPr>
                <w:rFonts w:ascii="KaiTi" w:eastAsia="KaiTi" w:hAnsi="KaiTi" w:cs="KaiTi"/>
                <w:spacing w:val="-1"/>
              </w:rPr>
              <w:t>扭力管或纵向檀条</w:t>
            </w:r>
            <w:r>
              <w:rPr>
                <w:spacing w:val="-1"/>
              </w:rPr>
              <w:t>(</w:t>
            </w:r>
            <w:r>
              <w:rPr>
                <w:rFonts w:ascii="KaiTi" w:eastAsia="KaiTi" w:hAnsi="KaiTi" w:cs="KaiTi"/>
                <w:spacing w:val="-1"/>
              </w:rPr>
              <w:t>美分</w:t>
            </w:r>
            <w:r>
              <w:rPr>
                <w:spacing w:val="-1"/>
              </w:rPr>
              <w:t>/kg)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102" w:line="195" w:lineRule="auto"/>
              <w:ind w:left="183"/>
            </w:pPr>
            <w:r>
              <w:rPr>
                <w:spacing w:val="-2"/>
              </w:rPr>
              <w:t>0.87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2" w:line="195" w:lineRule="auto"/>
              <w:ind w:left="471"/>
            </w:pPr>
            <w:r>
              <w:rPr>
                <w:spacing w:val="-2"/>
              </w:rPr>
              <w:t>0.65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2" w:line="195" w:lineRule="auto"/>
              <w:ind w:left="176"/>
            </w:pPr>
            <w:r>
              <w:rPr>
                <w:spacing w:val="-2"/>
              </w:rPr>
              <w:t>0.44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2" w:line="195" w:lineRule="auto"/>
              <w:ind w:left="177"/>
            </w:pPr>
            <w:r>
              <w:rPr>
                <w:spacing w:val="-2"/>
              </w:rPr>
              <w:t>0.22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02" w:line="195" w:lineRule="auto"/>
              <w:ind w:left="174"/>
            </w:pPr>
            <w:r>
              <w:t>0</w:t>
            </w:r>
          </w:p>
        </w:tc>
      </w:tr>
      <w:tr>
        <w:tblPrEx>
          <w:tblW w:w="7824" w:type="dxa"/>
          <w:tblInd w:w="3080" w:type="dxa"/>
          <w:tblLayout w:type="fixed"/>
        </w:tblPrEx>
        <w:trPr>
          <w:trHeight w:val="249"/>
        </w:trPr>
        <w:tc>
          <w:tcPr>
            <w:tcW w:w="2099" w:type="dxa"/>
            <w:vAlign w:val="top"/>
          </w:tcPr>
          <w:p>
            <w:pPr>
              <w:pStyle w:val="TableText"/>
              <w:spacing w:before="76" w:line="187" w:lineRule="auto"/>
              <w:ind w:left="6"/>
            </w:pPr>
            <w:r>
              <w:rPr>
                <w:rFonts w:ascii="KaiTi" w:eastAsia="KaiTi" w:hAnsi="KaiTi" w:cs="KaiTi"/>
                <w:spacing w:val="-1"/>
              </w:rPr>
              <w:t>结构紧固件</w:t>
            </w:r>
            <w:r>
              <w:rPr>
                <w:spacing w:val="-1"/>
              </w:rPr>
              <w:t>(</w:t>
            </w:r>
            <w:r>
              <w:rPr>
                <w:rFonts w:ascii="KaiTi" w:eastAsia="KaiTi" w:hAnsi="KaiTi" w:cs="KaiTi"/>
                <w:spacing w:val="-1"/>
              </w:rPr>
              <w:t>美分</w:t>
            </w:r>
            <w:r>
              <w:rPr>
                <w:spacing w:val="-1"/>
              </w:rPr>
              <w:t>/kg)</w:t>
            </w:r>
          </w:p>
        </w:tc>
        <w:tc>
          <w:tcPr>
            <w:tcW w:w="955" w:type="dxa"/>
            <w:vAlign w:val="top"/>
          </w:tcPr>
          <w:p>
            <w:pPr>
              <w:pStyle w:val="TableText"/>
              <w:spacing w:before="97" w:line="185" w:lineRule="auto"/>
              <w:ind w:left="181"/>
            </w:pPr>
            <w:r>
              <w:rPr>
                <w:spacing w:val="-1"/>
              </w:rPr>
              <w:t>2.28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97" w:line="185" w:lineRule="auto"/>
              <w:ind w:left="482"/>
            </w:pPr>
            <w:r>
              <w:rPr>
                <w:spacing w:val="-5"/>
              </w:rPr>
              <w:t>1.71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97" w:line="185" w:lineRule="auto"/>
              <w:ind w:left="186"/>
            </w:pPr>
            <w:r>
              <w:rPr>
                <w:spacing w:val="-5"/>
              </w:rPr>
              <w:t>1.41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7" w:line="185" w:lineRule="auto"/>
              <w:ind w:left="177"/>
            </w:pPr>
            <w:r>
              <w:rPr>
                <w:spacing w:val="-2"/>
              </w:rPr>
              <w:t>0.57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97" w:line="185" w:lineRule="auto"/>
              <w:ind w:left="174"/>
            </w:pPr>
            <w:r>
              <w:t>0</w:t>
            </w:r>
          </w:p>
        </w:tc>
      </w:tr>
    </w:tbl>
    <w:p>
      <w:pPr>
        <w:pStyle w:val="BodyText"/>
        <w:spacing w:before="168" w:line="186" w:lineRule="auto"/>
        <w:ind w:left="3080"/>
        <w:rPr>
          <w:sz w:val="15"/>
          <w:szCs w:val="15"/>
        </w:rPr>
      </w:pPr>
      <w:r>
        <w:rPr>
          <w:spacing w:val="-3"/>
          <w:sz w:val="15"/>
          <w:szCs w:val="15"/>
        </w:rPr>
        <w:t>资料来源：</w:t>
      </w:r>
      <w:r>
        <w:rPr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spacing w:val="-3"/>
          <w:sz w:val="15"/>
          <w:szCs w:val="15"/>
        </w:rPr>
        <w:t>SMM</w:t>
      </w:r>
      <w:r>
        <w:rPr>
          <w:spacing w:val="-3"/>
          <w:sz w:val="15"/>
          <w:szCs w:val="15"/>
        </w:rPr>
        <w:t>，</w:t>
      </w:r>
      <w:r>
        <w:rPr>
          <w:rFonts w:ascii="Arial" w:eastAsia="Arial" w:hAnsi="Arial" w:cs="Arial"/>
          <w:spacing w:val="-3"/>
          <w:sz w:val="15"/>
          <w:szCs w:val="15"/>
        </w:rPr>
        <w:t>SEIA</w:t>
      </w:r>
      <w:r>
        <w:rPr>
          <w:spacing w:val="-3"/>
          <w:sz w:val="15"/>
          <w:szCs w:val="15"/>
        </w:rPr>
        <w:t>，西部证券研发</w:t>
      </w:r>
      <w:r>
        <w:rPr>
          <w:spacing w:val="-4"/>
          <w:sz w:val="15"/>
          <w:szCs w:val="15"/>
        </w:rPr>
        <w:t>中心</w:t>
      </w:r>
    </w:p>
    <w:p>
      <w:pPr>
        <w:spacing w:line="186" w:lineRule="auto"/>
        <w:rPr>
          <w:sz w:val="15"/>
          <w:szCs w:val="15"/>
        </w:rPr>
        <w:sectPr>
          <w:headerReference w:type="default" r:id="rId70"/>
          <w:footerReference w:type="default" r:id="rId71"/>
          <w:type w:val="nextPage"/>
          <w:pgSz w:w="11907" w:h="16839"/>
          <w:pgMar w:top="1202" w:right="14" w:bottom="928" w:left="11" w:header="10" w:footer="21" w:gutter="0"/>
          <w:pgNumType w:start="17"/>
          <w:cols w:num="1" w:space="708" w:equalWidth="0">
            <w:col w:w="11881" w:space="0"/>
          </w:cols>
          <w:titlePg w:val="0"/>
        </w:sectPr>
      </w:pPr>
    </w:p>
    <w:p>
      <w:pPr>
        <w:spacing w:line="347" w:lineRule="auto"/>
        <w:rPr>
          <w:rFonts w:ascii="Arial"/>
          <w:sz w:val="21"/>
        </w:rPr>
      </w:pPr>
      <w:r>
        <w:pict>
          <v:shape id="_x0000_s1062" style="width:528pt;height:0.5pt;margin-top:601.03pt;margin-left:33.24pt;mso-position-horizontal-relative:page;mso-position-vertical-relative:page;position:absolute;z-index:251681792" coordorigin="0,0" coordsize="10560,10" o:allowincell="f" path="m,9l2642,9l2642,l,l,9xem2628,9l2637,9l2637,l2628,l2628,9xem2637,9l3773,9l3773,l2637,l2637,9xem3759,9l3768,9l3768,l3759,l3759,9xem3768,9l4904,9l4904,l3768,l3768,9xem4889,9l4899,9l4899,l4889,l4889,9xem4899,9l6035,9l6035,l4899,l4899,9xem6020,9l6030,9l6030,l6020,l6020,9xem6030,9l7167,9l7167,l6030,l6030,9xem7153,9l7162,9l7162,l7153,l7153,9xem7162,9l8298,9l8298,l7162,l7162,9xem8284,9l8294,9l8294,l8284,l8284,9xem8294,9l9429,9l9429,l8294,l8294,9xem9414,9l9424,9l9424,l9414,l9414,9xem9424,9l10559,9l10559,l9424,l9424,9xe" filled="t" fillcolor="black" stroked="f"/>
        </w:pict>
      </w:r>
      <w:r>
        <w:drawing>
          <wp:anchor distT="0" distB="0" distL="0" distR="0" simplePos="0" relativeHeight="251680768" behindDoc="1" locked="0" layoutInCell="0" allowOverlap="1">
            <wp:simplePos x="0" y="0"/>
            <wp:positionH relativeFrom="page">
              <wp:posOffset>5774195</wp:posOffset>
            </wp:positionH>
            <wp:positionV relativeFrom="page">
              <wp:posOffset>10102596</wp:posOffset>
            </wp:positionV>
            <wp:extent cx="1326361" cy="207263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26361" cy="207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69" w:line="262" w:lineRule="auto"/>
        <w:ind w:left="3080" w:right="660" w:hanging="8"/>
        <w:jc w:val="both"/>
      </w:pPr>
      <w:r>
        <w:rPr>
          <w:spacing w:val="-4"/>
        </w:rPr>
        <w:t>跟踪支架管线的补贴为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-4"/>
        </w:rPr>
        <w:t>0.87</w:t>
      </w:r>
      <w:r>
        <w:rPr>
          <w:rFonts w:ascii="Arial" w:eastAsia="Arial" w:hAnsi="Arial" w:cs="Arial"/>
          <w:spacing w:val="26"/>
        </w:rPr>
        <w:t xml:space="preserve"> </w:t>
      </w:r>
      <w:r>
        <w:rPr>
          <w:spacing w:val="-4"/>
        </w:rPr>
        <w:t>美分</w:t>
      </w:r>
      <w:r>
        <w:rPr>
          <w:rFonts w:ascii="Arial" w:eastAsia="Arial" w:hAnsi="Arial" w:cs="Arial"/>
          <w:spacing w:val="-4"/>
        </w:rPr>
        <w:t>/KG</w:t>
      </w:r>
      <w:r>
        <w:rPr>
          <w:spacing w:val="-4"/>
        </w:rPr>
        <w:t>，即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spacing w:val="-4"/>
        </w:rPr>
        <w:t>870</w:t>
      </w:r>
      <w:r>
        <w:rPr>
          <w:rFonts w:ascii="Arial" w:eastAsia="Arial" w:hAnsi="Arial" w:cs="Arial"/>
          <w:spacing w:val="23"/>
          <w:w w:val="101"/>
        </w:rPr>
        <w:t xml:space="preserve"> </w:t>
      </w:r>
      <w:r>
        <w:rPr>
          <w:spacing w:val="-4"/>
        </w:rPr>
        <w:t>美元</w:t>
      </w:r>
      <w:r>
        <w:rPr>
          <w:rFonts w:ascii="Arial" w:eastAsia="Arial" w:hAnsi="Arial" w:cs="Arial"/>
          <w:spacing w:val="-5"/>
        </w:rPr>
        <w:t>/</w:t>
      </w:r>
      <w:r>
        <w:rPr>
          <w:spacing w:val="-5"/>
        </w:rPr>
        <w:t>吨，根据我们调研情况，</w:t>
      </w:r>
      <w:r>
        <w:rPr>
          <w:spacing w:val="-5"/>
        </w:rPr>
        <w:t xml:space="preserve"> </w:t>
      </w:r>
      <w:r>
        <w:rPr>
          <w:spacing w:val="-5"/>
        </w:rPr>
        <w:t>预计跟踪支</w:t>
      </w:r>
      <w:r>
        <w:t xml:space="preserve"> </w:t>
      </w:r>
      <w:r>
        <w:rPr>
          <w:spacing w:val="-3"/>
        </w:rPr>
        <w:t>架的加工生产成为为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3"/>
        </w:rPr>
        <w:t>1400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spacing w:val="-3"/>
        </w:rPr>
        <w:t>美元</w:t>
      </w:r>
      <w:r>
        <w:rPr>
          <w:rFonts w:ascii="Arial" w:eastAsia="Arial" w:hAnsi="Arial" w:cs="Arial"/>
          <w:spacing w:val="-3"/>
        </w:rPr>
        <w:t>/</w:t>
      </w:r>
      <w:r>
        <w:rPr>
          <w:spacing w:val="-3"/>
        </w:rPr>
        <w:t>吨</w:t>
      </w:r>
      <w:r>
        <w:rPr>
          <w:rFonts w:ascii="Arial" w:eastAsia="Arial" w:hAnsi="Arial" w:cs="Arial"/>
          <w:spacing w:val="-3"/>
        </w:rPr>
        <w:t>-1800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spacing w:val="-3"/>
        </w:rPr>
        <w:t>美元</w:t>
      </w:r>
      <w:r>
        <w:rPr>
          <w:rFonts w:ascii="Arial" w:eastAsia="Arial" w:hAnsi="Arial" w:cs="Arial"/>
          <w:spacing w:val="-3"/>
        </w:rPr>
        <w:t>/</w:t>
      </w:r>
      <w:r>
        <w:rPr>
          <w:spacing w:val="-3"/>
        </w:rPr>
        <w:t>吨，补贴力度达到生产成</w:t>
      </w:r>
      <w:r>
        <w:rPr>
          <w:spacing w:val="-4"/>
        </w:rPr>
        <w:t>本的一半左右。因</w:t>
      </w:r>
      <w:r>
        <w:t xml:space="preserve"> </w:t>
      </w:r>
      <w:r>
        <w:rPr>
          <w:spacing w:val="-4"/>
        </w:rPr>
        <w:t>此多家支架厂商开启扩产计划，</w:t>
      </w:r>
      <w:r>
        <w:rPr>
          <w:spacing w:val="-4"/>
        </w:rPr>
        <w:t xml:space="preserve"> </w:t>
      </w:r>
      <w:r>
        <w:rPr>
          <w:spacing w:val="-4"/>
        </w:rPr>
        <w:t>加大与下游供应商</w:t>
      </w:r>
      <w:r>
        <w:rPr>
          <w:spacing w:val="-5"/>
        </w:rPr>
        <w:t>的联系。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2" w:line="223" w:lineRule="auto"/>
        <w:ind w:left="671"/>
        <w:rPr>
          <w:sz w:val="19"/>
          <w:szCs w:val="19"/>
        </w:rPr>
      </w:pPr>
      <w:r>
        <w:rPr>
          <w:color w:val="0D0D0D"/>
          <w:spacing w:val="8"/>
          <w:sz w:val="19"/>
          <w:szCs w:val="19"/>
        </w:rPr>
        <w:t>表</w:t>
      </w:r>
      <w:r>
        <w:rPr>
          <w:color w:val="0D0D0D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8"/>
          <w:sz w:val="19"/>
          <w:szCs w:val="19"/>
        </w:rPr>
        <w:t>2</w:t>
      </w:r>
      <w:r>
        <w:rPr>
          <w:color w:val="0D0D0D"/>
          <w:spacing w:val="8"/>
          <w:sz w:val="19"/>
          <w:szCs w:val="19"/>
        </w:rPr>
        <w:t>：</w:t>
      </w:r>
      <w:r>
        <w:rPr>
          <w:rFonts w:ascii="Arial" w:eastAsia="Arial" w:hAnsi="Arial" w:cs="Arial"/>
          <w:color w:val="0D0D0D"/>
          <w:spacing w:val="8"/>
          <w:sz w:val="19"/>
          <w:szCs w:val="19"/>
        </w:rPr>
        <w:t xml:space="preserve">2025 </w:t>
      </w:r>
      <w:r>
        <w:rPr>
          <w:color w:val="0D0D0D"/>
          <w:spacing w:val="8"/>
          <w:sz w:val="19"/>
          <w:szCs w:val="19"/>
        </w:rPr>
        <w:t>年全球跟踪支架市场规模有望突破千亿</w:t>
      </w:r>
    </w:p>
    <w:p>
      <w:pPr>
        <w:pStyle w:val="BodyText"/>
        <w:spacing w:before="35" w:line="650" w:lineRule="exact"/>
        <w:ind w:firstLine="668"/>
      </w:pPr>
      <w:r>
        <w:rPr>
          <w:position w:val="-13"/>
        </w:rPr>
        <w:pict>
          <v:group id="_x0000_i1063" style="width:527.4pt;height:32.55pt;mso-position-horizontal-relative:char;mso-position-vertical-relative:line" coordorigin="0,0" coordsize="10548,650" filled="f" stroked="f">
            <v:group id="_x0000_s1064" style="width:10548;height:650;position:absolute" coordorigin="0,0" coordsize="10548,650" filled="f" stroked="f">
              <v:shape id="_x0000_s1065" style="width:10548;height:325;position:absolute" coordorigin="0,0" coordsize="10548,325" path="m,324l2630,324l2630,l,l,324xem2630,324l3761,324l3761,l2630,l2630,324xem3761,324l4889,324l4889,l3761,l3761,324xem4889,324l6023,324l6023,l4889,l4889,324xem6023,324l7153,324l7153,l6023,l6023,324xem7153,324l8284,324l8284,l7153,l7153,324xem8284,324l9414,324l9414,l8284,l8284,324xem9414,324l10547,324l10547,l9414,l9414,324xe" filled="t" fillcolor="#c30f1b" stroked="f"/>
              <v:shape id="_x0000_s1066" style="width:10548;height:327;position:absolute;top:324" coordorigin="0,0" coordsize="10548,327" path="m,326l2630,326l2630,l,l,326xem2630,326l3761,326l3761,l2630,l2630,326xem3761,326l4889,326l4889,l3761,l3761,326xem4889,326l6023,326l6023,l4889,l4889,326xem6023,326l7153,326l7153,l6023,l6023,326xem7153,326l8284,326l8284,l7153,l7153,326xem8284,326l9414,326l9414,l8284,l8284,326xem9414,326l10547,326l10547,l9414,l9414,326xe" filled="t" fillcolor="#f2f2f2" stroked="f"/>
            </v:group>
            <v:shape id="_x0000_s1067" type="#_x0000_t202" style="width:10588;height:69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5" w:line="195" w:lineRule="auto"/>
                      <w:ind w:left="3041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z w:val="16"/>
                        <w:szCs w:val="16"/>
                      </w:rPr>
                      <w:t>2020                 2021                  2022                2023E                2024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"/>
                        <w:sz w:val="16"/>
                        <w:szCs w:val="16"/>
                      </w:rPr>
                      <w:t>E               2025E               2026E</w:t>
                    </w:r>
                  </w:p>
                  <w:p>
                    <w:pPr>
                      <w:spacing w:before="152" w:line="218" w:lineRule="auto"/>
                      <w:ind w:left="45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7"/>
                        <w:sz w:val="16"/>
                        <w:szCs w:val="16"/>
                      </w:rPr>
                      <w:t>国内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82" w:lineRule="exact"/>
      </w:pPr>
    </w:p>
    <w:tbl>
      <w:tblPr>
        <w:tblStyle w:val="TableNormal5"/>
        <w:tblW w:w="9732" w:type="dxa"/>
        <w:tblInd w:w="6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27"/>
        <w:gridCol w:w="1124"/>
        <w:gridCol w:w="1130"/>
        <w:gridCol w:w="1132"/>
        <w:gridCol w:w="1132"/>
        <w:gridCol w:w="1130"/>
        <w:gridCol w:w="1131"/>
        <w:gridCol w:w="726"/>
      </w:tblGrid>
      <w:tr>
        <w:tblPrEx>
          <w:tblW w:w="9732" w:type="dxa"/>
          <w:tblInd w:w="6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9"/>
        </w:trPr>
        <w:tc>
          <w:tcPr>
            <w:tcW w:w="2227" w:type="dxa"/>
            <w:vAlign w:val="top"/>
          </w:tcPr>
          <w:p>
            <w:pPr>
              <w:pStyle w:val="TableText"/>
              <w:spacing w:line="213" w:lineRule="auto"/>
              <w:ind w:left="3"/>
            </w:pPr>
            <w:r>
              <w:rPr>
                <w:rFonts w:ascii="KaiTi" w:eastAsia="KaiTi" w:hAnsi="KaiTi" w:cs="KaiTi"/>
                <w:spacing w:val="-1"/>
              </w:rPr>
              <w:t>地面电站装机（</w:t>
            </w:r>
            <w:r>
              <w:rPr>
                <w:spacing w:val="-1"/>
              </w:rPr>
              <w:t>GW)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19" w:line="195" w:lineRule="auto"/>
              <w:ind w:left="405"/>
            </w:pPr>
            <w:r>
              <w:rPr>
                <w:spacing w:val="-2"/>
              </w:rPr>
              <w:t>28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9" w:line="195" w:lineRule="auto"/>
              <w:ind w:left="412"/>
            </w:pPr>
            <w:r>
              <w:rPr>
                <w:spacing w:val="-2"/>
              </w:rPr>
              <w:t>25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20" w:line="195" w:lineRule="auto"/>
              <w:ind w:left="412"/>
            </w:pPr>
            <w:r>
              <w:rPr>
                <w:spacing w:val="-2"/>
              </w:rPr>
              <w:t>36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9" w:line="195" w:lineRule="auto"/>
              <w:ind w:left="424"/>
            </w:pPr>
            <w:r>
              <w:rPr>
                <w:spacing w:val="-10"/>
              </w:rPr>
              <w:t>119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20" w:line="195" w:lineRule="auto"/>
              <w:ind w:left="422"/>
            </w:pPr>
            <w:r>
              <w:rPr>
                <w:spacing w:val="-4"/>
              </w:rPr>
              <w:t>130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9" w:line="195" w:lineRule="auto"/>
              <w:ind w:left="423"/>
            </w:pPr>
            <w:r>
              <w:rPr>
                <w:spacing w:val="-4"/>
              </w:rPr>
              <w:t>150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spacing w:before="19" w:line="195" w:lineRule="auto"/>
              <w:ind w:left="423"/>
            </w:pPr>
            <w:r>
              <w:rPr>
                <w:spacing w:val="-4"/>
              </w:rPr>
              <w:t>170</w:t>
            </w:r>
          </w:p>
        </w:tc>
      </w:tr>
      <w:tr>
        <w:tblPrEx>
          <w:tblW w:w="9732" w:type="dxa"/>
          <w:tblInd w:w="671" w:type="dxa"/>
          <w:tblLayout w:type="fixed"/>
        </w:tblPrEx>
        <w:trPr>
          <w:trHeight w:val="321"/>
        </w:trPr>
        <w:tc>
          <w:tcPr>
            <w:tcW w:w="2227" w:type="dxa"/>
            <w:vAlign w:val="top"/>
          </w:tcPr>
          <w:p>
            <w:pPr>
              <w:spacing w:before="77" w:line="218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跟踪支架渗透率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95" w:line="197" w:lineRule="auto"/>
              <w:ind w:left="408"/>
            </w:pPr>
            <w:r>
              <w:rPr>
                <w:spacing w:val="-2"/>
              </w:rPr>
              <w:t>7%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95" w:line="197" w:lineRule="auto"/>
              <w:ind w:left="413"/>
            </w:pPr>
            <w:r>
              <w:rPr>
                <w:spacing w:val="-2"/>
              </w:rPr>
              <w:t>6%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5" w:line="197" w:lineRule="auto"/>
              <w:ind w:left="411"/>
            </w:pPr>
            <w:r>
              <w:rPr>
                <w:spacing w:val="-2"/>
              </w:rPr>
              <w:t>6%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5" w:line="197" w:lineRule="auto"/>
              <w:ind w:left="413"/>
            </w:pPr>
            <w:r>
              <w:rPr>
                <w:spacing w:val="-2"/>
              </w:rPr>
              <w:t>8%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95" w:line="197" w:lineRule="auto"/>
              <w:ind w:left="411"/>
            </w:pPr>
            <w:r>
              <w:rPr>
                <w:spacing w:val="-2"/>
              </w:rPr>
              <w:t>8%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95" w:line="197" w:lineRule="auto"/>
              <w:ind w:left="412"/>
            </w:pPr>
            <w:r>
              <w:rPr>
                <w:spacing w:val="-2"/>
              </w:rPr>
              <w:t>9%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spacing w:before="95" w:line="197" w:lineRule="auto"/>
              <w:jc w:val="right"/>
            </w:pPr>
            <w:r>
              <w:rPr>
                <w:spacing w:val="-6"/>
              </w:rPr>
              <w:t>10%</w:t>
            </w:r>
          </w:p>
        </w:tc>
      </w:tr>
      <w:tr>
        <w:tblPrEx>
          <w:tblW w:w="9732" w:type="dxa"/>
          <w:tblInd w:w="671" w:type="dxa"/>
          <w:tblLayout w:type="fixed"/>
        </w:tblPrEx>
        <w:trPr>
          <w:trHeight w:val="327"/>
        </w:trPr>
        <w:tc>
          <w:tcPr>
            <w:tcW w:w="2227" w:type="dxa"/>
            <w:vAlign w:val="top"/>
          </w:tcPr>
          <w:p>
            <w:pPr>
              <w:pStyle w:val="TableText"/>
              <w:spacing w:before="83" w:line="217" w:lineRule="auto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跟踪支架需求量（</w:t>
            </w:r>
            <w:r>
              <w:rPr>
                <w:spacing w:val="-1"/>
              </w:rPr>
              <w:t>GW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103" w:line="195" w:lineRule="auto"/>
              <w:ind w:left="405"/>
            </w:pPr>
            <w:r>
              <w:rPr>
                <w:spacing w:val="-2"/>
              </w:rPr>
              <w:t>2.3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95" w:lineRule="auto"/>
              <w:ind w:left="425"/>
            </w:pPr>
            <w:r>
              <w:rPr>
                <w:spacing w:val="-6"/>
              </w:rPr>
              <w:t>1.7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95" w:lineRule="auto"/>
              <w:ind w:left="410"/>
            </w:pPr>
            <w:r>
              <w:rPr>
                <w:spacing w:val="-2"/>
              </w:rPr>
              <w:t>2.5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95" w:lineRule="auto"/>
              <w:ind w:left="424"/>
            </w:pPr>
            <w:r>
              <w:rPr>
                <w:spacing w:val="-5"/>
              </w:rPr>
              <w:t>10.9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95" w:lineRule="auto"/>
              <w:ind w:left="422"/>
            </w:pPr>
            <w:r>
              <w:rPr>
                <w:spacing w:val="-5"/>
              </w:rPr>
              <w:t>12.0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3" w:line="195" w:lineRule="auto"/>
              <w:ind w:left="423"/>
            </w:pPr>
            <w:r>
              <w:rPr>
                <w:spacing w:val="-5"/>
              </w:rPr>
              <w:t>15.5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spacing w:before="103" w:line="195" w:lineRule="auto"/>
              <w:ind w:right="7"/>
              <w:jc w:val="right"/>
            </w:pPr>
            <w:r>
              <w:rPr>
                <w:spacing w:val="-5"/>
              </w:rPr>
              <w:t>19.6</w:t>
            </w:r>
          </w:p>
        </w:tc>
      </w:tr>
      <w:tr>
        <w:tblPrEx>
          <w:tblW w:w="9732" w:type="dxa"/>
          <w:tblInd w:w="671" w:type="dxa"/>
          <w:tblLayout w:type="fixed"/>
        </w:tblPrEx>
        <w:trPr>
          <w:trHeight w:val="326"/>
        </w:trPr>
        <w:tc>
          <w:tcPr>
            <w:tcW w:w="2227" w:type="dxa"/>
            <w:vAlign w:val="top"/>
          </w:tcPr>
          <w:p>
            <w:pPr>
              <w:pStyle w:val="TableText"/>
              <w:spacing w:before="82" w:line="218" w:lineRule="auto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跟踪支架单价（元</w:t>
            </w:r>
            <w:r>
              <w:rPr>
                <w:spacing w:val="-1"/>
              </w:rPr>
              <w:t>/W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102" w:line="195" w:lineRule="auto"/>
              <w:ind w:left="407"/>
            </w:pPr>
            <w:r>
              <w:rPr>
                <w:spacing w:val="-2"/>
              </w:rPr>
              <w:t>0.55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2" w:line="195" w:lineRule="auto"/>
              <w:ind w:left="414"/>
            </w:pPr>
            <w:r>
              <w:rPr>
                <w:spacing w:val="-2"/>
              </w:rPr>
              <w:t>0.48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2" w:line="195" w:lineRule="auto"/>
              <w:ind w:left="412"/>
            </w:pPr>
            <w:r>
              <w:rPr>
                <w:spacing w:val="-2"/>
              </w:rPr>
              <w:t>0.47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2" w:line="195" w:lineRule="auto"/>
              <w:ind w:left="413"/>
            </w:pPr>
            <w:r>
              <w:rPr>
                <w:spacing w:val="-2"/>
              </w:rPr>
              <w:t>0.46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2" w:line="195" w:lineRule="auto"/>
              <w:ind w:left="411"/>
            </w:pPr>
            <w:r>
              <w:rPr>
                <w:spacing w:val="-2"/>
              </w:rPr>
              <w:t>0.45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2" w:line="195" w:lineRule="auto"/>
              <w:ind w:left="412"/>
            </w:pPr>
            <w:r>
              <w:rPr>
                <w:spacing w:val="-2"/>
              </w:rPr>
              <w:t>0.45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spacing w:before="102" w:line="195" w:lineRule="auto"/>
              <w:ind w:right="7"/>
              <w:jc w:val="right"/>
            </w:pPr>
            <w:r>
              <w:rPr>
                <w:spacing w:val="-2"/>
              </w:rPr>
              <w:t>0.44</w:t>
            </w:r>
          </w:p>
        </w:tc>
      </w:tr>
      <w:tr>
        <w:tblPrEx>
          <w:tblW w:w="9732" w:type="dxa"/>
          <w:tblInd w:w="671" w:type="dxa"/>
          <w:tblLayout w:type="fixed"/>
        </w:tblPrEx>
        <w:trPr>
          <w:trHeight w:val="244"/>
        </w:trPr>
        <w:tc>
          <w:tcPr>
            <w:tcW w:w="2227" w:type="dxa"/>
            <w:vAlign w:val="top"/>
          </w:tcPr>
          <w:p>
            <w:pPr>
              <w:spacing w:before="83" w:line="174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跟踪支架市场规模（亿元）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103" w:line="170" w:lineRule="auto"/>
              <w:ind w:left="418"/>
            </w:pPr>
            <w:r>
              <w:rPr>
                <w:spacing w:val="-5"/>
              </w:rPr>
              <w:t>12.4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70" w:lineRule="auto"/>
              <w:ind w:left="414"/>
            </w:pPr>
            <w:r>
              <w:rPr>
                <w:spacing w:val="-2"/>
              </w:rPr>
              <w:t>8.3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70" w:lineRule="auto"/>
              <w:ind w:left="423"/>
            </w:pPr>
            <w:r>
              <w:rPr>
                <w:spacing w:val="-8"/>
              </w:rPr>
              <w:t>11.7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70" w:lineRule="auto"/>
              <w:ind w:left="413"/>
            </w:pPr>
            <w:r>
              <w:rPr>
                <w:spacing w:val="-2"/>
              </w:rPr>
              <w:t>50.4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70" w:lineRule="auto"/>
              <w:ind w:left="411"/>
            </w:pPr>
            <w:r>
              <w:rPr>
                <w:spacing w:val="-2"/>
              </w:rPr>
              <w:t>53.8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3" w:line="170" w:lineRule="auto"/>
              <w:ind w:left="412"/>
            </w:pPr>
            <w:r>
              <w:rPr>
                <w:spacing w:val="-2"/>
              </w:rPr>
              <w:t>69.9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spacing w:before="103" w:line="170" w:lineRule="auto"/>
              <w:ind w:right="7"/>
              <w:jc w:val="right"/>
            </w:pPr>
            <w:r>
              <w:rPr>
                <w:spacing w:val="-2"/>
              </w:rPr>
              <w:t>86.0</w:t>
            </w:r>
          </w:p>
        </w:tc>
      </w:tr>
    </w:tbl>
    <w:p>
      <w:pPr>
        <w:pStyle w:val="BodyText"/>
        <w:spacing w:before="80" w:line="326" w:lineRule="exact"/>
        <w:ind w:firstLine="668"/>
      </w:pPr>
      <w:r>
        <w:rPr>
          <w:position w:val="-6"/>
        </w:rPr>
        <w:pict>
          <v:shape id="_x0000_i1068" type="#_x0000_t202" style="width:527.4pt;height:16.3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82" w:line="218" w:lineRule="auto"/>
                    <w:ind w:left="14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spacing w:val="-1"/>
                      <w:sz w:val="16"/>
                      <w:szCs w:val="16"/>
                    </w:rPr>
                    <w:t>海外</w:t>
                  </w: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-</w:t>
                  </w:r>
                  <w:r>
                    <w:rPr>
                      <w:rFonts w:ascii="KaiTi" w:eastAsia="KaiTi" w:hAnsi="KaiTi" w:cs="KaiTi"/>
                      <w:spacing w:val="-1"/>
                      <w:sz w:val="16"/>
                      <w:szCs w:val="16"/>
                    </w:rPr>
                    <w:t>美国</w:t>
                  </w:r>
                </w:p>
              </w:txbxContent>
            </v:textbox>
            <w10:wrap type="none"/>
          </v:shape>
        </w:pict>
      </w:r>
    </w:p>
    <w:p>
      <w:pPr>
        <w:spacing w:line="83" w:lineRule="exact"/>
      </w:pPr>
    </w:p>
    <w:tbl>
      <w:tblPr>
        <w:tblStyle w:val="TableNormal5"/>
        <w:tblW w:w="9812" w:type="dxa"/>
        <w:tblInd w:w="6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28"/>
        <w:gridCol w:w="1169"/>
        <w:gridCol w:w="1129"/>
        <w:gridCol w:w="1130"/>
        <w:gridCol w:w="1132"/>
        <w:gridCol w:w="1128"/>
        <w:gridCol w:w="1131"/>
        <w:gridCol w:w="765"/>
      </w:tblGrid>
      <w:tr>
        <w:tblPrEx>
          <w:tblW w:w="9812" w:type="dxa"/>
          <w:tblInd w:w="6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9"/>
        </w:trPr>
        <w:tc>
          <w:tcPr>
            <w:tcW w:w="2228" w:type="dxa"/>
            <w:vAlign w:val="top"/>
          </w:tcPr>
          <w:p>
            <w:pPr>
              <w:pStyle w:val="TableText"/>
              <w:spacing w:line="213" w:lineRule="auto"/>
              <w:ind w:left="3"/>
            </w:pPr>
            <w:r>
              <w:rPr>
                <w:rFonts w:ascii="KaiTi" w:eastAsia="KaiTi" w:hAnsi="KaiTi" w:cs="KaiTi"/>
                <w:spacing w:val="-1"/>
              </w:rPr>
              <w:t>地面电站装机（</w:t>
            </w:r>
            <w:r>
              <w:rPr>
                <w:spacing w:val="-1"/>
              </w:rPr>
              <w:t>GW)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0" w:line="195" w:lineRule="auto"/>
              <w:ind w:left="417"/>
            </w:pPr>
            <w:r>
              <w:rPr>
                <w:spacing w:val="-5"/>
              </w:rPr>
              <w:t>13.6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9" w:line="195" w:lineRule="auto"/>
              <w:ind w:left="379"/>
            </w:pPr>
            <w:r>
              <w:rPr>
                <w:spacing w:val="-5"/>
              </w:rPr>
              <w:t>17.0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9" w:line="195" w:lineRule="auto"/>
              <w:ind w:left="378"/>
            </w:pPr>
            <w:r>
              <w:rPr>
                <w:spacing w:val="-5"/>
              </w:rPr>
              <w:t>15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9" w:line="195" w:lineRule="auto"/>
              <w:ind w:left="381"/>
            </w:pPr>
            <w:r>
              <w:rPr>
                <w:spacing w:val="-5"/>
              </w:rPr>
              <w:t>18.4</w:t>
            </w:r>
          </w:p>
        </w:tc>
        <w:tc>
          <w:tcPr>
            <w:tcW w:w="1128" w:type="dxa"/>
            <w:vAlign w:val="top"/>
          </w:tcPr>
          <w:p>
            <w:pPr>
              <w:pStyle w:val="TableText"/>
              <w:spacing w:before="20" w:line="195" w:lineRule="auto"/>
              <w:ind w:left="368"/>
            </w:pPr>
            <w:r>
              <w:rPr>
                <w:spacing w:val="-2"/>
              </w:rPr>
              <w:t>36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20" w:line="194" w:lineRule="auto"/>
              <w:ind w:left="367"/>
            </w:pPr>
            <w:r>
              <w:rPr>
                <w:spacing w:val="-1"/>
              </w:rPr>
              <w:t>45</w:t>
            </w:r>
          </w:p>
        </w:tc>
        <w:tc>
          <w:tcPr>
            <w:tcW w:w="765" w:type="dxa"/>
            <w:vAlign w:val="top"/>
          </w:tcPr>
          <w:p>
            <w:pPr>
              <w:pStyle w:val="TableText"/>
              <w:spacing w:before="19" w:line="195" w:lineRule="auto"/>
              <w:ind w:left="371"/>
            </w:pPr>
            <w:r>
              <w:rPr>
                <w:spacing w:val="-2"/>
              </w:rPr>
              <w:t>50</w:t>
            </w:r>
          </w:p>
        </w:tc>
      </w:tr>
      <w:tr>
        <w:tblPrEx>
          <w:tblW w:w="9812" w:type="dxa"/>
          <w:tblInd w:w="671" w:type="dxa"/>
          <w:tblLayout w:type="fixed"/>
        </w:tblPrEx>
        <w:trPr>
          <w:trHeight w:val="321"/>
        </w:trPr>
        <w:tc>
          <w:tcPr>
            <w:tcW w:w="2228" w:type="dxa"/>
            <w:vAlign w:val="top"/>
          </w:tcPr>
          <w:p>
            <w:pPr>
              <w:spacing w:before="77" w:line="218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跟踪支架渗透率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95" w:line="197" w:lineRule="auto"/>
              <w:ind w:left="406"/>
            </w:pPr>
            <w:r>
              <w:rPr>
                <w:spacing w:val="-2"/>
              </w:rPr>
              <w:t>85%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95" w:line="197" w:lineRule="auto"/>
              <w:ind w:left="368"/>
            </w:pPr>
            <w:r>
              <w:rPr>
                <w:spacing w:val="-2"/>
              </w:rPr>
              <w:t>85%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95" w:line="197" w:lineRule="auto"/>
              <w:ind w:left="367"/>
            </w:pPr>
            <w:r>
              <w:rPr>
                <w:spacing w:val="-2"/>
              </w:rPr>
              <w:t>85%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5" w:line="197" w:lineRule="auto"/>
              <w:ind w:left="370"/>
            </w:pPr>
            <w:r>
              <w:rPr>
                <w:spacing w:val="-2"/>
              </w:rPr>
              <w:t>85%</w:t>
            </w:r>
          </w:p>
        </w:tc>
        <w:tc>
          <w:tcPr>
            <w:tcW w:w="1128" w:type="dxa"/>
            <w:vAlign w:val="top"/>
          </w:tcPr>
          <w:p>
            <w:pPr>
              <w:pStyle w:val="TableText"/>
              <w:spacing w:before="95" w:line="197" w:lineRule="auto"/>
              <w:ind w:left="368"/>
            </w:pPr>
            <w:r>
              <w:rPr>
                <w:spacing w:val="-2"/>
              </w:rPr>
              <w:t>90%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95" w:line="197" w:lineRule="auto"/>
              <w:ind w:left="371"/>
            </w:pPr>
            <w:r>
              <w:rPr>
                <w:spacing w:val="-2"/>
              </w:rPr>
              <w:t>90%</w:t>
            </w:r>
          </w:p>
        </w:tc>
        <w:tc>
          <w:tcPr>
            <w:tcW w:w="765" w:type="dxa"/>
            <w:vAlign w:val="top"/>
          </w:tcPr>
          <w:p>
            <w:pPr>
              <w:pStyle w:val="TableText"/>
              <w:spacing w:before="95" w:line="197" w:lineRule="auto"/>
              <w:ind w:left="371"/>
            </w:pPr>
            <w:r>
              <w:rPr>
                <w:spacing w:val="-2"/>
              </w:rPr>
              <w:t>90%</w:t>
            </w:r>
          </w:p>
        </w:tc>
      </w:tr>
      <w:tr>
        <w:tblPrEx>
          <w:tblW w:w="9812" w:type="dxa"/>
          <w:tblInd w:w="671" w:type="dxa"/>
          <w:tblLayout w:type="fixed"/>
        </w:tblPrEx>
        <w:trPr>
          <w:trHeight w:val="326"/>
        </w:trPr>
        <w:tc>
          <w:tcPr>
            <w:tcW w:w="2228" w:type="dxa"/>
            <w:vAlign w:val="top"/>
          </w:tcPr>
          <w:p>
            <w:pPr>
              <w:pStyle w:val="TableText"/>
              <w:spacing w:before="82" w:line="217" w:lineRule="auto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跟踪支架需求量（</w:t>
            </w:r>
            <w:r>
              <w:rPr>
                <w:spacing w:val="-1"/>
              </w:rPr>
              <w:t>GW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02" w:line="195" w:lineRule="auto"/>
              <w:ind w:left="417"/>
            </w:pPr>
            <w:r>
              <w:rPr>
                <w:spacing w:val="-5"/>
              </w:rPr>
              <w:t>13.3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02" w:line="195" w:lineRule="auto"/>
              <w:ind w:left="379"/>
            </w:pPr>
            <w:r>
              <w:rPr>
                <w:spacing w:val="-5"/>
              </w:rPr>
              <w:t>16.6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2" w:line="195" w:lineRule="auto"/>
              <w:ind w:left="378"/>
            </w:pPr>
            <w:r>
              <w:rPr>
                <w:spacing w:val="-5"/>
              </w:rPr>
              <w:t>17.9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2" w:line="195" w:lineRule="auto"/>
              <w:ind w:left="381"/>
            </w:pPr>
            <w:r>
              <w:rPr>
                <w:spacing w:val="-5"/>
              </w:rPr>
              <w:t>18.0</w:t>
            </w:r>
          </w:p>
        </w:tc>
        <w:tc>
          <w:tcPr>
            <w:tcW w:w="1128" w:type="dxa"/>
            <w:vAlign w:val="top"/>
          </w:tcPr>
          <w:p>
            <w:pPr>
              <w:pStyle w:val="TableText"/>
              <w:spacing w:before="102" w:line="195" w:lineRule="auto"/>
              <w:ind w:left="368"/>
            </w:pPr>
            <w:r>
              <w:rPr>
                <w:spacing w:val="-2"/>
              </w:rPr>
              <w:t>37.7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2" w:line="195" w:lineRule="auto"/>
              <w:ind w:left="367"/>
            </w:pPr>
            <w:r>
              <w:rPr>
                <w:spacing w:val="-1"/>
              </w:rPr>
              <w:t>46.6</w:t>
            </w:r>
          </w:p>
        </w:tc>
        <w:tc>
          <w:tcPr>
            <w:tcW w:w="765" w:type="dxa"/>
            <w:vAlign w:val="top"/>
          </w:tcPr>
          <w:p>
            <w:pPr>
              <w:pStyle w:val="TableText"/>
              <w:spacing w:before="102" w:line="195" w:lineRule="auto"/>
              <w:ind w:left="371"/>
            </w:pPr>
            <w:r>
              <w:rPr>
                <w:spacing w:val="-2"/>
              </w:rPr>
              <w:t>51.8</w:t>
            </w:r>
          </w:p>
        </w:tc>
      </w:tr>
      <w:tr>
        <w:tblPrEx>
          <w:tblW w:w="9812" w:type="dxa"/>
          <w:tblInd w:w="671" w:type="dxa"/>
          <w:tblLayout w:type="fixed"/>
        </w:tblPrEx>
        <w:trPr>
          <w:trHeight w:val="326"/>
        </w:trPr>
        <w:tc>
          <w:tcPr>
            <w:tcW w:w="2228" w:type="dxa"/>
            <w:vAlign w:val="top"/>
          </w:tcPr>
          <w:p>
            <w:pPr>
              <w:pStyle w:val="TableText"/>
              <w:spacing w:before="82" w:line="218" w:lineRule="auto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跟踪支架单价（元</w:t>
            </w:r>
            <w:r>
              <w:rPr>
                <w:spacing w:val="-1"/>
              </w:rPr>
              <w:t>/W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03" w:line="195" w:lineRule="auto"/>
              <w:ind w:left="406"/>
            </w:pPr>
            <w:r>
              <w:rPr>
                <w:spacing w:val="-2"/>
              </w:rPr>
              <w:t>0.8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03" w:line="195" w:lineRule="auto"/>
              <w:ind w:left="368"/>
            </w:pPr>
            <w:r>
              <w:rPr>
                <w:spacing w:val="-2"/>
              </w:rPr>
              <w:t>0.8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95" w:lineRule="auto"/>
              <w:ind w:left="367"/>
            </w:pPr>
            <w:r>
              <w:rPr>
                <w:spacing w:val="-2"/>
              </w:rPr>
              <w:t>0.88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95" w:lineRule="auto"/>
              <w:ind w:left="370"/>
            </w:pPr>
            <w:r>
              <w:rPr>
                <w:spacing w:val="-2"/>
              </w:rPr>
              <w:t>0.85</w:t>
            </w:r>
          </w:p>
        </w:tc>
        <w:tc>
          <w:tcPr>
            <w:tcW w:w="1128" w:type="dxa"/>
            <w:vAlign w:val="top"/>
          </w:tcPr>
          <w:p>
            <w:pPr>
              <w:pStyle w:val="TableText"/>
              <w:spacing w:before="103" w:line="195" w:lineRule="auto"/>
              <w:ind w:left="368"/>
            </w:pPr>
            <w:r>
              <w:rPr>
                <w:spacing w:val="-2"/>
              </w:rPr>
              <w:t>0.8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3" w:line="195" w:lineRule="auto"/>
              <w:ind w:left="371"/>
            </w:pPr>
            <w:r>
              <w:rPr>
                <w:spacing w:val="-2"/>
              </w:rPr>
              <w:t>0.8</w:t>
            </w:r>
          </w:p>
        </w:tc>
        <w:tc>
          <w:tcPr>
            <w:tcW w:w="765" w:type="dxa"/>
            <w:vAlign w:val="top"/>
          </w:tcPr>
          <w:p>
            <w:pPr>
              <w:pStyle w:val="TableText"/>
              <w:spacing w:before="103" w:line="195" w:lineRule="auto"/>
              <w:ind w:left="371"/>
            </w:pPr>
            <w:r>
              <w:rPr>
                <w:spacing w:val="-2"/>
              </w:rPr>
              <w:t>0.78</w:t>
            </w:r>
          </w:p>
        </w:tc>
      </w:tr>
      <w:tr>
        <w:tblPrEx>
          <w:tblW w:w="9812" w:type="dxa"/>
          <w:tblInd w:w="671" w:type="dxa"/>
          <w:tblLayout w:type="fixed"/>
        </w:tblPrEx>
        <w:trPr>
          <w:trHeight w:val="244"/>
        </w:trPr>
        <w:tc>
          <w:tcPr>
            <w:tcW w:w="2228" w:type="dxa"/>
            <w:vAlign w:val="top"/>
          </w:tcPr>
          <w:p>
            <w:pPr>
              <w:spacing w:before="83" w:line="174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跟踪支架市场规模（亿元）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03" w:line="170" w:lineRule="auto"/>
              <w:ind w:left="417"/>
            </w:pPr>
            <w:r>
              <w:rPr>
                <w:spacing w:val="-4"/>
              </w:rPr>
              <w:t>106.6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03" w:line="170" w:lineRule="auto"/>
              <w:ind w:left="379"/>
            </w:pPr>
            <w:r>
              <w:rPr>
                <w:spacing w:val="-4"/>
              </w:rPr>
              <w:t>132.9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70" w:lineRule="auto"/>
              <w:ind w:left="378"/>
            </w:pPr>
            <w:r>
              <w:rPr>
                <w:spacing w:val="-4"/>
              </w:rPr>
              <w:t>157.1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70" w:lineRule="auto"/>
              <w:ind w:left="381"/>
            </w:pPr>
            <w:r>
              <w:rPr>
                <w:spacing w:val="-4"/>
              </w:rPr>
              <w:t>152.9</w:t>
            </w:r>
          </w:p>
        </w:tc>
        <w:tc>
          <w:tcPr>
            <w:tcW w:w="1128" w:type="dxa"/>
            <w:vAlign w:val="top"/>
          </w:tcPr>
          <w:p>
            <w:pPr>
              <w:pStyle w:val="TableText"/>
              <w:spacing w:before="103" w:line="170" w:lineRule="auto"/>
              <w:ind w:left="368"/>
            </w:pPr>
            <w:r>
              <w:rPr>
                <w:spacing w:val="-2"/>
              </w:rPr>
              <w:t>301.4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3" w:line="170" w:lineRule="auto"/>
              <w:ind w:left="371"/>
            </w:pPr>
            <w:r>
              <w:rPr>
                <w:spacing w:val="-2"/>
              </w:rPr>
              <w:t>372.6</w:t>
            </w:r>
          </w:p>
        </w:tc>
        <w:tc>
          <w:tcPr>
            <w:tcW w:w="765" w:type="dxa"/>
            <w:vAlign w:val="top"/>
          </w:tcPr>
          <w:p>
            <w:pPr>
              <w:pStyle w:val="TableText"/>
              <w:spacing w:before="103" w:line="170" w:lineRule="auto"/>
              <w:jc w:val="right"/>
            </w:pPr>
            <w:r>
              <w:rPr>
                <w:spacing w:val="-1"/>
              </w:rPr>
              <w:t>403.7</w:t>
            </w:r>
          </w:p>
        </w:tc>
      </w:tr>
    </w:tbl>
    <w:p>
      <w:pPr>
        <w:pStyle w:val="BodyText"/>
        <w:spacing w:before="80" w:line="327" w:lineRule="exact"/>
        <w:ind w:firstLine="668"/>
      </w:pPr>
      <w:r>
        <w:rPr>
          <w:position w:val="-6"/>
        </w:rPr>
        <w:pict>
          <v:shape id="_x0000_i1069" type="#_x0000_t202" style="width:527.4pt;height:16.3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82" w:line="218" w:lineRule="auto"/>
                    <w:ind w:left="14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spacing w:val="-2"/>
                      <w:sz w:val="16"/>
                      <w:szCs w:val="16"/>
                    </w:rPr>
                    <w:t>海外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</w:t>
                  </w:r>
                  <w:r>
                    <w:rPr>
                      <w:rFonts w:ascii="KaiTi" w:eastAsia="KaiTi" w:hAnsi="KaiTi" w:cs="KaiTi"/>
                      <w:spacing w:val="-2"/>
                      <w:sz w:val="16"/>
                      <w:szCs w:val="16"/>
                    </w:rPr>
                    <w:t>非美国</w:t>
                  </w:r>
                </w:p>
              </w:txbxContent>
            </v:textbox>
            <w10:wrap type="none"/>
          </v:shape>
        </w:pict>
      </w:r>
    </w:p>
    <w:p>
      <w:pPr>
        <w:spacing w:line="83" w:lineRule="exact"/>
      </w:pPr>
    </w:p>
    <w:tbl>
      <w:tblPr>
        <w:tblStyle w:val="TableNormal5"/>
        <w:tblW w:w="9813" w:type="dxa"/>
        <w:tblInd w:w="6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29"/>
        <w:gridCol w:w="1166"/>
        <w:gridCol w:w="1129"/>
        <w:gridCol w:w="1131"/>
        <w:gridCol w:w="1132"/>
        <w:gridCol w:w="1133"/>
        <w:gridCol w:w="1130"/>
        <w:gridCol w:w="763"/>
      </w:tblGrid>
      <w:tr>
        <w:tblPrEx>
          <w:tblW w:w="9813" w:type="dxa"/>
          <w:tblInd w:w="6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9"/>
        </w:trPr>
        <w:tc>
          <w:tcPr>
            <w:tcW w:w="2229" w:type="dxa"/>
            <w:vAlign w:val="top"/>
          </w:tcPr>
          <w:p>
            <w:pPr>
              <w:pStyle w:val="TableText"/>
              <w:spacing w:line="213" w:lineRule="auto"/>
              <w:ind w:left="3"/>
            </w:pPr>
            <w:r>
              <w:rPr>
                <w:rFonts w:ascii="KaiTi" w:eastAsia="KaiTi" w:hAnsi="KaiTi" w:cs="KaiTi"/>
                <w:spacing w:val="-1"/>
              </w:rPr>
              <w:t>地面电站装机（</w:t>
            </w:r>
            <w:r>
              <w:rPr>
                <w:spacing w:val="-1"/>
              </w:rPr>
              <w:t>GW)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20" w:line="195" w:lineRule="auto"/>
              <w:ind w:left="405"/>
            </w:pPr>
            <w:r>
              <w:rPr>
                <w:spacing w:val="-2"/>
              </w:rPr>
              <w:t>33.7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9" w:line="195" w:lineRule="auto"/>
              <w:ind w:left="366"/>
            </w:pPr>
            <w:r>
              <w:rPr>
                <w:spacing w:val="-1"/>
              </w:rPr>
              <w:t>42.0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9" w:line="195" w:lineRule="auto"/>
              <w:ind w:left="369"/>
            </w:pPr>
            <w:r>
              <w:rPr>
                <w:spacing w:val="-2"/>
              </w:rPr>
              <w:t>57.0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9" w:line="195" w:lineRule="auto"/>
              <w:ind w:left="372"/>
            </w:pPr>
            <w:r>
              <w:rPr>
                <w:spacing w:val="-2"/>
              </w:rPr>
              <w:t>77.0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9" w:line="195" w:lineRule="auto"/>
              <w:ind w:left="381"/>
            </w:pPr>
            <w:r>
              <w:rPr>
                <w:spacing w:val="-4"/>
              </w:rPr>
              <w:t>102.0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9" w:line="195" w:lineRule="auto"/>
              <w:ind w:left="379"/>
            </w:pPr>
            <w:r>
              <w:rPr>
                <w:spacing w:val="-4"/>
              </w:rPr>
              <w:t>127.0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19" w:line="195" w:lineRule="auto"/>
              <w:jc w:val="right"/>
            </w:pPr>
            <w:r>
              <w:rPr>
                <w:spacing w:val="-4"/>
              </w:rPr>
              <w:t>152.0</w:t>
            </w:r>
          </w:p>
        </w:tc>
      </w:tr>
      <w:tr>
        <w:tblPrEx>
          <w:tblW w:w="9813" w:type="dxa"/>
          <w:tblInd w:w="670" w:type="dxa"/>
          <w:tblLayout w:type="fixed"/>
        </w:tblPrEx>
        <w:trPr>
          <w:trHeight w:val="321"/>
        </w:trPr>
        <w:tc>
          <w:tcPr>
            <w:tcW w:w="2229" w:type="dxa"/>
            <w:vAlign w:val="top"/>
          </w:tcPr>
          <w:p>
            <w:pPr>
              <w:spacing w:before="77" w:line="218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跟踪支架渗透率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96" w:line="197" w:lineRule="auto"/>
              <w:ind w:left="405"/>
            </w:pPr>
            <w:r>
              <w:rPr>
                <w:spacing w:val="-2"/>
              </w:rPr>
              <w:t>50%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96" w:line="197" w:lineRule="auto"/>
              <w:ind w:left="370"/>
            </w:pPr>
            <w:r>
              <w:rPr>
                <w:spacing w:val="-2"/>
              </w:rPr>
              <w:t>55%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96" w:line="197" w:lineRule="auto"/>
              <w:ind w:left="369"/>
            </w:pPr>
            <w:r>
              <w:rPr>
                <w:spacing w:val="-2"/>
              </w:rPr>
              <w:t>55%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6" w:line="197" w:lineRule="auto"/>
              <w:ind w:left="372"/>
            </w:pPr>
            <w:r>
              <w:rPr>
                <w:spacing w:val="-2"/>
              </w:rPr>
              <w:t>55%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97" w:lineRule="auto"/>
              <w:ind w:left="369"/>
            </w:pPr>
            <w:r>
              <w:rPr>
                <w:spacing w:val="-2"/>
              </w:rPr>
              <w:t>60%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96" w:line="197" w:lineRule="auto"/>
              <w:ind w:left="367"/>
            </w:pPr>
            <w:r>
              <w:rPr>
                <w:spacing w:val="-2"/>
              </w:rPr>
              <w:t>65%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96" w:line="197" w:lineRule="auto"/>
              <w:ind w:left="368"/>
            </w:pPr>
            <w:r>
              <w:rPr>
                <w:spacing w:val="-2"/>
              </w:rPr>
              <w:t>65%</w:t>
            </w:r>
          </w:p>
        </w:tc>
      </w:tr>
      <w:tr>
        <w:tblPrEx>
          <w:tblW w:w="9813" w:type="dxa"/>
          <w:tblInd w:w="670" w:type="dxa"/>
          <w:tblLayout w:type="fixed"/>
        </w:tblPrEx>
        <w:trPr>
          <w:trHeight w:val="326"/>
        </w:trPr>
        <w:tc>
          <w:tcPr>
            <w:tcW w:w="2229" w:type="dxa"/>
            <w:vAlign w:val="top"/>
          </w:tcPr>
          <w:p>
            <w:pPr>
              <w:pStyle w:val="TableText"/>
              <w:spacing w:before="83" w:line="217" w:lineRule="auto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跟踪支架需求量（</w:t>
            </w:r>
            <w:r>
              <w:rPr>
                <w:spacing w:val="-1"/>
              </w:rPr>
              <w:t>GW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103" w:line="195" w:lineRule="auto"/>
              <w:ind w:left="416"/>
            </w:pPr>
            <w:r>
              <w:rPr>
                <w:spacing w:val="-5"/>
              </w:rPr>
              <w:t>19.4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03" w:line="195" w:lineRule="auto"/>
              <w:ind w:left="368"/>
            </w:pPr>
            <w:r>
              <w:rPr>
                <w:spacing w:val="-1"/>
              </w:rPr>
              <w:t>26.6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3" w:line="195" w:lineRule="auto"/>
              <w:ind w:left="369"/>
            </w:pPr>
            <w:r>
              <w:rPr>
                <w:spacing w:val="-2"/>
              </w:rPr>
              <w:t>36.1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95" w:lineRule="auto"/>
              <w:ind w:left="367"/>
            </w:pPr>
            <w:r>
              <w:rPr>
                <w:spacing w:val="-1"/>
              </w:rPr>
              <w:t>48.7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3" w:line="195" w:lineRule="auto"/>
              <w:ind w:left="371"/>
            </w:pPr>
            <w:r>
              <w:rPr>
                <w:spacing w:val="-2"/>
              </w:rPr>
              <w:t>70.4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95" w:lineRule="auto"/>
              <w:ind w:left="368"/>
            </w:pPr>
            <w:r>
              <w:rPr>
                <w:spacing w:val="-2"/>
              </w:rPr>
              <w:t>94.9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103" w:line="195" w:lineRule="auto"/>
              <w:ind w:right="11"/>
              <w:jc w:val="right"/>
            </w:pPr>
            <w:r>
              <w:rPr>
                <w:spacing w:val="-6"/>
              </w:rPr>
              <w:t>113.6</w:t>
            </w:r>
          </w:p>
        </w:tc>
      </w:tr>
      <w:tr>
        <w:tblPrEx>
          <w:tblW w:w="9813" w:type="dxa"/>
          <w:tblInd w:w="670" w:type="dxa"/>
          <w:tblLayout w:type="fixed"/>
        </w:tblPrEx>
        <w:trPr>
          <w:trHeight w:val="326"/>
        </w:trPr>
        <w:tc>
          <w:tcPr>
            <w:tcW w:w="2229" w:type="dxa"/>
            <w:vAlign w:val="top"/>
          </w:tcPr>
          <w:p>
            <w:pPr>
              <w:pStyle w:val="TableText"/>
              <w:spacing w:before="83" w:line="218" w:lineRule="auto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跟踪支架单价（元</w:t>
            </w:r>
            <w:r>
              <w:rPr>
                <w:spacing w:val="-1"/>
              </w:rPr>
              <w:t>/W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103" w:line="195" w:lineRule="auto"/>
              <w:ind w:left="405"/>
            </w:pPr>
            <w:r>
              <w:rPr>
                <w:spacing w:val="-2"/>
              </w:rPr>
              <w:t>0.75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03" w:line="195" w:lineRule="auto"/>
              <w:ind w:left="370"/>
            </w:pPr>
            <w:r>
              <w:rPr>
                <w:spacing w:val="-2"/>
              </w:rPr>
              <w:t>0.75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3" w:line="195" w:lineRule="auto"/>
              <w:ind w:left="369"/>
            </w:pPr>
            <w:r>
              <w:rPr>
                <w:spacing w:val="-2"/>
              </w:rPr>
              <w:t>0.8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3" w:line="195" w:lineRule="auto"/>
              <w:ind w:left="372"/>
            </w:pPr>
            <w:r>
              <w:rPr>
                <w:spacing w:val="-2"/>
              </w:rPr>
              <w:t>0.75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3" w:line="195" w:lineRule="auto"/>
              <w:ind w:left="370"/>
            </w:pPr>
            <w:r>
              <w:rPr>
                <w:spacing w:val="-2"/>
              </w:rPr>
              <w:t>0.7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95" w:lineRule="auto"/>
              <w:ind w:left="368"/>
            </w:pPr>
            <w:r>
              <w:rPr>
                <w:spacing w:val="-2"/>
              </w:rPr>
              <w:t>0.7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103" w:line="195" w:lineRule="auto"/>
              <w:ind w:left="368"/>
            </w:pPr>
            <w:r>
              <w:rPr>
                <w:spacing w:val="-2"/>
              </w:rPr>
              <w:t>0.7</w:t>
            </w:r>
          </w:p>
        </w:tc>
      </w:tr>
      <w:tr>
        <w:tblPrEx>
          <w:tblW w:w="9813" w:type="dxa"/>
          <w:tblInd w:w="670" w:type="dxa"/>
          <w:tblLayout w:type="fixed"/>
        </w:tblPrEx>
        <w:trPr>
          <w:trHeight w:val="335"/>
        </w:trPr>
        <w:tc>
          <w:tcPr>
            <w:tcW w:w="2229" w:type="dxa"/>
            <w:vAlign w:val="top"/>
          </w:tcPr>
          <w:p>
            <w:pPr>
              <w:spacing w:before="83" w:line="218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跟踪支架市场规模（亿元）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103" w:line="195" w:lineRule="auto"/>
              <w:ind w:left="416"/>
            </w:pPr>
            <w:r>
              <w:rPr>
                <w:spacing w:val="-4"/>
              </w:rPr>
              <w:t>145.2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03" w:line="195" w:lineRule="auto"/>
              <w:ind w:left="381"/>
            </w:pPr>
            <w:r>
              <w:rPr>
                <w:spacing w:val="-4"/>
              </w:rPr>
              <w:t>199.2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3" w:line="195" w:lineRule="auto"/>
              <w:ind w:left="367"/>
            </w:pPr>
            <w:r>
              <w:rPr>
                <w:spacing w:val="-1"/>
              </w:rPr>
              <w:t>288.4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4" w:line="195" w:lineRule="auto"/>
              <w:ind w:left="372"/>
            </w:pPr>
            <w:r>
              <w:rPr>
                <w:spacing w:val="-2"/>
              </w:rPr>
              <w:t>365.3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3" w:line="195" w:lineRule="auto"/>
              <w:ind w:left="365"/>
            </w:pPr>
            <w:r>
              <w:rPr>
                <w:spacing w:val="-1"/>
              </w:rPr>
              <w:t>492.7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103" w:line="195" w:lineRule="auto"/>
              <w:ind w:left="367"/>
            </w:pPr>
            <w:r>
              <w:rPr>
                <w:spacing w:val="-2"/>
              </w:rPr>
              <w:t>664.5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104" w:line="195" w:lineRule="auto"/>
              <w:jc w:val="right"/>
            </w:pPr>
            <w:r>
              <w:rPr>
                <w:spacing w:val="-2"/>
              </w:rPr>
              <w:t>795.3</w:t>
            </w:r>
          </w:p>
        </w:tc>
      </w:tr>
      <w:tr>
        <w:tblPrEx>
          <w:tblW w:w="9813" w:type="dxa"/>
          <w:tblInd w:w="670" w:type="dxa"/>
          <w:tblLayout w:type="fixed"/>
        </w:tblPrEx>
        <w:trPr>
          <w:trHeight w:val="242"/>
        </w:trPr>
        <w:tc>
          <w:tcPr>
            <w:tcW w:w="2229" w:type="dxa"/>
            <w:vAlign w:val="top"/>
          </w:tcPr>
          <w:p>
            <w:pPr>
              <w:pStyle w:val="TableText"/>
              <w:spacing w:before="91" w:line="183" w:lineRule="auto"/>
            </w:pPr>
            <w:r>
              <w:rPr>
                <w:spacing w:val="-1"/>
              </w:rPr>
              <w:t>yoy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line="232" w:lineRule="exact"/>
              <w:rPr>
                <w:sz w:val="20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91" w:line="183" w:lineRule="auto"/>
              <w:ind w:left="370"/>
            </w:pPr>
            <w:r>
              <w:rPr>
                <w:spacing w:val="-2"/>
              </w:rPr>
              <w:t>37%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91" w:line="183" w:lineRule="auto"/>
              <w:ind w:left="365"/>
            </w:pPr>
            <w:r>
              <w:rPr>
                <w:spacing w:val="-1"/>
              </w:rPr>
              <w:t>45%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1" w:line="183" w:lineRule="auto"/>
              <w:ind w:left="370"/>
            </w:pPr>
            <w:r>
              <w:rPr>
                <w:spacing w:val="-1"/>
              </w:rPr>
              <w:t>27%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1" w:line="183" w:lineRule="auto"/>
              <w:ind w:left="370"/>
            </w:pPr>
            <w:r>
              <w:rPr>
                <w:spacing w:val="-2"/>
              </w:rPr>
              <w:t>35%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91" w:line="183" w:lineRule="auto"/>
              <w:ind w:left="368"/>
            </w:pPr>
            <w:r>
              <w:rPr>
                <w:spacing w:val="-2"/>
              </w:rPr>
              <w:t>35%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91" w:line="183" w:lineRule="auto"/>
              <w:ind w:left="366"/>
            </w:pPr>
            <w:r>
              <w:rPr>
                <w:spacing w:val="-1"/>
              </w:rPr>
              <w:t>20%</w:t>
            </w:r>
          </w:p>
        </w:tc>
      </w:tr>
    </w:tbl>
    <w:p>
      <w:pPr>
        <w:pStyle w:val="BodyText"/>
        <w:spacing w:before="74" w:line="326" w:lineRule="exact"/>
        <w:ind w:firstLine="668"/>
      </w:pPr>
      <w:r>
        <w:rPr>
          <w:position w:val="-6"/>
        </w:rPr>
        <w:pict>
          <v:shape id="_x0000_i1070" type="#_x0000_t202" style="width:527.4pt;height:16.3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83" w:line="220" w:lineRule="auto"/>
                    <w:ind w:left="9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spacing w:val="-2"/>
                      <w:sz w:val="16"/>
                      <w:szCs w:val="16"/>
                    </w:rPr>
                    <w:t>全球</w:t>
                  </w:r>
                </w:p>
              </w:txbxContent>
            </v:textbox>
            <w10:wrap type="none"/>
          </v:shape>
        </w:pict>
      </w:r>
    </w:p>
    <w:tbl>
      <w:tblPr>
        <w:tblStyle w:val="TableNormal5"/>
        <w:tblW w:w="9902" w:type="dxa"/>
        <w:tblInd w:w="6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28"/>
        <w:gridCol w:w="1167"/>
        <w:gridCol w:w="1129"/>
        <w:gridCol w:w="1132"/>
        <w:gridCol w:w="1131"/>
        <w:gridCol w:w="1133"/>
        <w:gridCol w:w="1175"/>
        <w:gridCol w:w="807"/>
      </w:tblGrid>
      <w:tr>
        <w:tblPrEx>
          <w:tblW w:w="9902" w:type="dxa"/>
          <w:tblInd w:w="6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3"/>
        </w:trPr>
        <w:tc>
          <w:tcPr>
            <w:tcW w:w="2228" w:type="dxa"/>
            <w:vAlign w:val="top"/>
          </w:tcPr>
          <w:p>
            <w:pPr>
              <w:pStyle w:val="TableText"/>
              <w:spacing w:line="216" w:lineRule="auto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跟踪支架需求量（</w:t>
            </w:r>
            <w:r>
              <w:rPr>
                <w:spacing w:val="-1"/>
              </w:rPr>
              <w:t>GW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20" w:line="195" w:lineRule="auto"/>
              <w:ind w:left="406"/>
            </w:pPr>
            <w:r>
              <w:rPr>
                <w:spacing w:val="-2"/>
              </w:rPr>
              <w:t>34.9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9" w:line="195" w:lineRule="auto"/>
              <w:ind w:left="366"/>
            </w:pPr>
            <w:r>
              <w:rPr>
                <w:spacing w:val="-1"/>
              </w:rPr>
              <w:t>44.9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9" w:line="195" w:lineRule="auto"/>
              <w:ind w:left="369"/>
            </w:pPr>
            <w:r>
              <w:rPr>
                <w:spacing w:val="-2"/>
              </w:rPr>
              <w:t>56.4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9" w:line="195" w:lineRule="auto"/>
              <w:ind w:left="371"/>
            </w:pPr>
            <w:r>
              <w:rPr>
                <w:spacing w:val="-2"/>
              </w:rPr>
              <w:t>77.6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9" w:line="195" w:lineRule="auto"/>
              <w:ind w:left="381"/>
            </w:pPr>
            <w:r>
              <w:rPr>
                <w:spacing w:val="-4"/>
              </w:rPr>
              <w:t>120.0</w:t>
            </w:r>
          </w:p>
        </w:tc>
        <w:tc>
          <w:tcPr>
            <w:tcW w:w="1175" w:type="dxa"/>
            <w:vAlign w:val="top"/>
          </w:tcPr>
          <w:p>
            <w:pPr>
              <w:pStyle w:val="TableText"/>
              <w:spacing w:before="19" w:line="195" w:lineRule="auto"/>
              <w:ind w:left="379"/>
            </w:pPr>
            <w:r>
              <w:rPr>
                <w:spacing w:val="-4"/>
              </w:rPr>
              <w:t>157.0</w:t>
            </w:r>
          </w:p>
        </w:tc>
        <w:tc>
          <w:tcPr>
            <w:tcW w:w="807" w:type="dxa"/>
            <w:vAlign w:val="top"/>
          </w:tcPr>
          <w:p>
            <w:pPr>
              <w:pStyle w:val="TableText"/>
              <w:spacing w:before="19" w:line="195" w:lineRule="auto"/>
              <w:ind w:left="334"/>
            </w:pPr>
            <w:r>
              <w:rPr>
                <w:spacing w:val="-4"/>
              </w:rPr>
              <w:t>184.9</w:t>
            </w:r>
          </w:p>
        </w:tc>
      </w:tr>
    </w:tbl>
    <w:p>
      <w:pPr>
        <w:sectPr>
          <w:headerReference w:type="default" r:id="rId73"/>
          <w:footerReference w:type="default" r:id="rId74"/>
          <w:pgSz w:w="11907" w:h="16839"/>
          <w:pgMar w:top="1202" w:right="14" w:bottom="928" w:left="11" w:header="10" w:footer="21" w:gutter="0"/>
          <w:pgNumType w:start="18"/>
          <w:cols w:space="708"/>
        </w:sectPr>
      </w:pPr>
    </w:p>
    <w:tbl>
      <w:tblPr>
        <w:tblStyle w:val="TableNormal6"/>
        <w:tblW w:w="9902" w:type="dxa"/>
        <w:tblInd w:w="6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28"/>
        <w:gridCol w:w="1167"/>
        <w:gridCol w:w="1129"/>
        <w:gridCol w:w="1132"/>
        <w:gridCol w:w="1131"/>
        <w:gridCol w:w="1133"/>
        <w:gridCol w:w="1175"/>
        <w:gridCol w:w="807"/>
      </w:tblGrid>
      <w:tr>
        <w:tblPrEx>
          <w:tblW w:w="9902" w:type="dxa"/>
          <w:tblInd w:w="6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1"/>
        </w:trPr>
        <w:tc>
          <w:tcPr>
            <w:tcW w:w="2228" w:type="dxa"/>
            <w:vAlign w:val="top"/>
          </w:tcPr>
          <w:p>
            <w:pPr>
              <w:pStyle w:val="TableText"/>
              <w:spacing w:before="92" w:line="197" w:lineRule="auto"/>
            </w:pPr>
            <w:r>
              <w:rPr>
                <w:spacing w:val="-1"/>
              </w:rPr>
              <w:t>yoy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91" w:line="197" w:lineRule="auto"/>
              <w:ind w:left="368"/>
            </w:pPr>
            <w:r>
              <w:rPr>
                <w:spacing w:val="-1"/>
              </w:rPr>
              <w:t>29%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1" w:line="197" w:lineRule="auto"/>
              <w:ind w:left="367"/>
            </w:pPr>
            <w:r>
              <w:rPr>
                <w:spacing w:val="-1"/>
              </w:rPr>
              <w:t>26%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91" w:line="197" w:lineRule="auto"/>
              <w:ind w:left="371"/>
            </w:pPr>
            <w:r>
              <w:rPr>
                <w:spacing w:val="-2"/>
              </w:rPr>
              <w:t>38%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1" w:line="197" w:lineRule="auto"/>
              <w:ind w:left="370"/>
            </w:pPr>
            <w:r>
              <w:rPr>
                <w:spacing w:val="-2"/>
              </w:rPr>
              <w:t>55%</w:t>
            </w:r>
          </w:p>
        </w:tc>
        <w:tc>
          <w:tcPr>
            <w:tcW w:w="1175" w:type="dxa"/>
            <w:vAlign w:val="top"/>
          </w:tcPr>
          <w:p>
            <w:pPr>
              <w:pStyle w:val="TableText"/>
              <w:spacing w:before="91" w:line="197" w:lineRule="auto"/>
              <w:ind w:left="368"/>
            </w:pPr>
            <w:r>
              <w:rPr>
                <w:spacing w:val="-2"/>
              </w:rPr>
              <w:t>31%</w:t>
            </w:r>
          </w:p>
        </w:tc>
        <w:tc>
          <w:tcPr>
            <w:tcW w:w="807" w:type="dxa"/>
            <w:vAlign w:val="top"/>
          </w:tcPr>
          <w:p>
            <w:pPr>
              <w:pStyle w:val="TableText"/>
              <w:spacing w:before="91" w:line="197" w:lineRule="auto"/>
              <w:ind w:left="334"/>
            </w:pPr>
            <w:r>
              <w:rPr>
                <w:spacing w:val="-4"/>
              </w:rPr>
              <w:t>18%</w:t>
            </w:r>
          </w:p>
        </w:tc>
      </w:tr>
      <w:tr>
        <w:tblPrEx>
          <w:tblW w:w="9902" w:type="dxa"/>
          <w:tblInd w:w="670" w:type="dxa"/>
          <w:tblLayout w:type="fixed"/>
        </w:tblPrEx>
        <w:trPr>
          <w:trHeight w:val="331"/>
        </w:trPr>
        <w:tc>
          <w:tcPr>
            <w:tcW w:w="2228" w:type="dxa"/>
            <w:vAlign w:val="top"/>
          </w:tcPr>
          <w:p>
            <w:pPr>
              <w:spacing w:before="78" w:line="218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跟踪支架市场规模（亿元）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8" w:line="195" w:lineRule="auto"/>
              <w:ind w:left="404"/>
            </w:pPr>
            <w:r>
              <w:rPr>
                <w:spacing w:val="-1"/>
              </w:rPr>
              <w:t>264.2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98" w:line="195" w:lineRule="auto"/>
              <w:ind w:left="370"/>
            </w:pPr>
            <w:r>
              <w:rPr>
                <w:spacing w:val="-2"/>
              </w:rPr>
              <w:t>340.5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8" w:line="195" w:lineRule="auto"/>
              <w:ind w:left="365"/>
            </w:pPr>
            <w:r>
              <w:rPr>
                <w:spacing w:val="-1"/>
              </w:rPr>
              <w:t>457.2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98" w:line="195" w:lineRule="auto"/>
              <w:ind w:left="371"/>
            </w:pPr>
            <w:r>
              <w:rPr>
                <w:spacing w:val="-2"/>
              </w:rPr>
              <w:t>568.5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95" w:lineRule="auto"/>
              <w:ind w:left="370"/>
            </w:pPr>
            <w:r>
              <w:rPr>
                <w:spacing w:val="-2"/>
              </w:rPr>
              <w:t>847.9</w:t>
            </w:r>
          </w:p>
        </w:tc>
        <w:tc>
          <w:tcPr>
            <w:tcW w:w="1175" w:type="dxa"/>
            <w:vAlign w:val="top"/>
          </w:tcPr>
          <w:p>
            <w:pPr>
              <w:pStyle w:val="TableText"/>
              <w:spacing w:before="98" w:line="195" w:lineRule="auto"/>
              <w:ind w:left="379"/>
            </w:pPr>
            <w:r>
              <w:rPr>
                <w:spacing w:val="-5"/>
              </w:rPr>
              <w:t>1107.0</w:t>
            </w:r>
          </w:p>
        </w:tc>
        <w:tc>
          <w:tcPr>
            <w:tcW w:w="807" w:type="dxa"/>
            <w:vAlign w:val="top"/>
          </w:tcPr>
          <w:p>
            <w:pPr>
              <w:pStyle w:val="TableText"/>
              <w:spacing w:before="98" w:line="195" w:lineRule="auto"/>
              <w:jc w:val="right"/>
            </w:pPr>
            <w:r>
              <w:rPr>
                <w:spacing w:val="-3"/>
              </w:rPr>
              <w:t>1285.0</w:t>
            </w:r>
          </w:p>
        </w:tc>
      </w:tr>
      <w:tr>
        <w:tblPrEx>
          <w:tblW w:w="9902" w:type="dxa"/>
          <w:tblInd w:w="670" w:type="dxa"/>
          <w:tblLayout w:type="fixed"/>
        </w:tblPrEx>
        <w:trPr>
          <w:trHeight w:val="243"/>
        </w:trPr>
        <w:tc>
          <w:tcPr>
            <w:tcW w:w="2228" w:type="dxa"/>
            <w:vAlign w:val="top"/>
          </w:tcPr>
          <w:p>
            <w:pPr>
              <w:pStyle w:val="TableText"/>
              <w:spacing w:before="92" w:line="183" w:lineRule="auto"/>
            </w:pPr>
            <w:r>
              <w:rPr>
                <w:spacing w:val="-1"/>
              </w:rPr>
              <w:t>yoy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line="232" w:lineRule="exact"/>
              <w:rPr>
                <w:sz w:val="20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92" w:line="183" w:lineRule="auto"/>
              <w:ind w:left="368"/>
            </w:pPr>
            <w:r>
              <w:rPr>
                <w:spacing w:val="-1"/>
              </w:rPr>
              <w:t>29%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2" w:line="183" w:lineRule="auto"/>
              <w:ind w:left="369"/>
            </w:pPr>
            <w:r>
              <w:rPr>
                <w:spacing w:val="-2"/>
              </w:rPr>
              <w:t>34%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92" w:line="183" w:lineRule="auto"/>
              <w:ind w:left="369"/>
            </w:pPr>
            <w:r>
              <w:rPr>
                <w:spacing w:val="-1"/>
              </w:rPr>
              <w:t>24%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2" w:line="183" w:lineRule="auto"/>
              <w:ind w:left="365"/>
            </w:pPr>
            <w:r>
              <w:rPr>
                <w:spacing w:val="-1"/>
              </w:rPr>
              <w:t>49%</w:t>
            </w:r>
          </w:p>
        </w:tc>
        <w:tc>
          <w:tcPr>
            <w:tcW w:w="1175" w:type="dxa"/>
            <w:vAlign w:val="top"/>
          </w:tcPr>
          <w:p>
            <w:pPr>
              <w:pStyle w:val="TableText"/>
              <w:spacing w:before="92" w:line="183" w:lineRule="auto"/>
              <w:ind w:left="368"/>
            </w:pPr>
            <w:r>
              <w:rPr>
                <w:spacing w:val="-2"/>
              </w:rPr>
              <w:t>31%</w:t>
            </w:r>
          </w:p>
        </w:tc>
        <w:tc>
          <w:tcPr>
            <w:tcW w:w="807" w:type="dxa"/>
            <w:vAlign w:val="top"/>
          </w:tcPr>
          <w:p>
            <w:pPr>
              <w:pStyle w:val="TableText"/>
              <w:spacing w:before="92" w:line="183" w:lineRule="auto"/>
              <w:ind w:left="334"/>
            </w:pPr>
            <w:r>
              <w:rPr>
                <w:spacing w:val="-4"/>
              </w:rPr>
              <w:t>16%</w:t>
            </w:r>
          </w:p>
        </w:tc>
      </w:tr>
    </w:tbl>
    <w:p>
      <w:pPr>
        <w:pStyle w:val="BodyText"/>
        <w:spacing w:before="170" w:line="214" w:lineRule="auto"/>
        <w:ind w:left="680"/>
        <w:rPr>
          <w:sz w:val="15"/>
          <w:szCs w:val="15"/>
        </w:rPr>
      </w:pPr>
      <w:r>
        <w:rPr>
          <w:spacing w:val="-3"/>
          <w:sz w:val="15"/>
          <w:szCs w:val="15"/>
        </w:rPr>
        <w:t>资料来源：</w:t>
      </w:r>
      <w:r>
        <w:rPr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spacing w:val="-3"/>
          <w:sz w:val="15"/>
          <w:szCs w:val="15"/>
        </w:rPr>
        <w:t>SEIA</w:t>
      </w:r>
      <w:r>
        <w:rPr>
          <w:spacing w:val="-3"/>
          <w:sz w:val="15"/>
          <w:szCs w:val="15"/>
        </w:rPr>
        <w:t>，</w:t>
      </w:r>
      <w:r>
        <w:rPr>
          <w:rFonts w:ascii="Arial" w:eastAsia="Arial" w:hAnsi="Arial" w:cs="Arial"/>
          <w:spacing w:val="-3"/>
          <w:sz w:val="15"/>
          <w:szCs w:val="15"/>
        </w:rPr>
        <w:t>CPIA</w:t>
      </w:r>
      <w:r>
        <w:rPr>
          <w:spacing w:val="-3"/>
          <w:sz w:val="15"/>
          <w:szCs w:val="15"/>
        </w:rPr>
        <w:t>，西部证券研发中心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226" w:lineRule="auto"/>
        <w:ind w:left="3079"/>
        <w:rPr>
          <w:sz w:val="24"/>
          <w:szCs w:val="24"/>
        </w:rPr>
      </w:pPr>
      <w:r>
        <w:rPr>
          <w:color w:val="C30F1B"/>
          <w:spacing w:val="-2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建议关注</w:t>
      </w:r>
    </w:p>
    <w:p>
      <w:pPr>
        <w:pStyle w:val="BodyText"/>
        <w:spacing w:before="212" w:line="213" w:lineRule="auto"/>
        <w:ind w:left="3101"/>
      </w:pPr>
      <w:r>
        <w:rPr>
          <w:color w:val="C30F1B"/>
          <w:spacing w:val="-1"/>
          <w14:textOutline w14:w="3831">
            <w14:solidFill>
              <w14:srgbClr w14:val="C30F1B"/>
            </w14:solidFill>
            <w14:prstDash w14:val="solid"/>
            <w14:miter w14:lim="10"/>
          </w14:textOutline>
        </w:rPr>
        <w:t>中信博：受益于亚洲市场，沙特订单带来利润弹性</w:t>
      </w:r>
    </w:p>
    <w:p>
      <w:pPr>
        <w:pStyle w:val="BodyText"/>
        <w:spacing w:before="247" w:line="263" w:lineRule="auto"/>
        <w:ind w:left="3079" w:right="662" w:firstLine="2"/>
        <w:jc w:val="both"/>
      </w:pP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订单不断突破，</w:t>
      </w:r>
      <w:r>
        <w:rPr>
          <w:spacing w:val="52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亚太市场为主要基础。</w:t>
      </w:r>
      <w:r>
        <w:rPr>
          <w:spacing w:val="25"/>
        </w:rPr>
        <w:t xml:space="preserve"> </w:t>
      </w:r>
      <w:r>
        <w:rPr>
          <w:rFonts w:ascii="Arial" w:eastAsia="Arial" w:hAnsi="Arial" w:cs="Arial"/>
          <w:spacing w:val="-9"/>
        </w:rPr>
        <w:t xml:space="preserve">22 </w:t>
      </w:r>
      <w:r>
        <w:rPr>
          <w:spacing w:val="-9"/>
        </w:rPr>
        <w:t>年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9"/>
        </w:rPr>
        <w:t>11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spacing w:val="-9"/>
        </w:rPr>
        <w:t>月以来中信</w:t>
      </w:r>
      <w:r>
        <w:rPr>
          <w:spacing w:val="-10"/>
        </w:rPr>
        <w:t>博在印度、中东、中亚和拉美</w:t>
      </w:r>
      <w:r>
        <w:t xml:space="preserve"> </w:t>
      </w:r>
      <w:r>
        <w:rPr>
          <w:spacing w:val="-1"/>
        </w:rPr>
        <w:t>市场分别获得</w:t>
      </w:r>
      <w:r>
        <w:rPr>
          <w:spacing w:val="-45"/>
        </w:rPr>
        <w:t xml:space="preserve"> </w:t>
      </w:r>
      <w:r>
        <w:rPr>
          <w:rFonts w:ascii="Arial" w:eastAsia="Arial" w:hAnsi="Arial" w:cs="Arial"/>
          <w:spacing w:val="-1"/>
        </w:rPr>
        <w:t>3.7</w:t>
      </w:r>
      <w:r>
        <w:rPr>
          <w:spacing w:val="-1"/>
        </w:rPr>
        <w:t>、</w:t>
      </w:r>
      <w:r>
        <w:rPr>
          <w:rFonts w:ascii="Arial" w:eastAsia="Arial" w:hAnsi="Arial" w:cs="Arial"/>
          <w:spacing w:val="-1"/>
        </w:rPr>
        <w:t>3.6</w:t>
      </w:r>
      <w:r>
        <w:rPr>
          <w:spacing w:val="-1"/>
        </w:rPr>
        <w:t>、</w:t>
      </w:r>
      <w:r>
        <w:rPr>
          <w:rFonts w:ascii="Arial" w:eastAsia="Arial" w:hAnsi="Arial" w:cs="Arial"/>
          <w:spacing w:val="-1"/>
        </w:rPr>
        <w:t xml:space="preserve">1.9 </w:t>
      </w:r>
      <w:r>
        <w:rPr>
          <w:spacing w:val="-1"/>
        </w:rPr>
        <w:t>和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1"/>
        </w:rPr>
        <w:t xml:space="preserve">1.1GW </w:t>
      </w:r>
      <w:r>
        <w:rPr>
          <w:spacing w:val="-1"/>
        </w:rPr>
        <w:t>跟踪支</w:t>
      </w:r>
      <w:r>
        <w:rPr>
          <w:spacing w:val="-2"/>
        </w:rPr>
        <w:t>架订单，再加欧洲市场合计获得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2"/>
        </w:rPr>
        <w:t>10.58GW</w:t>
      </w:r>
      <w:r>
        <w:rPr>
          <w:rFonts w:ascii="Arial" w:eastAsia="Arial" w:hAnsi="Arial" w:cs="Arial"/>
        </w:rPr>
        <w:t xml:space="preserve"> </w:t>
      </w:r>
      <w:r>
        <w:rPr>
          <w:spacing w:val="-4"/>
        </w:rPr>
        <w:t>订单。</w:t>
      </w:r>
      <w:r>
        <w:rPr>
          <w:spacing w:val="-43"/>
        </w:rPr>
        <w:t xml:space="preserve"> </w:t>
      </w:r>
      <w:r>
        <w:rPr>
          <w:spacing w:val="-4"/>
        </w:rPr>
        <w:t>目前多个订单已经进入交付期。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2" w:line="226" w:lineRule="auto"/>
        <w:ind w:left="3071"/>
        <w:rPr>
          <w:sz w:val="19"/>
          <w:szCs w:val="19"/>
        </w:rPr>
      </w:pPr>
      <w:r>
        <w:rPr>
          <w:color w:val="0D0D0D"/>
          <w:spacing w:val="5"/>
          <w:sz w:val="19"/>
          <w:szCs w:val="19"/>
        </w:rPr>
        <w:t>表</w:t>
      </w:r>
      <w:r>
        <w:rPr>
          <w:color w:val="0D0D0D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5"/>
          <w:sz w:val="19"/>
          <w:szCs w:val="19"/>
        </w:rPr>
        <w:t>3</w:t>
      </w:r>
      <w:r>
        <w:rPr>
          <w:color w:val="0D0D0D"/>
          <w:spacing w:val="5"/>
          <w:sz w:val="19"/>
          <w:szCs w:val="19"/>
        </w:rPr>
        <w:t>：</w:t>
      </w:r>
      <w:r>
        <w:rPr>
          <w:rFonts w:ascii="Arial" w:eastAsia="Arial" w:hAnsi="Arial" w:cs="Arial"/>
          <w:color w:val="0D0D0D"/>
          <w:spacing w:val="5"/>
          <w:sz w:val="19"/>
          <w:szCs w:val="19"/>
        </w:rPr>
        <w:t xml:space="preserve">2022 </w:t>
      </w:r>
      <w:r>
        <w:rPr>
          <w:color w:val="0D0D0D"/>
          <w:spacing w:val="5"/>
          <w:sz w:val="19"/>
          <w:szCs w:val="19"/>
        </w:rPr>
        <w:t>年</w:t>
      </w:r>
      <w:r>
        <w:rPr>
          <w:color w:val="0D0D0D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5"/>
          <w:sz w:val="19"/>
          <w:szCs w:val="19"/>
        </w:rPr>
        <w:t xml:space="preserve">11 </w:t>
      </w:r>
      <w:r>
        <w:rPr>
          <w:color w:val="0D0D0D"/>
          <w:spacing w:val="5"/>
          <w:sz w:val="19"/>
          <w:szCs w:val="19"/>
        </w:rPr>
        <w:t>月以来中信博订单不断突破</w:t>
      </w:r>
    </w:p>
    <w:p>
      <w:pPr>
        <w:pStyle w:val="BodyText"/>
        <w:spacing w:before="115" w:line="218" w:lineRule="auto"/>
        <w:ind w:left="7018"/>
        <w:rPr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column">
                  <wp:posOffset>1954656</wp:posOffset>
                </wp:positionH>
                <wp:positionV relativeFrom="paragraph">
                  <wp:posOffset>20828</wp:posOffset>
                </wp:positionV>
                <wp:extent cx="5204459" cy="207645"/>
                <wp:effectExtent l="0" t="0" r="0" b="0"/>
                <wp:wrapNone/>
                <wp:docPr id="86" name="Rect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954656" y="20828"/>
                          <a:ext cx="5204459" cy="207645"/>
                        </a:xfrm>
                        <a:prstGeom prst="rect">
                          <a:avLst/>
                        </a:prstGeom>
                        <a:solidFill>
                          <a:srgbClr val="C30F1B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6" o:spid="_x0000_s1071" style="width:409.8pt;height:16.35pt;margin-top:1.64pt;margin-left:153.91pt;mso-wrap-distance-bottom:0;mso-wrap-distance-left:0;mso-wrap-distance-right:0;mso-wrap-distance-top:0;position:absolute;v-text-anchor:top;z-index:-251633664" fillcolor="#c30f1b" stroked="f"/>
            </w:pict>
          </mc:Fallback>
        </mc:AlternateContent>
      </w:r>
      <w:r>
        <w:pict>
          <v:shape id="_x0000_s1072" type="#_x0000_t202" style="width:25.75pt;height:11.9pt;margin-top:4.77pt;margin-left:213.08pt;position:absolute;z-index:2516858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8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FFFFFF"/>
                      <w:spacing w:val="-2"/>
                      <w:sz w:val="16"/>
                      <w:szCs w:val="16"/>
                      <w14:textOutline w14:w="2917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项目地</w:t>
                  </w:r>
                </w:p>
              </w:txbxContent>
            </v:textbox>
          </v:shape>
        </w:pict>
      </w:r>
      <w:r>
        <w:pict>
          <v:shape id="_x0000_s1073" type="#_x0000_t202" style="width:33.85pt;height:11.55pt;margin-top:4.77pt;margin-left:494.02pt;position:absolute;z-index:2516848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0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FFFFFF"/>
                      <w:spacing w:val="-1"/>
                      <w:sz w:val="16"/>
                      <w:szCs w:val="16"/>
                      <w14:textOutline w14:w="2917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签订时间</w:t>
                  </w:r>
                </w:p>
              </w:txbxContent>
            </v:textbox>
          </v:shape>
        </w:pict>
      </w:r>
      <w:r>
        <w:rPr>
          <w:color w:val="FFFFFF"/>
          <w:spacing w:val="-2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订单量（</w:t>
      </w:r>
      <w:r>
        <w:rPr>
          <w:rFonts w:ascii="Arial" w:eastAsia="Arial" w:hAnsi="Arial" w:cs="Arial"/>
          <w:b/>
          <w:bCs/>
          <w:color w:val="FFFFFF"/>
          <w:spacing w:val="-2"/>
          <w:sz w:val="16"/>
          <w:szCs w:val="16"/>
        </w:rPr>
        <w:t>MW</w:t>
      </w:r>
      <w:r>
        <w:rPr>
          <w:color w:val="FFFFFF"/>
          <w:spacing w:val="-2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）</w:t>
      </w:r>
    </w:p>
    <w:p>
      <w:pPr>
        <w:spacing w:line="218" w:lineRule="auto"/>
        <w:rPr>
          <w:sz w:val="16"/>
          <w:szCs w:val="16"/>
        </w:rPr>
        <w:sectPr>
          <w:headerReference w:type="default" r:id="rId75"/>
          <w:footerReference w:type="default" r:id="rId76"/>
          <w:type w:val="nextPage"/>
          <w:pgSz w:w="11907" w:h="16839"/>
          <w:pgMar w:top="1202" w:right="14" w:bottom="928" w:left="11" w:header="10" w:footer="21" w:gutter="0"/>
          <w:pgNumType w:start="19"/>
          <w:cols w:space="708"/>
          <w:titlePg w:val="0"/>
        </w:sectPr>
      </w:pPr>
    </w:p>
    <w:p>
      <w:pPr>
        <w:spacing w:line="220" w:lineRule="exact"/>
      </w:pPr>
    </w:p>
    <w:tbl>
      <w:tblPr>
        <w:tblStyle w:val="TableNormal7"/>
        <w:tblW w:w="8195" w:type="dxa"/>
        <w:tblInd w:w="307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78"/>
        <w:gridCol w:w="3222"/>
        <w:gridCol w:w="2695"/>
      </w:tblGrid>
      <w:tr>
        <w:tblPrEx>
          <w:tblW w:w="8195" w:type="dxa"/>
          <w:tblInd w:w="307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68"/>
        </w:trPr>
        <w:tc>
          <w:tcPr>
            <w:tcW w:w="2278" w:type="dxa"/>
            <w:shd w:val="clear" w:color="auto" w:fill="C30F1B"/>
            <w:vAlign w:val="top"/>
          </w:tcPr>
          <w:p>
            <w:pPr>
              <w:spacing w:before="83" w:line="228" w:lineRule="auto"/>
              <w:ind w:left="120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16"/>
                <w:szCs w:val="16"/>
                <w14:textOutline w14:w="291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项目地</w:t>
            </w:r>
          </w:p>
        </w:tc>
        <w:tc>
          <w:tcPr>
            <w:tcW w:w="3222" w:type="dxa"/>
            <w:shd w:val="clear" w:color="auto" w:fill="C30F1B"/>
            <w:vAlign w:val="top"/>
          </w:tcPr>
          <w:p>
            <w:pPr>
              <w:pStyle w:val="TableText"/>
              <w:spacing w:before="82" w:line="218" w:lineRule="auto"/>
              <w:ind w:left="1661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14:textOutline w14:w="291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订单量（</w:t>
            </w:r>
            <w:r>
              <w:rPr>
                <w:b/>
                <w:bCs/>
                <w:color w:val="FFFFFF"/>
                <w:spacing w:val="-2"/>
              </w:rPr>
              <w:t>MW</w:t>
            </w:r>
            <w:r>
              <w:rPr>
                <w:rFonts w:ascii="KaiTi" w:eastAsia="KaiTi" w:hAnsi="KaiTi" w:cs="KaiTi"/>
                <w:color w:val="FFFFFF"/>
                <w:spacing w:val="-2"/>
                <w14:textOutline w14:w="291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2695" w:type="dxa"/>
            <w:shd w:val="clear" w:color="auto" w:fill="C30F1B"/>
            <w:vAlign w:val="top"/>
          </w:tcPr>
          <w:p>
            <w:pPr>
              <w:spacing w:before="82" w:line="220" w:lineRule="auto"/>
              <w:ind w:left="132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16"/>
                <w:szCs w:val="16"/>
                <w14:textOutline w14:w="291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签订时间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285"/>
        </w:trPr>
        <w:tc>
          <w:tcPr>
            <w:tcW w:w="2278" w:type="dxa"/>
            <w:vAlign w:val="top"/>
          </w:tcPr>
          <w:p>
            <w:pPr>
              <w:spacing w:before="41" w:line="217" w:lineRule="auto"/>
              <w:ind w:left="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智利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61" w:line="195" w:lineRule="auto"/>
              <w:ind w:left="602"/>
            </w:pPr>
            <w:r>
              <w:rPr>
                <w:spacing w:val="-2"/>
              </w:rPr>
              <w:t>257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61" w:line="195" w:lineRule="auto"/>
              <w:ind w:left="580"/>
            </w:pPr>
            <w:r>
              <w:rPr>
                <w:spacing w:val="-1"/>
              </w:rPr>
              <w:t>2022.4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5"/>
        </w:trPr>
        <w:tc>
          <w:tcPr>
            <w:tcW w:w="2278" w:type="dxa"/>
            <w:vAlign w:val="top"/>
          </w:tcPr>
          <w:p>
            <w:pPr>
              <w:spacing w:before="83" w:line="231" w:lineRule="auto"/>
              <w:ind w:left="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7"/>
                <w:sz w:val="16"/>
                <w:szCs w:val="16"/>
              </w:rPr>
              <w:t>巴西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2" w:line="195" w:lineRule="auto"/>
              <w:ind w:left="615"/>
            </w:pPr>
            <w:r>
              <w:rPr>
                <w:spacing w:val="-4"/>
              </w:rPr>
              <w:t>168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1" w:line="197" w:lineRule="auto"/>
              <w:ind w:left="580"/>
            </w:pPr>
            <w:r>
              <w:rPr>
                <w:spacing w:val="-1"/>
              </w:rPr>
              <w:t>2022/7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5"/>
        </w:trPr>
        <w:tc>
          <w:tcPr>
            <w:tcW w:w="2278" w:type="dxa"/>
            <w:vAlign w:val="top"/>
          </w:tcPr>
          <w:p>
            <w:pPr>
              <w:spacing w:before="82" w:line="231" w:lineRule="auto"/>
              <w:ind w:left="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7"/>
                <w:sz w:val="16"/>
                <w:szCs w:val="16"/>
              </w:rPr>
              <w:t>巴西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1" w:line="195" w:lineRule="auto"/>
              <w:ind w:left="604"/>
            </w:pPr>
            <w:r>
              <w:rPr>
                <w:spacing w:val="-2"/>
              </w:rPr>
              <w:t>300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0" w:line="197" w:lineRule="auto"/>
              <w:ind w:left="580"/>
            </w:pPr>
            <w:r>
              <w:rPr>
                <w:spacing w:val="-1"/>
              </w:rPr>
              <w:t>2022/7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6"/>
        </w:trPr>
        <w:tc>
          <w:tcPr>
            <w:tcW w:w="2278" w:type="dxa"/>
            <w:vAlign w:val="top"/>
          </w:tcPr>
          <w:p>
            <w:pPr>
              <w:spacing w:before="83" w:line="215" w:lineRule="auto"/>
              <w:ind w:left="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印度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3" w:line="195" w:lineRule="auto"/>
              <w:ind w:left="602"/>
            </w:pPr>
            <w:r>
              <w:rPr>
                <w:spacing w:val="-2"/>
              </w:rPr>
              <w:t>261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1" w:line="197" w:lineRule="auto"/>
              <w:ind w:left="580"/>
            </w:pPr>
            <w:r>
              <w:rPr>
                <w:spacing w:val="-1"/>
              </w:rPr>
              <w:t>2022/9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6"/>
        </w:trPr>
        <w:tc>
          <w:tcPr>
            <w:tcW w:w="2278" w:type="dxa"/>
            <w:vAlign w:val="top"/>
          </w:tcPr>
          <w:p>
            <w:pPr>
              <w:spacing w:before="83" w:line="224" w:lineRule="auto"/>
              <w:ind w:left="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阿根廷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3" w:line="195" w:lineRule="auto"/>
              <w:ind w:left="604"/>
            </w:pPr>
            <w:r>
              <w:rPr>
                <w:spacing w:val="-2"/>
              </w:rPr>
              <w:t>36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2022/11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7"/>
        </w:trPr>
        <w:tc>
          <w:tcPr>
            <w:tcW w:w="2278" w:type="dxa"/>
            <w:vAlign w:val="top"/>
          </w:tcPr>
          <w:p>
            <w:pPr>
              <w:spacing w:before="83" w:line="215" w:lineRule="auto"/>
              <w:ind w:left="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印度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4" w:line="195" w:lineRule="auto"/>
              <w:ind w:left="602"/>
            </w:pPr>
            <w:r>
              <w:rPr>
                <w:spacing w:val="-1"/>
              </w:rPr>
              <w:t>2800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2022/12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6"/>
        </w:trPr>
        <w:tc>
          <w:tcPr>
            <w:tcW w:w="2278" w:type="dxa"/>
            <w:vAlign w:val="top"/>
          </w:tcPr>
          <w:p>
            <w:pPr>
              <w:spacing w:before="83" w:line="224" w:lineRule="auto"/>
              <w:ind w:left="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立陶宛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3" w:line="195" w:lineRule="auto"/>
              <w:ind w:left="605"/>
            </w:pPr>
            <w:r>
              <w:rPr>
                <w:spacing w:val="-2"/>
              </w:rPr>
              <w:t>79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2023/2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5"/>
        </w:trPr>
        <w:tc>
          <w:tcPr>
            <w:tcW w:w="2278" w:type="dxa"/>
            <w:vAlign w:val="top"/>
          </w:tcPr>
          <w:p>
            <w:pPr>
              <w:spacing w:before="83" w:line="218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墨西哥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3" w:line="195" w:lineRule="auto"/>
              <w:ind w:left="604"/>
            </w:pPr>
            <w:r>
              <w:rPr>
                <w:spacing w:val="-2"/>
              </w:rPr>
              <w:t>366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2023/4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5"/>
        </w:trPr>
        <w:tc>
          <w:tcPr>
            <w:tcW w:w="2278" w:type="dxa"/>
            <w:vAlign w:val="top"/>
          </w:tcPr>
          <w:p>
            <w:pPr>
              <w:spacing w:before="83" w:line="221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沙特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2" w:line="195" w:lineRule="auto"/>
              <w:ind w:left="615"/>
            </w:pPr>
            <w:r>
              <w:rPr>
                <w:spacing w:val="-4"/>
              </w:rPr>
              <w:t>1500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1" w:line="197" w:lineRule="auto"/>
              <w:ind w:left="580"/>
            </w:pPr>
            <w:r>
              <w:rPr>
                <w:spacing w:val="-1"/>
              </w:rPr>
              <w:t>2023/4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6"/>
        </w:trPr>
        <w:tc>
          <w:tcPr>
            <w:tcW w:w="2278" w:type="dxa"/>
            <w:vAlign w:val="top"/>
          </w:tcPr>
          <w:p>
            <w:pPr>
              <w:spacing w:before="84" w:line="222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罗马尼亚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4" w:line="195" w:lineRule="auto"/>
              <w:ind w:left="604"/>
            </w:pPr>
            <w:r>
              <w:rPr>
                <w:spacing w:val="-2"/>
              </w:rPr>
              <w:t>92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2023/4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7"/>
        </w:trPr>
        <w:tc>
          <w:tcPr>
            <w:tcW w:w="2278" w:type="dxa"/>
            <w:vAlign w:val="top"/>
          </w:tcPr>
          <w:p>
            <w:pPr>
              <w:spacing w:before="84" w:line="218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乌兹别克斯坦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4" w:line="195" w:lineRule="auto"/>
              <w:ind w:left="604"/>
            </w:pPr>
            <w:r>
              <w:rPr>
                <w:spacing w:val="-2"/>
              </w:rPr>
              <w:t>500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3" w:line="197" w:lineRule="auto"/>
              <w:ind w:left="580"/>
            </w:pPr>
            <w:r>
              <w:rPr>
                <w:spacing w:val="-1"/>
              </w:rPr>
              <w:t>2023/5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7"/>
        </w:trPr>
        <w:tc>
          <w:tcPr>
            <w:tcW w:w="2278" w:type="dxa"/>
            <w:vAlign w:val="top"/>
          </w:tcPr>
          <w:p>
            <w:pPr>
              <w:spacing w:before="84" w:line="215" w:lineRule="auto"/>
              <w:ind w:left="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印度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4" w:line="195" w:lineRule="auto"/>
              <w:ind w:left="599"/>
            </w:pPr>
            <w:r>
              <w:rPr>
                <w:spacing w:val="-1"/>
              </w:rPr>
              <w:t>420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3" w:line="197" w:lineRule="auto"/>
              <w:ind w:left="580"/>
            </w:pPr>
            <w:r>
              <w:rPr>
                <w:spacing w:val="-1"/>
              </w:rPr>
              <w:t>2023/5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7"/>
        </w:trPr>
        <w:tc>
          <w:tcPr>
            <w:tcW w:w="2278" w:type="dxa"/>
            <w:vAlign w:val="top"/>
          </w:tcPr>
          <w:p>
            <w:pPr>
              <w:spacing w:before="83" w:line="215" w:lineRule="auto"/>
              <w:ind w:left="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印度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4" w:line="195" w:lineRule="auto"/>
              <w:ind w:left="602"/>
            </w:pPr>
            <w:r>
              <w:rPr>
                <w:spacing w:val="-2"/>
              </w:rPr>
              <w:t>242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2023/6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5"/>
        </w:trPr>
        <w:tc>
          <w:tcPr>
            <w:tcW w:w="2278" w:type="dxa"/>
            <w:vAlign w:val="top"/>
          </w:tcPr>
          <w:p>
            <w:pPr>
              <w:spacing w:before="83" w:line="221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沙特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3" w:line="195" w:lineRule="auto"/>
              <w:ind w:left="615"/>
            </w:pPr>
            <w:r>
              <w:rPr>
                <w:spacing w:val="-4"/>
              </w:rPr>
              <w:t>1500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2023/8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5"/>
        </w:trPr>
        <w:tc>
          <w:tcPr>
            <w:tcW w:w="2278" w:type="dxa"/>
            <w:vAlign w:val="top"/>
          </w:tcPr>
          <w:p>
            <w:pPr>
              <w:spacing w:before="82" w:line="226" w:lineRule="auto"/>
              <w:ind w:left="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阿曼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2" w:line="195" w:lineRule="auto"/>
              <w:ind w:left="604"/>
            </w:pPr>
            <w:r>
              <w:rPr>
                <w:spacing w:val="-2"/>
              </w:rPr>
              <w:t>580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1" w:line="197" w:lineRule="auto"/>
              <w:ind w:left="580"/>
            </w:pPr>
            <w:r>
              <w:rPr>
                <w:spacing w:val="-1"/>
              </w:rPr>
              <w:t>2023/8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7"/>
        </w:trPr>
        <w:tc>
          <w:tcPr>
            <w:tcW w:w="2278" w:type="dxa"/>
            <w:vAlign w:val="top"/>
          </w:tcPr>
          <w:p>
            <w:pPr>
              <w:spacing w:before="83" w:line="218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乌兹别克斯坦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3" w:line="195" w:lineRule="auto"/>
              <w:ind w:left="615"/>
            </w:pPr>
            <w:r>
              <w:rPr>
                <w:spacing w:val="-4"/>
              </w:rPr>
              <w:t>1200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97" w:lineRule="auto"/>
              <w:ind w:left="580"/>
            </w:pPr>
            <w:r>
              <w:rPr>
                <w:spacing w:val="-1"/>
              </w:rPr>
              <w:t>2023/8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326"/>
        </w:trPr>
        <w:tc>
          <w:tcPr>
            <w:tcW w:w="2278" w:type="dxa"/>
            <w:vAlign w:val="top"/>
          </w:tcPr>
          <w:p>
            <w:pPr>
              <w:spacing w:before="83" w:line="218" w:lineRule="auto"/>
              <w:ind w:left="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塔什干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3" w:line="195" w:lineRule="auto"/>
              <w:ind w:left="602"/>
            </w:pPr>
            <w:r>
              <w:rPr>
                <w:spacing w:val="-2"/>
              </w:rPr>
              <w:t>240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1" w:line="197" w:lineRule="auto"/>
              <w:ind w:left="580"/>
            </w:pPr>
            <w:r>
              <w:rPr>
                <w:spacing w:val="-1"/>
              </w:rPr>
              <w:t>2023/9</w:t>
            </w:r>
          </w:p>
        </w:tc>
      </w:tr>
      <w:tr>
        <w:tblPrEx>
          <w:tblW w:w="8195" w:type="dxa"/>
          <w:tblInd w:w="3078" w:type="dxa"/>
          <w:tblLayout w:type="fixed"/>
        </w:tblPrEx>
        <w:trPr>
          <w:trHeight w:val="244"/>
        </w:trPr>
        <w:tc>
          <w:tcPr>
            <w:tcW w:w="2278" w:type="dxa"/>
            <w:vAlign w:val="top"/>
          </w:tcPr>
          <w:p>
            <w:pPr>
              <w:spacing w:before="84" w:line="173" w:lineRule="auto"/>
              <w:ind w:left="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意大利</w:t>
            </w:r>
          </w:p>
        </w:tc>
        <w:tc>
          <w:tcPr>
            <w:tcW w:w="3222" w:type="dxa"/>
            <w:vAlign w:val="top"/>
          </w:tcPr>
          <w:p>
            <w:pPr>
              <w:pStyle w:val="TableText"/>
              <w:spacing w:before="104" w:line="169" w:lineRule="auto"/>
              <w:ind w:left="599"/>
            </w:pPr>
            <w:r>
              <w:rPr>
                <w:spacing w:val="-1"/>
              </w:rPr>
              <w:t>45</w:t>
            </w:r>
          </w:p>
        </w:tc>
        <w:tc>
          <w:tcPr>
            <w:tcW w:w="2695" w:type="dxa"/>
            <w:vAlign w:val="top"/>
          </w:tcPr>
          <w:p>
            <w:pPr>
              <w:pStyle w:val="TableText"/>
              <w:spacing w:before="102" w:line="172" w:lineRule="auto"/>
              <w:ind w:left="580"/>
            </w:pPr>
            <w:r>
              <w:rPr>
                <w:spacing w:val="-1"/>
              </w:rPr>
              <w:t>2023/12</w:t>
            </w:r>
          </w:p>
        </w:tc>
      </w:tr>
    </w:tbl>
    <w:tbl>
      <w:tblPr>
        <w:tblStyle w:val="TableNormal7"/>
        <w:tblW w:w="8209" w:type="dxa"/>
        <w:tblInd w:w="30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209"/>
      </w:tblGrid>
      <w:tr>
        <w:tblPrEx>
          <w:tblW w:w="8209" w:type="dxa"/>
          <w:tblInd w:w="30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48"/>
        </w:trPr>
        <w:tc>
          <w:tcPr>
            <w:tcW w:w="820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0" w:line="214" w:lineRule="auto"/>
              <w:ind w:left="1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8"/>
                <w:sz w:val="15"/>
                <w:szCs w:val="15"/>
              </w:rPr>
              <w:t>资料来源：</w:t>
            </w:r>
            <w:r>
              <w:rPr>
                <w:rFonts w:ascii="KaiTi" w:eastAsia="KaiTi" w:hAnsi="KaiTi" w:cs="KaiTi"/>
                <w:spacing w:val="-8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spacing w:val="-8"/>
                <w:sz w:val="15"/>
                <w:szCs w:val="15"/>
              </w:rPr>
              <w:t>中信博官网，</w:t>
            </w:r>
            <w:r>
              <w:rPr>
                <w:rFonts w:ascii="KaiTi" w:eastAsia="KaiTi" w:hAnsi="KaiTi" w:cs="KaiTi"/>
                <w:spacing w:val="-8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spacing w:val="-8"/>
                <w:sz w:val="15"/>
                <w:szCs w:val="15"/>
              </w:rPr>
              <w:t>西部证券研发中心</w:t>
            </w:r>
          </w:p>
          <w:p>
            <w:pPr>
              <w:pStyle w:val="TableText"/>
              <w:spacing w:line="281" w:lineRule="auto"/>
              <w:rPr>
                <w:sz w:val="21"/>
              </w:rPr>
            </w:pPr>
          </w:p>
          <w:p>
            <w:pPr>
              <w:pStyle w:val="TableText"/>
              <w:spacing w:line="281" w:lineRule="auto"/>
              <w:rPr>
                <w:sz w:val="21"/>
              </w:rPr>
            </w:pPr>
          </w:p>
          <w:p>
            <w:pPr>
              <w:pStyle w:val="TableText"/>
              <w:spacing w:before="59" w:line="214" w:lineRule="auto"/>
              <w:ind w:left="4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0D0D0D"/>
                <w:spacing w:val="-3"/>
                <w:sz w:val="18"/>
                <w:szCs w:val="18"/>
              </w:rPr>
              <w:t>图</w:t>
            </w:r>
            <w:r>
              <w:rPr>
                <w:rFonts w:ascii="KaiTi" w:eastAsia="KaiTi" w:hAnsi="KaiTi" w:cs="KaiTi"/>
                <w:color w:val="0D0D0D"/>
                <w:spacing w:val="-28"/>
                <w:sz w:val="18"/>
                <w:szCs w:val="18"/>
              </w:rPr>
              <w:t xml:space="preserve"> </w:t>
            </w:r>
            <w:r>
              <w:rPr>
                <w:color w:val="0D0D0D"/>
                <w:spacing w:val="-3"/>
                <w:sz w:val="18"/>
                <w:szCs w:val="18"/>
              </w:rPr>
              <w:t>5</w:t>
            </w:r>
            <w:r>
              <w:rPr>
                <w:rFonts w:ascii="KaiTi" w:eastAsia="KaiTi" w:hAnsi="KaiTi" w:cs="KaiTi"/>
                <w:color w:val="0D0D0D"/>
                <w:spacing w:val="-3"/>
                <w:sz w:val="18"/>
                <w:szCs w:val="18"/>
              </w:rPr>
              <w:t>：中信博订单以印度、中东、中亚为主</w:t>
            </w:r>
          </w:p>
        </w:tc>
      </w:tr>
      <w:tr>
        <w:tblPrEx>
          <w:tblW w:w="8209" w:type="dxa"/>
          <w:tblInd w:w="3063" w:type="dxa"/>
          <w:tblLayout w:type="fixed"/>
        </w:tblPrEx>
        <w:trPr>
          <w:trHeight w:val="1020"/>
        </w:trPr>
        <w:tc>
          <w:tcPr>
            <w:tcW w:w="820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line="383" w:lineRule="auto"/>
              <w:rPr>
                <w:sz w:val="21"/>
              </w:rPr>
            </w:pPr>
          </w:p>
          <w:p>
            <w:pPr>
              <w:spacing w:before="58" w:line="214" w:lineRule="auto"/>
              <w:ind w:left="148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254061"/>
                <w:position w:val="1"/>
                <w:sz w:val="18"/>
                <w:szCs w:val="18"/>
              </w:rPr>
              <w:drawing>
                <wp:inline distT="0" distB="0" distL="0" distR="0">
                  <wp:extent cx="57911" cy="57911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10"/>
                <w:sz w:val="18"/>
                <w:szCs w:val="18"/>
              </w:rPr>
              <w:t>印度</w:t>
            </w:r>
            <w:r>
              <w:rPr>
                <w:rFonts w:ascii="KaiTi" w:eastAsia="KaiTi" w:hAnsi="KaiTi" w:cs="KaiTi"/>
                <w:color w:val="254061"/>
                <w:sz w:val="18"/>
                <w:szCs w:val="18"/>
              </w:rPr>
              <w:t xml:space="preserve">         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57911" cy="57911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10"/>
                <w:sz w:val="18"/>
                <w:szCs w:val="18"/>
              </w:rPr>
              <w:t>中东</w:t>
            </w:r>
            <w:r>
              <w:rPr>
                <w:rFonts w:ascii="KaiTi" w:eastAsia="KaiTi" w:hAnsi="KaiTi" w:cs="KaiTi"/>
                <w:color w:val="254061"/>
                <w:sz w:val="18"/>
                <w:szCs w:val="18"/>
              </w:rPr>
              <w:t xml:space="preserve">         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57911" cy="57911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10"/>
                <w:sz w:val="18"/>
                <w:szCs w:val="18"/>
              </w:rPr>
              <w:t>中亚</w:t>
            </w:r>
            <w:r>
              <w:rPr>
                <w:rFonts w:ascii="KaiTi" w:eastAsia="KaiTi" w:hAnsi="KaiTi" w:cs="KaiTi"/>
                <w:color w:val="254061"/>
                <w:sz w:val="18"/>
                <w:szCs w:val="18"/>
              </w:rPr>
              <w:t xml:space="preserve">         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57911" cy="57911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10"/>
                <w:sz w:val="18"/>
                <w:szCs w:val="18"/>
              </w:rPr>
              <w:t>拉美</w:t>
            </w:r>
            <w:r>
              <w:rPr>
                <w:rFonts w:ascii="KaiTi" w:eastAsia="KaiTi" w:hAnsi="KaiTi" w:cs="KaiTi"/>
                <w:color w:val="254061"/>
                <w:sz w:val="18"/>
                <w:szCs w:val="18"/>
              </w:rPr>
              <w:t xml:space="preserve">         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57911" cy="57911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254061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254061"/>
                <w:spacing w:val="-10"/>
                <w:sz w:val="18"/>
                <w:szCs w:val="18"/>
              </w:rPr>
              <w:t>欧洲</w:t>
            </w:r>
          </w:p>
          <w:p>
            <w:pPr>
              <w:pStyle w:val="TableText"/>
              <w:spacing w:before="204" w:line="197" w:lineRule="auto"/>
              <w:ind w:left="3371"/>
            </w:pPr>
            <w:r>
              <w:rPr>
                <w:color w:val="254061"/>
                <w:spacing w:val="-1"/>
              </w:rPr>
              <w:t>2%</w:t>
            </w:r>
          </w:p>
        </w:tc>
      </w:tr>
    </w:tbl>
    <w:p>
      <w:pPr>
        <w:sectPr>
          <w:headerReference w:type="default" r:id="rId78"/>
          <w:footerReference w:type="default" r:id="rId79"/>
          <w:pgSz w:w="11907" w:h="16839"/>
          <w:pgMar w:top="1202" w:right="14" w:bottom="928" w:left="11" w:header="10" w:footer="21" w:gutter="0"/>
          <w:pgNumType w:start="20"/>
          <w:cols w:space="708"/>
        </w:sectPr>
      </w:pPr>
    </w:p>
    <w:tbl>
      <w:tblPr>
        <w:tblStyle w:val="TableNormal8"/>
        <w:tblW w:w="8209" w:type="dxa"/>
        <w:tblInd w:w="30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37"/>
        <w:gridCol w:w="3472"/>
      </w:tblGrid>
      <w:tr>
        <w:tblPrEx>
          <w:tblW w:w="8209" w:type="dxa"/>
          <w:tblInd w:w="30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44"/>
        </w:trPr>
        <w:tc>
          <w:tcPr>
            <w:tcW w:w="473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3" w:line="197" w:lineRule="auto"/>
              <w:ind w:left="2819"/>
            </w:pPr>
            <w:r>
              <w:pict>
                <v:group id="_x0000_s1074" style="width:99.95pt;height:99.95pt;margin-top:2.29pt;margin-left:134.46pt;position:absolute;z-index:-251629568" coordorigin="0,0" coordsize="1998,1998" filled="f" stroked="f">
                  <v:shape id="_x0000_s1075" style="width:995;height:1588;left:1003;position:absolute" coordorigin="0,0" coordsize="995,1588" path="m,c548,,994,445,994,994c994,1208,925,1415,797,1587l,994l,xe" filled="t" fillcolor="#c30f1b" stroked="f"/>
                  <v:shape id="_x0000_s1076" style="width:1723;height:1005;left:79;position:absolute;top:994" coordorigin="0,0" coordsize="1723,1005" path="m1722,593c1394,1033,772,1125,331,797c182,687,68,538,,366l924,l1722,593xe" filled="t" fillcolor="#ba9873" stroked="f"/>
                  <v:shape id="_x0000_s1077" style="width:1004;height:1061;position:absolute;top:299" coordorigin="0,0" coordsize="1004,1061" path="m79,1061c-65,696,18,280,292,l1003,694l79,1061xe" filled="t" fillcolor="#c8c8c8" stroked="f"/>
                  <v:shape id="_x0000_s1078" style="width:711;height:986;left:292;position:absolute;top:8" coordorigin="0,0" coordsize="711,986" path="m,291m,291c156,131,362,28,584,l711,986l,291xe" filled="t" fillcolor="#eab3a7" stroked="f"/>
                  <v:shape id="_x0000_s1079" style="width:128;height:995;left:876;position:absolute" coordorigin="0,0" coordsize="128,995" path="m,8m,8c42,2,84,,127,l127,994l,8xe" filled="t" fillcolor="#dc5969" stroked="f"/>
                </v:group>
              </w:pict>
            </w:r>
            <w:r>
              <w:rPr>
                <w:color w:val="254061"/>
                <w:spacing w:val="-4"/>
              </w:rPr>
              <w:t>11%</w:t>
            </w:r>
          </w:p>
          <w:p>
            <w:pPr>
              <w:pStyle w:val="TableText"/>
              <w:spacing w:line="358" w:lineRule="auto"/>
              <w:rPr>
                <w:sz w:val="21"/>
              </w:rPr>
            </w:pPr>
          </w:p>
          <w:p>
            <w:pPr>
              <w:spacing w:line="34" w:lineRule="exact"/>
              <w:ind w:left="4574"/>
            </w:pPr>
            <w:r>
              <w:rPr>
                <w:position w:val="-1"/>
              </w:rPr>
              <w:drawing>
                <wp:inline distT="0" distB="0" distL="0" distR="0">
                  <wp:extent cx="94487" cy="21335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7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309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2524"/>
            </w:pPr>
            <w:r>
              <w:rPr>
                <w:color w:val="254061"/>
                <w:spacing w:val="-4"/>
              </w:rPr>
              <w:t>18%</w:t>
            </w:r>
          </w:p>
          <w:p>
            <w:pPr>
              <w:pStyle w:val="TableText"/>
              <w:spacing w:line="281" w:lineRule="auto"/>
              <w:rPr>
                <w:sz w:val="21"/>
              </w:rPr>
            </w:pPr>
          </w:p>
          <w:p>
            <w:pPr>
              <w:pStyle w:val="TableText"/>
              <w:spacing w:line="282" w:lineRule="auto"/>
              <w:rPr>
                <w:sz w:val="21"/>
              </w:rPr>
            </w:pPr>
          </w:p>
          <w:p>
            <w:pPr>
              <w:pStyle w:val="TableText"/>
              <w:spacing w:line="282" w:lineRule="auto"/>
              <w:rPr>
                <w:sz w:val="21"/>
              </w:rPr>
            </w:pPr>
          </w:p>
          <w:p>
            <w:pPr>
              <w:pStyle w:val="TableText"/>
              <w:spacing w:before="46" w:line="242" w:lineRule="auto"/>
              <w:ind w:left="3556"/>
            </w:pPr>
            <w:r>
              <w:rPr>
                <w:color w:val="254061"/>
                <w:position w:val="2"/>
              </w:rPr>
              <w:drawing>
                <wp:inline distT="0" distB="0" distL="0" distR="0">
                  <wp:extent cx="45588" cy="214904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88" cy="21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4061"/>
                <w:spacing w:val="7"/>
              </w:rPr>
              <w:t>34%</w:t>
            </w:r>
          </w:p>
        </w:tc>
        <w:tc>
          <w:tcPr>
            <w:tcW w:w="347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448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15"/>
            </w:pPr>
            <w:r>
              <w:rPr>
                <w:color w:val="254061"/>
                <w:spacing w:val="-2"/>
              </w:rPr>
              <w:t>35%</w:t>
            </w:r>
          </w:p>
        </w:tc>
      </w:tr>
    </w:tbl>
    <w:p>
      <w:pPr>
        <w:pStyle w:val="BodyText"/>
        <w:spacing w:before="94" w:line="225" w:lineRule="auto"/>
        <w:ind w:left="3089"/>
        <w:rPr>
          <w:sz w:val="13"/>
          <w:szCs w:val="13"/>
        </w:rPr>
      </w:pPr>
      <w:r>
        <w:rPr>
          <w:spacing w:val="9"/>
          <w:sz w:val="13"/>
          <w:szCs w:val="13"/>
        </w:rPr>
        <w:t>资料来源：中信博官网，西部证券研发中心</w:t>
      </w:r>
    </w:p>
    <w:p>
      <w:pPr>
        <w:pStyle w:val="BodyText"/>
        <w:spacing w:before="132" w:line="213" w:lineRule="auto"/>
        <w:ind w:left="3073"/>
      </w:pPr>
      <w:r>
        <w:rPr>
          <w:rFonts w:ascii="Arial" w:eastAsia="Arial" w:hAnsi="Arial" w:cs="Arial"/>
          <w:b/>
          <w:bCs/>
          <w:spacing w:val="-6"/>
        </w:rPr>
        <w:t xml:space="preserve">2023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年印度新增光伏装机容量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10GW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，同比下降</w:t>
      </w:r>
      <w:r>
        <w:rPr>
          <w:spacing w:val="-50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28%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预计</w:t>
      </w:r>
      <w:r>
        <w:rPr>
          <w:spacing w:val="-47"/>
        </w:rPr>
        <w:t xml:space="preserve"> </w:t>
      </w:r>
      <w:r>
        <w:rPr>
          <w:rFonts w:ascii="Arial" w:eastAsia="Arial" w:hAnsi="Arial" w:cs="Arial"/>
          <w:b/>
          <w:bCs/>
          <w:spacing w:val="-7"/>
        </w:rPr>
        <w:t xml:space="preserve">24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年有望新增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b/>
          <w:bCs/>
          <w:spacing w:val="-7"/>
        </w:rPr>
        <w:t>15GW</w:t>
      </w:r>
      <w:r>
        <w:rPr>
          <w:rFonts w:ascii="Arial" w:eastAsia="Arial" w:hAnsi="Arial" w:cs="Arial"/>
          <w:b/>
          <w:bCs/>
          <w:spacing w:val="28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以上。</w:t>
      </w:r>
    </w:p>
    <w:p>
      <w:pPr>
        <w:pStyle w:val="BodyText"/>
        <w:spacing w:before="83" w:line="272" w:lineRule="auto"/>
        <w:ind w:left="3072" w:right="660" w:firstLine="3"/>
        <w:jc w:val="both"/>
      </w:pPr>
      <w:r>
        <w:rPr>
          <w:spacing w:val="-1"/>
        </w:rPr>
        <w:t>装机下滑主要因大型地面电站装机量不及预期，印度在</w:t>
      </w:r>
      <w:r>
        <w:rPr>
          <w:spacing w:val="-14"/>
        </w:rPr>
        <w:t xml:space="preserve"> </w:t>
      </w:r>
      <w:r>
        <w:rPr>
          <w:rFonts w:ascii="Arial" w:eastAsia="Arial" w:hAnsi="Arial" w:cs="Arial"/>
          <w:spacing w:val="-1"/>
        </w:rPr>
        <w:t>2020</w:t>
      </w:r>
      <w:r>
        <w:rPr>
          <w:rFonts w:ascii="Arial" w:eastAsia="Arial" w:hAnsi="Arial" w:cs="Arial"/>
          <w:spacing w:val="20"/>
          <w:w w:val="101"/>
        </w:rPr>
        <w:t xml:space="preserve"> </w:t>
      </w:r>
      <w:r>
        <w:rPr>
          <w:spacing w:val="-1"/>
        </w:rPr>
        <w:t>年至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spacing w:val="-1"/>
        </w:rPr>
        <w:t>2022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spacing w:val="-1"/>
        </w:rPr>
        <w:t>年期间大型电站</w:t>
      </w:r>
      <w:r>
        <w:t xml:space="preserve"> </w:t>
      </w:r>
      <w:r>
        <w:rPr>
          <w:spacing w:val="-3"/>
        </w:rPr>
        <w:t>项目招投标较低，是导致</w:t>
      </w:r>
      <w:r>
        <w:rPr>
          <w:spacing w:val="-23"/>
        </w:rPr>
        <w:t xml:space="preserve"> </w:t>
      </w:r>
      <w:r>
        <w:rPr>
          <w:rFonts w:ascii="Arial" w:eastAsia="Arial" w:hAnsi="Arial" w:cs="Arial"/>
          <w:spacing w:val="-3"/>
        </w:rPr>
        <w:t xml:space="preserve">2023 </w:t>
      </w:r>
      <w:r>
        <w:rPr>
          <w:spacing w:val="-3"/>
        </w:rPr>
        <w:t>年大型电站项目装机较低的主要原因。另外，</w:t>
      </w:r>
      <w:r>
        <w:rPr>
          <w:spacing w:val="-3"/>
        </w:rPr>
        <w:t xml:space="preserve"> </w:t>
      </w:r>
      <w:r>
        <w:rPr>
          <w:spacing w:val="-3"/>
        </w:rPr>
        <w:t>尽管印度正</w:t>
      </w:r>
      <w:r>
        <w:t xml:space="preserve"> </w:t>
      </w:r>
      <w:r>
        <w:rPr>
          <w:spacing w:val="-1"/>
        </w:rPr>
        <w:t>在投资和建设大规模光伏制造业，但进口关税限制，导致本土光伏组件的</w:t>
      </w:r>
      <w:r>
        <w:rPr>
          <w:spacing w:val="-2"/>
        </w:rPr>
        <w:t>短期需求和供应</w:t>
      </w:r>
      <w:r>
        <w:t xml:space="preserve"> </w:t>
      </w:r>
      <w:r>
        <w:rPr>
          <w:spacing w:val="-1"/>
        </w:rPr>
        <w:t>不匹配，也是导致印度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1"/>
        </w:rPr>
        <w:t>2023</w:t>
      </w:r>
      <w:r>
        <w:rPr>
          <w:rFonts w:ascii="Arial" w:eastAsia="Arial" w:hAnsi="Arial" w:cs="Arial"/>
          <w:spacing w:val="21"/>
          <w:w w:val="101"/>
        </w:rPr>
        <w:t xml:space="preserve"> </w:t>
      </w:r>
      <w:r>
        <w:rPr>
          <w:spacing w:val="-1"/>
        </w:rPr>
        <w:t>年光伏装机下降的原因之一。这意味着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1"/>
        </w:rPr>
        <w:t>2024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spacing w:val="-1"/>
        </w:rPr>
        <w:t>年上</w:t>
      </w:r>
      <w:r>
        <w:rPr>
          <w:spacing w:val="-2"/>
        </w:rPr>
        <w:t>半年，印</w:t>
      </w:r>
      <w:r>
        <w:t xml:space="preserve"> </w:t>
      </w:r>
      <w:r>
        <w:rPr>
          <w:spacing w:val="-2"/>
        </w:rPr>
        <w:t>度光伏市场有望重新迎来不错的增长，预计全年有</w:t>
      </w:r>
      <w:r>
        <w:rPr>
          <w:spacing w:val="-3"/>
        </w:rPr>
        <w:t>望在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3"/>
        </w:rPr>
        <w:t>15GW</w:t>
      </w:r>
      <w:r>
        <w:rPr>
          <w:rFonts w:ascii="Arial" w:eastAsia="Arial" w:hAnsi="Arial" w:cs="Arial"/>
          <w:spacing w:val="35"/>
          <w:w w:val="101"/>
        </w:rPr>
        <w:t xml:space="preserve"> </w:t>
      </w:r>
      <w:r>
        <w:rPr>
          <w:spacing w:val="-3"/>
        </w:rPr>
        <w:t>以上。</w:t>
      </w:r>
    </w:p>
    <w:p>
      <w:pPr>
        <w:spacing w:line="272" w:lineRule="auto"/>
        <w:sectPr>
          <w:headerReference w:type="default" r:id="rId82"/>
          <w:footerReference w:type="default" r:id="rId83"/>
          <w:type w:val="nextPage"/>
          <w:pgSz w:w="11907" w:h="16839"/>
          <w:pgMar w:top="1202" w:right="14" w:bottom="928" w:left="11" w:header="10" w:footer="21" w:gutter="0"/>
          <w:pgNumType w:start="21"/>
          <w:cols w:space="708"/>
          <w:titlePg w:val="0"/>
        </w:sectPr>
      </w:pPr>
    </w:p>
    <w:p>
      <w:pPr>
        <w:pStyle w:val="BodyText"/>
        <w:spacing w:before="291" w:line="214" w:lineRule="auto"/>
        <w:ind w:left="3106"/>
        <w:rPr>
          <w:sz w:val="18"/>
          <w:szCs w:val="18"/>
        </w:rPr>
      </w:pPr>
      <w:r>
        <w:pict>
          <v:shape id="_x0000_s1080" style="width:407.35pt;height:0.5pt;margin-top:87.5pt;margin-left:154.46pt;mso-position-horizontal-relative:page;mso-position-vertical-relative:page;position:absolute;z-index:251691008" coordorigin="0,0" coordsize="8147,10" o:allowincell="f" path="m,9l8146,9l8146,l,l,9xe" filled="t" fillcolor="black" stroked="f"/>
        </w:pict>
      </w: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2655570</wp:posOffset>
            </wp:positionH>
            <wp:positionV relativeFrom="page">
              <wp:posOffset>1588008</wp:posOffset>
            </wp:positionV>
            <wp:extent cx="4137660" cy="1215390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137660" cy="1215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1" style="width:407.35pt;height:0.5pt;margin-top:259.1pt;margin-left:154.46pt;mso-position-horizontal-relative:page;mso-position-vertical-relative:page;position:absolute;z-index:251692032" coordorigin="0,0" coordsize="8147,10" o:allowincell="f" path="m,9l8146,9l8146,l,l,9xe" filled="t" fillcolor="black" stroked="f"/>
        </w:pict>
      </w:r>
      <w:r>
        <w:pict>
          <v:shape id="_x0000_s1082" style="width:407.35pt;height:0.5pt;margin-top:390.05pt;margin-left:154.46pt;mso-position-horizontal-relative:page;mso-position-vertical-relative:page;position:absolute;z-index:251689984" coordorigin="0,0" coordsize="8147,10" o:allowincell="f" path="m,9l8146,9l8146,l,l,9xe" filled="t" fillcolor="black" stroked="f"/>
        </w:pict>
      </w:r>
      <w:r>
        <w:drawing>
          <wp:anchor distT="0" distB="0" distL="0" distR="0" simplePos="0" relativeHeight="251688960" behindDoc="1" locked="0" layoutInCell="0" allowOverlap="1">
            <wp:simplePos x="0" y="0"/>
            <wp:positionH relativeFrom="page">
              <wp:posOffset>3010661</wp:posOffset>
            </wp:positionH>
            <wp:positionV relativeFrom="page">
              <wp:posOffset>5500116</wp:posOffset>
            </wp:positionV>
            <wp:extent cx="3177540" cy="1387602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177540" cy="1387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  <w:spacing w:val="-3"/>
          <w:sz w:val="18"/>
          <w:szCs w:val="18"/>
        </w:rPr>
        <w:t>图</w:t>
      </w:r>
      <w:r>
        <w:rPr>
          <w:color w:val="0D0D0D"/>
          <w:spacing w:val="-28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>6</w:t>
      </w:r>
      <w:r>
        <w:rPr>
          <w:color w:val="0D0D0D"/>
          <w:spacing w:val="-3"/>
          <w:sz w:val="18"/>
          <w:szCs w:val="18"/>
        </w:rPr>
        <w:t>：印度光伏装机需求有望重新恢复增长</w:t>
      </w:r>
    </w:p>
    <w:p>
      <w:pPr>
        <w:pStyle w:val="BodyText"/>
        <w:spacing w:before="282" w:line="213" w:lineRule="auto"/>
        <w:ind w:left="6337"/>
        <w:rPr>
          <w:rFonts w:ascii="Arial" w:eastAsia="Arial" w:hAnsi="Arial" w:cs="Arial"/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76199" cy="77724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16"/>
          <w:szCs w:val="16"/>
        </w:rPr>
        <w:t>印度光伏新增装机量（</w:t>
      </w:r>
      <w:r>
        <w:rPr>
          <w:rFonts w:ascii="Arial" w:eastAsia="Arial" w:hAnsi="Arial" w:cs="Arial"/>
          <w:sz w:val="16"/>
          <w:szCs w:val="16"/>
        </w:rPr>
        <w:t>GW</w:t>
      </w:r>
      <w:r>
        <w:rPr>
          <w:rFonts w:ascii="Arial" w:eastAsia="Arial" w:hAnsi="Arial" w:cs="Arial"/>
          <w:spacing w:val="1"/>
          <w:sz w:val="16"/>
          <w:szCs w:val="16"/>
        </w:rPr>
        <w:t>)</w:t>
      </w:r>
    </w:p>
    <w:p>
      <w:pPr>
        <w:spacing w:line="161" w:lineRule="exact"/>
      </w:pPr>
    </w:p>
    <w:p>
      <w:pPr>
        <w:spacing w:line="161" w:lineRule="exact"/>
        <w:sectPr>
          <w:headerReference w:type="default" r:id="rId87"/>
          <w:footerReference w:type="default" r:id="rId88"/>
          <w:pgSz w:w="11907" w:h="16839"/>
          <w:pgMar w:top="1202" w:right="14" w:bottom="928" w:left="11" w:header="10" w:footer="21" w:gutter="0"/>
          <w:pgNumType w:start="22"/>
          <w:cols w:num="1" w:space="708" w:equalWidth="0">
            <w:col w:w="11881" w:space="0"/>
          </w:cols>
        </w:sectPr>
      </w:pPr>
    </w:p>
    <w:p>
      <w:pPr>
        <w:spacing w:line="194" w:lineRule="auto"/>
        <w:ind w:left="370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16</w:t>
      </w:r>
    </w:p>
    <w:p>
      <w:pPr>
        <w:spacing w:before="103" w:line="195" w:lineRule="auto"/>
        <w:ind w:left="370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14</w:t>
      </w:r>
    </w:p>
    <w:p>
      <w:pPr>
        <w:spacing w:before="102" w:line="195" w:lineRule="auto"/>
        <w:ind w:left="370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12</w:t>
      </w:r>
    </w:p>
    <w:p>
      <w:pPr>
        <w:spacing w:before="103" w:line="195" w:lineRule="auto"/>
        <w:ind w:left="370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10</w:t>
      </w:r>
    </w:p>
    <w:p>
      <w:pPr>
        <w:spacing w:before="103" w:line="195" w:lineRule="auto"/>
        <w:ind w:left="377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8</w:t>
      </w:r>
    </w:p>
    <w:p>
      <w:pPr>
        <w:spacing w:before="103" w:line="195" w:lineRule="auto"/>
        <w:ind w:left="377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6</w:t>
      </w:r>
    </w:p>
    <w:p>
      <w:pPr>
        <w:spacing w:before="104" w:line="194" w:lineRule="auto"/>
        <w:ind w:left="377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4</w:t>
      </w:r>
    </w:p>
    <w:p>
      <w:pPr>
        <w:spacing w:before="103" w:line="195" w:lineRule="auto"/>
        <w:ind w:left="377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2</w:t>
      </w:r>
    </w:p>
    <w:p>
      <w:pPr>
        <w:spacing w:before="103" w:line="195" w:lineRule="auto"/>
        <w:ind w:left="378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1" w:line="2035" w:lineRule="exact"/>
      </w:pPr>
      <w:r>
        <w:rPr>
          <w:position w:val="-40"/>
        </w:rPr>
        <w:drawing>
          <wp:inline distT="0" distB="0" distL="0" distR="0">
            <wp:extent cx="4358640" cy="1292351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129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2" w:line="118" w:lineRule="exact"/>
        <w:ind w:left="1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position w:val="-2"/>
          <w:sz w:val="16"/>
          <w:szCs w:val="16"/>
        </w:rPr>
        <w:t>2013     2014     2015     2016     2017     2018     2019     2020     2021     2022     2023    2024E</w:t>
      </w:r>
    </w:p>
    <w:p>
      <w:pPr>
        <w:spacing w:line="118" w:lineRule="exact"/>
        <w:rPr>
          <w:rFonts w:ascii="Arial" w:eastAsia="Arial" w:hAnsi="Arial" w:cs="Arial"/>
          <w:sz w:val="16"/>
          <w:szCs w:val="16"/>
        </w:rPr>
        <w:sectPr>
          <w:headerReference w:type="default" r:id="rId90"/>
          <w:footerReference w:type="default" r:id="rId91"/>
          <w:type w:val="continuous"/>
          <w:pgSz w:w="11907" w:h="16839"/>
          <w:pgMar w:top="1202" w:right="14" w:bottom="928" w:left="11" w:header="10" w:footer="21" w:gutter="0"/>
          <w:pgNumType w:start="23"/>
          <w:cols w:num="2" w:space="708" w:equalWidth="0">
            <w:col w:w="3898" w:space="100"/>
            <w:col w:w="7884" w:space="0"/>
          </w:cols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42" w:line="225" w:lineRule="auto"/>
        <w:ind w:left="3089"/>
        <w:rPr>
          <w:sz w:val="13"/>
          <w:szCs w:val="13"/>
        </w:rPr>
      </w:pPr>
      <w:r>
        <w:rPr>
          <w:spacing w:val="10"/>
          <w:sz w:val="13"/>
          <w:szCs w:val="13"/>
        </w:rPr>
        <w:t>资料来源：</w:t>
      </w:r>
      <w:r>
        <w:rPr>
          <w:rFonts w:ascii="Arial" w:eastAsia="Arial" w:hAnsi="Arial" w:cs="Arial"/>
          <w:sz w:val="13"/>
          <w:szCs w:val="13"/>
        </w:rPr>
        <w:t>PVTECH</w:t>
      </w:r>
      <w:r>
        <w:rPr>
          <w:spacing w:val="10"/>
          <w:sz w:val="13"/>
          <w:szCs w:val="13"/>
        </w:rPr>
        <w:t>，维科网光伏，西部证券研发中心</w:t>
      </w:r>
    </w:p>
    <w:p>
      <w:pPr>
        <w:pStyle w:val="BodyText"/>
        <w:spacing w:before="292" w:line="273" w:lineRule="auto"/>
        <w:ind w:left="3073" w:right="660"/>
        <w:jc w:val="both"/>
      </w:pPr>
      <w:r>
        <w:rPr>
          <w:rFonts w:ascii="Arial" w:eastAsia="Arial" w:hAnsi="Arial" w:cs="Arial"/>
          <w:b/>
          <w:bCs/>
          <w:spacing w:val="-1"/>
        </w:rPr>
        <w:t xml:space="preserve">24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年中东市场有望实现</w:t>
      </w:r>
      <w:r>
        <w:rPr>
          <w:spacing w:val="-47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20%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以上增长。</w:t>
      </w:r>
      <w:r>
        <w:rPr>
          <w:spacing w:val="-1"/>
        </w:rPr>
        <w:t>根</w:t>
      </w:r>
      <w:r>
        <w:rPr>
          <w:spacing w:val="-2"/>
        </w:rPr>
        <w:t>据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2"/>
        </w:rPr>
        <w:t>InfoLink</w:t>
      </w:r>
      <w:r>
        <w:rPr>
          <w:rFonts w:ascii="Arial" w:eastAsia="Arial" w:hAnsi="Arial" w:cs="Arial"/>
          <w:spacing w:val="-33"/>
        </w:rPr>
        <w:t xml:space="preserve"> </w:t>
      </w:r>
      <w:r>
        <w:rPr>
          <w:spacing w:val="-2"/>
        </w:rPr>
        <w:t>，</w:t>
      </w:r>
      <w:r>
        <w:rPr>
          <w:rFonts w:ascii="Arial" w:eastAsia="Arial" w:hAnsi="Arial" w:cs="Arial"/>
          <w:spacing w:val="-2"/>
        </w:rPr>
        <w:t xml:space="preserve">2023 </w:t>
      </w:r>
      <w:r>
        <w:rPr>
          <w:spacing w:val="-2"/>
        </w:rPr>
        <w:t>年中东地区的太阳能需求预</w:t>
      </w:r>
      <w:r>
        <w:t xml:space="preserve"> </w:t>
      </w:r>
      <w:r>
        <w:rPr>
          <w:spacing w:val="-4"/>
        </w:rPr>
        <w:t>计将达到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spacing w:val="-4"/>
        </w:rPr>
        <w:t>20.5</w:t>
      </w:r>
      <w:r>
        <w:rPr>
          <w:rFonts w:ascii="Arial" w:eastAsia="Arial" w:hAnsi="Arial" w:cs="Arial"/>
          <w:spacing w:val="25"/>
        </w:rPr>
        <w:t xml:space="preserve"> </w:t>
      </w:r>
      <w:r>
        <w:rPr>
          <w:spacing w:val="-4"/>
        </w:rPr>
        <w:t>至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-4"/>
        </w:rPr>
        <w:t>23.6GW</w:t>
      </w:r>
      <w:r>
        <w:rPr>
          <w:spacing w:val="-4"/>
        </w:rPr>
        <w:t>。尽管受到以色列</w:t>
      </w:r>
      <w:r>
        <w:rPr>
          <w:rFonts w:ascii="Arial" w:eastAsia="Arial" w:hAnsi="Arial" w:cs="Arial"/>
          <w:spacing w:val="-4"/>
        </w:rPr>
        <w:t>-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spacing w:val="-4"/>
        </w:rPr>
        <w:t>巴勒斯坦冲突的影响，</w:t>
      </w:r>
      <w:r>
        <w:rPr>
          <w:spacing w:val="-4"/>
        </w:rPr>
        <w:t xml:space="preserve"> </w:t>
      </w:r>
      <w:r>
        <w:rPr>
          <w:spacing w:val="-4"/>
        </w:rPr>
        <w:t>预计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spacing w:val="-4"/>
        </w:rPr>
        <w:t>2024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spacing w:val="-4"/>
        </w:rPr>
        <w:t>年该地区</w:t>
      </w:r>
      <w:r>
        <w:t xml:space="preserve"> </w:t>
      </w:r>
      <w:r>
        <w:rPr>
          <w:spacing w:val="-1"/>
        </w:rPr>
        <w:t>部分国家的需求量将有所减少，但沙特阿拉伯、阿拉伯联合酋长国等关键</w:t>
      </w:r>
      <w:r>
        <w:rPr>
          <w:spacing w:val="-2"/>
        </w:rPr>
        <w:t>国家的大型项目</w:t>
      </w:r>
      <w:r>
        <w:t xml:space="preserve"> </w:t>
      </w:r>
      <w:r>
        <w:rPr>
          <w:spacing w:val="-1"/>
        </w:rPr>
        <w:t>仍在持续推进中。此外，随着当地政府不断推出大型招标项目，预计</w:t>
      </w:r>
      <w:r>
        <w:rPr>
          <w:spacing w:val="-2"/>
        </w:rPr>
        <w:t>未来中东地区的总体</w:t>
      </w:r>
      <w:r>
        <w:t xml:space="preserve"> </w:t>
      </w:r>
      <w:r>
        <w:rPr>
          <w:spacing w:val="-3"/>
        </w:rPr>
        <w:t>需求仍将保持乐观态势。</w:t>
      </w:r>
      <w:r>
        <w:rPr>
          <w:spacing w:val="-25"/>
        </w:rPr>
        <w:t xml:space="preserve"> </w:t>
      </w:r>
      <w:r>
        <w:rPr>
          <w:spacing w:val="-3"/>
        </w:rPr>
        <w:t>预计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3"/>
        </w:rPr>
        <w:t xml:space="preserve">24 </w:t>
      </w:r>
      <w:r>
        <w:rPr>
          <w:spacing w:val="-3"/>
        </w:rPr>
        <w:t>年中东市场装机规模有望实现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3"/>
        </w:rPr>
        <w:t>20%</w:t>
      </w:r>
      <w:r>
        <w:rPr>
          <w:spacing w:val="-3"/>
        </w:rPr>
        <w:t>以上的增长。</w:t>
      </w:r>
    </w:p>
    <w:p>
      <w:pPr>
        <w:pStyle w:val="BodyText"/>
        <w:spacing w:before="256" w:line="217" w:lineRule="auto"/>
        <w:ind w:left="3106"/>
        <w:rPr>
          <w:sz w:val="18"/>
          <w:szCs w:val="18"/>
        </w:rPr>
      </w:pPr>
      <w:r>
        <w:rPr>
          <w:color w:val="0D0D0D"/>
          <w:spacing w:val="-3"/>
          <w:sz w:val="18"/>
          <w:szCs w:val="18"/>
        </w:rPr>
        <w:t>图</w:t>
      </w:r>
      <w:r>
        <w:rPr>
          <w:color w:val="0D0D0D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>7</w:t>
      </w:r>
      <w:r>
        <w:rPr>
          <w:color w:val="0D0D0D"/>
          <w:spacing w:val="-3"/>
          <w:sz w:val="18"/>
          <w:szCs w:val="18"/>
        </w:rPr>
        <w:t>：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 xml:space="preserve">24 </w:t>
      </w:r>
      <w:r>
        <w:rPr>
          <w:color w:val="0D0D0D"/>
          <w:spacing w:val="-3"/>
          <w:sz w:val="18"/>
          <w:szCs w:val="18"/>
        </w:rPr>
        <w:t>年中东市场有望实现</w:t>
      </w:r>
      <w:r>
        <w:rPr>
          <w:color w:val="0D0D0D"/>
          <w:spacing w:val="-41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3"/>
          <w:sz w:val="18"/>
          <w:szCs w:val="18"/>
        </w:rPr>
        <w:t>20%</w:t>
      </w:r>
      <w:r>
        <w:rPr>
          <w:color w:val="0D0D0D"/>
          <w:spacing w:val="-3"/>
          <w:sz w:val="18"/>
          <w:szCs w:val="18"/>
        </w:rPr>
        <w:t>以上增长</w:t>
      </w:r>
    </w:p>
    <w:p>
      <w:pPr>
        <w:spacing w:before="94"/>
      </w:pPr>
    </w:p>
    <w:p>
      <w:pPr>
        <w:sectPr>
          <w:headerReference w:type="default" r:id="rId92"/>
          <w:footerReference w:type="default" r:id="rId93"/>
          <w:type w:val="continuous"/>
          <w:pgSz w:w="11907" w:h="16839"/>
          <w:pgMar w:top="1202" w:right="14" w:bottom="928" w:left="11" w:header="10" w:footer="21" w:gutter="0"/>
          <w:pgNumType w:start="24"/>
          <w:cols w:num="1" w:space="708" w:equalWidth="0">
            <w:col w:w="11881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46" w:line="195" w:lineRule="auto"/>
        <w:ind w:left="379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30</w:t>
      </w:r>
    </w:p>
    <w:p>
      <w:pPr>
        <w:spacing w:before="244" w:line="195" w:lineRule="auto"/>
        <w:ind w:left="379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25</w:t>
      </w:r>
    </w:p>
    <w:p>
      <w:pPr>
        <w:spacing w:before="245" w:line="195" w:lineRule="auto"/>
        <w:ind w:left="379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20</w:t>
      </w:r>
    </w:p>
    <w:p>
      <w:pPr>
        <w:spacing w:before="245" w:line="195" w:lineRule="auto"/>
        <w:ind w:left="380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15</w:t>
      </w:r>
    </w:p>
    <w:p>
      <w:pPr>
        <w:spacing w:before="244" w:line="195" w:lineRule="auto"/>
        <w:ind w:left="380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10</w:t>
      </w:r>
    </w:p>
    <w:p>
      <w:pPr>
        <w:spacing w:before="248" w:line="192" w:lineRule="auto"/>
        <w:ind w:left="388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5</w:t>
      </w:r>
    </w:p>
    <w:p>
      <w:pPr>
        <w:spacing w:before="245" w:line="195" w:lineRule="auto"/>
        <w:ind w:left="388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216" w:lineRule="auto"/>
        <w:ind w:left="1192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269747" cy="76199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69747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sz w:val="16"/>
          <w:szCs w:val="16"/>
        </w:rPr>
        <w:t xml:space="preserve"> </w:t>
      </w:r>
      <w:r>
        <w:rPr>
          <w:spacing w:val="-4"/>
          <w:sz w:val="16"/>
          <w:szCs w:val="16"/>
        </w:rPr>
        <w:t>中东新增装机规模</w:t>
      </w:r>
      <w:r>
        <w:rPr>
          <w:spacing w:val="1"/>
          <w:sz w:val="16"/>
          <w:szCs w:val="16"/>
        </w:rPr>
        <w:t xml:space="preserve">                </w:t>
      </w:r>
      <w:r>
        <w:rPr>
          <w:position w:val="3"/>
          <w:sz w:val="16"/>
          <w:szCs w:val="16"/>
        </w:rPr>
        <w:drawing>
          <wp:inline distT="0" distB="0" distL="0" distR="0">
            <wp:extent cx="272796" cy="28956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72796" cy="28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4"/>
          <w:sz w:val="16"/>
          <w:szCs w:val="16"/>
        </w:rPr>
        <w:t xml:space="preserve"> </w:t>
      </w:r>
      <w:r>
        <w:rPr>
          <w:spacing w:val="-4"/>
          <w:sz w:val="16"/>
          <w:szCs w:val="16"/>
        </w:rPr>
        <w:t>同比</w:t>
      </w:r>
    </w:p>
    <w:p>
      <w:pPr>
        <w:spacing w:line="167" w:lineRule="exact"/>
      </w:pPr>
    </w:p>
    <w:tbl>
      <w:tblPr>
        <w:tblStyle w:val="TableNormal9"/>
        <w:tblW w:w="6256" w:type="dxa"/>
        <w:tblInd w:w="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95"/>
        <w:gridCol w:w="832"/>
        <w:gridCol w:w="629"/>
      </w:tblGrid>
      <w:tr>
        <w:tblPrEx>
          <w:tblW w:w="6256" w:type="dxa"/>
          <w:tblInd w:w="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5"/>
        </w:trPr>
        <w:tc>
          <w:tcPr>
            <w:tcW w:w="4795" w:type="dxa"/>
            <w:vMerge w:val="restart"/>
            <w:tcBorders>
              <w:left w:val="single" w:sz="2" w:space="0" w:color="000000"/>
              <w:bottom w:val="nil"/>
              <w:right w:val="single" w:sz="16" w:space="0" w:color="000000"/>
            </w:tcBorders>
            <w:vAlign w:val="top"/>
          </w:tcPr>
          <w:p>
            <w:pPr>
              <w:pStyle w:val="TableText"/>
              <w:spacing w:line="343" w:lineRule="auto"/>
              <w:rPr>
                <w:sz w:val="21"/>
              </w:rPr>
            </w:pPr>
            <w:r>
              <w:pict>
                <v:rect id="_x0000_s1083" style="width:2.4pt;height:0.25pt;margin-top:98.52pt;margin-left:-238.76pt;mso-position-horizontal-relative:right-margin-area;mso-position-vertical-relative:top-margin-area;position:absolute;z-index:251698176" filled="t" fillcolor="black" stroked="f"/>
              </w:pict>
            </w:r>
            <w:r>
              <w:pict>
                <v:rect id="_x0000_s1084" style="width:2.4pt;height:0.25pt;margin-top:78.84pt;margin-left:-238.76pt;mso-position-horizontal-relative:right-margin-area;mso-position-vertical-relative:top-margin-area;position:absolute;z-index:251700224" filled="t" fillcolor="black" stroked="f"/>
              </w:pict>
            </w:r>
            <w:r>
              <w:pict>
                <v:rect id="_x0000_s1085" style="width:2.4pt;height:0.25pt;margin-top:19.68pt;margin-left:-238.76pt;mso-position-horizontal-relative:right-margin-area;mso-position-vertical-relative:top-margin-area;position:absolute;z-index:251699200" filled="t" fillcolor="black" stroked="f"/>
              </w:pict>
            </w:r>
            <w:r>
              <w:pict>
                <v:rect id="_x0000_s1086" style="width:2.4pt;height:0.25pt;margin-top:59.16pt;margin-left:-238.76pt;mso-position-horizontal-relative:right-margin-area;mso-position-vertical-relative:top-margin-area;position:absolute;z-index:251697152" filled="t" fillcolor="black" stroked="f"/>
              </w:pict>
            </w:r>
            <w:r>
              <w:pict>
                <v:rect id="_x0000_s1087" style="width:2.4pt;height:0.25pt;margin-top:39.36pt;margin-left:-238.76pt;mso-position-horizontal-relative:right-margin-area;mso-position-vertical-relative:top-margin-area;position:absolute;z-index:251696128" filled="t" fillcolor="black" stroked="f"/>
              </w:pict>
            </w:r>
            <w:r>
              <w:pict>
                <v:rect id="_x0000_s1088" style="width:0.25pt;height:2.4pt;margin-top:115.92pt;margin-left:-134.6pt;mso-position-horizontal-relative:right-margin-area;mso-position-vertical-relative:top-margin-area;position:absolute;z-index:251695104" filled="t" fillcolor="black" stroked="f"/>
              </w:pict>
            </w:r>
            <w:r>
              <w:pict>
                <v:rect id="_x0000_s1089" style="width:0.25pt;height:2.4pt;margin-top:115.92pt;margin-left:-30.32pt;mso-position-horizontal-relative:right-margin-area;mso-position-vertical-relative:top-margin-area;position:absolute;z-index:251694080" filled="t" fillcolor="black" stroked="f"/>
              </w:pict>
            </w:r>
            <w:r>
              <w:drawing>
                <wp:anchor distT="0" distB="0" distL="0" distR="0" simplePos="0" relativeHeight="251693056" behindDoc="1" locked="0" layoutInCell="1" allowOverlap="1">
                  <wp:simplePos x="0" y="0"/>
                  <wp:positionH relativeFrom="rightMargin">
                    <wp:posOffset>-2648140</wp:posOffset>
                  </wp:positionH>
                  <wp:positionV relativeFrom="topMargin">
                    <wp:posOffset>989076</wp:posOffset>
                  </wp:positionV>
                  <wp:extent cx="554736" cy="514350"/>
                  <wp:effectExtent l="0" t="0" r="0" b="0"/>
                  <wp:wrapNone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736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line="343" w:lineRule="auto"/>
              <w:rPr>
                <w:sz w:val="21"/>
              </w:rPr>
            </w:pPr>
          </w:p>
          <w:p>
            <w:pPr>
              <w:spacing w:line="1649" w:lineRule="exact"/>
              <w:ind w:firstLine="2687"/>
            </w:pPr>
            <w:r>
              <w:rPr>
                <w:position w:val="-32"/>
              </w:rPr>
              <w:drawing>
                <wp:inline distT="0" distB="0" distL="0" distR="0">
                  <wp:extent cx="554735" cy="1046987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735" cy="1046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tcBorders>
              <w:bottom w:val="single" w:sz="16" w:space="0" w:color="C30F1B"/>
            </w:tcBorders>
            <w:vAlign w:val="top"/>
          </w:tcPr>
          <w:p>
            <w:pPr>
              <w:pStyle w:val="TableText"/>
              <w:spacing w:line="225" w:lineRule="exact"/>
              <w:rPr>
                <w:sz w:val="19"/>
              </w:rPr>
            </w:pPr>
          </w:p>
        </w:tc>
        <w:tc>
          <w:tcPr>
            <w:tcW w:w="629" w:type="dxa"/>
            <w:vMerge w:val="restart"/>
            <w:tcBorders>
              <w:left w:val="single" w:sz="1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pStyle w:val="TableText"/>
              <w:spacing w:line="336" w:lineRule="auto"/>
              <w:rPr>
                <w:sz w:val="21"/>
              </w:rPr>
            </w:pPr>
          </w:p>
          <w:p>
            <w:pPr>
              <w:spacing w:line="1694" w:lineRule="exact"/>
              <w:ind w:firstLine="559"/>
            </w:pPr>
            <w:r>
              <w:rPr>
                <w:position w:val="-33"/>
              </w:rPr>
              <w:pict>
                <v:shape id="_x0000_i1090" style="width:2.55pt;height:84.75pt;mso-position-horizontal-relative:char;mso-position-vertical-relative:line" coordorigin="0,0" coordsize="50,1695" path="m,1691l50,1691m,1353l50,1353m,1015l50,1015m,676l50,676m,338l50,338m,2l50,2e" filled="f" strokecolor="black" strokeweight="0.24pt">
                  <w10:wrap type="none"/>
                </v:shape>
              </w:pict>
            </w:r>
          </w:p>
        </w:tc>
      </w:tr>
      <w:tr>
        <w:tblPrEx>
          <w:tblW w:w="6256" w:type="dxa"/>
          <w:tblInd w:w="2" w:type="dxa"/>
          <w:tblLayout w:type="fixed"/>
        </w:tblPrEx>
        <w:trPr>
          <w:trHeight w:val="2075"/>
        </w:trPr>
        <w:tc>
          <w:tcPr>
            <w:tcW w:w="479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32" w:type="dxa"/>
            <w:tcBorders>
              <w:top w:val="single" w:sz="16" w:space="0" w:color="C30F1B"/>
              <w:left w:val="single" w:sz="16" w:space="0" w:color="C30F1B"/>
              <w:bottom w:val="single" w:sz="12" w:space="0" w:color="C30F1B"/>
              <w:right w:val="single" w:sz="16" w:space="0" w:color="C30F1B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spacing w:before="113" w:line="118" w:lineRule="exact"/>
        <w:ind w:left="87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2"/>
          <w:sz w:val="16"/>
          <w:szCs w:val="16"/>
        </w:rPr>
        <w:t xml:space="preserve">2022                                      2023E   </w:t>
      </w:r>
      <w:r>
        <w:rPr>
          <w:rFonts w:ascii="Arial" w:eastAsia="Arial" w:hAnsi="Arial" w:cs="Arial"/>
          <w:spacing w:val="-1"/>
          <w:position w:val="-2"/>
          <w:sz w:val="16"/>
          <w:szCs w:val="16"/>
        </w:rPr>
        <w:t xml:space="preserve">                                  2024E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46" w:line="338" w:lineRule="exact"/>
        <w:ind w:left="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position w:val="15"/>
          <w:sz w:val="16"/>
          <w:szCs w:val="16"/>
        </w:rPr>
        <w:t>140%</w:t>
      </w:r>
    </w:p>
    <w:p>
      <w:pPr>
        <w:spacing w:line="196" w:lineRule="auto"/>
        <w:ind w:left="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sz w:val="16"/>
          <w:szCs w:val="16"/>
        </w:rPr>
        <w:t>120%</w:t>
      </w:r>
    </w:p>
    <w:p>
      <w:pPr>
        <w:spacing w:before="187" w:line="197" w:lineRule="auto"/>
        <w:ind w:left="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sz w:val="16"/>
          <w:szCs w:val="16"/>
        </w:rPr>
        <w:t>100%</w:t>
      </w:r>
    </w:p>
    <w:p>
      <w:pPr>
        <w:spacing w:before="187" w:line="197" w:lineRule="auto"/>
        <w:ind w:left="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80%</w:t>
      </w:r>
    </w:p>
    <w:p>
      <w:pPr>
        <w:spacing w:before="187" w:line="197" w:lineRule="auto"/>
        <w:ind w:left="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60%</w:t>
      </w:r>
    </w:p>
    <w:p>
      <w:pPr>
        <w:spacing w:before="187" w:line="197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40%</w:t>
      </w:r>
    </w:p>
    <w:p>
      <w:pPr>
        <w:spacing w:before="187" w:line="197" w:lineRule="auto"/>
        <w:ind w:left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20%</w:t>
      </w:r>
    </w:p>
    <w:p>
      <w:pPr>
        <w:spacing w:before="187" w:line="197" w:lineRule="auto"/>
        <w:ind w:left="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0%</w:t>
      </w:r>
    </w:p>
    <w:p>
      <w:pPr>
        <w:spacing w:line="197" w:lineRule="auto"/>
        <w:rPr>
          <w:rFonts w:ascii="Arial" w:eastAsia="Arial" w:hAnsi="Arial" w:cs="Arial"/>
          <w:sz w:val="16"/>
          <w:szCs w:val="16"/>
        </w:rPr>
        <w:sectPr>
          <w:headerReference w:type="default" r:id="rId98"/>
          <w:footerReference w:type="default" r:id="rId99"/>
          <w:type w:val="continuous"/>
          <w:pgSz w:w="11907" w:h="16839"/>
          <w:pgMar w:top="1202" w:right="14" w:bottom="928" w:left="11" w:header="10" w:footer="21" w:gutter="0"/>
          <w:pgNumType w:start="25"/>
          <w:cols w:num="3" w:space="708" w:equalWidth="0">
            <w:col w:w="4003" w:space="100"/>
            <w:col w:w="6300" w:space="100"/>
            <w:col w:w="1379" w:space="0"/>
          </w:cols>
        </w:sectPr>
      </w:pPr>
    </w:p>
    <w:p>
      <w:pPr>
        <w:spacing w:before="136"/>
        <w:sectPr>
          <w:headerReference w:type="default" r:id="rId100"/>
          <w:footerReference w:type="default" r:id="rId101"/>
          <w:type w:val="continuous"/>
          <w:pgSz w:w="11907" w:h="16839"/>
          <w:pgMar w:top="1202" w:right="14" w:bottom="928" w:left="11" w:header="10" w:footer="21" w:gutter="0"/>
          <w:pgNumType w:start="26"/>
          <w:cols w:num="1" w:space="708" w:equalWidth="0">
            <w:col w:w="11881" w:space="0"/>
          </w:cols>
        </w:sectPr>
      </w:pPr>
    </w:p>
    <w:tbl>
      <w:tblPr>
        <w:tblStyle w:val="TableNormal10"/>
        <w:tblW w:w="8161" w:type="dxa"/>
        <w:tblInd w:w="30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30"/>
        <w:gridCol w:w="1186"/>
        <w:gridCol w:w="1185"/>
        <w:gridCol w:w="1188"/>
        <w:gridCol w:w="1186"/>
        <w:gridCol w:w="1186"/>
      </w:tblGrid>
      <w:tr>
        <w:tblPrEx>
          <w:tblW w:w="8161" w:type="dxa"/>
          <w:tblInd w:w="30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21"/>
        </w:trPr>
        <w:tc>
          <w:tcPr>
            <w:tcW w:w="8161" w:type="dxa"/>
            <w:gridSpan w:val="6"/>
            <w:tcBorders>
              <w:top w:val="single" w:sz="2" w:space="0" w:color="000000"/>
            </w:tcBorders>
            <w:vAlign w:val="top"/>
          </w:tcPr>
          <w:p>
            <w:pPr>
              <w:spacing w:before="98" w:line="225" w:lineRule="auto"/>
              <w:ind w:left="25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资料来源：集邦新能源，西部证券研发中心</w:t>
            </w:r>
          </w:p>
          <w:p>
            <w:pPr>
              <w:pStyle w:val="TableText"/>
              <w:spacing w:before="131" w:line="269" w:lineRule="auto"/>
              <w:ind w:left="9" w:right="6" w:firstLine="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24</w:t>
            </w:r>
            <w:r>
              <w:rPr>
                <w:spacing w:val="57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1"/>
                <w:sz w:val="21"/>
                <w:szCs w:val="21"/>
              </w:rPr>
              <w:t>年来看亚太市场将维持较快增速，为中信博的</w:t>
            </w:r>
            <w:r>
              <w:rPr>
                <w:rFonts w:ascii="KaiTi" w:eastAsia="KaiTi" w:hAnsi="KaiTi" w:cs="KaiTi"/>
                <w:sz w:val="21"/>
                <w:szCs w:val="21"/>
              </w:rPr>
              <w:t>订单需求提供稳定支持，同时中信博也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10"/>
                <w:sz w:val="21"/>
                <w:szCs w:val="21"/>
              </w:rPr>
              <w:t>在美国等地区有所突破，有望扩大公司市占率。</w:t>
            </w:r>
            <w:r>
              <w:rPr>
                <w:rFonts w:ascii="KaiTi" w:eastAsia="KaiTi" w:hAnsi="KaiTi" w:cs="KaiTi"/>
                <w:spacing w:val="-61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10"/>
                <w:sz w:val="21"/>
                <w:szCs w:val="21"/>
              </w:rPr>
              <w:t>预计公司</w:t>
            </w:r>
            <w:r>
              <w:rPr>
                <w:rFonts w:ascii="KaiTi" w:eastAsia="KaiTi" w:hAnsi="KaiTi" w:cs="KaiTi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 xml:space="preserve">23-25  </w:t>
            </w:r>
            <w:r>
              <w:rPr>
                <w:rFonts w:ascii="KaiTi" w:eastAsia="KaiTi" w:hAnsi="KaiTi" w:cs="KaiTi"/>
                <w:spacing w:val="10"/>
                <w:sz w:val="21"/>
                <w:szCs w:val="21"/>
              </w:rPr>
              <w:t>年实现归母净利润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 xml:space="preserve">3.57/4.94/6.56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亿元，</w:t>
            </w:r>
            <w:r>
              <w:rPr>
                <w:rFonts w:ascii="KaiTi" w:eastAsia="KaiTi" w:hAnsi="KaiTi" w:cs="KaiTi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同比</w:t>
            </w:r>
            <w:r>
              <w:rPr>
                <w:spacing w:val="-3"/>
                <w:sz w:val="21"/>
                <w:szCs w:val="21"/>
              </w:rPr>
              <w:t>+703.5%/+38.3%/+32.8%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，</w:t>
            </w:r>
            <w:r>
              <w:rPr>
                <w:spacing w:val="-3"/>
                <w:sz w:val="21"/>
                <w:szCs w:val="21"/>
              </w:rPr>
              <w:t xml:space="preserve">EPS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分别为</w:t>
            </w:r>
            <w:r>
              <w:rPr>
                <w:rFonts w:ascii="KaiTi" w:eastAsia="KaiTi" w:hAnsi="KaiTi" w:cs="KaiTi"/>
                <w:spacing w:val="-4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2.63/3.64/4.83</w:t>
            </w:r>
            <w:r>
              <w:rPr>
                <w:spacing w:val="13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元，维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持“买入”评级。</w:t>
            </w:r>
          </w:p>
          <w:p>
            <w:pPr>
              <w:pStyle w:val="TableText"/>
              <w:spacing w:before="247" w:line="226" w:lineRule="auto"/>
              <w:ind w:left="7"/>
              <w:rPr>
                <w:rFonts w:ascii="KaiTi" w:eastAsia="KaiTi" w:hAnsi="KaiTi" w:cs="KaiTi"/>
                <w:sz w:val="19"/>
                <w:szCs w:val="19"/>
              </w:rPr>
            </w:pPr>
            <w:r>
              <w:rPr>
                <w:rFonts w:ascii="KaiTi" w:eastAsia="KaiTi" w:hAnsi="KaiTi" w:cs="KaiTi"/>
                <w:color w:val="0D0D0D"/>
                <w:spacing w:val="6"/>
                <w:sz w:val="19"/>
                <w:szCs w:val="19"/>
              </w:rPr>
              <w:t>表</w:t>
            </w:r>
            <w:r>
              <w:rPr>
                <w:rFonts w:ascii="KaiTi" w:eastAsia="KaiTi" w:hAnsi="KaiTi" w:cs="KaiTi"/>
                <w:color w:val="0D0D0D"/>
                <w:spacing w:val="-36"/>
                <w:sz w:val="19"/>
                <w:szCs w:val="19"/>
              </w:rPr>
              <w:t xml:space="preserve"> </w:t>
            </w:r>
            <w:r>
              <w:rPr>
                <w:color w:val="0D0D0D"/>
                <w:spacing w:val="6"/>
                <w:sz w:val="19"/>
                <w:szCs w:val="19"/>
              </w:rPr>
              <w:t>4</w:t>
            </w:r>
            <w:r>
              <w:rPr>
                <w:rFonts w:ascii="KaiTi" w:eastAsia="KaiTi" w:hAnsi="KaiTi" w:cs="KaiTi"/>
                <w:color w:val="0D0D0D"/>
                <w:spacing w:val="6"/>
                <w:sz w:val="19"/>
                <w:szCs w:val="19"/>
              </w:rPr>
              <w:t>：中信博财务预测</w:t>
            </w:r>
          </w:p>
        </w:tc>
      </w:tr>
      <w:tr>
        <w:tblPrEx>
          <w:tblW w:w="8161" w:type="dxa"/>
          <w:tblInd w:w="3063" w:type="dxa"/>
          <w:tblLayout w:type="fixed"/>
        </w:tblPrEx>
        <w:trPr>
          <w:trHeight w:val="326"/>
        </w:trPr>
        <w:tc>
          <w:tcPr>
            <w:tcW w:w="2230" w:type="dxa"/>
            <w:shd w:val="clear" w:color="auto" w:fill="C30F1B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86" w:type="dxa"/>
            <w:shd w:val="clear" w:color="auto" w:fill="C30F1B"/>
            <w:vAlign w:val="top"/>
          </w:tcPr>
          <w:p>
            <w:pPr>
              <w:pStyle w:val="TableText"/>
              <w:spacing w:before="108" w:line="195" w:lineRule="auto"/>
              <w:ind w:left="419"/>
            </w:pPr>
            <w:r>
              <w:rPr>
                <w:b/>
                <w:bCs/>
                <w:color w:val="FFFFFF"/>
                <w:spacing w:val="-1"/>
              </w:rPr>
              <w:t>2021</w:t>
            </w:r>
          </w:p>
        </w:tc>
        <w:tc>
          <w:tcPr>
            <w:tcW w:w="1185" w:type="dxa"/>
            <w:shd w:val="clear" w:color="auto" w:fill="C30F1B"/>
            <w:vAlign w:val="top"/>
          </w:tcPr>
          <w:p>
            <w:pPr>
              <w:pStyle w:val="TableText"/>
              <w:spacing w:before="108" w:line="195" w:lineRule="auto"/>
              <w:ind w:left="419"/>
            </w:pPr>
            <w:r>
              <w:rPr>
                <w:b/>
                <w:bCs/>
                <w:color w:val="FFFFFF"/>
                <w:spacing w:val="-1"/>
              </w:rPr>
              <w:t>2022</w:t>
            </w:r>
          </w:p>
        </w:tc>
        <w:tc>
          <w:tcPr>
            <w:tcW w:w="1188" w:type="dxa"/>
            <w:shd w:val="clear" w:color="auto" w:fill="C30F1B"/>
            <w:vAlign w:val="top"/>
          </w:tcPr>
          <w:p>
            <w:pPr>
              <w:pStyle w:val="TableText"/>
              <w:spacing w:before="108" w:line="195" w:lineRule="auto"/>
              <w:ind w:left="367"/>
            </w:pPr>
            <w:r>
              <w:rPr>
                <w:b/>
                <w:bCs/>
                <w:color w:val="FFFFFF"/>
                <w:spacing w:val="-1"/>
              </w:rPr>
              <w:t>2023E</w:t>
            </w:r>
          </w:p>
        </w:tc>
        <w:tc>
          <w:tcPr>
            <w:tcW w:w="1186" w:type="dxa"/>
            <w:shd w:val="clear" w:color="auto" w:fill="C30F1B"/>
            <w:vAlign w:val="top"/>
          </w:tcPr>
          <w:p>
            <w:pPr>
              <w:pStyle w:val="TableText"/>
              <w:spacing w:before="108" w:line="195" w:lineRule="auto"/>
              <w:ind w:left="365"/>
            </w:pPr>
            <w:r>
              <w:rPr>
                <w:b/>
                <w:bCs/>
                <w:color w:val="FFFFFF"/>
                <w:spacing w:val="-1"/>
              </w:rPr>
              <w:t>2024E</w:t>
            </w:r>
          </w:p>
        </w:tc>
        <w:tc>
          <w:tcPr>
            <w:tcW w:w="1186" w:type="dxa"/>
            <w:shd w:val="clear" w:color="auto" w:fill="C30F1B"/>
            <w:vAlign w:val="top"/>
          </w:tcPr>
          <w:p>
            <w:pPr>
              <w:pStyle w:val="TableText"/>
              <w:spacing w:before="108" w:line="195" w:lineRule="auto"/>
              <w:ind w:left="367"/>
            </w:pPr>
            <w:r>
              <w:rPr>
                <w:b/>
                <w:bCs/>
                <w:color w:val="FFFFFF"/>
                <w:spacing w:val="-1"/>
              </w:rPr>
              <w:t>2025E</w:t>
            </w:r>
          </w:p>
        </w:tc>
      </w:tr>
      <w:tr>
        <w:tblPrEx>
          <w:tblW w:w="8161" w:type="dxa"/>
          <w:tblInd w:w="3063" w:type="dxa"/>
          <w:tblLayout w:type="fixed"/>
        </w:tblPrEx>
        <w:trPr>
          <w:trHeight w:val="328"/>
        </w:trPr>
        <w:tc>
          <w:tcPr>
            <w:tcW w:w="2230" w:type="dxa"/>
            <w:vAlign w:val="top"/>
          </w:tcPr>
          <w:p>
            <w:pPr>
              <w:spacing w:before="86" w:line="225" w:lineRule="auto"/>
              <w:ind w:left="3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营业收入（百万元）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6" w:line="195" w:lineRule="auto"/>
              <w:ind w:left="4"/>
            </w:pPr>
            <w:r>
              <w:rPr>
                <w:spacing w:val="-1"/>
              </w:rPr>
              <w:t>2,415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6" w:line="195" w:lineRule="auto"/>
              <w:ind w:left="6"/>
            </w:pPr>
            <w:r>
              <w:rPr>
                <w:spacing w:val="-2"/>
              </w:rPr>
              <w:t>3,703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106" w:line="195" w:lineRule="auto"/>
              <w:ind w:left="6"/>
            </w:pPr>
            <w:r>
              <w:rPr>
                <w:spacing w:val="-2"/>
              </w:rPr>
              <w:t>6,181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6" w:line="195" w:lineRule="auto"/>
              <w:ind w:left="7"/>
            </w:pPr>
            <w:r>
              <w:rPr>
                <w:spacing w:val="-2"/>
              </w:rPr>
              <w:t>8,018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6" w:line="195" w:lineRule="auto"/>
              <w:ind w:left="18"/>
            </w:pPr>
            <w:r>
              <w:rPr>
                <w:spacing w:val="-3"/>
              </w:rPr>
              <w:t>10,514</w:t>
            </w:r>
          </w:p>
        </w:tc>
      </w:tr>
      <w:tr>
        <w:tblPrEx>
          <w:tblW w:w="8161" w:type="dxa"/>
          <w:tblInd w:w="3063" w:type="dxa"/>
          <w:tblLayout w:type="fixed"/>
        </w:tblPrEx>
        <w:trPr>
          <w:trHeight w:val="323"/>
        </w:trPr>
        <w:tc>
          <w:tcPr>
            <w:tcW w:w="2230" w:type="dxa"/>
            <w:vAlign w:val="top"/>
          </w:tcPr>
          <w:p>
            <w:pPr>
              <w:spacing w:before="85" w:line="218" w:lineRule="auto"/>
              <w:ind w:left="2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增长率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3" w:line="197" w:lineRule="auto"/>
              <w:ind w:left="5"/>
            </w:pPr>
            <w:r>
              <w:rPr>
                <w:spacing w:val="-1"/>
              </w:rPr>
              <w:t>-22.8%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3" w:line="197" w:lineRule="auto"/>
              <w:ind w:left="6"/>
            </w:pPr>
            <w:r>
              <w:rPr>
                <w:spacing w:val="-2"/>
              </w:rPr>
              <w:t>53.3%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103" w:line="197" w:lineRule="auto"/>
              <w:ind w:left="6"/>
            </w:pPr>
            <w:r>
              <w:rPr>
                <w:spacing w:val="-2"/>
              </w:rPr>
              <w:t>66.9%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3" w:line="197" w:lineRule="auto"/>
              <w:ind w:left="6"/>
            </w:pPr>
            <w:r>
              <w:rPr>
                <w:spacing w:val="-1"/>
              </w:rPr>
              <w:t>29.7%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3" w:line="197" w:lineRule="auto"/>
              <w:ind w:left="7"/>
            </w:pPr>
            <w:r>
              <w:rPr>
                <w:spacing w:val="-2"/>
              </w:rPr>
              <w:t>31.1%</w:t>
            </w:r>
          </w:p>
        </w:tc>
      </w:tr>
      <w:tr>
        <w:tblPrEx>
          <w:tblW w:w="8161" w:type="dxa"/>
          <w:tblInd w:w="3063" w:type="dxa"/>
          <w:tblLayout w:type="fixed"/>
        </w:tblPrEx>
        <w:trPr>
          <w:trHeight w:val="333"/>
        </w:trPr>
        <w:tc>
          <w:tcPr>
            <w:tcW w:w="2230" w:type="dxa"/>
            <w:vAlign w:val="top"/>
          </w:tcPr>
          <w:p>
            <w:pPr>
              <w:pStyle w:val="TableText"/>
              <w:spacing w:before="85" w:line="213" w:lineRule="auto"/>
              <w:ind w:left="33"/>
            </w:pPr>
            <w:r>
              <w:rPr>
                <w:rFonts w:ascii="KaiTi" w:eastAsia="KaiTi" w:hAnsi="KaiTi" w:cs="KaiTi"/>
                <w:spacing w:val="-3"/>
              </w:rPr>
              <w:t>归母净利润</w:t>
            </w:r>
            <w:r>
              <w:rPr>
                <w:rFonts w:ascii="KaiTi" w:eastAsia="KaiTi" w:hAnsi="KaiTi" w:cs="KaiTi"/>
                <w:spacing w:val="13"/>
              </w:rPr>
              <w:t xml:space="preserve"> </w:t>
            </w:r>
            <w:r>
              <w:rPr>
                <w:spacing w:val="-3"/>
              </w:rPr>
              <w:t>(</w:t>
            </w:r>
            <w:r>
              <w:rPr>
                <w:rFonts w:ascii="KaiTi" w:eastAsia="KaiTi" w:hAnsi="KaiTi" w:cs="KaiTi"/>
                <w:spacing w:val="-3"/>
              </w:rPr>
              <w:t>百万元</w:t>
            </w:r>
            <w:r>
              <w:rPr>
                <w:spacing w:val="-3"/>
              </w:rPr>
              <w:t>)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5" w:line="195" w:lineRule="auto"/>
              <w:ind w:left="17"/>
            </w:pPr>
            <w:r>
              <w:rPr>
                <w:spacing w:val="-5"/>
              </w:rPr>
              <w:t>15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6" w:line="194" w:lineRule="auto"/>
              <w:ind w:left="2"/>
            </w:pPr>
            <w:r>
              <w:rPr>
                <w:spacing w:val="-1"/>
              </w:rPr>
              <w:t>44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105" w:line="195" w:lineRule="auto"/>
              <w:ind w:left="7"/>
            </w:pPr>
            <w:r>
              <w:rPr>
                <w:spacing w:val="-2"/>
              </w:rPr>
              <w:t>357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5" w:line="195" w:lineRule="auto"/>
              <w:ind w:left="3"/>
            </w:pPr>
            <w:r>
              <w:rPr>
                <w:spacing w:val="-1"/>
              </w:rPr>
              <w:t>494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5" w:line="195" w:lineRule="auto"/>
              <w:ind w:left="7"/>
            </w:pPr>
            <w:r>
              <w:rPr>
                <w:spacing w:val="-2"/>
              </w:rPr>
              <w:t>656</w:t>
            </w:r>
          </w:p>
        </w:tc>
      </w:tr>
      <w:tr>
        <w:tblPrEx>
          <w:tblW w:w="8161" w:type="dxa"/>
          <w:tblInd w:w="3063" w:type="dxa"/>
          <w:tblLayout w:type="fixed"/>
        </w:tblPrEx>
        <w:trPr>
          <w:trHeight w:val="317"/>
        </w:trPr>
        <w:tc>
          <w:tcPr>
            <w:tcW w:w="2230" w:type="dxa"/>
            <w:vAlign w:val="top"/>
          </w:tcPr>
          <w:p>
            <w:pPr>
              <w:spacing w:before="79" w:line="218" w:lineRule="auto"/>
              <w:ind w:left="2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增长率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7" w:line="197" w:lineRule="auto"/>
              <w:ind w:left="5"/>
            </w:pPr>
            <w:r>
              <w:rPr>
                <w:spacing w:val="-1"/>
              </w:rPr>
              <w:t>-94.7%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97" w:line="197" w:lineRule="auto"/>
              <w:ind w:left="17"/>
            </w:pPr>
            <w:r>
              <w:rPr>
                <w:spacing w:val="-3"/>
              </w:rPr>
              <w:t>195.6%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97" w:line="197" w:lineRule="auto"/>
              <w:ind w:left="8"/>
            </w:pPr>
            <w:r>
              <w:rPr>
                <w:spacing w:val="-2"/>
              </w:rPr>
              <w:t>703.5%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7" w:line="197" w:lineRule="auto"/>
              <w:ind w:left="8"/>
            </w:pPr>
            <w:r>
              <w:rPr>
                <w:spacing w:val="-2"/>
              </w:rPr>
              <w:t>38.3%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7" w:line="197" w:lineRule="auto"/>
              <w:ind w:left="7"/>
            </w:pPr>
            <w:r>
              <w:rPr>
                <w:spacing w:val="-2"/>
              </w:rPr>
              <w:t>32.8%</w:t>
            </w:r>
          </w:p>
        </w:tc>
      </w:tr>
      <w:tr>
        <w:tblPrEx>
          <w:tblW w:w="8161" w:type="dxa"/>
          <w:tblInd w:w="3063" w:type="dxa"/>
          <w:tblLayout w:type="fixed"/>
        </w:tblPrEx>
        <w:trPr>
          <w:trHeight w:val="327"/>
        </w:trPr>
        <w:tc>
          <w:tcPr>
            <w:tcW w:w="2230" w:type="dxa"/>
            <w:vAlign w:val="top"/>
          </w:tcPr>
          <w:p>
            <w:pPr>
              <w:pStyle w:val="TableText"/>
              <w:spacing w:before="88" w:line="218" w:lineRule="auto"/>
              <w:ind w:left="18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每股收益（</w:t>
            </w:r>
            <w:r>
              <w:rPr>
                <w:spacing w:val="-1"/>
              </w:rPr>
              <w:t>EPS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8" w:line="195" w:lineRule="auto"/>
              <w:ind w:left="6"/>
            </w:pPr>
            <w:r>
              <w:rPr>
                <w:spacing w:val="-2"/>
              </w:rPr>
              <w:t>0.11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108" w:line="195" w:lineRule="auto"/>
              <w:ind w:left="6"/>
            </w:pPr>
            <w:r>
              <w:rPr>
                <w:spacing w:val="-2"/>
              </w:rPr>
              <w:t>0.33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108" w:line="195" w:lineRule="auto"/>
              <w:ind w:left="5"/>
            </w:pPr>
            <w:r>
              <w:rPr>
                <w:spacing w:val="-1"/>
              </w:rPr>
              <w:t>2.63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8" w:line="195" w:lineRule="auto"/>
              <w:ind w:left="8"/>
            </w:pPr>
            <w:r>
              <w:rPr>
                <w:spacing w:val="-2"/>
              </w:rPr>
              <w:t>3.64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8" w:line="195" w:lineRule="auto"/>
              <w:ind w:left="3"/>
            </w:pPr>
            <w:r>
              <w:rPr>
                <w:spacing w:val="-1"/>
              </w:rPr>
              <w:t>4.83</w:t>
            </w:r>
          </w:p>
        </w:tc>
      </w:tr>
      <w:tr>
        <w:tblPrEx>
          <w:tblW w:w="8161" w:type="dxa"/>
          <w:tblInd w:w="3063" w:type="dxa"/>
          <w:tblLayout w:type="fixed"/>
        </w:tblPrEx>
        <w:trPr>
          <w:trHeight w:val="334"/>
        </w:trPr>
        <w:tc>
          <w:tcPr>
            <w:tcW w:w="223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218" w:lineRule="auto"/>
              <w:ind w:left="22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市盈率（</w:t>
            </w:r>
            <w:r>
              <w:rPr>
                <w:spacing w:val="-1"/>
              </w:rPr>
              <w:t>P/E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18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7"/>
            </w:pPr>
            <w:r>
              <w:rPr>
                <w:spacing w:val="-2"/>
              </w:rPr>
              <w:t>799.4</w:t>
            </w:r>
          </w:p>
        </w:tc>
        <w:tc>
          <w:tcPr>
            <w:tcW w:w="118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4"/>
            </w:pPr>
            <w:r>
              <w:rPr>
                <w:spacing w:val="-1"/>
              </w:rPr>
              <w:t>270.5</w:t>
            </w:r>
          </w:p>
        </w:tc>
        <w:tc>
          <w:tcPr>
            <w:tcW w:w="118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7"/>
            </w:pPr>
            <w:r>
              <w:rPr>
                <w:spacing w:val="-2"/>
              </w:rPr>
              <w:t>33.7</w:t>
            </w:r>
          </w:p>
        </w:tc>
        <w:tc>
          <w:tcPr>
            <w:tcW w:w="118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6"/>
            </w:pPr>
            <w:r>
              <w:rPr>
                <w:spacing w:val="-1"/>
              </w:rPr>
              <w:t>24.3</w:t>
            </w:r>
          </w:p>
        </w:tc>
        <w:tc>
          <w:tcPr>
            <w:tcW w:w="118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18"/>
            </w:pPr>
            <w:r>
              <w:rPr>
                <w:spacing w:val="-5"/>
              </w:rPr>
              <w:t>18.3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02"/>
          <w:footerReference w:type="default" r:id="rId103"/>
          <w:type w:val="nextPage"/>
          <w:pgSz w:w="11907" w:h="16839"/>
          <w:pgMar w:top="1202" w:right="14" w:bottom="928" w:left="11" w:header="10" w:footer="21" w:gutter="0"/>
          <w:pgNumType w:start="27"/>
          <w:cols w:num="1" w:space="708" w:equalWidth="0">
            <w:col w:w="11881" w:space="0"/>
          </w:cols>
          <w:titlePg w:val="0"/>
        </w:sectPr>
      </w:pPr>
    </w:p>
    <w:p>
      <w:pPr>
        <w:spacing w:before="220" w:line="327" w:lineRule="exact"/>
        <w:ind w:firstLine="3078"/>
      </w:pPr>
      <w:r>
        <w:pict>
          <v:shape id="_x0000_s1091" style="width:408.1pt;height:0.5pt;margin-top:103.82pt;margin-left:153.74pt;mso-position-horizontal-relative:page;mso-position-vertical-relative:page;position:absolute;z-index:251702272" coordorigin="0,0" coordsize="8162,10" o:allowincell="f" path="m,9l2227,9l2227,l,l,9xem2213,9l2223,9l2223,l2213,l2213,9xem2222,9l3413,9l3413,l2222,l2222,9xem3399,9l3409,9l3409,l3399,l3399,9xem3409,9l4601,9l4601,l3409,l3409,9xem4587,9l4597,9l4597,l4587,l4587,9xem4597,9l5787,9l5787,l4597,l4597,9xem5773,9l5783,9l5783,l5773,l5773,9xem5783,9l6973,9l6973,l5783,l5783,9xem6959,9l6968,9l6968,l6959,l6959,9xem6968,9l8161,9l8161,l6968,l6968,9xe" filled="t" fillcolor="black" stroked="f"/>
        </w:pict>
      </w:r>
      <w:r>
        <w:pict>
          <v:shape id="_x0000_s1092" style="width:528.1pt;height:0.5pt;margin-top:544.51pt;margin-left:33.24pt;mso-position-horizontal-relative:page;mso-position-vertical-relative:page;position:absolute;z-index:251701248" coordorigin="0,0" coordsize="10561,10" o:allowincell="f" path="m,9l2599,9l2599,l,l,9xem2585,9l2594,9l2594,l2585,l2585,9xem2594,9l3696,9l3696,l2594,l2594,9xem3682,9l3692,9l3692,l3682,l3682,9xem3692,9l4796,9l4796,l3692,l3692,9xem4781,9l4791,9l4791,l4781,l4781,9xem4791,9l6126,9l6126,l4791,l4791,9xem6111,9l6121,9l6121,l6111,l6111,9xem6121,9l7455,9l7455,l6121,l6121,9xem7441,9l7450,9l7450,l7441,l7441,9xem7451,9l8785,9l8785,l7451,l7451,9xem8771,9l8781,9l8781,l8771,l8771,9xem8781,9l10561,9l10561,l8781,l8781,9xe" filled="t" fillcolor="black" stroked="f"/>
        </w:pict>
      </w:r>
      <w:r>
        <w:rPr>
          <w:position w:val="-6"/>
        </w:rPr>
        <w:pict>
          <v:shape id="_x0000_i1093" type="#_x0000_t202" style="width:407.4pt;height:16.35pt;mso-position-horizontal-relative:char;mso-position-vertical-relative:line" filled="t" fillcolor="#c30f1b" stroked="f">
            <o:lock v:ext="edit" aspectratio="f"/>
            <v:textbox inset="0,0,0,0">
              <w:txbxContent>
                <w:p>
                  <w:pPr>
                    <w:spacing w:before="105" w:line="195" w:lineRule="auto"/>
                    <w:ind w:left="26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16"/>
                      <w:szCs w:val="16"/>
                    </w:rPr>
                    <w:t>2021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1"/>
                      <w:sz w:val="16"/>
                      <w:szCs w:val="16"/>
                    </w:rPr>
                    <w:t xml:space="preserve"> 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16"/>
                      <w:szCs w:val="16"/>
                    </w:rPr>
                    <w:t>2022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2"/>
                      <w:sz w:val="16"/>
                      <w:szCs w:val="16"/>
                    </w:rPr>
                    <w:t xml:space="preserve">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16"/>
                      <w:szCs w:val="16"/>
                    </w:rPr>
                    <w:t xml:space="preserve">2023E          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6"/>
                      <w:szCs w:val="16"/>
                    </w:rPr>
                    <w:t xml:space="preserve">    2024E                 2025E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82" w:line="218" w:lineRule="auto"/>
        <w:ind w:left="3086"/>
        <w:rPr>
          <w:rFonts w:ascii="Arial" w:eastAsia="Arial" w:hAnsi="Arial" w:cs="Arial"/>
          <w:sz w:val="16"/>
          <w:szCs w:val="16"/>
        </w:rPr>
      </w:pPr>
      <w:r>
        <w:rPr>
          <w:sz w:val="16"/>
          <w:szCs w:val="16"/>
        </w:rPr>
        <w:t>市净率（</w:t>
      </w:r>
      <w:r>
        <w:rPr>
          <w:rFonts w:ascii="Arial" w:eastAsia="Arial" w:hAnsi="Arial" w:cs="Arial"/>
          <w:sz w:val="16"/>
          <w:szCs w:val="16"/>
        </w:rPr>
        <w:t>P/B</w:t>
      </w:r>
      <w:r>
        <w:rPr>
          <w:sz w:val="16"/>
          <w:szCs w:val="16"/>
        </w:rPr>
        <w:t>）</w:t>
      </w:r>
      <w:r>
        <w:rPr>
          <w:spacing w:val="2"/>
          <w:sz w:val="16"/>
          <w:szCs w:val="16"/>
        </w:rPr>
        <w:t xml:space="preserve">              </w:t>
      </w:r>
      <w:r>
        <w:rPr>
          <w:rFonts w:ascii="Arial" w:eastAsia="Arial" w:hAnsi="Arial" w:cs="Arial"/>
          <w:sz w:val="16"/>
          <w:szCs w:val="16"/>
        </w:rPr>
        <w:t>4.9</w:t>
      </w:r>
      <w:r>
        <w:rPr>
          <w:rFonts w:ascii="Arial" w:eastAsia="Arial" w:hAnsi="Arial" w:cs="Arial"/>
          <w:spacing w:val="2"/>
          <w:sz w:val="16"/>
          <w:szCs w:val="16"/>
        </w:rPr>
        <w:t xml:space="preserve">                     </w:t>
      </w:r>
      <w:r>
        <w:rPr>
          <w:rFonts w:ascii="Arial" w:eastAsia="Arial" w:hAnsi="Arial" w:cs="Arial"/>
          <w:sz w:val="16"/>
          <w:szCs w:val="16"/>
        </w:rPr>
        <w:t>4.8</w:t>
      </w:r>
      <w:r>
        <w:rPr>
          <w:rFonts w:ascii="Arial" w:eastAsia="Arial" w:hAnsi="Arial" w:cs="Arial"/>
          <w:spacing w:val="1"/>
          <w:sz w:val="16"/>
          <w:szCs w:val="16"/>
        </w:rPr>
        <w:t xml:space="preserve">                     </w:t>
      </w:r>
      <w:r>
        <w:rPr>
          <w:rFonts w:ascii="Arial" w:eastAsia="Arial" w:hAnsi="Arial" w:cs="Arial"/>
          <w:sz w:val="16"/>
          <w:szCs w:val="16"/>
        </w:rPr>
        <w:t xml:space="preserve">4.2            </w:t>
      </w:r>
      <w:r>
        <w:rPr>
          <w:rFonts w:ascii="Arial" w:eastAsia="Arial" w:hAnsi="Arial" w:cs="Arial"/>
          <w:spacing w:val="-1"/>
          <w:sz w:val="16"/>
          <w:szCs w:val="16"/>
        </w:rPr>
        <w:t xml:space="preserve">          3.6                      3.0</w:t>
      </w:r>
    </w:p>
    <w:p>
      <w:pPr>
        <w:pStyle w:val="BodyText"/>
        <w:spacing w:before="149" w:line="227" w:lineRule="auto"/>
        <w:ind w:left="3080"/>
        <w:rPr>
          <w:sz w:val="15"/>
          <w:szCs w:val="15"/>
        </w:rPr>
      </w:pPr>
      <w:r>
        <w:rPr>
          <w:spacing w:val="-5"/>
          <w:sz w:val="15"/>
          <w:szCs w:val="15"/>
        </w:rPr>
        <w:t>资料来源：</w:t>
      </w:r>
      <w:r>
        <w:rPr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spacing w:val="-5"/>
          <w:sz w:val="15"/>
          <w:szCs w:val="15"/>
        </w:rPr>
        <w:t>ifind</w:t>
      </w:r>
      <w:r>
        <w:rPr>
          <w:spacing w:val="-5"/>
          <w:sz w:val="15"/>
          <w:szCs w:val="15"/>
        </w:rPr>
        <w:t>，西部证券研发中心</w:t>
      </w:r>
    </w:p>
    <w:p>
      <w:pPr>
        <w:pStyle w:val="BodyText"/>
        <w:spacing w:before="142" w:line="217" w:lineRule="auto"/>
        <w:ind w:left="3082"/>
        <w:rPr>
          <w:sz w:val="15"/>
          <w:szCs w:val="15"/>
        </w:rPr>
      </w:pPr>
      <w:r>
        <w:rPr>
          <w:spacing w:val="-3"/>
          <w:sz w:val="15"/>
          <w:szCs w:val="15"/>
        </w:rPr>
        <w:t>注：数据截至</w:t>
      </w:r>
      <w:r>
        <w:rPr>
          <w:spacing w:val="-19"/>
          <w:sz w:val="15"/>
          <w:szCs w:val="15"/>
        </w:rPr>
        <w:t xml:space="preserve"> </w:t>
      </w:r>
      <w:r>
        <w:rPr>
          <w:rFonts w:ascii="Arial" w:eastAsia="Arial" w:hAnsi="Arial" w:cs="Arial"/>
          <w:spacing w:val="-3"/>
          <w:sz w:val="15"/>
          <w:szCs w:val="15"/>
        </w:rPr>
        <w:t xml:space="preserve">2024 </w:t>
      </w:r>
      <w:r>
        <w:rPr>
          <w:spacing w:val="-3"/>
          <w:sz w:val="15"/>
          <w:szCs w:val="15"/>
        </w:rPr>
        <w:t>年</w:t>
      </w:r>
      <w:r>
        <w:rPr>
          <w:spacing w:val="-32"/>
          <w:sz w:val="15"/>
          <w:szCs w:val="15"/>
        </w:rPr>
        <w:t xml:space="preserve"> </w:t>
      </w:r>
      <w:r>
        <w:rPr>
          <w:rFonts w:ascii="Arial" w:eastAsia="Arial" w:hAnsi="Arial" w:cs="Arial"/>
          <w:spacing w:val="-3"/>
          <w:sz w:val="15"/>
          <w:szCs w:val="15"/>
        </w:rPr>
        <w:t xml:space="preserve">2 </w:t>
      </w:r>
      <w:r>
        <w:rPr>
          <w:spacing w:val="-3"/>
          <w:sz w:val="15"/>
          <w:szCs w:val="15"/>
        </w:rPr>
        <w:t>月</w:t>
      </w:r>
      <w:r>
        <w:rPr>
          <w:spacing w:val="-33"/>
          <w:sz w:val="15"/>
          <w:szCs w:val="15"/>
        </w:rPr>
        <w:t xml:space="preserve"> </w:t>
      </w:r>
      <w:r>
        <w:rPr>
          <w:rFonts w:ascii="Arial" w:eastAsia="Arial" w:hAnsi="Arial" w:cs="Arial"/>
          <w:spacing w:val="-3"/>
          <w:sz w:val="15"/>
          <w:szCs w:val="15"/>
        </w:rPr>
        <w:t xml:space="preserve">23  </w:t>
      </w:r>
      <w:r>
        <w:rPr>
          <w:spacing w:val="-3"/>
          <w:sz w:val="15"/>
          <w:szCs w:val="15"/>
        </w:rPr>
        <w:t>日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3087"/>
      </w:pPr>
      <w:r>
        <w:rPr>
          <w:color w:val="C30F1B"/>
          <w:spacing w:val="-1"/>
          <w14:textOutline w14:w="3831">
            <w14:solidFill>
              <w14:srgbClr w14:val="C30F1B"/>
            </w14:solidFill>
            <w14:prstDash w14:val="solid"/>
            <w14:miter w14:lim="10"/>
          </w14:textOutline>
        </w:rPr>
        <w:t>意华股份：美国支架代工业务利润丰厚</w:t>
      </w:r>
    </w:p>
    <w:p>
      <w:pPr>
        <w:pStyle w:val="BodyText"/>
        <w:spacing w:before="244" w:line="269" w:lineRule="auto"/>
        <w:ind w:left="3071" w:right="582" w:firstLine="15"/>
        <w:jc w:val="both"/>
      </w:pPr>
      <w:r>
        <w:rPr>
          <w:spacing w:val="-2"/>
        </w:rPr>
        <w:t>意华股份在美国建设跟踪支架代工工厂，充分受益当地跟踪支架代工需求及当地高盈利属</w:t>
      </w:r>
      <w:r>
        <w:rPr>
          <w:spacing w:val="-2"/>
        </w:rPr>
        <w:t xml:space="preserve"> </w:t>
      </w:r>
      <w:r>
        <w:rPr>
          <w:spacing w:val="-1"/>
        </w:rPr>
        <w:t>性，目前其在美国的支架代工厂已经顺利投产生产，预</w:t>
      </w:r>
      <w:r>
        <w:rPr>
          <w:spacing w:val="-2"/>
        </w:rPr>
        <w:t>计在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24Q1</w:t>
      </w:r>
      <w:r>
        <w:rPr>
          <w:rFonts w:ascii="Arial" w:eastAsia="Arial" w:hAnsi="Arial" w:cs="Arial"/>
          <w:spacing w:val="46"/>
          <w:w w:val="101"/>
        </w:rPr>
        <w:t xml:space="preserve"> </w:t>
      </w:r>
      <w:r>
        <w:rPr>
          <w:spacing w:val="-2"/>
        </w:rPr>
        <w:t>业绩中或有部分体现。</w:t>
      </w:r>
      <w:r>
        <w:t xml:space="preserve"> </w:t>
      </w:r>
      <w:r>
        <w:rPr>
          <w:spacing w:val="-3"/>
        </w:rPr>
        <w:t>根据我们的调研，美国支架代工业务毛利较高，单吨净利有望达到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3"/>
        </w:rPr>
        <w:t>140</w:t>
      </w:r>
      <w:r>
        <w:rPr>
          <w:rFonts w:ascii="Arial" w:eastAsia="Arial" w:hAnsi="Arial" w:cs="Arial"/>
          <w:spacing w:val="16"/>
          <w:w w:val="101"/>
        </w:rPr>
        <w:t xml:space="preserve"> </w:t>
      </w:r>
      <w:r>
        <w:rPr>
          <w:spacing w:val="-3"/>
        </w:rPr>
        <w:t>美</w:t>
      </w:r>
      <w:r>
        <w:rPr>
          <w:spacing w:val="-4"/>
        </w:rPr>
        <w:t>元以上。支架代</w:t>
      </w:r>
      <w:r>
        <w:rPr>
          <w:spacing w:val="-4"/>
        </w:rPr>
        <w:t xml:space="preserve"> </w:t>
      </w:r>
      <w:r>
        <w:rPr>
          <w:spacing w:val="-1"/>
        </w:rPr>
        <w:t>工业务丰厚的利润有望快速改善公司的财务情况。</w:t>
      </w:r>
    </w:p>
    <w:p>
      <w:pPr>
        <w:pStyle w:val="BodyText"/>
        <w:spacing w:before="245" w:line="224" w:lineRule="auto"/>
        <w:ind w:left="671"/>
        <w:rPr>
          <w:sz w:val="19"/>
          <w:szCs w:val="19"/>
        </w:rPr>
      </w:pPr>
      <w:r>
        <w:rPr>
          <w:color w:val="0D0D0D"/>
          <w:spacing w:val="7"/>
          <w:sz w:val="19"/>
          <w:szCs w:val="19"/>
        </w:rPr>
        <w:t>表</w:t>
      </w:r>
      <w:r>
        <w:rPr>
          <w:color w:val="0D0D0D"/>
          <w:spacing w:val="-31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7"/>
          <w:sz w:val="19"/>
          <w:szCs w:val="19"/>
        </w:rPr>
        <w:t>5</w:t>
      </w:r>
      <w:r>
        <w:rPr>
          <w:color w:val="0D0D0D"/>
          <w:spacing w:val="7"/>
          <w:sz w:val="19"/>
          <w:szCs w:val="19"/>
        </w:rPr>
        <w:t>：意华股份美国工厂有望带来</w:t>
      </w:r>
      <w:r>
        <w:rPr>
          <w:color w:val="0D0D0D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7"/>
          <w:sz w:val="19"/>
          <w:szCs w:val="19"/>
        </w:rPr>
        <w:t>140</w:t>
      </w:r>
      <w:r>
        <w:rPr>
          <w:rFonts w:ascii="Arial" w:eastAsia="Arial" w:hAnsi="Arial" w:cs="Arial"/>
          <w:color w:val="0D0D0D"/>
          <w:spacing w:val="17"/>
          <w:w w:val="101"/>
          <w:sz w:val="19"/>
          <w:szCs w:val="19"/>
        </w:rPr>
        <w:t xml:space="preserve"> </w:t>
      </w:r>
      <w:r>
        <w:rPr>
          <w:color w:val="0D0D0D"/>
          <w:spacing w:val="7"/>
          <w:sz w:val="19"/>
          <w:szCs w:val="19"/>
        </w:rPr>
        <w:t>美元以上的单吨净利</w:t>
      </w:r>
    </w:p>
    <w:p>
      <w:pPr>
        <w:spacing w:line="82" w:lineRule="exact"/>
      </w:pPr>
    </w:p>
    <w:p>
      <w:pPr>
        <w:spacing w:line="82" w:lineRule="exact"/>
        <w:sectPr>
          <w:headerReference w:type="default" r:id="rId104"/>
          <w:footerReference w:type="default" r:id="rId105"/>
          <w:pgSz w:w="11907" w:h="16839"/>
          <w:pgMar w:top="1202" w:right="14" w:bottom="928" w:left="11" w:header="10" w:footer="21" w:gutter="0"/>
          <w:pgNumType w:start="28"/>
          <w:cols w:num="1" w:space="708" w:equalWidth="0">
            <w:col w:w="11881" w:space="0"/>
          </w:cols>
        </w:sectPr>
      </w:pPr>
    </w:p>
    <w:p>
      <w:pPr>
        <w:pStyle w:val="BodyText"/>
        <w:spacing w:before="35" w:line="198" w:lineRule="auto"/>
        <w:ind w:left="3727"/>
        <w:rPr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704320" behindDoc="1" locked="0" layoutInCell="1" allowOverlap="1">
                <wp:simplePos x="0" y="0"/>
                <wp:positionH relativeFrom="column">
                  <wp:posOffset>424307</wp:posOffset>
                </wp:positionH>
                <wp:positionV relativeFrom="paragraph">
                  <wp:posOffset>-30477</wp:posOffset>
                </wp:positionV>
                <wp:extent cx="6699250" cy="207645"/>
                <wp:effectExtent l="0" t="0" r="0" b="0"/>
                <wp:wrapNone/>
                <wp:docPr id="124" name="Rect 1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24307" y="-30477"/>
                          <a:ext cx="6699250" cy="207645"/>
                        </a:xfrm>
                        <a:prstGeom prst="rect">
                          <a:avLst/>
                        </a:prstGeom>
                        <a:solidFill>
                          <a:srgbClr val="C30F1B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4" o:spid="_x0000_s1094" style="width:527.5pt;height:16.35pt;margin-top:-2.4pt;margin-left:33.41pt;mso-wrap-distance-bottom:0;mso-wrap-distance-left:0;mso-wrap-distance-right:0;mso-wrap-distance-top:0;position:absolute;v-text-anchor:top;z-index:-251613184" fillcolor="#c30f1b" stroked="f"/>
            </w:pict>
          </mc:Fallback>
        </mc:AlternateContent>
      </w:r>
      <w:r>
        <w:rPr>
          <w:color w:val="FFFFFF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98" w:lineRule="auto"/>
        <w:rPr>
          <w:sz w:val="16"/>
          <w:szCs w:val="16"/>
        </w:rPr>
      </w:pPr>
      <w:r>
        <w:rPr>
          <w:color w:val="FFFFFF"/>
          <w:spacing w:val="-2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单位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98" w:lineRule="auto"/>
        <w:rPr>
          <w:sz w:val="16"/>
          <w:szCs w:val="16"/>
        </w:rPr>
      </w:pPr>
      <w:r>
        <w:rPr>
          <w:color w:val="FFFFFF"/>
          <w:spacing w:val="-1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价格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98" w:lineRule="auto"/>
        <w:rPr>
          <w:sz w:val="16"/>
          <w:szCs w:val="16"/>
        </w:rPr>
      </w:pPr>
      <w:r>
        <w:rPr>
          <w:color w:val="FFFFFF"/>
          <w:spacing w:val="-2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单位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98" w:lineRule="auto"/>
        <w:rPr>
          <w:sz w:val="16"/>
          <w:szCs w:val="16"/>
        </w:rPr>
      </w:pPr>
      <w:r>
        <w:rPr>
          <w:color w:val="FFFFFF"/>
          <w:spacing w:val="-4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汇率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98" w:lineRule="auto"/>
        <w:rPr>
          <w:sz w:val="16"/>
          <w:szCs w:val="16"/>
        </w:rPr>
      </w:pPr>
      <w:r>
        <w:rPr>
          <w:color w:val="FFFFFF"/>
          <w:spacing w:val="-2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对应总和</w:t>
      </w:r>
      <w:r>
        <w:rPr>
          <w:rFonts w:ascii="Arial" w:eastAsia="Arial" w:hAnsi="Arial" w:cs="Arial"/>
          <w:b/>
          <w:bCs/>
          <w:color w:val="FFFFFF"/>
          <w:spacing w:val="-2"/>
          <w:sz w:val="16"/>
          <w:szCs w:val="16"/>
        </w:rPr>
        <w:t>(</w:t>
      </w:r>
      <w:r>
        <w:rPr>
          <w:color w:val="FFFFFF"/>
          <w:spacing w:val="-2"/>
          <w:sz w:val="16"/>
          <w:szCs w:val="16"/>
          <w14:textOutline w14:w="2917">
            <w14:solidFill>
              <w14:srgbClr w14:val="FFFFFF"/>
            </w14:solidFill>
            <w14:prstDash w14:val="solid"/>
            <w14:miter w14:lim="10"/>
          </w14:textOutline>
        </w:rPr>
        <w:t>亿元）</w:t>
      </w:r>
    </w:p>
    <w:p>
      <w:pPr>
        <w:spacing w:line="198" w:lineRule="auto"/>
        <w:rPr>
          <w:sz w:val="16"/>
          <w:szCs w:val="16"/>
        </w:rPr>
        <w:sectPr>
          <w:headerReference w:type="default" r:id="rId106"/>
          <w:footerReference w:type="default" r:id="rId107"/>
          <w:type w:val="continuous"/>
          <w:pgSz w:w="11907" w:h="16839"/>
          <w:pgMar w:top="1202" w:right="14" w:bottom="928" w:left="11" w:header="10" w:footer="21" w:gutter="0"/>
          <w:pgNumType w:start="29"/>
          <w:cols w:num="6" w:space="708" w:equalWidth="0">
            <w:col w:w="4650" w:space="100"/>
            <w:col w:w="1109" w:space="100"/>
            <w:col w:w="1237" w:space="100"/>
            <w:col w:w="1237" w:space="100"/>
            <w:col w:w="1015" w:space="100"/>
            <w:col w:w="2137" w:space="0"/>
          </w:cols>
        </w:sectPr>
      </w:pPr>
    </w:p>
    <w:p>
      <w:pPr>
        <w:spacing w:line="154" w:lineRule="exact"/>
      </w:pPr>
    </w:p>
    <w:tbl>
      <w:tblPr>
        <w:tblStyle w:val="TableNormal11"/>
        <w:tblW w:w="9083" w:type="dxa"/>
        <w:tblInd w:w="6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29"/>
        <w:gridCol w:w="1134"/>
        <w:gridCol w:w="1191"/>
        <w:gridCol w:w="979"/>
        <w:gridCol w:w="1357"/>
        <w:gridCol w:w="1532"/>
        <w:gridCol w:w="929"/>
        <w:gridCol w:w="932"/>
      </w:tblGrid>
      <w:tr>
        <w:tblPrEx>
          <w:tblW w:w="9083" w:type="dxa"/>
          <w:tblInd w:w="6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9"/>
        </w:trPr>
        <w:tc>
          <w:tcPr>
            <w:tcW w:w="1029" w:type="dxa"/>
            <w:vAlign w:val="top"/>
          </w:tcPr>
          <w:p>
            <w:pPr>
              <w:spacing w:line="227" w:lineRule="auto"/>
              <w:ind w:left="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w w:val="98"/>
                <w:sz w:val="16"/>
                <w:szCs w:val="16"/>
              </w:rPr>
              <w:t>收入</w:t>
            </w:r>
          </w:p>
        </w:tc>
        <w:tc>
          <w:tcPr>
            <w:tcW w:w="1134" w:type="dxa"/>
            <w:vAlign w:val="top"/>
          </w:tcPr>
          <w:p>
            <w:pPr>
              <w:spacing w:line="218" w:lineRule="auto"/>
              <w:ind w:left="8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纯加工费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9" w:line="195" w:lineRule="auto"/>
              <w:ind w:left="425"/>
            </w:pPr>
            <w:r>
              <w:rPr>
                <w:spacing w:val="-2"/>
              </w:rPr>
              <w:t>90000</w:t>
            </w:r>
          </w:p>
        </w:tc>
        <w:tc>
          <w:tcPr>
            <w:tcW w:w="979" w:type="dxa"/>
            <w:vAlign w:val="top"/>
          </w:tcPr>
          <w:p>
            <w:pPr>
              <w:spacing w:line="236" w:lineRule="auto"/>
              <w:ind w:left="33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吨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9" w:line="195" w:lineRule="auto"/>
              <w:ind w:left="447"/>
            </w:pPr>
            <w:r>
              <w:rPr>
                <w:spacing w:val="-1"/>
              </w:rPr>
              <w:t>450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line="238" w:lineRule="auto"/>
              <w:ind w:left="43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4"/>
              </w:rPr>
              <w:t>美金</w:t>
            </w:r>
            <w:r>
              <w:rPr>
                <w:spacing w:val="-4"/>
              </w:rPr>
              <w:t>/</w:t>
            </w:r>
            <w:r>
              <w:rPr>
                <w:rFonts w:ascii="KaiTi" w:eastAsia="KaiTi" w:hAnsi="KaiTi" w:cs="KaiTi"/>
                <w:spacing w:val="-4"/>
              </w:rPr>
              <w:t>吨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21" w:line="193" w:lineRule="auto"/>
              <w:ind w:left="223"/>
            </w:pPr>
            <w:r>
              <w:t>7</w:t>
            </w: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19" w:line="195" w:lineRule="auto"/>
              <w:jc w:val="right"/>
            </w:pPr>
            <w:r>
              <w:rPr>
                <w:spacing w:val="-1"/>
              </w:rPr>
              <w:t>2.84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462"/>
        </w:trPr>
        <w:tc>
          <w:tcPr>
            <w:tcW w:w="10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before="77" w:line="216" w:lineRule="auto"/>
              <w:ind w:left="8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带料加工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97" w:line="195" w:lineRule="auto"/>
              <w:ind w:left="425"/>
            </w:pPr>
            <w:r>
              <w:rPr>
                <w:spacing w:val="-2"/>
              </w:rPr>
              <w:t>60000</w:t>
            </w:r>
          </w:p>
        </w:tc>
        <w:tc>
          <w:tcPr>
            <w:tcW w:w="979" w:type="dxa"/>
            <w:vAlign w:val="top"/>
          </w:tcPr>
          <w:p>
            <w:pPr>
              <w:spacing w:before="77" w:line="236" w:lineRule="auto"/>
              <w:ind w:left="33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吨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97" w:line="195" w:lineRule="auto"/>
              <w:ind w:left="463"/>
            </w:pPr>
            <w:r>
              <w:rPr>
                <w:spacing w:val="-4"/>
              </w:rPr>
              <w:t>1850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77" w:line="238" w:lineRule="auto"/>
              <w:ind w:left="43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4"/>
              </w:rPr>
              <w:t>美金</w:t>
            </w:r>
            <w:r>
              <w:rPr>
                <w:spacing w:val="-4"/>
              </w:rPr>
              <w:t>/</w:t>
            </w:r>
            <w:r>
              <w:rPr>
                <w:rFonts w:ascii="KaiTi" w:eastAsia="KaiTi" w:hAnsi="KaiTi" w:cs="KaiTi"/>
                <w:spacing w:val="-4"/>
              </w:rPr>
              <w:t>吨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99" w:line="193" w:lineRule="auto"/>
              <w:ind w:left="223"/>
            </w:pPr>
            <w:r>
              <w:t>7</w:t>
            </w: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99" w:line="193" w:lineRule="auto"/>
              <w:jc w:val="right"/>
            </w:pPr>
            <w:r>
              <w:rPr>
                <w:spacing w:val="-2"/>
              </w:rPr>
              <w:t>7.77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598"/>
        </w:trPr>
        <w:tc>
          <w:tcPr>
            <w:tcW w:w="1029" w:type="dxa"/>
            <w:vAlign w:val="top"/>
          </w:tcPr>
          <w:p>
            <w:pPr>
              <w:spacing w:before="212" w:line="228" w:lineRule="auto"/>
              <w:ind w:left="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总收入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91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232" w:line="195" w:lineRule="auto"/>
              <w:ind w:left="463"/>
            </w:pPr>
            <w:r>
              <w:rPr>
                <w:spacing w:val="-3"/>
              </w:rPr>
              <w:t>10.605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213" w:line="213" w:lineRule="auto"/>
              <w:ind w:left="421"/>
            </w:pPr>
            <w:r>
              <w:rPr>
                <w:rFonts w:ascii="KaiTi" w:eastAsia="KaiTi" w:hAnsi="KaiTi" w:cs="KaiTi"/>
                <w:spacing w:val="-1"/>
              </w:rPr>
              <w:t>亿元（</w:t>
            </w:r>
            <w:r>
              <w:rPr>
                <w:spacing w:val="-1"/>
              </w:rPr>
              <w:t>RMB)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9083" w:type="dxa"/>
          <w:tblInd w:w="671" w:type="dxa"/>
          <w:tblLayout w:type="fixed"/>
        </w:tblPrEx>
        <w:trPr>
          <w:trHeight w:val="462"/>
        </w:trPr>
        <w:tc>
          <w:tcPr>
            <w:tcW w:w="1029" w:type="dxa"/>
            <w:vAlign w:val="top"/>
          </w:tcPr>
          <w:p>
            <w:pPr>
              <w:spacing w:before="212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成本</w:t>
            </w:r>
          </w:p>
        </w:tc>
        <w:tc>
          <w:tcPr>
            <w:tcW w:w="1134" w:type="dxa"/>
            <w:vAlign w:val="top"/>
          </w:tcPr>
          <w:p>
            <w:pPr>
              <w:spacing w:before="230" w:line="193" w:lineRule="auto"/>
              <w:ind w:left="7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人工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232" w:line="195" w:lineRule="auto"/>
              <w:ind w:left="423"/>
            </w:pPr>
            <w:r>
              <w:rPr>
                <w:spacing w:val="-2"/>
              </w:rPr>
              <w:t>200</w:t>
            </w:r>
          </w:p>
        </w:tc>
        <w:tc>
          <w:tcPr>
            <w:tcW w:w="979" w:type="dxa"/>
            <w:vAlign w:val="top"/>
          </w:tcPr>
          <w:p>
            <w:pPr>
              <w:spacing w:before="230" w:line="193" w:lineRule="auto"/>
              <w:ind w:left="33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人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232" w:line="195" w:lineRule="auto"/>
              <w:ind w:left="451"/>
            </w:pPr>
            <w:r>
              <w:rPr>
                <w:spacing w:val="-2"/>
              </w:rPr>
              <w:t>60000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212" w:line="238" w:lineRule="auto"/>
              <w:ind w:left="43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3"/>
                <w:w w:val="99"/>
              </w:rPr>
              <w:t>美金</w:t>
            </w:r>
            <w:r>
              <w:rPr>
                <w:spacing w:val="-3"/>
                <w:w w:val="99"/>
              </w:rPr>
              <w:t>/</w:t>
            </w:r>
            <w:r>
              <w:rPr>
                <w:rFonts w:ascii="KaiTi" w:eastAsia="KaiTi" w:hAnsi="KaiTi" w:cs="KaiTi"/>
                <w:spacing w:val="-3"/>
                <w:w w:val="99"/>
              </w:rPr>
              <w:t>人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234" w:line="193" w:lineRule="auto"/>
              <w:ind w:left="223"/>
            </w:pPr>
            <w:r>
              <w:t>7</w:t>
            </w: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232" w:line="195" w:lineRule="auto"/>
              <w:jc w:val="right"/>
            </w:pPr>
            <w:r>
              <w:rPr>
                <w:spacing w:val="-2"/>
              </w:rPr>
              <w:t>0.84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326"/>
        </w:trPr>
        <w:tc>
          <w:tcPr>
            <w:tcW w:w="10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before="77" w:line="215" w:lineRule="auto"/>
              <w:ind w:left="7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设备折旧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96" w:line="195" w:lineRule="auto"/>
              <w:ind w:left="425"/>
            </w:pPr>
            <w:r>
              <w:rPr>
                <w:spacing w:val="-2"/>
              </w:rPr>
              <w:t>0.1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spacing w:before="77" w:line="231" w:lineRule="auto"/>
              <w:ind w:left="327"/>
              <w:rPr>
                <w:rFonts w:ascii="KaiTi" w:eastAsia="KaiTi" w:hAnsi="KaiTi" w:cs="KaiTi"/>
              </w:rPr>
            </w:pPr>
            <w:r>
              <w:t>/</w:t>
            </w:r>
            <w:r>
              <w:rPr>
                <w:rFonts w:ascii="KaiTi" w:eastAsia="KaiTi" w:hAnsi="KaiTi" w:cs="KaiTi"/>
              </w:rPr>
              <w:t>年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96" w:line="195" w:lineRule="auto"/>
              <w:ind w:left="463"/>
            </w:pPr>
            <w:r>
              <w:rPr>
                <w:spacing w:val="-6"/>
              </w:rPr>
              <w:t>1.5</w:t>
            </w:r>
          </w:p>
        </w:tc>
        <w:tc>
          <w:tcPr>
            <w:tcW w:w="1532" w:type="dxa"/>
            <w:vAlign w:val="top"/>
          </w:tcPr>
          <w:p>
            <w:pPr>
              <w:spacing w:before="76" w:line="230" w:lineRule="auto"/>
              <w:ind w:left="42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亿元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96" w:line="195" w:lineRule="auto"/>
              <w:jc w:val="right"/>
            </w:pPr>
            <w:r>
              <w:rPr>
                <w:spacing w:val="-2"/>
              </w:rPr>
              <w:t>0.15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325"/>
        </w:trPr>
        <w:tc>
          <w:tcPr>
            <w:tcW w:w="10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before="77" w:line="221" w:lineRule="auto"/>
              <w:ind w:left="7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房租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97" w:line="195" w:lineRule="auto"/>
              <w:ind w:left="436"/>
            </w:pPr>
            <w:r>
              <w:t>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97" w:line="195" w:lineRule="auto"/>
              <w:ind w:left="450"/>
            </w:pPr>
            <w:r>
              <w:rPr>
                <w:spacing w:val="-2"/>
              </w:rPr>
              <w:t>218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77" w:line="231" w:lineRule="auto"/>
              <w:ind w:left="430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2"/>
              </w:rPr>
              <w:t>万美金</w:t>
            </w:r>
            <w:r>
              <w:rPr>
                <w:spacing w:val="-2"/>
              </w:rPr>
              <w:t>/</w:t>
            </w:r>
            <w:r>
              <w:rPr>
                <w:rFonts w:ascii="KaiTi" w:eastAsia="KaiTi" w:hAnsi="KaiTi" w:cs="KaiTi"/>
                <w:spacing w:val="-2"/>
              </w:rPr>
              <w:t>年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99" w:line="193" w:lineRule="auto"/>
              <w:ind w:left="223"/>
            </w:pPr>
            <w:r>
              <w:t>7</w:t>
            </w: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97" w:line="195" w:lineRule="auto"/>
              <w:jc w:val="right"/>
            </w:pPr>
            <w:r>
              <w:rPr>
                <w:spacing w:val="-2"/>
              </w:rPr>
              <w:t>0.15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462"/>
        </w:trPr>
        <w:tc>
          <w:tcPr>
            <w:tcW w:w="10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before="76" w:line="224" w:lineRule="auto"/>
              <w:ind w:left="7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钢材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96" w:line="195" w:lineRule="auto"/>
              <w:ind w:left="425"/>
            </w:pPr>
            <w:r>
              <w:rPr>
                <w:spacing w:val="-2"/>
              </w:rPr>
              <w:t>60000</w:t>
            </w:r>
          </w:p>
        </w:tc>
        <w:tc>
          <w:tcPr>
            <w:tcW w:w="979" w:type="dxa"/>
            <w:vAlign w:val="top"/>
          </w:tcPr>
          <w:p>
            <w:pPr>
              <w:spacing w:before="76" w:line="236" w:lineRule="auto"/>
              <w:ind w:left="33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吨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96" w:line="195" w:lineRule="auto"/>
              <w:ind w:left="463"/>
            </w:pPr>
            <w:r>
              <w:rPr>
                <w:spacing w:val="-4"/>
              </w:rPr>
              <w:t>1400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76" w:line="238" w:lineRule="auto"/>
              <w:ind w:left="43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4"/>
              </w:rPr>
              <w:t>美金</w:t>
            </w:r>
            <w:r>
              <w:rPr>
                <w:spacing w:val="-4"/>
              </w:rPr>
              <w:t>/</w:t>
            </w:r>
            <w:r>
              <w:rPr>
                <w:rFonts w:ascii="KaiTi" w:eastAsia="KaiTi" w:hAnsi="KaiTi" w:cs="KaiTi"/>
                <w:spacing w:val="-4"/>
              </w:rPr>
              <w:t>吨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98" w:line="193" w:lineRule="auto"/>
              <w:ind w:left="223"/>
            </w:pPr>
            <w:r>
              <w:t>7</w:t>
            </w: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96" w:line="195" w:lineRule="auto"/>
              <w:jc w:val="right"/>
            </w:pPr>
            <w:r>
              <w:rPr>
                <w:spacing w:val="-2"/>
              </w:rPr>
              <w:t>5.88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457"/>
        </w:trPr>
        <w:tc>
          <w:tcPr>
            <w:tcW w:w="1029" w:type="dxa"/>
            <w:vAlign w:val="top"/>
          </w:tcPr>
          <w:p>
            <w:pPr>
              <w:spacing w:before="214" w:line="223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91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234" w:line="195" w:lineRule="auto"/>
              <w:jc w:val="right"/>
            </w:pPr>
            <w:r>
              <w:rPr>
                <w:spacing w:val="-2"/>
              </w:rPr>
              <w:t>7.02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325"/>
        </w:trPr>
        <w:tc>
          <w:tcPr>
            <w:tcW w:w="1029" w:type="dxa"/>
            <w:vAlign w:val="top"/>
          </w:tcPr>
          <w:p>
            <w:pPr>
              <w:spacing w:before="82" w:line="218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三费假设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91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00" w:line="197" w:lineRule="auto"/>
              <w:ind w:left="463"/>
            </w:pPr>
            <w:r>
              <w:rPr>
                <w:spacing w:val="-4"/>
              </w:rPr>
              <w:t>15%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101" w:line="195" w:lineRule="auto"/>
              <w:jc w:val="right"/>
            </w:pPr>
            <w:r>
              <w:rPr>
                <w:spacing w:val="-5"/>
              </w:rPr>
              <w:t>1.59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326"/>
        </w:trPr>
        <w:tc>
          <w:tcPr>
            <w:tcW w:w="1029" w:type="dxa"/>
            <w:vAlign w:val="top"/>
          </w:tcPr>
          <w:p>
            <w:pPr>
              <w:spacing w:before="82" w:line="220" w:lineRule="auto"/>
              <w:ind w:left="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净利润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91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spacing w:before="83" w:line="230" w:lineRule="auto"/>
              <w:ind w:left="42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亿元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103" w:line="195" w:lineRule="auto"/>
              <w:jc w:val="right"/>
            </w:pPr>
            <w:r>
              <w:rPr>
                <w:spacing w:val="-5"/>
              </w:rPr>
              <w:t>1.99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332"/>
        </w:trPr>
        <w:tc>
          <w:tcPr>
            <w:tcW w:w="1029" w:type="dxa"/>
            <w:vAlign w:val="top"/>
          </w:tcPr>
          <w:p>
            <w:pPr>
              <w:spacing w:before="83" w:line="218" w:lineRule="auto"/>
              <w:ind w:left="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单吨净利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91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83" w:line="238" w:lineRule="auto"/>
              <w:ind w:left="43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4"/>
              </w:rPr>
              <w:t>美金</w:t>
            </w:r>
            <w:r>
              <w:rPr>
                <w:spacing w:val="-4"/>
              </w:rPr>
              <w:t>/</w:t>
            </w:r>
            <w:r>
              <w:rPr>
                <w:rFonts w:ascii="KaiTi" w:eastAsia="KaiTi" w:hAnsi="KaiTi" w:cs="KaiTi"/>
                <w:spacing w:val="-4"/>
              </w:rPr>
              <w:t>吨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103" w:line="195" w:lineRule="auto"/>
              <w:ind w:left="637"/>
            </w:pPr>
            <w:r>
              <w:rPr>
                <w:spacing w:val="-4"/>
              </w:rPr>
              <w:t>190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321"/>
        </w:trPr>
        <w:tc>
          <w:tcPr>
            <w:tcW w:w="1029" w:type="dxa"/>
            <w:vAlign w:val="top"/>
          </w:tcPr>
          <w:p>
            <w:pPr>
              <w:spacing w:before="77" w:line="220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归母净利润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91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spacing w:before="77" w:line="230" w:lineRule="auto"/>
              <w:ind w:left="42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亿元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97" w:line="195" w:lineRule="auto"/>
              <w:jc w:val="right"/>
            </w:pPr>
            <w:r>
              <w:rPr>
                <w:spacing w:val="-5"/>
              </w:rPr>
              <w:t>1.49</w:t>
            </w:r>
          </w:p>
        </w:tc>
      </w:tr>
      <w:tr>
        <w:tblPrEx>
          <w:tblW w:w="9083" w:type="dxa"/>
          <w:tblInd w:w="671" w:type="dxa"/>
          <w:tblLayout w:type="fixed"/>
        </w:tblPrEx>
        <w:trPr>
          <w:trHeight w:val="255"/>
        </w:trPr>
        <w:tc>
          <w:tcPr>
            <w:tcW w:w="1029" w:type="dxa"/>
            <w:vAlign w:val="top"/>
          </w:tcPr>
          <w:p>
            <w:pPr>
              <w:spacing w:before="83" w:line="186" w:lineRule="auto"/>
              <w:ind w:left="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归母单吨净利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91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83" w:line="186" w:lineRule="auto"/>
              <w:ind w:left="43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4"/>
              </w:rPr>
              <w:t>美金</w:t>
            </w:r>
            <w:r>
              <w:rPr>
                <w:spacing w:val="-4"/>
              </w:rPr>
              <w:t>/</w:t>
            </w:r>
            <w:r>
              <w:rPr>
                <w:rFonts w:ascii="KaiTi" w:eastAsia="KaiTi" w:hAnsi="KaiTi" w:cs="KaiTi"/>
                <w:spacing w:val="-4"/>
              </w:rPr>
              <w:t>吨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TableText"/>
              <w:spacing w:before="103" w:line="185" w:lineRule="auto"/>
              <w:ind w:left="637"/>
            </w:pPr>
            <w:r>
              <w:rPr>
                <w:spacing w:val="-4"/>
              </w:rPr>
              <w:t>142</w:t>
            </w:r>
          </w:p>
        </w:tc>
      </w:tr>
    </w:tbl>
    <w:p>
      <w:pPr>
        <w:pStyle w:val="BodyText"/>
        <w:spacing w:before="167" w:line="214" w:lineRule="auto"/>
        <w:ind w:left="680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4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意华股份调研，西部证券研发中心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01" w:line="229" w:lineRule="auto"/>
        <w:ind w:left="3094"/>
        <w:rPr>
          <w:sz w:val="31"/>
          <w:szCs w:val="31"/>
        </w:rPr>
        <w:sectPr>
          <w:headerReference w:type="default" r:id="rId108"/>
          <w:footerReference w:type="default" r:id="rId109"/>
          <w:type w:val="continuous"/>
          <w:pgSz w:w="11907" w:h="16839"/>
          <w:pgMar w:top="1202" w:right="14" w:bottom="928" w:left="11" w:header="10" w:footer="21" w:gutter="0"/>
          <w:pgNumType w:start="30"/>
          <w:cols w:num="1" w:space="708" w:equalWidth="0">
            <w:col w:w="11881" w:space="0"/>
          </w:cols>
        </w:sectPr>
      </w:pPr>
      <w:r>
        <w:rPr>
          <w:color w:val="C30F1B"/>
          <w:spacing w:val="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专题二：微导纳米：</w:t>
      </w:r>
      <w:r>
        <w:rPr>
          <w:rFonts w:ascii="Arial" w:eastAsia="Arial" w:hAnsi="Arial" w:cs="Arial"/>
          <w:b/>
          <w:bCs/>
          <w:color w:val="C30F1B"/>
          <w:sz w:val="31"/>
          <w:szCs w:val="31"/>
        </w:rPr>
        <w:t>ALD</w:t>
      </w:r>
      <w:r>
        <w:rPr>
          <w:color w:val="C30F1B"/>
          <w:spacing w:val="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技术光伏</w:t>
      </w:r>
      <w:r>
        <w:rPr>
          <w:rFonts w:ascii="Arial" w:eastAsia="Arial" w:hAnsi="Arial" w:cs="Arial"/>
          <w:b/>
          <w:bCs/>
          <w:color w:val="C30F1B"/>
          <w:spacing w:val="6"/>
          <w:sz w:val="31"/>
          <w:szCs w:val="31"/>
        </w:rPr>
        <w:t>&amp;</w:t>
      </w:r>
      <w:r>
        <w:rPr>
          <w:color w:val="C30F1B"/>
          <w:spacing w:val="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半导体平台型龙</w:t>
      </w:r>
      <w:r>
        <w:rPr>
          <w:color w:val="C30F1B"/>
          <w:spacing w:val="5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头，拓</w:t>
      </w:r>
    </w:p>
    <w:p>
      <w:pPr>
        <w:pStyle w:val="BodyText"/>
        <w:spacing w:before="268" w:line="532" w:lineRule="exact"/>
        <w:ind w:left="3074"/>
        <w:rPr>
          <w:sz w:val="31"/>
          <w:szCs w:val="31"/>
        </w:rPr>
      </w:pPr>
      <w:r>
        <w:rPr>
          <w:color w:val="C30F1B"/>
          <w:spacing w:val="14"/>
          <w:position w:val="1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展</w:t>
      </w:r>
      <w:r>
        <w:rPr>
          <w:rFonts w:ascii="Arial" w:eastAsia="Arial" w:hAnsi="Arial" w:cs="Arial"/>
          <w:b/>
          <w:bCs/>
          <w:color w:val="C30F1B"/>
          <w:position w:val="16"/>
          <w:sz w:val="31"/>
          <w:szCs w:val="31"/>
        </w:rPr>
        <w:t>CVD</w:t>
      </w:r>
      <w:r>
        <w:rPr>
          <w:color w:val="C30F1B"/>
          <w:spacing w:val="14"/>
          <w:position w:val="16"/>
          <w:sz w:val="31"/>
          <w:szCs w:val="31"/>
          <w14:textOutline w14:w="5791">
            <w14:solidFill>
              <w14:srgbClr w14:val="C30F1B"/>
            </w14:solidFill>
            <w14:prstDash w14:val="solid"/>
            <w14:miter w14:lim="10"/>
          </w14:textOutline>
        </w:rPr>
        <w:t>能力圈</w:t>
      </w:r>
    </w:p>
    <w:p>
      <w:pPr>
        <w:pStyle w:val="BodyText"/>
        <w:spacing w:before="1" w:line="220" w:lineRule="auto"/>
        <w:ind w:left="3070"/>
        <w:rPr>
          <w:sz w:val="24"/>
          <w:szCs w:val="24"/>
        </w:rPr>
      </w:pP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核心观点</w:t>
      </w:r>
    </w:p>
    <w:p>
      <w:pPr>
        <w:pStyle w:val="BodyText"/>
        <w:spacing w:before="216" w:line="272" w:lineRule="auto"/>
        <w:ind w:left="3068" w:right="660" w:firstLine="4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看点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1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：光伏电池技术加速渗透，技术迭代拉平周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期下行影响。</w:t>
      </w:r>
      <w:r>
        <w:rPr>
          <w:spacing w:val="45"/>
        </w:rPr>
        <w:t xml:space="preserve"> </w:t>
      </w:r>
      <w:r>
        <w:rPr>
          <w:rFonts w:ascii="Arial" w:eastAsia="Arial" w:hAnsi="Arial" w:cs="Arial"/>
          <w:b/>
          <w:bCs/>
          <w:spacing w:val="-4"/>
        </w:rPr>
        <w:t>1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）</w:t>
      </w:r>
      <w:r>
        <w:rPr>
          <w:rFonts w:ascii="Arial" w:eastAsia="Arial" w:hAnsi="Arial" w:cs="Arial"/>
          <w:b/>
          <w:bCs/>
          <w:spacing w:val="-4"/>
        </w:rPr>
        <w:t xml:space="preserve">TOPCon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领域</w:t>
      </w:r>
      <w:r>
        <w:rPr>
          <w:spacing w:val="-4"/>
        </w:rPr>
        <w:t>：公司</w:t>
      </w:r>
      <w:r>
        <w:t xml:space="preserve"> </w:t>
      </w:r>
      <w:r>
        <w:t>基于深厚技术积累已研发出</w:t>
      </w:r>
      <w:r>
        <w:t xml:space="preserve"> </w:t>
      </w:r>
      <w:r>
        <w:rPr>
          <w:rFonts w:ascii="Arial" w:eastAsia="Arial" w:hAnsi="Arial" w:cs="Arial"/>
        </w:rPr>
        <w:t>ALD</w:t>
      </w:r>
      <w:r>
        <w:rPr>
          <w:rFonts w:ascii="Arial" w:eastAsia="Arial" w:hAnsi="Arial" w:cs="Arial"/>
          <w:spacing w:val="-34"/>
        </w:rPr>
        <w:t xml:space="preserve"> </w:t>
      </w:r>
      <w:r>
        <w:t>、</w:t>
      </w:r>
      <w:r>
        <w:rPr>
          <w:rFonts w:ascii="Arial" w:eastAsia="Arial" w:hAnsi="Arial" w:cs="Arial"/>
        </w:rPr>
        <w:t>PEALD</w:t>
      </w:r>
      <w:r>
        <w:t>、扩散炉等多款光伏设备</w:t>
      </w:r>
      <w:r>
        <w:rPr>
          <w:spacing w:val="-1"/>
        </w:rPr>
        <w:t>产品，并持续推进以</w:t>
      </w:r>
      <w:r>
        <w:t xml:space="preserve"> </w:t>
      </w:r>
      <w:r>
        <w:rPr>
          <w:rFonts w:ascii="Arial" w:eastAsia="Arial" w:hAnsi="Arial" w:cs="Arial"/>
          <w:spacing w:val="-5"/>
        </w:rPr>
        <w:t xml:space="preserve">ALD </w:t>
      </w:r>
      <w:r>
        <w:rPr>
          <w:spacing w:val="-5"/>
        </w:rPr>
        <w:t>为核心的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-5"/>
        </w:rPr>
        <w:t xml:space="preserve">TOPCon </w:t>
      </w:r>
      <w:r>
        <w:rPr>
          <w:spacing w:val="-5"/>
        </w:rPr>
        <w:t>整线方案。截至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spacing w:val="-5"/>
        </w:rPr>
        <w:t xml:space="preserve">Q3 </w:t>
      </w:r>
      <w:r>
        <w:rPr>
          <w:spacing w:val="-5"/>
        </w:rPr>
        <w:t>末，</w:t>
      </w:r>
      <w:r>
        <w:rPr>
          <w:spacing w:val="-48"/>
        </w:rPr>
        <w:t xml:space="preserve"> </w:t>
      </w:r>
      <w:r>
        <w:rPr>
          <w:spacing w:val="-5"/>
        </w:rPr>
        <w:t>公司光伏设备在手订单约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5"/>
        </w:rPr>
        <w:t xml:space="preserve">60 </w:t>
      </w:r>
      <w:r>
        <w:rPr>
          <w:spacing w:val="-5"/>
        </w:rPr>
        <w:t>亿元，</w:t>
      </w:r>
      <w:r>
        <w:rPr>
          <w:spacing w:val="-34"/>
        </w:rPr>
        <w:t xml:space="preserve"> </w:t>
      </w:r>
      <w:r>
        <w:rPr>
          <w:spacing w:val="-5"/>
        </w:rPr>
        <w:t>预计</w:t>
      </w:r>
      <w:r>
        <w:t xml:space="preserve"> </w:t>
      </w:r>
      <w:r>
        <w:rPr>
          <w:spacing w:val="-7"/>
        </w:rPr>
        <w:t>未来两年验收完成，</w:t>
      </w:r>
      <w:r>
        <w:rPr>
          <w:spacing w:val="-18"/>
        </w:rPr>
        <w:t xml:space="preserve"> </w:t>
      </w:r>
      <w:r>
        <w:rPr>
          <w:spacing w:val="-7"/>
        </w:rPr>
        <w:t>提供稳定业绩支撑。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b/>
          <w:bCs/>
          <w:spacing w:val="-7"/>
        </w:rPr>
        <w:t>2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）</w:t>
      </w:r>
      <w:r>
        <w:rPr>
          <w:rFonts w:ascii="Arial" w:eastAsia="Arial" w:hAnsi="Arial" w:cs="Arial"/>
          <w:b/>
          <w:bCs/>
          <w:spacing w:val="-7"/>
        </w:rPr>
        <w:t>XBC</w:t>
      </w:r>
      <w:r>
        <w:rPr>
          <w:rFonts w:ascii="Arial" w:eastAsia="Arial" w:hAnsi="Arial" w:cs="Arial"/>
          <w:b/>
          <w:bCs/>
          <w:spacing w:val="16"/>
          <w:w w:val="101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领域：</w:t>
      </w:r>
      <w:r>
        <w:rPr>
          <w:spacing w:val="-7"/>
        </w:rPr>
        <w:t xml:space="preserve"> </w:t>
      </w:r>
      <w:r>
        <w:rPr>
          <w:spacing w:val="-7"/>
        </w:rPr>
        <w:t>在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spacing w:val="-7"/>
        </w:rPr>
        <w:t>XBC</w:t>
      </w:r>
      <w:r>
        <w:rPr>
          <w:rFonts w:ascii="Arial" w:eastAsia="Arial" w:hAnsi="Arial" w:cs="Arial"/>
          <w:spacing w:val="46"/>
        </w:rPr>
        <w:t xml:space="preserve"> </w:t>
      </w:r>
      <w:r>
        <w:rPr>
          <w:spacing w:val="-7"/>
        </w:rPr>
        <w:t>电池领域，爱旭、隆基</w:t>
      </w:r>
      <w:r>
        <w:t xml:space="preserve"> </w:t>
      </w:r>
      <w:r>
        <w:rPr>
          <w:spacing w:val="-1"/>
        </w:rPr>
        <w:t>已投产和拟投产的电池生产线中，公司的</w:t>
      </w:r>
      <w:r>
        <w:rPr>
          <w:spacing w:val="-52"/>
        </w:rPr>
        <w:t xml:space="preserve"> </w:t>
      </w:r>
      <w:r>
        <w:rPr>
          <w:rFonts w:ascii="Arial" w:eastAsia="Arial" w:hAnsi="Arial" w:cs="Arial"/>
          <w:spacing w:val="-1"/>
        </w:rPr>
        <w:t xml:space="preserve">ALD </w:t>
      </w:r>
      <w:r>
        <w:rPr>
          <w:spacing w:val="-1"/>
        </w:rPr>
        <w:t>产品占比保持领先，</w:t>
      </w:r>
      <w:r>
        <w:rPr>
          <w:spacing w:val="-2"/>
        </w:rPr>
        <w:t>等待后续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spacing w:val="-2"/>
        </w:rPr>
        <w:t xml:space="preserve">XBC </w:t>
      </w:r>
      <w:r>
        <w:rPr>
          <w:spacing w:val="-2"/>
        </w:rPr>
        <w:t>扩产催</w:t>
      </w:r>
      <w:r>
        <w:t xml:space="preserve"> </w:t>
      </w:r>
      <w:r>
        <w:rPr>
          <w:spacing w:val="-7"/>
        </w:rPr>
        <w:t>化。</w:t>
      </w:r>
      <w:r>
        <w:rPr>
          <w:rFonts w:ascii="Arial" w:eastAsia="Arial" w:hAnsi="Arial" w:cs="Arial"/>
          <w:b/>
          <w:bCs/>
          <w:spacing w:val="-7"/>
        </w:rPr>
        <w:t>3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）钙钛矿叠层领域：</w:t>
      </w:r>
      <w:r>
        <w:rPr>
          <w:spacing w:val="-33"/>
        </w:rPr>
        <w:t xml:space="preserve"> </w:t>
      </w:r>
      <w:r>
        <w:rPr>
          <w:spacing w:val="-7"/>
        </w:rPr>
        <w:t>公司的</w:t>
      </w:r>
      <w:r>
        <w:rPr>
          <w:spacing w:val="-52"/>
        </w:rPr>
        <w:t xml:space="preserve"> </w:t>
      </w:r>
      <w:r>
        <w:rPr>
          <w:rFonts w:ascii="Arial" w:eastAsia="Arial" w:hAnsi="Arial" w:cs="Arial"/>
          <w:spacing w:val="-7"/>
        </w:rPr>
        <w:t xml:space="preserve">ALD </w:t>
      </w:r>
      <w:r>
        <w:rPr>
          <w:spacing w:val="-7"/>
        </w:rPr>
        <w:t>设备于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7"/>
        </w:rPr>
        <w:t xml:space="preserve">11 </w:t>
      </w:r>
      <w:r>
        <w:rPr>
          <w:spacing w:val="-7"/>
        </w:rPr>
        <w:t>月发货给牛津光伏，此设备为量产机型。</w:t>
      </w:r>
      <w:r>
        <w:t xml:space="preserve"> </w:t>
      </w:r>
      <w:r>
        <w:rPr>
          <w:spacing w:val="-1"/>
        </w:rPr>
        <w:t>我们预计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-1"/>
        </w:rPr>
        <w:t xml:space="preserve">24 </w:t>
      </w:r>
      <w:r>
        <w:rPr>
          <w:spacing w:val="-1"/>
        </w:rPr>
        <w:t>年同款设备机型将送往国内头部钙钛矿厂商进行验证。</w:t>
      </w:r>
    </w:p>
    <w:p>
      <w:pPr>
        <w:spacing w:line="272" w:lineRule="auto"/>
        <w:sectPr>
          <w:headerReference w:type="default" r:id="rId110"/>
          <w:footerReference w:type="default" r:id="rId111"/>
          <w:type w:val="nextPage"/>
          <w:pgSz w:w="11907" w:h="16839"/>
          <w:pgMar w:top="1202" w:right="14" w:bottom="928" w:left="11" w:header="10" w:footer="21" w:gutter="0"/>
          <w:pgNumType w:start="31"/>
          <w:cols w:num="1" w:space="708" w:equalWidth="0">
            <w:col w:w="11881" w:space="0"/>
          </w:cols>
          <w:titlePg w:val="0"/>
        </w:sectPr>
      </w:pPr>
    </w:p>
    <w:p>
      <w:pPr>
        <w:pStyle w:val="BodyText"/>
        <w:spacing w:before="277" w:line="273" w:lineRule="auto"/>
        <w:ind w:left="3070" w:right="603" w:firstLine="2"/>
        <w:jc w:val="both"/>
      </w:pPr>
      <w:r>
        <w:pict>
          <v:shape id="_x0000_s1095" style="width:407.35pt;height:0.5pt;margin-top:421.61pt;margin-left:154.46pt;mso-position-horizontal-relative:page;mso-position-vertical-relative:page;position:absolute;z-index:251705344" coordorigin="0,0" coordsize="8147,10" o:allowincell="f" path="m,9l8146,9l8146,l,l,9xe" filled="t" fillcolor="black" stroked="f"/>
        </w:pict>
      </w:r>
      <w:r>
        <w:pict>
          <v:shape id="_x0000_s1096" style="width:407.35pt;height:0.5pt;margin-top:609.67pt;margin-left:154.46pt;mso-position-horizontal-relative:page;mso-position-vertical-relative:page;position:absolute;z-index:251706368" coordorigin="0,0" coordsize="8147,10" o:allowincell="f" path="m,9l8146,9l8146,l,l,9xe" filled="t" fillcolor="black" stroked="f"/>
        </w:pic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看点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2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 xml:space="preserve">ALD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在逻辑与存储领域超薄与复杂结构中体现不可替代性。</w:t>
      </w:r>
      <w:r>
        <w:rPr>
          <w:spacing w:val="-1"/>
        </w:rPr>
        <w:t>公司</w:t>
      </w:r>
      <w:r>
        <w:rPr>
          <w:spacing w:val="-53"/>
        </w:rPr>
        <w:t xml:space="preserve"> </w:t>
      </w:r>
      <w:r>
        <w:rPr>
          <w:rFonts w:ascii="Arial" w:eastAsia="Arial" w:hAnsi="Arial" w:cs="Arial"/>
          <w:spacing w:val="-1"/>
        </w:rPr>
        <w:t xml:space="preserve">ALD </w:t>
      </w:r>
      <w:r>
        <w:rPr>
          <w:spacing w:val="-1"/>
        </w:rPr>
        <w:t>设备可满</w:t>
      </w:r>
      <w:r>
        <w:t xml:space="preserve"> </w:t>
      </w:r>
      <w:r>
        <w:rPr>
          <w:spacing w:val="-1"/>
        </w:rPr>
        <w:t>足逻辑与存储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1"/>
        </w:rPr>
        <w:t xml:space="preserve">28 </w:t>
      </w:r>
      <w:r>
        <w:rPr>
          <w:spacing w:val="-1"/>
        </w:rPr>
        <w:t>纳米以下的先进制程要求</w:t>
      </w:r>
      <w:r>
        <w:rPr>
          <w:spacing w:val="-2"/>
        </w:rPr>
        <w:t>，半导体订单从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2"/>
        </w:rPr>
        <w:t xml:space="preserve">22 </w:t>
      </w:r>
      <w:r>
        <w:rPr>
          <w:spacing w:val="-2"/>
        </w:rPr>
        <w:t>年底年底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2"/>
        </w:rPr>
        <w:t xml:space="preserve">3 </w:t>
      </w:r>
      <w:r>
        <w:rPr>
          <w:spacing w:val="-2"/>
        </w:rPr>
        <w:t>亿增长至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2"/>
        </w:rPr>
        <w:t xml:space="preserve">23 </w:t>
      </w:r>
      <w:r>
        <w:rPr>
          <w:spacing w:val="-2"/>
        </w:rPr>
        <w:t>年</w:t>
      </w:r>
      <w:r>
        <w:t xml:space="preserve"> </w:t>
      </w:r>
      <w:r>
        <w:rPr>
          <w:rFonts w:ascii="Arial" w:eastAsia="Arial" w:hAnsi="Arial" w:cs="Arial"/>
          <w:spacing w:val="-2"/>
        </w:rPr>
        <w:t xml:space="preserve">Q3 </w:t>
      </w:r>
      <w:r>
        <w:rPr>
          <w:spacing w:val="-2"/>
        </w:rPr>
        <w:t>末的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2"/>
        </w:rPr>
        <w:t xml:space="preserve">10 </w:t>
      </w:r>
      <w:r>
        <w:rPr>
          <w:spacing w:val="-2"/>
        </w:rPr>
        <w:t>亿。此前国内厂商主要采购</w:t>
      </w:r>
      <w:r>
        <w:rPr>
          <w:spacing w:val="-55"/>
        </w:rPr>
        <w:t xml:space="preserve"> </w:t>
      </w:r>
      <w:r>
        <w:rPr>
          <w:rFonts w:ascii="Arial" w:eastAsia="Arial" w:hAnsi="Arial" w:cs="Arial"/>
          <w:spacing w:val="-2"/>
        </w:rPr>
        <w:t>ASM</w:t>
      </w:r>
      <w:r>
        <w:rPr>
          <w:rFonts w:ascii="Arial" w:eastAsia="Arial" w:hAnsi="Arial" w:cs="Arial"/>
          <w:spacing w:val="30"/>
        </w:rPr>
        <w:t xml:space="preserve"> </w:t>
      </w:r>
      <w:r>
        <w:rPr>
          <w:spacing w:val="-2"/>
        </w:rPr>
        <w:t>以及</w:t>
      </w:r>
      <w:r>
        <w:rPr>
          <w:spacing w:val="-47"/>
        </w:rPr>
        <w:t xml:space="preserve"> </w:t>
      </w:r>
      <w:r>
        <w:rPr>
          <w:rFonts w:ascii="Arial" w:eastAsia="Arial" w:hAnsi="Arial" w:cs="Arial"/>
          <w:spacing w:val="-3"/>
        </w:rPr>
        <w:t>TEL</w:t>
      </w:r>
      <w:r>
        <w:rPr>
          <w:spacing w:val="-3"/>
        </w:rPr>
        <w:t>，现逐步导入公司设备，能受到半</w:t>
      </w:r>
      <w:r>
        <w:t xml:space="preserve"> </w:t>
      </w:r>
      <w:r>
        <w:rPr>
          <w:spacing w:val="-5"/>
        </w:rPr>
        <w:t>导体自身增长</w:t>
      </w:r>
      <w:r>
        <w:rPr>
          <w:rFonts w:ascii="Arial" w:eastAsia="Arial" w:hAnsi="Arial" w:cs="Arial"/>
          <w:spacing w:val="-5"/>
        </w:rPr>
        <w:t>+</w:t>
      </w:r>
      <w:r>
        <w:rPr>
          <w:rFonts w:ascii="Arial" w:eastAsia="Arial" w:hAnsi="Arial" w:cs="Arial"/>
          <w:spacing w:val="-22"/>
        </w:rPr>
        <w:t xml:space="preserve"> </w:t>
      </w:r>
      <w:r>
        <w:rPr>
          <w:spacing w:val="-5"/>
        </w:rPr>
        <w:t>国产化率提升的“双击”。展望远期，国内年均市场规模约在</w:t>
      </w:r>
      <w:r>
        <w:rPr>
          <w:spacing w:val="-27"/>
        </w:rPr>
        <w:t xml:space="preserve"> </w:t>
      </w:r>
      <w:r>
        <w:rPr>
          <w:rFonts w:ascii="Arial" w:eastAsia="Arial" w:hAnsi="Arial" w:cs="Arial"/>
          <w:spacing w:val="-5"/>
        </w:rPr>
        <w:t xml:space="preserve">100 </w:t>
      </w:r>
      <w:r>
        <w:rPr>
          <w:spacing w:val="-5"/>
        </w:rPr>
        <w:t>亿级别，</w:t>
      </w:r>
      <w:r>
        <w:t xml:space="preserve"> </w:t>
      </w:r>
      <w:r>
        <w:rPr>
          <w:spacing w:val="-1"/>
        </w:rPr>
        <w:t>公司终端展望预计能拿到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1"/>
        </w:rPr>
        <w:t>30%-50%</w:t>
      </w:r>
      <w:r>
        <w:rPr>
          <w:spacing w:val="-1"/>
        </w:rPr>
        <w:t>的市场份额。</w:t>
      </w:r>
    </w:p>
    <w:p>
      <w:pPr>
        <w:pStyle w:val="BodyText"/>
        <w:spacing w:before="242" w:line="268" w:lineRule="auto"/>
        <w:ind w:left="3076" w:right="582" w:hanging="4"/>
        <w:jc w:val="both"/>
      </w:pP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看点</w:t>
      </w:r>
      <w:r>
        <w:rPr>
          <w:spacing w:val="-21"/>
        </w:rPr>
        <w:t xml:space="preserve"> </w:t>
      </w:r>
      <w:r>
        <w:rPr>
          <w:rFonts w:ascii="Arial" w:eastAsia="Arial" w:hAnsi="Arial" w:cs="Arial"/>
          <w:b/>
          <w:bCs/>
          <w:spacing w:val="-4"/>
        </w:rPr>
        <w:t>3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：能力圈拓展，</w:t>
      </w:r>
      <w:r>
        <w:rPr>
          <w:spacing w:val="57"/>
        </w:rPr>
        <w:t xml:space="preserve"> </w:t>
      </w:r>
      <w:r>
        <w:rPr>
          <w:rFonts w:ascii="Arial" w:eastAsia="Arial" w:hAnsi="Arial" w:cs="Arial"/>
          <w:b/>
          <w:bCs/>
          <w:spacing w:val="-4"/>
        </w:rPr>
        <w:t>CVD</w:t>
      </w:r>
      <w:r>
        <w:rPr>
          <w:rFonts w:ascii="Arial" w:eastAsia="Arial" w:hAnsi="Arial" w:cs="Arial"/>
          <w:b/>
          <w:bCs/>
          <w:spacing w:val="25"/>
          <w:w w:val="101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设备打开突破口，即将取得客户重复订单。</w:t>
      </w:r>
      <w:r>
        <w:rPr>
          <w:spacing w:val="-5"/>
        </w:rPr>
        <w:t>公司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spacing w:val="-5"/>
        </w:rPr>
        <w:t>cvd</w:t>
      </w:r>
      <w:r>
        <w:rPr>
          <w:rFonts w:ascii="Arial" w:eastAsia="Arial" w:hAnsi="Arial" w:cs="Arial"/>
          <w:spacing w:val="27"/>
        </w:rPr>
        <w:t xml:space="preserve"> </w:t>
      </w:r>
      <w:r>
        <w:rPr>
          <w:spacing w:val="-5"/>
        </w:rPr>
        <w:t>设备已</w:t>
      </w:r>
      <w:r>
        <w:rPr>
          <w:spacing w:val="-5"/>
        </w:rPr>
        <w:t xml:space="preserve"> </w:t>
      </w:r>
      <w:r>
        <w:rPr>
          <w:spacing w:val="-6"/>
        </w:rPr>
        <w:t>于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-6"/>
        </w:rPr>
        <w:t xml:space="preserve">23 </w:t>
      </w:r>
      <w:r>
        <w:rPr>
          <w:spacing w:val="-6"/>
        </w:rPr>
        <w:t>年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-6"/>
        </w:rPr>
        <w:t>7</w:t>
      </w:r>
      <w:r>
        <w:rPr>
          <w:rFonts w:ascii="Arial" w:eastAsia="Arial" w:hAnsi="Arial" w:cs="Arial"/>
          <w:spacing w:val="20"/>
          <w:w w:val="101"/>
        </w:rPr>
        <w:t xml:space="preserve"> </w:t>
      </w:r>
      <w:r>
        <w:rPr>
          <w:spacing w:val="-6"/>
        </w:rPr>
        <w:t>月发给国内头部客户，目前客户端反馈良好，</w:t>
      </w:r>
      <w:r>
        <w:rPr>
          <w:spacing w:val="-6"/>
        </w:rPr>
        <w:t xml:space="preserve"> </w:t>
      </w:r>
      <w:r>
        <w:rPr>
          <w:spacing w:val="-6"/>
        </w:rPr>
        <w:t>正在推动落地重复订单，</w:t>
      </w:r>
      <w:r>
        <w:rPr>
          <w:spacing w:val="-6"/>
        </w:rPr>
        <w:t xml:space="preserve"> </w:t>
      </w:r>
      <w:r>
        <w:rPr>
          <w:spacing w:val="-6"/>
        </w:rPr>
        <w:t>展望明</w:t>
      </w:r>
      <w:r>
        <w:rPr>
          <w:spacing w:val="-6"/>
        </w:rPr>
        <w:t xml:space="preserve"> </w:t>
      </w:r>
      <w:r>
        <w:rPr>
          <w:spacing w:val="-3"/>
        </w:rPr>
        <w:t>年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3"/>
        </w:rPr>
        <w:t xml:space="preserve">CVD </w:t>
      </w:r>
      <w:r>
        <w:rPr>
          <w:spacing w:val="-3"/>
        </w:rPr>
        <w:t>订单有望打开全新增量。公司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3"/>
        </w:rPr>
        <w:t xml:space="preserve">CVD </w:t>
      </w:r>
      <w:r>
        <w:rPr>
          <w:spacing w:val="-3"/>
        </w:rPr>
        <w:t>技术前期来源国内龙头核心技术高管，</w:t>
      </w:r>
      <w:r>
        <w:rPr>
          <w:spacing w:val="-4"/>
        </w:rPr>
        <w:t>后期从</w:t>
      </w:r>
      <w:r>
        <w:rPr>
          <w:spacing w:val="-4"/>
        </w:rPr>
        <w:t xml:space="preserve"> </w:t>
      </w:r>
      <w:r>
        <w:rPr>
          <w:spacing w:val="-4"/>
        </w:rPr>
        <w:t>海外大厂招募相关技术人才快速储备研发，</w:t>
      </w:r>
      <w:r>
        <w:rPr>
          <w:spacing w:val="-5"/>
        </w:rPr>
        <w:t>目前设备反馈与海外设备性能持平、价格更低。</w:t>
      </w:r>
    </w:p>
    <w:p>
      <w:pPr>
        <w:pStyle w:val="BodyText"/>
        <w:spacing w:before="245" w:line="264" w:lineRule="auto"/>
        <w:ind w:left="3075" w:right="660" w:firstLine="9"/>
        <w:jc w:val="both"/>
      </w:pPr>
      <w:r>
        <w:rPr>
          <w:spacing w:val="-3"/>
        </w:rPr>
        <w:t>我们预计</w:t>
      </w:r>
      <w:r>
        <w:rPr>
          <w:spacing w:val="-45"/>
        </w:rPr>
        <w:t xml:space="preserve"> </w:t>
      </w:r>
      <w:r>
        <w:rPr>
          <w:rFonts w:ascii="Arial" w:eastAsia="Arial" w:hAnsi="Arial" w:cs="Arial"/>
          <w:spacing w:val="-3"/>
        </w:rPr>
        <w:t xml:space="preserve">2023/2024/2025 </w:t>
      </w:r>
      <w:r>
        <w:rPr>
          <w:spacing w:val="-3"/>
        </w:rPr>
        <w:t>年归母净利润为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3"/>
        </w:rPr>
        <w:t xml:space="preserve">2.80/4.95/7.37 </w:t>
      </w:r>
      <w:r>
        <w:rPr>
          <w:spacing w:val="-3"/>
        </w:rPr>
        <w:t>亿元，截至</w:t>
      </w:r>
      <w:r>
        <w:rPr>
          <w:spacing w:val="-48"/>
        </w:rPr>
        <w:t xml:space="preserve"> </w:t>
      </w:r>
      <w:r>
        <w:rPr>
          <w:rFonts w:ascii="Arial" w:eastAsia="Arial" w:hAnsi="Arial" w:cs="Arial"/>
          <w:spacing w:val="-3"/>
        </w:rPr>
        <w:t xml:space="preserve">2024 </w:t>
      </w:r>
      <w:r>
        <w:rPr>
          <w:spacing w:val="-3"/>
        </w:rPr>
        <w:t>年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3"/>
        </w:rPr>
        <w:t xml:space="preserve">2 </w:t>
      </w:r>
      <w:r>
        <w:rPr>
          <w:spacing w:val="-3"/>
        </w:rPr>
        <w:t>月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3"/>
        </w:rPr>
        <w:t xml:space="preserve">23  </w:t>
      </w:r>
      <w:r>
        <w:rPr>
          <w:spacing w:val="-3"/>
        </w:rPr>
        <w:t>日</w:t>
      </w:r>
      <w:r>
        <w:t xml:space="preserve"> </w:t>
      </w:r>
      <w:r>
        <w:rPr>
          <w:spacing w:val="-4"/>
        </w:rPr>
        <w:t>对应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4"/>
        </w:rPr>
        <w:t xml:space="preserve">2023-2025 </w:t>
      </w:r>
      <w:r>
        <w:rPr>
          <w:spacing w:val="-4"/>
        </w:rPr>
        <w:t>年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-4"/>
        </w:rPr>
        <w:t xml:space="preserve">PE </w:t>
      </w:r>
      <w:r>
        <w:rPr>
          <w:spacing w:val="-4"/>
        </w:rPr>
        <w:t>为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4"/>
        </w:rPr>
        <w:t>59/33/22x</w:t>
      </w:r>
      <w:r>
        <w:rPr>
          <w:spacing w:val="-4"/>
        </w:rPr>
        <w:t>。公司作为国内</w:t>
      </w:r>
      <w:r>
        <w:rPr>
          <w:spacing w:val="-55"/>
        </w:rPr>
        <w:t xml:space="preserve"> </w:t>
      </w:r>
      <w:r>
        <w:rPr>
          <w:rFonts w:ascii="Arial" w:eastAsia="Arial" w:hAnsi="Arial" w:cs="Arial"/>
          <w:spacing w:val="-4"/>
        </w:rPr>
        <w:t xml:space="preserve">ALD </w:t>
      </w:r>
      <w:r>
        <w:rPr>
          <w:spacing w:val="-4"/>
        </w:rPr>
        <w:t>设备龙头，</w:t>
      </w:r>
      <w:r>
        <w:rPr>
          <w:spacing w:val="-51"/>
        </w:rPr>
        <w:t xml:space="preserve"> </w:t>
      </w:r>
      <w:r>
        <w:rPr>
          <w:spacing w:val="-4"/>
        </w:rPr>
        <w:t>光伏、半导体业务持</w:t>
      </w:r>
      <w:r>
        <w:t xml:space="preserve"> </w:t>
      </w:r>
      <w:r>
        <w:rPr>
          <w:spacing w:val="-1"/>
        </w:rPr>
        <w:t>续放量维持“买入”评级。</w:t>
      </w:r>
    </w:p>
    <w:p>
      <w:pPr>
        <w:pStyle w:val="BodyText"/>
        <w:spacing w:before="228" w:line="212" w:lineRule="auto"/>
        <w:ind w:left="3080"/>
        <w:rPr>
          <w:sz w:val="24"/>
          <w:szCs w:val="24"/>
        </w:rPr>
      </w:pP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先进制程驱动</w:t>
      </w:r>
      <w:r>
        <w:rPr>
          <w:rFonts w:ascii="Arial" w:eastAsia="Arial" w:hAnsi="Arial" w:cs="Arial"/>
          <w:b/>
          <w:bCs/>
          <w:color w:val="C30F1B"/>
          <w:sz w:val="24"/>
          <w:szCs w:val="24"/>
        </w:rPr>
        <w:t>ALD</w:t>
      </w: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设备需求持续提升，</w:t>
      </w:r>
      <w:r>
        <w:rPr>
          <w:rFonts w:ascii="Arial" w:eastAsia="Arial" w:hAnsi="Arial" w:cs="Arial"/>
          <w:b/>
          <w:bCs/>
          <w:color w:val="C30F1B"/>
          <w:sz w:val="24"/>
          <w:szCs w:val="24"/>
        </w:rPr>
        <w:t>25</w:t>
      </w:r>
      <w:r>
        <w:rPr>
          <w:color w:val="C30F1B"/>
          <w:sz w:val="24"/>
          <w:szCs w:val="24"/>
          <w14:textOutline w14:w="4354">
            <w14:solidFill>
              <w14:srgbClr w14:val="C30F1B"/>
            </w14:solidFill>
            <w14:prstDash w14:val="solid"/>
            <w14:miter w14:lim="10"/>
          </w14:textOutline>
        </w:rPr>
        <w:t>年市场空间超百亿</w:t>
      </w:r>
    </w:p>
    <w:p>
      <w:pPr>
        <w:pStyle w:val="BodyText"/>
        <w:spacing w:before="224" w:line="276" w:lineRule="auto"/>
        <w:ind w:left="3084" w:right="660" w:firstLine="1"/>
      </w:pP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薄膜沉积设备多工艺路线并存，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-4"/>
        </w:rPr>
        <w:t>ALD</w:t>
      </w:r>
      <w:r>
        <w:rPr>
          <w:rFonts w:ascii="Arial" w:eastAsia="Arial" w:hAnsi="Arial" w:cs="Arial"/>
          <w:b/>
          <w:bCs/>
          <w:spacing w:val="39"/>
          <w:w w:val="101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设备目前占据薄膜沉积设备市场的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-4"/>
        </w:rPr>
        <w:t>11%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spacing w:val="-4"/>
        </w:rPr>
        <w:t>晶圆制造</w:t>
      </w:r>
      <w:r>
        <w:t xml:space="preserve"> </w:t>
      </w:r>
      <w:r>
        <w:rPr>
          <w:spacing w:val="-7"/>
        </w:rPr>
        <w:t>的各工艺步骤需要用到不同的薄膜沉积设备，</w:t>
      </w:r>
      <w:r>
        <w:rPr>
          <w:spacing w:val="-7"/>
        </w:rPr>
        <w:t xml:space="preserve"> </w:t>
      </w:r>
      <w:r>
        <w:rPr>
          <w:spacing w:val="-7"/>
        </w:rPr>
        <w:t>随着技术发展，</w:t>
      </w:r>
      <w:r>
        <w:rPr>
          <w:spacing w:val="40"/>
        </w:rPr>
        <w:t xml:space="preserve"> </w:t>
      </w:r>
      <w:r>
        <w:rPr>
          <w:spacing w:val="-7"/>
        </w:rPr>
        <w:t>目前已经形成以</w:t>
      </w:r>
      <w:r>
        <w:rPr>
          <w:spacing w:val="-7"/>
        </w:rPr>
        <w:t xml:space="preserve"> </w:t>
      </w:r>
      <w:r>
        <w:rPr>
          <w:rFonts w:ascii="Arial" w:eastAsia="Arial" w:hAnsi="Arial" w:cs="Arial"/>
          <w:spacing w:val="-7"/>
        </w:rPr>
        <w:t>PECVD</w:t>
      </w:r>
      <w:r>
        <w:rPr>
          <w:spacing w:val="-7"/>
        </w:rPr>
        <w:t>、</w:t>
      </w:r>
      <w:r>
        <w:t xml:space="preserve"> </w:t>
      </w:r>
      <w:r>
        <w:rPr>
          <w:rFonts w:ascii="Arial" w:eastAsia="Arial" w:hAnsi="Arial" w:cs="Arial"/>
          <w:spacing w:val="-4"/>
        </w:rPr>
        <w:t>LPCVD</w:t>
      </w:r>
      <w:r>
        <w:rPr>
          <w:spacing w:val="-4"/>
        </w:rPr>
        <w:t>、溅射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spacing w:val="-4"/>
        </w:rPr>
        <w:t>PVD</w:t>
      </w:r>
      <w:r>
        <w:rPr>
          <w:spacing w:val="-4"/>
        </w:rPr>
        <w:t>、</w:t>
      </w:r>
      <w:r>
        <w:rPr>
          <w:rFonts w:ascii="Arial" w:eastAsia="Arial" w:hAnsi="Arial" w:cs="Arial"/>
          <w:spacing w:val="-4"/>
        </w:rPr>
        <w:t>ALD</w:t>
      </w:r>
      <w:r>
        <w:rPr>
          <w:rFonts w:ascii="Arial" w:eastAsia="Arial" w:hAnsi="Arial" w:cs="Arial"/>
          <w:spacing w:val="31"/>
          <w:w w:val="101"/>
        </w:rPr>
        <w:t xml:space="preserve"> </w:t>
      </w:r>
      <w:r>
        <w:rPr>
          <w:spacing w:val="-4"/>
        </w:rPr>
        <w:t>等设备为主的半导体镀膜设备格局。其中，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spacing w:val="-4"/>
        </w:rPr>
        <w:t>PECVD</w:t>
      </w:r>
      <w:r>
        <w:rPr>
          <w:rFonts w:ascii="Arial" w:eastAsia="Arial" w:hAnsi="Arial" w:cs="Arial"/>
          <w:spacing w:val="21"/>
        </w:rPr>
        <w:t xml:space="preserve"> </w:t>
      </w:r>
      <w:r>
        <w:rPr>
          <w:spacing w:val="-4"/>
        </w:rPr>
        <w:t>设备占全</w:t>
      </w:r>
      <w:r>
        <w:t xml:space="preserve"> </w:t>
      </w:r>
      <w:r>
        <w:rPr>
          <w:spacing w:val="-1"/>
        </w:rPr>
        <w:t>薄膜沉积设备市场的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spacing w:val="-1"/>
        </w:rPr>
        <w:t>33%</w:t>
      </w:r>
      <w:r>
        <w:rPr>
          <w:spacing w:val="-1"/>
        </w:rPr>
        <w:t>，为占比最高的设备类型；</w:t>
      </w:r>
      <w:r>
        <w:rPr>
          <w:rFonts w:ascii="Arial" w:eastAsia="Arial" w:hAnsi="Arial" w:cs="Arial"/>
          <w:spacing w:val="-1"/>
        </w:rPr>
        <w:t>ALD</w:t>
      </w:r>
      <w:r>
        <w:rPr>
          <w:rFonts w:ascii="Arial" w:eastAsia="Arial" w:hAnsi="Arial" w:cs="Arial"/>
          <w:spacing w:val="44"/>
        </w:rPr>
        <w:t xml:space="preserve"> </w:t>
      </w:r>
      <w:r>
        <w:rPr>
          <w:spacing w:val="-1"/>
        </w:rPr>
        <w:t>设备目前占据薄膜沉积设备市</w:t>
      </w:r>
      <w:r>
        <w:t xml:space="preserve"> </w:t>
      </w:r>
      <w:r>
        <w:rPr>
          <w:spacing w:val="-8"/>
        </w:rPr>
        <w:t>场的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8"/>
        </w:rPr>
        <w:t>11%</w:t>
      </w:r>
      <w:r>
        <w:rPr>
          <w:spacing w:val="-8"/>
        </w:rPr>
        <w:t>。</w:t>
      </w:r>
    </w:p>
    <w:p>
      <w:pPr>
        <w:pStyle w:val="BodyText"/>
        <w:spacing w:before="238" w:line="212" w:lineRule="auto"/>
        <w:ind w:left="3106"/>
        <w:rPr>
          <w:rFonts w:ascii="Arial" w:eastAsia="Arial" w:hAnsi="Arial" w:cs="Arial"/>
          <w:sz w:val="18"/>
          <w:szCs w:val="18"/>
        </w:r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8</w:t>
      </w:r>
      <w:r>
        <w:rPr>
          <w:color w:val="0D0D0D"/>
          <w:spacing w:val="-4"/>
          <w:sz w:val="18"/>
          <w:szCs w:val="18"/>
        </w:rPr>
        <w:t>：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 xml:space="preserve">2020 </w:t>
      </w:r>
      <w:r>
        <w:rPr>
          <w:color w:val="0D0D0D"/>
          <w:spacing w:val="-4"/>
          <w:sz w:val="18"/>
          <w:szCs w:val="18"/>
        </w:rPr>
        <w:t>年，</w:t>
      </w:r>
      <w:r>
        <w:rPr>
          <w:color w:val="0D0D0D"/>
          <w:spacing w:val="-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 xml:space="preserve">ALD </w:t>
      </w:r>
      <w:r>
        <w:rPr>
          <w:spacing w:val="-4"/>
          <w:sz w:val="18"/>
          <w:szCs w:val="18"/>
        </w:rPr>
        <w:t>设备占据薄</w:t>
      </w:r>
      <w:r>
        <w:rPr>
          <w:spacing w:val="-5"/>
          <w:sz w:val="18"/>
          <w:szCs w:val="18"/>
        </w:rPr>
        <w:t>膜沉积设备市场的</w:t>
      </w:r>
      <w:r>
        <w:rPr>
          <w:spacing w:val="-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5"/>
          <w:sz w:val="18"/>
          <w:szCs w:val="18"/>
        </w:rPr>
        <w:t>11%</w:t>
      </w:r>
    </w:p>
    <w:p>
      <w:pPr>
        <w:spacing w:before="200" w:line="2651" w:lineRule="exact"/>
        <w:ind w:firstLine="5554"/>
      </w:pPr>
      <w:r>
        <w:rPr>
          <w:position w:val="-53"/>
        </w:rPr>
        <w:pict>
          <v:group id="_x0000_i1097" style="width:132.05pt;height:132.55pt;mso-position-horizontal-relative:char;mso-position-vertical-relative:line" coordorigin="0,0" coordsize="2641,2651" filled="f" stroked="f">
            <v:group id="_x0000_s1098" style="width:2641;height:2651;position:absolute" coordorigin="0,0" coordsize="2641,2651" filled="f" stroked="f">
              <v:shape id="_x0000_s1099" style="width:1321;height:1956;left:1320;position:absolute" coordorigin="0,0" coordsize="1321,1956" path="m,c729,,1320,591,1320,1320c1320,1542,1264,1761,1157,1956l,1320l,xe" filled="t" fillcolor="#c30f1b" stroked="f"/>
              <v:shape id="_x0000_s1100" style="width:1323;height:1331;left:1154;position:absolute;top:1320" coordorigin="0,0" coordsize="1323,1331" path="m1322,636c1061,1110,537,1377,,1309l165,l1322,636xe" filled="t" fillcolor="#ba9873" stroked="f"/>
              <v:shape id="_x0000_s1101" style="width:1018;height:1310;left:302;position:absolute;top:1320" coordorigin="0,0" coordsize="1018,1310" path="m851,1309c518,1267,214,1100,,841l1017,l851,1309xe" filled="t" fillcolor="#c8c8c8" stroked="f"/>
              <v:shape id="_x0000_s1102" style="width:1321;height:841;position:absolute;top:1320" coordorigin="0,0" coordsize="1321,841" path="m302,841c107,604,,307,,l1320,l302,841xe" filled="t" fillcolor="#eab3a7" stroked="f"/>
              <v:shape id="_x0000_s1103" style="width:1321;height:841;position:absolute;top:478" coordorigin="0,0" coordsize="1321,841" path="m,841c,534,107,236,302,l1320,841l,841xe" filled="t" fillcolor="#dc5969" stroked="f"/>
              <v:shape id="_x0000_s1104" style="width:1018;height:1158;left:302;position:absolute;top:163" coordorigin="0,0" coordsize="1018,1158" path="m,315m,315c106,187,235,80,381,l1017,1157l,315xe" filled="t" fillcolor="#8e1515" stroked="f"/>
              <v:shape id="_x0000_s1105" style="width:637;height:1279;left:684;position:absolute;top:41" coordorigin="0,0" coordsize="637,1279" path="m,121m,121c97,68,200,27,307,l636,1278l,121xe" filled="t" fillcolor="#ee7300" stroked="f"/>
              <v:shape id="_x0000_s1106" style="width:329;height:1321;left:991;position:absolute" coordorigin="0,0" coordsize="329,1321" path="m,41m,41c107,14,217,,328,l328,1320l,41xe" filled="t" fillcolor="#eeb077" stroked="f"/>
            </v:group>
            <v:shape id="_x0000_s1107" type="#_x0000_t202" style="width:2278;height:2246;left:130;position:absolute;top:120" filled="f" stroked="f">
              <o:lock v:ext="edit" aspectratio="f"/>
              <v:textbox inset="0,0,0,0">
                <w:txbxContent>
                  <w:p>
                    <w:pPr>
                      <w:spacing w:before="20" w:line="178" w:lineRule="auto"/>
                      <w:ind w:left="935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1"/>
                        <w:sz w:val="16"/>
                        <w:szCs w:val="16"/>
                      </w:rPr>
                      <w:t>4%</w:t>
                    </w:r>
                  </w:p>
                  <w:p>
                    <w:pPr>
                      <w:spacing w:line="104" w:lineRule="exact"/>
                      <w:ind w:left="665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1"/>
                        <w:position w:val="-2"/>
                        <w:sz w:val="16"/>
                        <w:szCs w:val="16"/>
                      </w:rPr>
                      <w:t>4%</w:t>
                    </w:r>
                  </w:p>
                  <w:p>
                    <w:pPr>
                      <w:spacing w:before="43" w:line="197" w:lineRule="auto"/>
                      <w:ind w:left="369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2"/>
                        <w:sz w:val="16"/>
                        <w:szCs w:val="16"/>
                      </w:rPr>
                      <w:t>6%</w:t>
                    </w:r>
                  </w:p>
                  <w:p>
                    <w:pPr>
                      <w:spacing w:before="164" w:line="197" w:lineRule="auto"/>
                      <w:ind w:right="17"/>
                      <w:jc w:val="right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2"/>
                        <w:sz w:val="16"/>
                        <w:szCs w:val="16"/>
                      </w:rPr>
                      <w:t>33%</w:t>
                    </w:r>
                  </w:p>
                  <w:p>
                    <w:pPr>
                      <w:spacing w:before="58" w:line="197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4"/>
                        <w:sz w:val="16"/>
                        <w:szCs w:val="16"/>
                      </w:rPr>
                      <w:t>11%</w:t>
                    </w:r>
                  </w:p>
                  <w:p>
                    <w:pPr>
                      <w:spacing w:line="4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97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4"/>
                        <w:sz w:val="16"/>
                        <w:szCs w:val="16"/>
                      </w:rPr>
                      <w:t>11%</w:t>
                    </w:r>
                  </w:p>
                  <w:p>
                    <w:pPr>
                      <w:spacing w:line="4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7" w:line="197" w:lineRule="auto"/>
                      <w:ind w:left="1535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4"/>
                        <w:sz w:val="16"/>
                        <w:szCs w:val="16"/>
                      </w:rPr>
                      <w:t>19%</w:t>
                    </w:r>
                  </w:p>
                </w:txbxContent>
              </v:textbox>
            </v:shape>
            <v:shape id="_x0000_s1108" type="#_x0000_t202" style="width:344;height:162;left:625;position:absolute;top:2205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254061"/>
                        <w:spacing w:val="-4"/>
                        <w:sz w:val="16"/>
                        <w:szCs w:val="16"/>
                      </w:rPr>
                      <w:t>12%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97" w:lineRule="exact"/>
      </w:pPr>
    </w:p>
    <w:p>
      <w:pPr>
        <w:spacing w:line="97" w:lineRule="exact"/>
        <w:sectPr>
          <w:headerReference w:type="default" r:id="rId112"/>
          <w:footerReference w:type="default" r:id="rId113"/>
          <w:pgSz w:w="11907" w:h="16839"/>
          <w:pgMar w:top="1202" w:right="14" w:bottom="928" w:left="11" w:header="10" w:footer="21" w:gutter="0"/>
          <w:pgNumType w:start="32"/>
          <w:cols w:num="1" w:space="708" w:equalWidth="0">
            <w:col w:w="11881" w:space="0"/>
          </w:cols>
        </w:sectPr>
      </w:pPr>
    </w:p>
    <w:p>
      <w:pPr>
        <w:spacing w:before="58" w:line="196" w:lineRule="auto"/>
        <w:ind w:left="34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54061"/>
          <w:position w:val="1"/>
          <w:sz w:val="18"/>
          <w:szCs w:val="18"/>
        </w:rPr>
        <w:drawing>
          <wp:inline distT="0" distB="0" distL="0" distR="0">
            <wp:extent cx="56388" cy="57911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6388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254061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254061"/>
          <w:spacing w:val="-3"/>
          <w:sz w:val="18"/>
          <w:szCs w:val="18"/>
        </w:rPr>
        <w:t>PECVD</w:t>
      </w:r>
    </w:p>
    <w:p>
      <w:pPr>
        <w:pStyle w:val="BodyText"/>
        <w:spacing w:before="106" w:line="185" w:lineRule="auto"/>
        <w:ind w:left="3440"/>
        <w:rPr>
          <w:rFonts w:ascii="Arial" w:eastAsia="Arial" w:hAnsi="Arial" w:cs="Arial"/>
          <w:sz w:val="18"/>
          <w:szCs w:val="18"/>
        </w:rPr>
      </w:pPr>
      <w:r>
        <w:rPr>
          <w:color w:val="254061"/>
          <w:position w:val="1"/>
          <w:sz w:val="18"/>
          <w:szCs w:val="18"/>
        </w:rPr>
        <w:drawing>
          <wp:inline distT="0" distB="0" distL="0" distR="0">
            <wp:extent cx="56388" cy="57912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6388" cy="57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6"/>
          <w:sz w:val="18"/>
          <w:szCs w:val="18"/>
        </w:rPr>
        <w:t xml:space="preserve"> </w:t>
      </w:r>
      <w:r>
        <w:rPr>
          <w:color w:val="254061"/>
          <w:spacing w:val="-1"/>
          <w:sz w:val="18"/>
          <w:szCs w:val="18"/>
        </w:rPr>
        <w:t>非管式</w:t>
      </w:r>
      <w:r>
        <w:rPr>
          <w:rFonts w:ascii="Arial" w:eastAsia="Arial" w:hAnsi="Arial" w:cs="Arial"/>
          <w:color w:val="254061"/>
          <w:spacing w:val="-1"/>
          <w:sz w:val="18"/>
          <w:szCs w:val="18"/>
        </w:rPr>
        <w:t>LPCVD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222" w:lineRule="auto"/>
        <w:rPr>
          <w:rFonts w:ascii="Arial" w:eastAsia="Arial" w:hAnsi="Arial" w:cs="Arial"/>
          <w:sz w:val="18"/>
          <w:szCs w:val="18"/>
        </w:rPr>
      </w:pPr>
      <w:r>
        <w:rPr>
          <w:color w:val="254061"/>
          <w:position w:val="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8"/>
          <w:sz w:val="18"/>
          <w:szCs w:val="18"/>
        </w:rPr>
        <w:t xml:space="preserve"> </w:t>
      </w:r>
      <w:r>
        <w:rPr>
          <w:color w:val="254061"/>
          <w:spacing w:val="-2"/>
          <w:sz w:val="18"/>
          <w:szCs w:val="18"/>
        </w:rPr>
        <w:t>溅射</w:t>
      </w:r>
      <w:r>
        <w:rPr>
          <w:rFonts w:ascii="Arial" w:eastAsia="Arial" w:hAnsi="Arial" w:cs="Arial"/>
          <w:color w:val="254061"/>
          <w:spacing w:val="-2"/>
          <w:sz w:val="18"/>
          <w:szCs w:val="18"/>
        </w:rPr>
        <w:t>PVD</w:t>
      </w:r>
    </w:p>
    <w:p>
      <w:pPr>
        <w:pStyle w:val="BodyText"/>
        <w:spacing w:before="80" w:line="185" w:lineRule="auto"/>
        <w:rPr>
          <w:sz w:val="18"/>
          <w:szCs w:val="18"/>
        </w:rPr>
      </w:pPr>
      <w:r>
        <w:rPr>
          <w:color w:val="254061"/>
          <w:position w:val="1"/>
          <w:sz w:val="18"/>
          <w:szCs w:val="18"/>
        </w:rPr>
        <w:drawing>
          <wp:inline distT="0" distB="0" distL="0" distR="0">
            <wp:extent cx="57911" cy="57912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6"/>
          <w:sz w:val="18"/>
          <w:szCs w:val="18"/>
        </w:rPr>
        <w:t xml:space="preserve"> </w:t>
      </w:r>
      <w:r>
        <w:rPr>
          <w:color w:val="254061"/>
          <w:spacing w:val="-2"/>
          <w:sz w:val="18"/>
          <w:szCs w:val="18"/>
        </w:rPr>
        <w:t>其他薄膜沉积设备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318" w:lineRule="exact"/>
        <w:rPr>
          <w:rFonts w:ascii="Arial" w:eastAsia="Arial" w:hAnsi="Arial" w:cs="Arial"/>
          <w:sz w:val="18"/>
          <w:szCs w:val="18"/>
        </w:rPr>
      </w:pPr>
      <w:r>
        <w:rPr>
          <w:color w:val="254061"/>
          <w:position w:val="1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3"/>
          <w:position w:val="10"/>
          <w:sz w:val="18"/>
          <w:szCs w:val="18"/>
        </w:rPr>
        <w:t xml:space="preserve"> </w:t>
      </w:r>
      <w:r>
        <w:rPr>
          <w:color w:val="254061"/>
          <w:spacing w:val="-3"/>
          <w:position w:val="10"/>
          <w:sz w:val="18"/>
          <w:szCs w:val="18"/>
        </w:rPr>
        <w:t>管式</w:t>
      </w:r>
      <w:r>
        <w:rPr>
          <w:rFonts w:ascii="Arial" w:eastAsia="Arial" w:hAnsi="Arial" w:cs="Arial"/>
          <w:color w:val="254061"/>
          <w:spacing w:val="-3"/>
          <w:position w:val="10"/>
          <w:sz w:val="18"/>
          <w:szCs w:val="18"/>
        </w:rPr>
        <w:t>CVD</w:t>
      </w:r>
    </w:p>
    <w:p>
      <w:pPr>
        <w:spacing w:line="184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54061"/>
          <w:position w:val="1"/>
          <w:sz w:val="18"/>
          <w:szCs w:val="18"/>
        </w:rPr>
        <w:drawing>
          <wp:inline distT="0" distB="0" distL="0" distR="0">
            <wp:extent cx="57911" cy="57912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254061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254061"/>
          <w:spacing w:val="-3"/>
          <w:sz w:val="18"/>
          <w:szCs w:val="18"/>
        </w:rPr>
        <w:t>MOCVD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194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54061"/>
          <w:position w:val="1"/>
          <w:sz w:val="18"/>
          <w:szCs w:val="18"/>
        </w:rPr>
        <w:drawing>
          <wp:inline distT="0" distB="0" distL="0" distR="0">
            <wp:extent cx="56388" cy="57911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6388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254061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color w:val="254061"/>
          <w:sz w:val="18"/>
          <w:szCs w:val="18"/>
        </w:rPr>
        <w:t>ALD</w:t>
      </w:r>
    </w:p>
    <w:p>
      <w:pPr>
        <w:pStyle w:val="BodyText"/>
        <w:spacing w:before="105" w:line="185" w:lineRule="auto"/>
        <w:rPr>
          <w:rFonts w:ascii="Arial" w:eastAsia="Arial" w:hAnsi="Arial" w:cs="Arial"/>
          <w:sz w:val="18"/>
          <w:szCs w:val="18"/>
        </w:rPr>
      </w:pPr>
      <w:r>
        <w:rPr>
          <w:color w:val="254061"/>
          <w:position w:val="1"/>
          <w:sz w:val="18"/>
          <w:szCs w:val="18"/>
        </w:rPr>
        <w:drawing>
          <wp:inline distT="0" distB="0" distL="0" distR="0">
            <wp:extent cx="56388" cy="57912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6388" cy="57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27"/>
          <w:sz w:val="18"/>
          <w:szCs w:val="18"/>
        </w:rPr>
        <w:t xml:space="preserve"> </w:t>
      </w:r>
      <w:r>
        <w:rPr>
          <w:color w:val="254061"/>
          <w:spacing w:val="-4"/>
          <w:sz w:val="18"/>
          <w:szCs w:val="18"/>
        </w:rPr>
        <w:t>电镀</w:t>
      </w:r>
      <w:r>
        <w:rPr>
          <w:rFonts w:ascii="Arial" w:eastAsia="Arial" w:hAnsi="Arial" w:cs="Arial"/>
          <w:color w:val="254061"/>
          <w:spacing w:val="-4"/>
          <w:sz w:val="18"/>
          <w:szCs w:val="18"/>
        </w:rPr>
        <w:t>ECD</w:t>
      </w:r>
    </w:p>
    <w:p>
      <w:pPr>
        <w:spacing w:line="185" w:lineRule="auto"/>
        <w:rPr>
          <w:rFonts w:ascii="Arial" w:eastAsia="Arial" w:hAnsi="Arial" w:cs="Arial"/>
          <w:sz w:val="18"/>
          <w:szCs w:val="18"/>
        </w:rPr>
        <w:sectPr>
          <w:headerReference w:type="default" r:id="rId119"/>
          <w:footerReference w:type="default" r:id="rId120"/>
          <w:type w:val="continuous"/>
          <w:pgSz w:w="11907" w:h="16839"/>
          <w:pgMar w:top="1202" w:right="14" w:bottom="928" w:left="11" w:header="10" w:footer="21" w:gutter="0"/>
          <w:pgNumType w:start="33"/>
          <w:cols w:num="4" w:space="708" w:equalWidth="0">
            <w:col w:w="5126" w:space="100"/>
            <w:col w:w="1689" w:space="100"/>
            <w:col w:w="1688" w:space="100"/>
            <w:col w:w="3080" w:space="0"/>
          </w:cols>
        </w:sectPr>
      </w:pP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43" w:line="225" w:lineRule="auto"/>
        <w:ind w:left="3089"/>
        <w:rPr>
          <w:sz w:val="13"/>
          <w:szCs w:val="13"/>
        </w:rPr>
      </w:pPr>
      <w:r>
        <w:rPr>
          <w:spacing w:val="9"/>
          <w:sz w:val="13"/>
          <w:szCs w:val="13"/>
        </w:rPr>
        <w:t>资料来源：拓荆科技招股说明书，西部证券研发中心</w:t>
      </w:r>
    </w:p>
    <w:p>
      <w:pPr>
        <w:pStyle w:val="BodyText"/>
        <w:spacing w:before="131" w:line="273" w:lineRule="auto"/>
        <w:ind w:left="3075" w:right="661" w:firstLine="9"/>
        <w:sectPr>
          <w:headerReference w:type="default" r:id="rId121"/>
          <w:footerReference w:type="default" r:id="rId122"/>
          <w:type w:val="continuous"/>
          <w:pgSz w:w="11907" w:h="16839"/>
          <w:pgMar w:top="1202" w:right="14" w:bottom="928" w:left="11" w:header="10" w:footer="21" w:gutter="0"/>
          <w:pgNumType w:start="34"/>
          <w:cols w:num="1" w:space="708" w:equalWidth="0">
            <w:col w:w="11881" w:space="0"/>
          </w:cols>
        </w:sectPr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薄膜要求提高衍生设备要求，</w:t>
      </w:r>
      <w:r>
        <w:rPr>
          <w:spacing w:val="-29"/>
        </w:rPr>
        <w:t xml:space="preserve">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先进制程不断加速发展。</w:t>
      </w:r>
      <w:r>
        <w:rPr>
          <w:spacing w:val="-6"/>
        </w:rPr>
        <w:t>在晶圆制造过程中，</w:t>
      </w:r>
      <w:r>
        <w:rPr>
          <w:spacing w:val="-6"/>
        </w:rPr>
        <w:t xml:space="preserve"> </w:t>
      </w:r>
      <w:r>
        <w:rPr>
          <w:spacing w:val="-6"/>
        </w:rPr>
        <w:t>薄膜起到形成</w:t>
      </w:r>
      <w:r>
        <w:t xml:space="preserve"> </w:t>
      </w:r>
      <w:r>
        <w:rPr>
          <w:spacing w:val="-1"/>
        </w:rPr>
        <w:t>导电层或绝缘层、阻挡污染物和杂质渗透、提高吸光率、临时阻挡</w:t>
      </w:r>
      <w:r>
        <w:rPr>
          <w:spacing w:val="-2"/>
        </w:rPr>
        <w:t>刻蚀等重要作用。随着</w:t>
      </w:r>
      <w:r>
        <w:t xml:space="preserve"> </w:t>
      </w:r>
      <w:r>
        <w:rPr>
          <w:spacing w:val="-1"/>
        </w:rPr>
        <w:t>集成电路制造不断向更先进工艺发展，单位面积集成的电路规模不断</w:t>
      </w:r>
      <w:r>
        <w:rPr>
          <w:spacing w:val="-2"/>
        </w:rPr>
        <w:t>扩大，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芯片内部立体</w:t>
      </w:r>
      <w: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结构日趋复杂，</w:t>
      </w:r>
      <w:r>
        <w:rPr>
          <w:spacing w:val="28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所需要的薄膜层数越来越多，</w:t>
      </w:r>
      <w:r>
        <w:rPr>
          <w:spacing w:val="27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对绝缘介质薄膜、导电金属薄膜的材料种类</w:t>
      </w:r>
      <w: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和性能参数不断提出新的要求。</w:t>
      </w:r>
    </w:p>
    <w:p>
      <w:pPr>
        <w:pStyle w:val="BodyText"/>
        <w:spacing w:before="243" w:line="266" w:lineRule="auto"/>
        <w:ind w:left="3077" w:right="660" w:hanging="9"/>
        <w:jc w:val="both"/>
      </w:pPr>
      <w:r>
        <w:rPr>
          <w:rFonts w:ascii="Arial" w:eastAsia="Arial" w:hAnsi="Arial" w:cs="Arial"/>
          <w:b/>
          <w:bCs/>
          <w:spacing w:val="-2"/>
        </w:rPr>
        <w:t>ALD</w:t>
      </w:r>
      <w:r>
        <w:rPr>
          <w:rFonts w:ascii="Arial" w:eastAsia="Arial" w:hAnsi="Arial" w:cs="Arial"/>
          <w:b/>
          <w:bCs/>
          <w:spacing w:val="19"/>
          <w:w w:val="101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在逻辑与存储领域超薄与复杂结构中体现不可替代性。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  <w:spacing w:val="-3"/>
        </w:rPr>
        <w:t>LD</w:t>
      </w:r>
      <w:r>
        <w:rPr>
          <w:rFonts w:ascii="Arial" w:eastAsia="Arial" w:hAnsi="Arial" w:cs="Arial"/>
          <w:spacing w:val="23"/>
          <w:w w:val="101"/>
        </w:rPr>
        <w:t xml:space="preserve"> </w:t>
      </w:r>
      <w:r>
        <w:rPr>
          <w:spacing w:val="-3"/>
        </w:rPr>
        <w:t>设备薄膜均匀性控制精</w:t>
      </w:r>
      <w:r>
        <w:t xml:space="preserve"> </w:t>
      </w:r>
      <w:r>
        <w:rPr>
          <w:spacing w:val="-3"/>
        </w:rPr>
        <w:t>准，</w:t>
      </w:r>
      <w:r>
        <w:rPr>
          <w:spacing w:val="-37"/>
        </w:rPr>
        <w:t xml:space="preserve"> </w:t>
      </w:r>
      <w:r>
        <w:rPr>
          <w:spacing w:val="-3"/>
        </w:rPr>
        <w:t>有望在逻辑、存储、封装三大环节中进行快速渗透。其中在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3"/>
        </w:rPr>
        <w:t>90nmCM</w:t>
      </w:r>
      <w:r>
        <w:rPr>
          <w:rFonts w:ascii="Arial" w:eastAsia="Arial" w:hAnsi="Arial" w:cs="Arial"/>
          <w:spacing w:val="-4"/>
        </w:rPr>
        <w:t xml:space="preserve">OS </w:t>
      </w:r>
      <w:r>
        <w:rPr>
          <w:spacing w:val="-4"/>
        </w:rPr>
        <w:t>工艺大约需</w:t>
      </w:r>
      <w:r>
        <w:t xml:space="preserve"> </w:t>
      </w:r>
      <w:r>
        <w:rPr>
          <w:spacing w:val="-3"/>
        </w:rPr>
        <w:t>要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3"/>
        </w:rPr>
        <w:t xml:space="preserve">40 </w:t>
      </w:r>
      <w:r>
        <w:rPr>
          <w:spacing w:val="-3"/>
        </w:rPr>
        <w:t>道薄膜沉积工序。在</w:t>
      </w:r>
      <w:r>
        <w:rPr>
          <w:spacing w:val="-33"/>
        </w:rPr>
        <w:t xml:space="preserve"> </w:t>
      </w:r>
      <w:r>
        <w:rPr>
          <w:rFonts w:ascii="Arial" w:eastAsia="Arial" w:hAnsi="Arial" w:cs="Arial"/>
          <w:spacing w:val="-3"/>
        </w:rPr>
        <w:t xml:space="preserve">3nmFinFET </w:t>
      </w:r>
      <w:r>
        <w:rPr>
          <w:spacing w:val="-3"/>
        </w:rPr>
        <w:t>工艺产线，则超过</w:t>
      </w:r>
      <w:r>
        <w:rPr>
          <w:spacing w:val="-23"/>
        </w:rPr>
        <w:t xml:space="preserve"> </w:t>
      </w:r>
      <w:r>
        <w:rPr>
          <w:rFonts w:ascii="Arial" w:eastAsia="Arial" w:hAnsi="Arial" w:cs="Arial"/>
          <w:spacing w:val="-3"/>
        </w:rPr>
        <w:t xml:space="preserve">100 </w:t>
      </w:r>
      <w:r>
        <w:rPr>
          <w:spacing w:val="-3"/>
        </w:rPr>
        <w:t>道薄膜沉积工序，</w:t>
      </w:r>
      <w:r>
        <w:rPr>
          <w:spacing w:val="-3"/>
        </w:rPr>
        <w:t xml:space="preserve"> </w:t>
      </w:r>
      <w:r>
        <w:rPr>
          <w:spacing w:val="-3"/>
        </w:rPr>
        <w:t>涉及的</w:t>
      </w:r>
      <w:r>
        <w:t xml:space="preserve"> </w:t>
      </w:r>
      <w:r>
        <w:rPr>
          <w:spacing w:val="-2"/>
        </w:rPr>
        <w:t>薄膜材料由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-2"/>
        </w:rPr>
        <w:t xml:space="preserve">6 </w:t>
      </w:r>
      <w:r>
        <w:rPr>
          <w:spacing w:val="-2"/>
        </w:rPr>
        <w:t>种增加到近</w:t>
      </w:r>
      <w:r>
        <w:rPr>
          <w:spacing w:val="-48"/>
        </w:rPr>
        <w:t xml:space="preserve"> </w:t>
      </w:r>
      <w:r>
        <w:rPr>
          <w:rFonts w:ascii="Arial" w:eastAsia="Arial" w:hAnsi="Arial" w:cs="Arial"/>
          <w:spacing w:val="-2"/>
        </w:rPr>
        <w:t xml:space="preserve">20 </w:t>
      </w:r>
      <w:r>
        <w:rPr>
          <w:spacing w:val="-2"/>
        </w:rPr>
        <w:t>种，对于薄膜颗粒的要求也由微米级提高到纳米级。</w:t>
      </w:r>
      <w:r>
        <w:rPr>
          <w:rFonts w:ascii="Arial" w:eastAsia="Arial" w:hAnsi="Arial" w:cs="Arial"/>
          <w:b/>
          <w:bCs/>
          <w:spacing w:val="-2"/>
        </w:rPr>
        <w:t xml:space="preserve">ALD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技</w:t>
      </w:r>
      <w: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术阶梯覆盖率更好、薄膜厚度控制更精准，因此被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引入先进制程产线。</w:t>
      </w:r>
    </w:p>
    <w:p>
      <w:pPr>
        <w:spacing w:line="266" w:lineRule="auto"/>
        <w:sectPr>
          <w:headerReference w:type="default" r:id="rId123"/>
          <w:footerReference w:type="default" r:id="rId124"/>
          <w:type w:val="nextPage"/>
          <w:pgSz w:w="11907" w:h="16839"/>
          <w:pgMar w:top="1202" w:right="14" w:bottom="928" w:left="11" w:header="10" w:footer="21" w:gutter="0"/>
          <w:pgNumType w:start="35"/>
          <w:cols w:num="1" w:space="708" w:equalWidth="0">
            <w:col w:w="11881" w:space="0"/>
          </w:cols>
          <w:titlePg w:val="0"/>
        </w:sectPr>
      </w:pPr>
    </w:p>
    <w:p>
      <w:pPr>
        <w:pStyle w:val="BodyText"/>
        <w:spacing w:before="281" w:line="273" w:lineRule="auto"/>
        <w:ind w:left="3081" w:right="659" w:hanging="2"/>
        <w:jc w:val="both"/>
      </w:pPr>
      <w:r>
        <w:pict>
          <v:shape id="_x0000_s1109" style="width:528.1pt;height:0.5pt;margin-top:398.69pt;margin-left:33.24pt;mso-position-horizontal-relative:page;mso-position-vertical-relative:page;position:absolute;z-index:251707392" coordorigin="0,0" coordsize="10561,10" o:allowincell="f" path="m,9l10561,9l10561,l,l,9xe" filled="t" fillcolor="black" stroked="f"/>
        </w:pict>
      </w:r>
      <w:r>
        <w:pict>
          <v:shape id="_x0000_s1110" style="width:257.85pt;height:0.5pt;margin-top:594.79pt;margin-left:33.96pt;mso-position-horizontal-relative:page;mso-position-vertical-relative:page;position:absolute;z-index:251708416" coordorigin="0,0" coordsize="5157,10" o:allowincell="f" path="m,9l5156,9l5156,l,l,9xe" filled="t" fillcolor="black" stroked="f"/>
        </w:pict>
      </w:r>
      <w:r>
        <w:pict>
          <v:shape id="_x0000_s1111" style="width:257.85pt;height:0.5pt;margin-top:751.3pt;margin-left:33.96pt;mso-position-horizontal-relative:page;mso-position-vertical-relative:page;position:absolute;z-index:251710464" coordorigin="0,0" coordsize="5157,10" o:allowincell="f" path="m,9l5156,9l5156,l,l,9xe" filled="t" fillcolor="black" stroked="f"/>
        </w:pict>
      </w:r>
      <w:r>
        <w:pict>
          <v:shape id="_x0000_s1112" style="width:257.85pt;height:0.5pt;margin-top:594.79pt;margin-left:303.53pt;mso-position-horizontal-relative:page;mso-position-vertical-relative:page;position:absolute;z-index:251709440" coordorigin="0,0" coordsize="5157,10" o:allowincell="f" path="m,9l5156,9l5156,l,l,9xe" filled="t" fillcolor="black" stroked="f"/>
        </w:pict>
      </w:r>
      <w:r>
        <w:pict>
          <v:shape id="_x0000_s1113" style="width:257.85pt;height:0.5pt;margin-top:751.3pt;margin-left:303.53pt;mso-position-horizontal-relative:page;mso-position-vertical-relative:page;position:absolute;z-index:251711488" coordorigin="0,0" coordsize="5157,10" o:allowincell="f" path="m,9l5156,9l5156,l,l,9xe" filled="t" fillcolor="black" stroked="f"/>
        </w:pic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先进制程领域对</w:t>
      </w:r>
      <w:r>
        <w:rPr>
          <w:spacing w:val="-40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 xml:space="preserve">ALD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设备愈发提升。</w:t>
      </w:r>
      <w:r>
        <w:rPr>
          <w:spacing w:val="32"/>
        </w:rPr>
        <w:t xml:space="preserve"> </w:t>
      </w:r>
      <w:r>
        <w:rPr>
          <w:spacing w:val="-3"/>
        </w:rPr>
        <w:t>在半导体制程进入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-3"/>
        </w:rPr>
        <w:t xml:space="preserve">28nm </w:t>
      </w:r>
      <w:r>
        <w:rPr>
          <w:spacing w:val="-3"/>
        </w:rPr>
        <w:t>后，由</w:t>
      </w:r>
      <w:r>
        <w:rPr>
          <w:spacing w:val="-4"/>
        </w:rPr>
        <w:t>于器件结构不断缩</w:t>
      </w:r>
      <w:r>
        <w:t xml:space="preserve"> </w:t>
      </w:r>
      <w:r>
        <w:rPr>
          <w:spacing w:val="-5"/>
        </w:rPr>
        <w:t>小且更为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5"/>
        </w:rPr>
        <w:t xml:space="preserve">3D </w:t>
      </w:r>
      <w:r>
        <w:rPr>
          <w:spacing w:val="-5"/>
        </w:rPr>
        <w:t>立体化，</w:t>
      </w:r>
      <w:r>
        <w:rPr>
          <w:spacing w:val="-5"/>
        </w:rPr>
        <w:t xml:space="preserve"> </w:t>
      </w:r>
      <w:r>
        <w:rPr>
          <w:spacing w:val="-5"/>
        </w:rPr>
        <w:t>生产过程中需要实</w:t>
      </w:r>
      <w:r>
        <w:rPr>
          <w:spacing w:val="-6"/>
        </w:rPr>
        <w:t>现厚度更薄的膜层，</w:t>
      </w:r>
      <w:r>
        <w:rPr>
          <w:spacing w:val="-6"/>
        </w:rPr>
        <w:t xml:space="preserve"> </w:t>
      </w:r>
      <w:r>
        <w:rPr>
          <w:spacing w:val="-6"/>
        </w:rPr>
        <w:t>以及在更为立体的器件表面</w:t>
      </w:r>
      <w:r>
        <w:t xml:space="preserve"> </w:t>
      </w:r>
      <w:r>
        <w:rPr>
          <w:spacing w:val="-5"/>
        </w:rPr>
        <w:t>均匀镀膜。</w:t>
      </w:r>
      <w:r>
        <w:rPr>
          <w:spacing w:val="44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在此背景下，</w:t>
      </w:r>
      <w:r>
        <w:rPr>
          <w:spacing w:val="-26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 xml:space="preserve">ALD 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技术凭借优异的三维共形性、大面积成膜的均匀性和精确</w:t>
      </w:r>
      <w: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的膜厚控制等特点，技术优势愈加明显，</w:t>
      </w:r>
      <w:r>
        <w:rPr>
          <w:spacing w:val="-4"/>
        </w:rPr>
        <w:t xml:space="preserve"> </w:t>
      </w:r>
      <w:r>
        <w:rPr>
          <w:spacing w:val="-4"/>
        </w:rPr>
        <w:t>在半导体薄膜沉积环节的市场占有率也将持续提</w:t>
      </w:r>
      <w:r>
        <w:rPr>
          <w:spacing w:val="3"/>
        </w:rPr>
        <w:t xml:space="preserve"> </w:t>
      </w:r>
      <w:r>
        <w:rPr>
          <w:spacing w:val="-10"/>
        </w:rPr>
        <w:t>高。</w:t>
      </w:r>
    </w:p>
    <w:p>
      <w:pPr>
        <w:pStyle w:val="BodyText"/>
        <w:spacing w:before="236" w:line="277" w:lineRule="auto"/>
        <w:ind w:left="3068" w:right="660" w:firstLine="5"/>
      </w:pPr>
      <w:r>
        <w:rPr>
          <w:rFonts w:ascii="Arial" w:eastAsia="Arial" w:hAnsi="Arial" w:cs="Arial"/>
          <w:b/>
          <w:bCs/>
          <w:spacing w:val="-2"/>
        </w:rPr>
        <w:t>2025</w:t>
      </w:r>
      <w:r>
        <w:rPr>
          <w:rFonts w:ascii="Arial" w:eastAsia="Arial" w:hAnsi="Arial" w:cs="Arial"/>
          <w:b/>
          <w:bCs/>
          <w:spacing w:val="63"/>
          <w:w w:val="101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年，国内半导体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-2"/>
        </w:rPr>
        <w:t xml:space="preserve">ALD 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设备市场规模有望达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-2"/>
        </w:rPr>
        <w:t xml:space="preserve">126.6 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亿元。</w:t>
      </w:r>
      <w:r>
        <w:rPr>
          <w:spacing w:val="-2"/>
        </w:rPr>
        <w:t xml:space="preserve"> </w:t>
      </w:r>
      <w:r>
        <w:rPr>
          <w:spacing w:val="-2"/>
        </w:rPr>
        <w:t>根据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Maximize  Market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5"/>
        </w:rPr>
        <w:t>Research</w:t>
      </w:r>
      <w:r>
        <w:rPr>
          <w:rFonts w:ascii="Arial" w:eastAsia="Arial" w:hAnsi="Arial" w:cs="Arial"/>
          <w:spacing w:val="27"/>
        </w:rPr>
        <w:t xml:space="preserve"> </w:t>
      </w:r>
      <w:r>
        <w:rPr>
          <w:spacing w:val="-5"/>
        </w:rPr>
        <w:t>及</w:t>
      </w:r>
      <w:r>
        <w:rPr>
          <w:spacing w:val="-5"/>
        </w:rPr>
        <w:t xml:space="preserve"> </w:t>
      </w:r>
      <w:r>
        <w:rPr>
          <w:rFonts w:ascii="Arial" w:eastAsia="Arial" w:hAnsi="Arial" w:cs="Arial"/>
          <w:spacing w:val="-5"/>
        </w:rPr>
        <w:t>Gartner</w:t>
      </w:r>
      <w:r>
        <w:rPr>
          <w:rFonts w:ascii="Arial" w:eastAsia="Arial" w:hAnsi="Arial" w:cs="Arial"/>
          <w:spacing w:val="34"/>
          <w:w w:val="101"/>
        </w:rPr>
        <w:t xml:space="preserve"> </w:t>
      </w:r>
      <w:r>
        <w:rPr>
          <w:spacing w:val="-5"/>
        </w:rPr>
        <w:t>统计，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spacing w:val="-5"/>
        </w:rPr>
        <w:t>2020</w:t>
      </w:r>
      <w:r>
        <w:rPr>
          <w:rFonts w:ascii="Arial" w:eastAsia="Arial" w:hAnsi="Arial" w:cs="Arial"/>
          <w:spacing w:val="29"/>
        </w:rPr>
        <w:t xml:space="preserve"> </w:t>
      </w:r>
      <w:r>
        <w:rPr>
          <w:spacing w:val="-5"/>
        </w:rPr>
        <w:t>年全球半导体</w:t>
      </w:r>
      <w:r>
        <w:rPr>
          <w:spacing w:val="-6"/>
        </w:rPr>
        <w:t>薄膜沉积设备市场达</w:t>
      </w:r>
      <w:r>
        <w:rPr>
          <w:spacing w:val="-6"/>
        </w:rPr>
        <w:t xml:space="preserve"> </w:t>
      </w:r>
      <w:r>
        <w:rPr>
          <w:rFonts w:ascii="Arial" w:eastAsia="Arial" w:hAnsi="Arial" w:cs="Arial"/>
          <w:spacing w:val="-6"/>
        </w:rPr>
        <w:t>172</w:t>
      </w:r>
      <w:r>
        <w:rPr>
          <w:rFonts w:ascii="Arial" w:eastAsia="Arial" w:hAnsi="Arial" w:cs="Arial"/>
          <w:spacing w:val="23"/>
        </w:rPr>
        <w:t xml:space="preserve"> </w:t>
      </w:r>
      <w:r>
        <w:rPr>
          <w:spacing w:val="-6"/>
        </w:rPr>
        <w:t>亿美元，</w:t>
      </w:r>
      <w:r>
        <w:rPr>
          <w:spacing w:val="-6"/>
        </w:rPr>
        <w:t xml:space="preserve"> </w:t>
      </w:r>
      <w:r>
        <w:rPr>
          <w:spacing w:val="-6"/>
        </w:rPr>
        <w:t>其中</w:t>
      </w:r>
      <w:r>
        <w:t xml:space="preserve"> </w:t>
      </w:r>
      <w:r>
        <w:rPr>
          <w:rFonts w:ascii="Arial" w:eastAsia="Arial" w:hAnsi="Arial" w:cs="Arial"/>
          <w:spacing w:val="-2"/>
        </w:rPr>
        <w:t>ALD</w:t>
      </w:r>
      <w:r>
        <w:rPr>
          <w:rFonts w:ascii="Arial" w:eastAsia="Arial" w:hAnsi="Arial" w:cs="Arial"/>
          <w:spacing w:val="48"/>
          <w:w w:val="101"/>
        </w:rPr>
        <w:t xml:space="preserve"> </w:t>
      </w:r>
      <w:r>
        <w:rPr>
          <w:spacing w:val="-2"/>
        </w:rPr>
        <w:t>设备的市场规模占比为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12.8%</w:t>
      </w:r>
      <w:r>
        <w:rPr>
          <w:spacing w:val="-2"/>
        </w:rPr>
        <w:t>，国内薄膜沉积设备销售额占全球销售额的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26.3%</w:t>
      </w:r>
      <w:r>
        <w:rPr>
          <w:rFonts w:ascii="Arial" w:eastAsia="Arial" w:hAnsi="Arial" w:cs="Arial"/>
          <w:spacing w:val="-34"/>
        </w:rPr>
        <w:t xml:space="preserve"> </w:t>
      </w:r>
      <w:r>
        <w:rPr>
          <w:spacing w:val="-2"/>
        </w:rPr>
        <w:t>。</w:t>
      </w:r>
      <w:r>
        <w:t xml:space="preserve"> </w:t>
      </w:r>
      <w:r>
        <w:rPr>
          <w:spacing w:val="-1"/>
        </w:rPr>
        <w:t>假设国内半导体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1"/>
        </w:rPr>
        <w:t xml:space="preserve">ALD </w:t>
      </w:r>
      <w:r>
        <w:rPr>
          <w:spacing w:val="-1"/>
        </w:rPr>
        <w:t>设备销售额占全球占比与薄膜沉积设备相同，</w:t>
      </w:r>
      <w:r>
        <w:rPr>
          <w:rFonts w:ascii="Arial" w:eastAsia="Arial" w:hAnsi="Arial" w:cs="Arial"/>
          <w:spacing w:val="-1"/>
        </w:rPr>
        <w:t xml:space="preserve">2025 </w:t>
      </w:r>
      <w:r>
        <w:rPr>
          <w:spacing w:val="-1"/>
        </w:rPr>
        <w:t>年市场规模有望</w:t>
      </w:r>
      <w:r>
        <w:t xml:space="preserve"> </w:t>
      </w:r>
      <w:r>
        <w:rPr>
          <w:spacing w:val="-4"/>
        </w:rPr>
        <w:t>提升至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-4"/>
        </w:rPr>
        <w:t xml:space="preserve">126.6 </w:t>
      </w:r>
      <w:r>
        <w:rPr>
          <w:spacing w:val="-4"/>
        </w:rPr>
        <w:t>亿元，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spacing w:val="-4"/>
        </w:rPr>
        <w:t xml:space="preserve">22-25 </w:t>
      </w:r>
      <w:r>
        <w:rPr>
          <w:spacing w:val="-4"/>
        </w:rPr>
        <w:t>年国内半导体</w:t>
      </w:r>
      <w:r>
        <w:rPr>
          <w:spacing w:val="-52"/>
        </w:rPr>
        <w:t xml:space="preserve"> </w:t>
      </w:r>
      <w:r>
        <w:rPr>
          <w:rFonts w:ascii="Arial" w:eastAsia="Arial" w:hAnsi="Arial" w:cs="Arial"/>
          <w:spacing w:val="-4"/>
        </w:rPr>
        <w:t xml:space="preserve">ALD </w:t>
      </w:r>
      <w:r>
        <w:rPr>
          <w:spacing w:val="-4"/>
        </w:rPr>
        <w:t>设备市场规模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4"/>
        </w:rPr>
        <w:t>CAGR=24%</w:t>
      </w:r>
      <w:r>
        <w:rPr>
          <w:spacing w:val="-4"/>
        </w:rPr>
        <w:t>，保持较快的增</w:t>
      </w:r>
      <w:r>
        <w:t xml:space="preserve"> </w:t>
      </w:r>
      <w:r>
        <w:t>长速度。</w:t>
      </w:r>
    </w:p>
    <w:p>
      <w:pPr>
        <w:pStyle w:val="BodyText"/>
        <w:spacing w:before="235" w:line="226" w:lineRule="auto"/>
        <w:ind w:left="671"/>
        <w:rPr>
          <w:sz w:val="19"/>
          <w:szCs w:val="19"/>
        </w:rPr>
      </w:pPr>
      <w:r>
        <w:rPr>
          <w:color w:val="0D0D0D"/>
          <w:spacing w:val="5"/>
          <w:sz w:val="19"/>
          <w:szCs w:val="19"/>
        </w:rPr>
        <w:t>表</w:t>
      </w:r>
      <w:r>
        <w:rPr>
          <w:color w:val="0D0D0D"/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5"/>
          <w:sz w:val="19"/>
          <w:szCs w:val="19"/>
        </w:rPr>
        <w:t>6</w:t>
      </w:r>
      <w:r>
        <w:rPr>
          <w:color w:val="0D0D0D"/>
          <w:spacing w:val="5"/>
          <w:sz w:val="19"/>
          <w:szCs w:val="19"/>
        </w:rPr>
        <w:t>：预计</w:t>
      </w:r>
      <w:r>
        <w:rPr>
          <w:color w:val="0D0D0D"/>
          <w:spacing w:val="-22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5"/>
          <w:sz w:val="19"/>
          <w:szCs w:val="19"/>
        </w:rPr>
        <w:t xml:space="preserve">2025 </w:t>
      </w:r>
      <w:r>
        <w:rPr>
          <w:color w:val="0D0D0D"/>
          <w:spacing w:val="5"/>
          <w:sz w:val="19"/>
          <w:szCs w:val="19"/>
        </w:rPr>
        <w:t>年我国</w:t>
      </w:r>
      <w:r>
        <w:rPr>
          <w:color w:val="0D0D0D"/>
          <w:spacing w:val="-42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z w:val="19"/>
          <w:szCs w:val="19"/>
        </w:rPr>
        <w:t>ALD</w:t>
      </w:r>
      <w:r>
        <w:rPr>
          <w:rFonts w:ascii="Arial" w:eastAsia="Arial" w:hAnsi="Arial" w:cs="Arial"/>
          <w:color w:val="0D0D0D"/>
          <w:spacing w:val="5"/>
          <w:sz w:val="19"/>
          <w:szCs w:val="19"/>
        </w:rPr>
        <w:t xml:space="preserve"> </w:t>
      </w:r>
      <w:r>
        <w:rPr>
          <w:color w:val="0D0D0D"/>
          <w:spacing w:val="5"/>
          <w:sz w:val="19"/>
          <w:szCs w:val="19"/>
        </w:rPr>
        <w:t>设备市场规模达</w:t>
      </w:r>
      <w:r>
        <w:rPr>
          <w:color w:val="0D0D0D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0D0D0D"/>
          <w:spacing w:val="5"/>
          <w:sz w:val="19"/>
          <w:szCs w:val="19"/>
        </w:rPr>
        <w:t xml:space="preserve">126.6 </w:t>
      </w:r>
      <w:r>
        <w:rPr>
          <w:color w:val="0D0D0D"/>
          <w:spacing w:val="5"/>
          <w:sz w:val="19"/>
          <w:szCs w:val="19"/>
        </w:rPr>
        <w:t>亿元</w:t>
      </w:r>
    </w:p>
    <w:p>
      <w:pPr>
        <w:spacing w:line="31" w:lineRule="exact"/>
      </w:pPr>
    </w:p>
    <w:tbl>
      <w:tblPr>
        <w:tblStyle w:val="TableNormal12"/>
        <w:tblW w:w="10549" w:type="dxa"/>
        <w:tblInd w:w="6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347"/>
        <w:gridCol w:w="1346"/>
        <w:gridCol w:w="1109"/>
        <w:gridCol w:w="1274"/>
        <w:gridCol w:w="1131"/>
        <w:gridCol w:w="1262"/>
        <w:gridCol w:w="1080"/>
      </w:tblGrid>
      <w:tr>
        <w:tblPrEx>
          <w:tblW w:w="10549" w:type="dxa"/>
          <w:tblInd w:w="6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8"/>
        </w:trPr>
        <w:tc>
          <w:tcPr>
            <w:tcW w:w="3347" w:type="dxa"/>
            <w:tcBorders>
              <w:top w:val="nil"/>
              <w:left w:val="nil"/>
            </w:tcBorders>
            <w:shd w:val="clear" w:color="auto" w:fill="C30F1B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346" w:type="dxa"/>
            <w:tcBorders>
              <w:top w:val="nil"/>
            </w:tcBorders>
            <w:shd w:val="clear" w:color="auto" w:fill="C30F1B"/>
            <w:vAlign w:val="top"/>
          </w:tcPr>
          <w:p>
            <w:pPr>
              <w:pStyle w:val="TableText"/>
              <w:spacing w:before="105" w:line="195" w:lineRule="auto"/>
              <w:ind w:left="495"/>
            </w:pPr>
            <w:r>
              <w:rPr>
                <w:b/>
                <w:bCs/>
                <w:color w:val="FFFFFF"/>
                <w:spacing w:val="-1"/>
              </w:rPr>
              <w:t>2020</w:t>
            </w:r>
          </w:p>
        </w:tc>
        <w:tc>
          <w:tcPr>
            <w:tcW w:w="1109" w:type="dxa"/>
            <w:tcBorders>
              <w:top w:val="nil"/>
            </w:tcBorders>
            <w:shd w:val="clear" w:color="auto" w:fill="C30F1B"/>
            <w:vAlign w:val="top"/>
          </w:tcPr>
          <w:p>
            <w:pPr>
              <w:pStyle w:val="TableText"/>
              <w:spacing w:before="105" w:line="195" w:lineRule="auto"/>
              <w:ind w:left="325"/>
            </w:pPr>
            <w:r>
              <w:rPr>
                <w:b/>
                <w:bCs/>
                <w:color w:val="FFFFFF"/>
                <w:spacing w:val="-1"/>
              </w:rPr>
              <w:t>2021E</w:t>
            </w:r>
          </w:p>
        </w:tc>
        <w:tc>
          <w:tcPr>
            <w:tcW w:w="1274" w:type="dxa"/>
            <w:tcBorders>
              <w:top w:val="nil"/>
            </w:tcBorders>
            <w:shd w:val="clear" w:color="auto" w:fill="C30F1B"/>
            <w:vAlign w:val="top"/>
          </w:tcPr>
          <w:p>
            <w:pPr>
              <w:pStyle w:val="TableText"/>
              <w:spacing w:before="105" w:line="195" w:lineRule="auto"/>
              <w:ind w:left="407"/>
            </w:pPr>
            <w:r>
              <w:rPr>
                <w:b/>
                <w:bCs/>
                <w:color w:val="FFFFFF"/>
                <w:spacing w:val="-1"/>
              </w:rPr>
              <w:t>2022E</w:t>
            </w:r>
          </w:p>
        </w:tc>
        <w:tc>
          <w:tcPr>
            <w:tcW w:w="1131" w:type="dxa"/>
            <w:tcBorders>
              <w:top w:val="nil"/>
            </w:tcBorders>
            <w:shd w:val="clear" w:color="auto" w:fill="C30F1B"/>
            <w:vAlign w:val="top"/>
          </w:tcPr>
          <w:p>
            <w:pPr>
              <w:pStyle w:val="TableText"/>
              <w:spacing w:before="105" w:line="195" w:lineRule="auto"/>
              <w:ind w:left="335"/>
            </w:pPr>
            <w:r>
              <w:rPr>
                <w:b/>
                <w:bCs/>
                <w:color w:val="FFFFFF"/>
                <w:spacing w:val="-1"/>
              </w:rPr>
              <w:t>2023E</w:t>
            </w:r>
          </w:p>
        </w:tc>
        <w:tc>
          <w:tcPr>
            <w:tcW w:w="1262" w:type="dxa"/>
            <w:tcBorders>
              <w:top w:val="nil"/>
            </w:tcBorders>
            <w:shd w:val="clear" w:color="auto" w:fill="C30F1B"/>
            <w:vAlign w:val="top"/>
          </w:tcPr>
          <w:p>
            <w:pPr>
              <w:pStyle w:val="TableText"/>
              <w:spacing w:before="105" w:line="195" w:lineRule="auto"/>
              <w:ind w:left="402"/>
            </w:pPr>
            <w:r>
              <w:rPr>
                <w:b/>
                <w:bCs/>
                <w:color w:val="FFFFFF"/>
                <w:spacing w:val="-1"/>
              </w:rPr>
              <w:t>2024E</w:t>
            </w:r>
          </w:p>
        </w:tc>
        <w:tc>
          <w:tcPr>
            <w:tcW w:w="1080" w:type="dxa"/>
            <w:tcBorders>
              <w:top w:val="nil"/>
              <w:right w:val="nil"/>
            </w:tcBorders>
            <w:shd w:val="clear" w:color="auto" w:fill="C30F1B"/>
            <w:vAlign w:val="top"/>
          </w:tcPr>
          <w:p>
            <w:pPr>
              <w:pStyle w:val="TableText"/>
              <w:spacing w:before="105" w:line="195" w:lineRule="auto"/>
              <w:ind w:left="312"/>
            </w:pPr>
            <w:r>
              <w:rPr>
                <w:b/>
                <w:bCs/>
                <w:color w:val="FFFFFF"/>
                <w:spacing w:val="-1"/>
              </w:rPr>
              <w:t>2025E</w:t>
            </w:r>
          </w:p>
        </w:tc>
      </w:tr>
      <w:tr>
        <w:tblPrEx>
          <w:tblW w:w="10549" w:type="dxa"/>
          <w:tblInd w:w="668" w:type="dxa"/>
          <w:tblLayout w:type="fixed"/>
        </w:tblPrEx>
        <w:trPr>
          <w:trHeight w:val="323"/>
        </w:trPr>
        <w:tc>
          <w:tcPr>
            <w:tcW w:w="3347" w:type="dxa"/>
            <w:tcBorders>
              <w:left w:val="nil"/>
            </w:tcBorders>
            <w:vAlign w:val="top"/>
          </w:tcPr>
          <w:p>
            <w:pPr>
              <w:spacing w:before="80" w:line="217" w:lineRule="auto"/>
              <w:ind w:left="8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全球半导体薄膜沉积设备市场规模（亿美元）</w:t>
            </w:r>
          </w:p>
        </w:tc>
        <w:tc>
          <w:tcPr>
            <w:tcW w:w="1346" w:type="dxa"/>
            <w:vAlign w:val="top"/>
          </w:tcPr>
          <w:p>
            <w:pPr>
              <w:pStyle w:val="TableText"/>
              <w:spacing w:before="101" w:line="195" w:lineRule="auto"/>
              <w:ind w:left="554"/>
            </w:pPr>
            <w:r>
              <w:rPr>
                <w:spacing w:val="-4"/>
              </w:rPr>
              <w:t>172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00" w:line="195" w:lineRule="auto"/>
              <w:ind w:left="437"/>
            </w:pPr>
            <w:r>
              <w:rPr>
                <w:spacing w:val="-4"/>
              </w:rPr>
              <w:t>190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0" w:line="195" w:lineRule="auto"/>
              <w:ind w:left="506"/>
            </w:pPr>
            <w:r>
              <w:rPr>
                <w:spacing w:val="-2"/>
              </w:rPr>
              <w:t>220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0" w:line="195" w:lineRule="auto"/>
              <w:ind w:left="434"/>
            </w:pPr>
            <w:r>
              <w:rPr>
                <w:spacing w:val="-2"/>
              </w:rPr>
              <w:t>260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0" w:line="195" w:lineRule="auto"/>
              <w:ind w:left="501"/>
            </w:pPr>
            <w:r>
              <w:rPr>
                <w:spacing w:val="-2"/>
              </w:rPr>
              <w:t>280</w:t>
            </w:r>
          </w:p>
        </w:tc>
        <w:tc>
          <w:tcPr>
            <w:tcW w:w="108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0" w:line="195" w:lineRule="auto"/>
              <w:ind w:left="413"/>
            </w:pPr>
            <w:r>
              <w:rPr>
                <w:spacing w:val="-2"/>
              </w:rPr>
              <w:t>340</w:t>
            </w:r>
          </w:p>
        </w:tc>
      </w:tr>
      <w:tr>
        <w:tblPrEx>
          <w:tblW w:w="10549" w:type="dxa"/>
          <w:tblInd w:w="668" w:type="dxa"/>
          <w:tblLayout w:type="fixed"/>
        </w:tblPrEx>
        <w:trPr>
          <w:trHeight w:val="325"/>
        </w:trPr>
        <w:tc>
          <w:tcPr>
            <w:tcW w:w="3347" w:type="dxa"/>
            <w:tcBorders>
              <w:left w:val="nil"/>
            </w:tcBorders>
            <w:vAlign w:val="top"/>
          </w:tcPr>
          <w:p>
            <w:pPr>
              <w:pStyle w:val="TableText"/>
              <w:spacing w:before="83" w:line="230" w:lineRule="auto"/>
              <w:ind w:left="21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全球半导体</w:t>
            </w:r>
            <w:r>
              <w:rPr>
                <w:rFonts w:ascii="KaiTi" w:eastAsia="KaiTi" w:hAnsi="KaiTi" w:cs="KaiTi"/>
                <w:spacing w:val="-33"/>
              </w:rPr>
              <w:t xml:space="preserve"> </w:t>
            </w:r>
            <w:r>
              <w:rPr>
                <w:spacing w:val="-1"/>
              </w:rPr>
              <w:t xml:space="preserve">ALD </w:t>
            </w:r>
            <w:r>
              <w:rPr>
                <w:rFonts w:ascii="KaiTi" w:eastAsia="KaiTi" w:hAnsi="KaiTi" w:cs="KaiTi"/>
                <w:spacing w:val="-1"/>
              </w:rPr>
              <w:t>设备市场规模占比（</w:t>
            </w:r>
            <w:r>
              <w:rPr>
                <w:spacing w:val="-1"/>
              </w:rPr>
              <w:t>%</w:t>
            </w:r>
            <w:r>
              <w:rPr>
                <w:rFonts w:ascii="KaiTi" w:eastAsia="KaiTi" w:hAnsi="KaiTi" w:cs="KaiTi"/>
                <w:spacing w:val="-1"/>
              </w:rPr>
              <w:t>）</w:t>
            </w:r>
          </w:p>
        </w:tc>
        <w:tc>
          <w:tcPr>
            <w:tcW w:w="1346" w:type="dxa"/>
            <w:vAlign w:val="top"/>
          </w:tcPr>
          <w:p>
            <w:pPr>
              <w:pStyle w:val="TableText"/>
              <w:spacing w:before="102" w:line="197" w:lineRule="auto"/>
              <w:ind w:left="461"/>
            </w:pPr>
            <w:r>
              <w:rPr>
                <w:spacing w:val="-4"/>
              </w:rPr>
              <w:t>12.8%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02" w:line="197" w:lineRule="auto"/>
              <w:ind w:left="343"/>
            </w:pPr>
            <w:r>
              <w:rPr>
                <w:spacing w:val="-4"/>
              </w:rPr>
              <w:t>13.3%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2" w:line="197" w:lineRule="auto"/>
              <w:ind w:left="425"/>
            </w:pPr>
            <w:r>
              <w:rPr>
                <w:spacing w:val="-4"/>
              </w:rPr>
              <w:t>13.8%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2" w:line="197" w:lineRule="auto"/>
              <w:ind w:left="354"/>
            </w:pPr>
            <w:r>
              <w:rPr>
                <w:spacing w:val="-4"/>
              </w:rPr>
              <w:t>14.2%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2" w:line="197" w:lineRule="auto"/>
              <w:ind w:left="421"/>
            </w:pPr>
            <w:r>
              <w:rPr>
                <w:spacing w:val="-4"/>
              </w:rPr>
              <w:t>14.6%</w:t>
            </w:r>
          </w:p>
        </w:tc>
        <w:tc>
          <w:tcPr>
            <w:tcW w:w="108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2" w:line="197" w:lineRule="auto"/>
              <w:ind w:left="330"/>
            </w:pPr>
            <w:r>
              <w:rPr>
                <w:spacing w:val="-4"/>
              </w:rPr>
              <w:t>15.0%</w:t>
            </w:r>
          </w:p>
        </w:tc>
      </w:tr>
      <w:tr>
        <w:tblPrEx>
          <w:tblW w:w="10549" w:type="dxa"/>
          <w:tblInd w:w="668" w:type="dxa"/>
          <w:tblLayout w:type="fixed"/>
        </w:tblPrEx>
        <w:trPr>
          <w:trHeight w:val="325"/>
        </w:trPr>
        <w:tc>
          <w:tcPr>
            <w:tcW w:w="3347" w:type="dxa"/>
            <w:tcBorders>
              <w:left w:val="nil"/>
            </w:tcBorders>
            <w:vAlign w:val="top"/>
          </w:tcPr>
          <w:p>
            <w:pPr>
              <w:pStyle w:val="TableText"/>
              <w:spacing w:before="82" w:line="217" w:lineRule="auto"/>
              <w:ind w:left="20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2"/>
              </w:rPr>
              <w:t>全球半导体</w:t>
            </w:r>
            <w:r>
              <w:rPr>
                <w:rFonts w:ascii="KaiTi" w:eastAsia="KaiTi" w:hAnsi="KaiTi" w:cs="KaiTi"/>
                <w:spacing w:val="-29"/>
              </w:rPr>
              <w:t xml:space="preserve"> </w:t>
            </w:r>
            <w:r>
              <w:rPr>
                <w:spacing w:val="-2"/>
              </w:rPr>
              <w:t xml:space="preserve">ALD </w:t>
            </w:r>
            <w:r>
              <w:rPr>
                <w:rFonts w:ascii="KaiTi" w:eastAsia="KaiTi" w:hAnsi="KaiTi" w:cs="KaiTi"/>
                <w:spacing w:val="-2"/>
              </w:rPr>
              <w:t>设备市场规模（亿美元）</w:t>
            </w:r>
          </w:p>
        </w:tc>
        <w:tc>
          <w:tcPr>
            <w:tcW w:w="1346" w:type="dxa"/>
            <w:vAlign w:val="top"/>
          </w:tcPr>
          <w:p>
            <w:pPr>
              <w:pStyle w:val="TableText"/>
              <w:spacing w:before="103" w:line="195" w:lineRule="auto"/>
              <w:ind w:left="584"/>
            </w:pPr>
            <w:r>
              <w:rPr>
                <w:spacing w:val="-2"/>
              </w:rPr>
              <w:t>22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02" w:line="195" w:lineRule="auto"/>
              <w:ind w:left="470"/>
            </w:pPr>
            <w:r>
              <w:rPr>
                <w:spacing w:val="-2"/>
              </w:rPr>
              <w:t>25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2" w:line="195" w:lineRule="auto"/>
              <w:ind w:left="551"/>
            </w:pPr>
            <w:r>
              <w:rPr>
                <w:spacing w:val="-2"/>
              </w:rPr>
              <w:t>30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2" w:line="195" w:lineRule="auto"/>
              <w:ind w:left="482"/>
            </w:pPr>
            <w:r>
              <w:rPr>
                <w:spacing w:val="-2"/>
              </w:rPr>
              <w:t>37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3" w:line="195" w:lineRule="auto"/>
              <w:ind w:left="542"/>
            </w:pPr>
            <w:r>
              <w:rPr>
                <w:spacing w:val="-1"/>
              </w:rPr>
              <w:t>41</w:t>
            </w:r>
          </w:p>
        </w:tc>
        <w:tc>
          <w:tcPr>
            <w:tcW w:w="108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2" w:line="195" w:lineRule="auto"/>
              <w:ind w:left="458"/>
            </w:pPr>
            <w:r>
              <w:rPr>
                <w:spacing w:val="-2"/>
              </w:rPr>
              <w:t>51</w:t>
            </w:r>
          </w:p>
        </w:tc>
      </w:tr>
      <w:tr>
        <w:tblPrEx>
          <w:tblW w:w="10549" w:type="dxa"/>
          <w:tblInd w:w="668" w:type="dxa"/>
          <w:tblLayout w:type="fixed"/>
        </w:tblPrEx>
        <w:trPr>
          <w:trHeight w:val="325"/>
        </w:trPr>
        <w:tc>
          <w:tcPr>
            <w:tcW w:w="3347" w:type="dxa"/>
            <w:tcBorders>
              <w:left w:val="nil"/>
            </w:tcBorders>
            <w:vAlign w:val="top"/>
          </w:tcPr>
          <w:p>
            <w:pPr>
              <w:pStyle w:val="TableText"/>
              <w:spacing w:before="84" w:line="231" w:lineRule="auto"/>
              <w:ind w:left="186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2"/>
              </w:rPr>
              <w:t>国内薄膜沉积设备销售额占全球占比（</w:t>
            </w:r>
            <w:r>
              <w:rPr>
                <w:spacing w:val="-2"/>
              </w:rPr>
              <w:t>%</w:t>
            </w:r>
            <w:r>
              <w:rPr>
                <w:rFonts w:ascii="KaiTi" w:eastAsia="KaiTi" w:hAnsi="KaiTi" w:cs="KaiTi"/>
                <w:spacing w:val="-2"/>
              </w:rPr>
              <w:t>）</w:t>
            </w:r>
          </w:p>
        </w:tc>
        <w:tc>
          <w:tcPr>
            <w:tcW w:w="1346" w:type="dxa"/>
            <w:vAlign w:val="top"/>
          </w:tcPr>
          <w:p>
            <w:pPr>
              <w:pStyle w:val="TableText"/>
              <w:spacing w:before="102" w:line="197" w:lineRule="auto"/>
              <w:ind w:left="515"/>
            </w:pPr>
            <w:r>
              <w:rPr>
                <w:spacing w:val="-1"/>
              </w:rPr>
              <w:t>26%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02" w:line="197" w:lineRule="auto"/>
              <w:ind w:left="398"/>
            </w:pPr>
            <w:r>
              <w:rPr>
                <w:spacing w:val="-1"/>
              </w:rPr>
              <w:t>29%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2" w:line="197" w:lineRule="auto"/>
              <w:ind w:left="482"/>
            </w:pPr>
            <w:r>
              <w:rPr>
                <w:spacing w:val="-2"/>
              </w:rPr>
              <w:t>31%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2" w:line="197" w:lineRule="auto"/>
              <w:ind w:left="410"/>
            </w:pPr>
            <w:r>
              <w:rPr>
                <w:spacing w:val="-2"/>
              </w:rPr>
              <w:t>32%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2" w:line="197" w:lineRule="auto"/>
              <w:ind w:left="477"/>
            </w:pPr>
            <w:r>
              <w:rPr>
                <w:spacing w:val="-2"/>
              </w:rPr>
              <w:t>33%</w:t>
            </w:r>
          </w:p>
        </w:tc>
        <w:tc>
          <w:tcPr>
            <w:tcW w:w="108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2" w:line="197" w:lineRule="auto"/>
              <w:ind w:left="386"/>
            </w:pPr>
            <w:r>
              <w:rPr>
                <w:spacing w:val="-2"/>
              </w:rPr>
              <w:t>34%</w:t>
            </w:r>
          </w:p>
        </w:tc>
      </w:tr>
      <w:tr>
        <w:tblPrEx>
          <w:tblW w:w="10549" w:type="dxa"/>
          <w:tblInd w:w="668" w:type="dxa"/>
          <w:tblLayout w:type="fixed"/>
        </w:tblPrEx>
        <w:trPr>
          <w:trHeight w:val="328"/>
        </w:trPr>
        <w:tc>
          <w:tcPr>
            <w:tcW w:w="3347" w:type="dxa"/>
            <w:tcBorders>
              <w:left w:val="nil"/>
            </w:tcBorders>
            <w:vAlign w:val="top"/>
          </w:tcPr>
          <w:p>
            <w:pPr>
              <w:pStyle w:val="TableText"/>
              <w:spacing w:before="85" w:line="217" w:lineRule="auto"/>
              <w:ind w:left="301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3"/>
              </w:rPr>
              <w:t>国内半导体</w:t>
            </w:r>
            <w:r>
              <w:rPr>
                <w:rFonts w:ascii="KaiTi" w:eastAsia="KaiTi" w:hAnsi="KaiTi" w:cs="KaiTi"/>
                <w:spacing w:val="-29"/>
              </w:rPr>
              <w:t xml:space="preserve"> </w:t>
            </w:r>
            <w:r>
              <w:rPr>
                <w:spacing w:val="-3"/>
              </w:rPr>
              <w:t xml:space="preserve">ALD </w:t>
            </w:r>
            <w:r>
              <w:rPr>
                <w:rFonts w:ascii="KaiTi" w:eastAsia="KaiTi" w:hAnsi="KaiTi" w:cs="KaiTi"/>
                <w:spacing w:val="-3"/>
              </w:rPr>
              <w:t>设备市场规模（亿元）</w:t>
            </w:r>
          </w:p>
        </w:tc>
        <w:tc>
          <w:tcPr>
            <w:tcW w:w="1346" w:type="dxa"/>
            <w:vAlign w:val="top"/>
          </w:tcPr>
          <w:p>
            <w:pPr>
              <w:pStyle w:val="TableText"/>
              <w:spacing w:before="105" w:line="195" w:lineRule="auto"/>
              <w:ind w:left="515"/>
            </w:pPr>
            <w:r>
              <w:rPr>
                <w:spacing w:val="-1"/>
              </w:rPr>
              <w:t>42.3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05" w:line="195" w:lineRule="auto"/>
              <w:ind w:left="405"/>
            </w:pPr>
            <w:r>
              <w:rPr>
                <w:spacing w:val="-2"/>
              </w:rPr>
              <w:t>53.5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5" w:line="195" w:lineRule="auto"/>
              <w:ind w:left="483"/>
            </w:pPr>
            <w:r>
              <w:rPr>
                <w:spacing w:val="-2"/>
              </w:rPr>
              <w:t>68.7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05" w:line="195" w:lineRule="auto"/>
              <w:ind w:left="415"/>
            </w:pPr>
            <w:r>
              <w:rPr>
                <w:spacing w:val="-2"/>
              </w:rPr>
              <w:t>86.3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5" w:line="195" w:lineRule="auto"/>
              <w:ind w:left="480"/>
            </w:pPr>
            <w:r>
              <w:rPr>
                <w:spacing w:val="-2"/>
              </w:rPr>
              <w:t>98.5</w:t>
            </w:r>
          </w:p>
        </w:tc>
        <w:tc>
          <w:tcPr>
            <w:tcW w:w="108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5" w:line="195" w:lineRule="auto"/>
              <w:ind w:left="356"/>
            </w:pPr>
            <w:r>
              <w:rPr>
                <w:spacing w:val="-4"/>
              </w:rPr>
              <w:t>126.6</w:t>
            </w:r>
          </w:p>
        </w:tc>
      </w:tr>
    </w:tbl>
    <w:p>
      <w:pPr>
        <w:pStyle w:val="BodyText"/>
        <w:spacing w:before="82" w:line="218" w:lineRule="auto"/>
        <w:ind w:left="500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spacing w:val="-2"/>
          <w:sz w:val="16"/>
          <w:szCs w:val="16"/>
        </w:rPr>
        <w:t xml:space="preserve">2022-2025 </w:t>
      </w:r>
      <w:r>
        <w:rPr>
          <w:spacing w:val="-2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6"/>
          <w:szCs w:val="16"/>
        </w:rPr>
        <w:t>CAGR=24%</w:t>
      </w:r>
    </w:p>
    <w:p>
      <w:pPr>
        <w:pStyle w:val="BodyText"/>
        <w:spacing w:before="150" w:line="214" w:lineRule="auto"/>
        <w:ind w:left="680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spacing w:val="-4"/>
          <w:sz w:val="15"/>
          <w:szCs w:val="15"/>
        </w:rPr>
        <w:t>Gartner</w:t>
      </w:r>
      <w:r>
        <w:rPr>
          <w:spacing w:val="-4"/>
          <w:sz w:val="15"/>
          <w:szCs w:val="15"/>
        </w:rPr>
        <w:t>，西部证券研发中心</w:t>
      </w:r>
    </w:p>
    <w:p>
      <w:pPr>
        <w:pStyle w:val="BodyText"/>
        <w:spacing w:before="124" w:line="273" w:lineRule="auto"/>
        <w:ind w:left="3068" w:right="660" w:firstLine="10"/>
        <w:jc w:val="both"/>
      </w:pPr>
      <w:r>
        <w:rPr>
          <w:spacing w:val="-3"/>
        </w:rPr>
        <w:t>逻辑芯片领域，</w:t>
      </w:r>
      <w:r>
        <w:rPr>
          <w:spacing w:val="-30"/>
        </w:rPr>
        <w:t xml:space="preserve"> </w:t>
      </w:r>
      <w:r>
        <w:rPr>
          <w:spacing w:val="-3"/>
        </w:rPr>
        <w:t>公司是国内首家成功将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spacing w:val="-3"/>
        </w:rPr>
        <w:t>High-k</w:t>
      </w:r>
      <w:r>
        <w:rPr>
          <w:rFonts w:ascii="Arial" w:eastAsia="Arial" w:hAnsi="Arial" w:cs="Arial"/>
          <w:spacing w:val="27"/>
        </w:rPr>
        <w:t xml:space="preserve"> </w:t>
      </w:r>
      <w:r>
        <w:rPr>
          <w:spacing w:val="-3"/>
        </w:rPr>
        <w:t>原子层沉积设备应用于</w:t>
      </w:r>
      <w:r>
        <w:rPr>
          <w:spacing w:val="-27"/>
        </w:rPr>
        <w:t xml:space="preserve"> </w:t>
      </w:r>
      <w:r>
        <w:rPr>
          <w:rFonts w:ascii="Arial" w:eastAsia="Arial" w:hAnsi="Arial" w:cs="Arial"/>
          <w:spacing w:val="-4"/>
        </w:rPr>
        <w:t>28nm</w:t>
      </w:r>
      <w:r>
        <w:rPr>
          <w:rFonts w:ascii="Arial" w:eastAsia="Arial" w:hAnsi="Arial" w:cs="Arial"/>
          <w:spacing w:val="24"/>
        </w:rPr>
        <w:t xml:space="preserve"> </w:t>
      </w:r>
      <w:r>
        <w:rPr>
          <w:spacing w:val="-4"/>
        </w:rPr>
        <w:t>集成电路制</w:t>
      </w:r>
      <w:r>
        <w:t xml:space="preserve"> </w:t>
      </w:r>
      <w:r>
        <w:rPr>
          <w:spacing w:val="-1"/>
        </w:rPr>
        <w:t>造前道量产线的国产设备公司，稀缺优势明显。公司的半导体薄膜沉积设备，已先后获得</w:t>
      </w:r>
      <w:r>
        <w:t xml:space="preserve"> </w:t>
      </w:r>
      <w:r>
        <w:rPr>
          <w:spacing w:val="-1"/>
        </w:rPr>
        <w:t>国内多家主流半导体公司的商业订单。首套用于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spacing w:val="-1"/>
        </w:rPr>
        <w:t xml:space="preserve">12  </w:t>
      </w:r>
      <w:r>
        <w:rPr>
          <w:spacing w:val="-1"/>
        </w:rPr>
        <w:t>英寸晶圆的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spacing w:val="-1"/>
        </w:rPr>
        <w:t>High-k</w:t>
      </w:r>
      <w:r>
        <w:rPr>
          <w:rFonts w:ascii="Arial" w:eastAsia="Arial" w:hAnsi="Arial" w:cs="Arial"/>
          <w:spacing w:val="40"/>
          <w:w w:val="101"/>
        </w:rPr>
        <w:t xml:space="preserve"> </w:t>
      </w:r>
      <w:r>
        <w:rPr>
          <w:spacing w:val="-1"/>
        </w:rPr>
        <w:t>栅氧层薄膜沉积</w:t>
      </w:r>
      <w:r>
        <w:t xml:space="preserve"> </w:t>
      </w:r>
      <w:r>
        <w:rPr>
          <w:rFonts w:ascii="Arial" w:eastAsia="Arial" w:hAnsi="Arial" w:cs="Arial"/>
          <w:spacing w:val="-4"/>
        </w:rPr>
        <w:t xml:space="preserve">ALD </w:t>
      </w:r>
      <w:r>
        <w:rPr>
          <w:spacing w:val="-4"/>
        </w:rPr>
        <w:t>设备在客户</w:t>
      </w:r>
      <w:r>
        <w:rPr>
          <w:spacing w:val="-48"/>
        </w:rPr>
        <w:t xml:space="preserve"> </w:t>
      </w:r>
      <w:r>
        <w:rPr>
          <w:rFonts w:ascii="Arial" w:eastAsia="Arial" w:hAnsi="Arial" w:cs="Arial"/>
          <w:spacing w:val="-4"/>
        </w:rPr>
        <w:t xml:space="preserve">28nm </w:t>
      </w:r>
      <w:r>
        <w:rPr>
          <w:spacing w:val="-4"/>
        </w:rPr>
        <w:t>生产线上获得验证，并已取得客户重</w:t>
      </w:r>
      <w:r>
        <w:rPr>
          <w:spacing w:val="-5"/>
        </w:rPr>
        <w:t>复订单。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目前最新进展：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ALD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设备目前公司工艺已满足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 xml:space="preserve">14nm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级别及以下精度要求。</w:t>
      </w:r>
    </w:p>
    <w:p>
      <w:pPr>
        <w:pStyle w:val="BodyText"/>
        <w:spacing w:before="243" w:line="269" w:lineRule="auto"/>
        <w:ind w:left="3074" w:right="600" w:hanging="4"/>
        <w:jc w:val="both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公司半导体业务在手订单充裕，</w:t>
      </w:r>
      <w:r>
        <w:rPr>
          <w:spacing w:val="-5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存储为主要来源。</w:t>
      </w:r>
      <w:r>
        <w:rPr>
          <w:rFonts w:ascii="Arial" w:eastAsia="Arial" w:hAnsi="Arial" w:cs="Arial"/>
          <w:spacing w:val="-5"/>
        </w:rPr>
        <w:t xml:space="preserve">2021 </w:t>
      </w:r>
      <w:r>
        <w:rPr>
          <w:spacing w:val="-5"/>
        </w:rPr>
        <w:t>年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-5"/>
        </w:rPr>
        <w:t xml:space="preserve">9 </w:t>
      </w:r>
      <w:r>
        <w:rPr>
          <w:spacing w:val="-5"/>
        </w:rPr>
        <w:t>月，</w:t>
      </w:r>
      <w:r>
        <w:rPr>
          <w:spacing w:val="-55"/>
        </w:rPr>
        <w:t xml:space="preserve"> </w:t>
      </w:r>
      <w:r>
        <w:rPr>
          <w:spacing w:val="-5"/>
        </w:rPr>
        <w:t>公司半导体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spacing w:val="-5"/>
        </w:rPr>
        <w:t xml:space="preserve">ALD </w:t>
      </w:r>
      <w:r>
        <w:rPr>
          <w:spacing w:val="-5"/>
        </w:rPr>
        <w:t>设备在</w:t>
      </w:r>
      <w:r>
        <w:t xml:space="preserve"> </w:t>
      </w:r>
      <w:r>
        <w:rPr>
          <w:spacing w:val="-4"/>
        </w:rPr>
        <w:t>前道工艺产线上完成验证，之后订单纷至沓来，从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-4"/>
        </w:rPr>
        <w:t>2020</w:t>
      </w:r>
      <w:r>
        <w:rPr>
          <w:rFonts w:ascii="Arial" w:eastAsia="Arial" w:hAnsi="Arial" w:cs="Arial"/>
          <w:spacing w:val="20"/>
          <w:w w:val="101"/>
        </w:rPr>
        <w:t xml:space="preserve"> </w:t>
      </w:r>
      <w:r>
        <w:rPr>
          <w:spacing w:val="-5"/>
        </w:rPr>
        <w:t>的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spacing w:val="-5"/>
        </w:rPr>
        <w:t>1</w:t>
      </w:r>
      <w:r>
        <w:rPr>
          <w:rFonts w:ascii="Arial" w:eastAsia="Arial" w:hAnsi="Arial" w:cs="Arial"/>
          <w:spacing w:val="30"/>
          <w:w w:val="101"/>
        </w:rPr>
        <w:t xml:space="preserve"> </w:t>
      </w:r>
      <w:r>
        <w:rPr>
          <w:spacing w:val="-5"/>
        </w:rPr>
        <w:t>台增加到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-5"/>
        </w:rPr>
        <w:t xml:space="preserve">2022 </w:t>
      </w:r>
      <w:r>
        <w:rPr>
          <w:spacing w:val="-5"/>
        </w:rPr>
        <w:t>年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-5"/>
        </w:rPr>
        <w:t>6</w:t>
      </w:r>
      <w:r>
        <w:rPr>
          <w:rFonts w:ascii="Arial" w:eastAsia="Arial" w:hAnsi="Arial" w:cs="Arial"/>
          <w:spacing w:val="32"/>
        </w:rPr>
        <w:t xml:space="preserve"> </w:t>
      </w:r>
      <w:r>
        <w:rPr>
          <w:spacing w:val="-5"/>
        </w:rPr>
        <w:t>台；</w:t>
      </w:r>
      <w:r>
        <w:rPr>
          <w:spacing w:val="-48"/>
        </w:rPr>
        <w:t xml:space="preserve"> </w:t>
      </w:r>
      <w:r>
        <w:rPr>
          <w:spacing w:val="-5"/>
        </w:rPr>
        <w:t>根</w:t>
      </w:r>
      <w:r>
        <w:t xml:space="preserve"> </w:t>
      </w:r>
      <w:r>
        <w:rPr>
          <w:spacing w:val="-2"/>
        </w:rPr>
        <w:t>据公司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2"/>
        </w:rPr>
        <w:t xml:space="preserve">2023 </w:t>
      </w:r>
      <w:r>
        <w:rPr>
          <w:spacing w:val="-2"/>
        </w:rPr>
        <w:t>年三季度报，截止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-2"/>
        </w:rPr>
        <w:t xml:space="preserve">2023 </w:t>
      </w:r>
      <w:r>
        <w:rPr>
          <w:spacing w:val="-2"/>
        </w:rPr>
        <w:t>年三季度末，公司半导体设备在手订单为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-2"/>
        </w:rPr>
        <w:t xml:space="preserve">10 </w:t>
      </w:r>
      <w:r>
        <w:rPr>
          <w:spacing w:val="-2"/>
        </w:rPr>
        <w:t>亿元，</w:t>
      </w:r>
      <w:r>
        <w:t xml:space="preserve"> </w:t>
      </w:r>
      <w:r>
        <w:rPr>
          <w:spacing w:val="-5"/>
        </w:rPr>
        <w:t>增长势头迅猛。（客户主要系合肥长鑫以及武汉长江）</w:t>
      </w:r>
    </w:p>
    <w:p>
      <w:pPr>
        <w:spacing w:line="217" w:lineRule="exact"/>
      </w:pPr>
    </w:p>
    <w:p>
      <w:pPr>
        <w:spacing w:line="217" w:lineRule="exact"/>
        <w:sectPr>
          <w:headerReference w:type="default" r:id="rId125"/>
          <w:footerReference w:type="default" r:id="rId126"/>
          <w:pgSz w:w="11907" w:h="16839"/>
          <w:pgMar w:top="1202" w:right="14" w:bottom="928" w:left="11" w:header="10" w:footer="21" w:gutter="0"/>
          <w:pgNumType w:start="36"/>
          <w:cols w:num="1" w:space="708" w:equalWidth="0">
            <w:col w:w="11881" w:space="0"/>
          </w:cols>
        </w:sectPr>
      </w:pPr>
    </w:p>
    <w:p>
      <w:pPr>
        <w:pStyle w:val="BodyText"/>
        <w:spacing w:before="36" w:line="216" w:lineRule="auto"/>
        <w:ind w:left="699"/>
        <w:rPr>
          <w:sz w:val="18"/>
          <w:szCs w:val="18"/>
        </w:rPr>
      </w:pPr>
      <w:r>
        <w:rPr>
          <w:color w:val="0D0D0D"/>
          <w:spacing w:val="-2"/>
          <w:sz w:val="18"/>
          <w:szCs w:val="18"/>
        </w:rPr>
        <w:t>图</w:t>
      </w:r>
      <w:r>
        <w:rPr>
          <w:color w:val="0D0D0D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2"/>
          <w:sz w:val="18"/>
          <w:szCs w:val="18"/>
        </w:rPr>
        <w:t>9</w:t>
      </w:r>
      <w:r>
        <w:rPr>
          <w:color w:val="0D0D0D"/>
          <w:spacing w:val="-2"/>
          <w:sz w:val="18"/>
          <w:szCs w:val="18"/>
        </w:rPr>
        <w:t>：</w:t>
      </w:r>
      <w:r>
        <w:rPr>
          <w:rFonts w:ascii="Arial" w:eastAsia="Arial" w:hAnsi="Arial" w:cs="Arial"/>
          <w:spacing w:val="-2"/>
          <w:sz w:val="18"/>
          <w:szCs w:val="18"/>
        </w:rPr>
        <w:t xml:space="preserve">2022 </w:t>
      </w:r>
      <w:r>
        <w:rPr>
          <w:spacing w:val="-2"/>
          <w:sz w:val="18"/>
          <w:szCs w:val="18"/>
        </w:rPr>
        <w:t>年半导体</w:t>
      </w:r>
      <w:r>
        <w:rPr>
          <w:spacing w:val="-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 xml:space="preserve">ALD </w:t>
      </w:r>
      <w:r>
        <w:rPr>
          <w:spacing w:val="-2"/>
          <w:sz w:val="18"/>
          <w:szCs w:val="18"/>
        </w:rPr>
        <w:t>设备销量大幅增加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52" w:line="217" w:lineRule="auto"/>
        <w:ind w:left="2415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76199" cy="77724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>半导体设备销量（台）</w:t>
      </w:r>
    </w:p>
    <w:tbl>
      <w:tblPr>
        <w:tblStyle w:val="TableNormal12"/>
        <w:tblW w:w="4415" w:type="dxa"/>
        <w:tblInd w:w="10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5"/>
        <w:gridCol w:w="4260"/>
      </w:tblGrid>
      <w:tr>
        <w:tblPrEx>
          <w:tblW w:w="4415" w:type="dxa"/>
          <w:tblInd w:w="105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18"/>
        </w:trPr>
        <w:tc>
          <w:tcPr>
            <w:tcW w:w="155" w:type="dxa"/>
            <w:vAlign w:val="top"/>
          </w:tcPr>
          <w:p>
            <w:pPr>
              <w:pStyle w:val="TableText"/>
              <w:spacing w:line="192" w:lineRule="auto"/>
              <w:ind w:left="5"/>
            </w:pPr>
            <w:r>
              <w:t>7</w:t>
            </w:r>
          </w:p>
          <w:p>
            <w:pPr>
              <w:pStyle w:val="TableText"/>
              <w:spacing w:before="95" w:line="195" w:lineRule="auto"/>
              <w:ind w:left="4"/>
            </w:pPr>
            <w:r>
              <w:t>6</w:t>
            </w:r>
          </w:p>
          <w:p>
            <w:pPr>
              <w:pStyle w:val="TableText"/>
              <w:spacing w:before="97" w:line="192" w:lineRule="auto"/>
              <w:ind w:left="4"/>
            </w:pPr>
            <w:r>
              <w:t>5</w:t>
            </w:r>
          </w:p>
          <w:p>
            <w:pPr>
              <w:pStyle w:val="TableText"/>
              <w:spacing w:before="96" w:line="194" w:lineRule="auto"/>
            </w:pPr>
            <w:r>
              <w:t>4</w:t>
            </w:r>
          </w:p>
          <w:p>
            <w:pPr>
              <w:pStyle w:val="TableText"/>
              <w:spacing w:before="94" w:line="195" w:lineRule="auto"/>
              <w:ind w:left="4"/>
            </w:pPr>
            <w:r>
              <w:t>3</w:t>
            </w:r>
          </w:p>
          <w:p>
            <w:pPr>
              <w:pStyle w:val="TableText"/>
              <w:spacing w:before="95" w:line="195" w:lineRule="auto"/>
              <w:ind w:left="2"/>
            </w:pPr>
            <w:r>
              <w:t>2</w:t>
            </w:r>
          </w:p>
          <w:p>
            <w:pPr>
              <w:pStyle w:val="TableText"/>
              <w:spacing w:before="95" w:line="195" w:lineRule="auto"/>
              <w:ind w:left="15"/>
            </w:pPr>
            <w:r>
              <w:t>1</w:t>
            </w:r>
          </w:p>
        </w:tc>
        <w:tc>
          <w:tcPr>
            <w:tcW w:w="4260" w:type="dxa"/>
            <w:vAlign w:val="top"/>
          </w:tcPr>
          <w:p>
            <w:pPr>
              <w:spacing w:line="59" w:lineRule="exact"/>
            </w:pPr>
          </w:p>
          <w:tbl>
            <w:tblPr>
              <w:tblStyle w:val="TableNormal12"/>
              <w:tblW w:w="4189" w:type="dxa"/>
              <w:tblInd w:w="7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212"/>
              <w:gridCol w:w="556"/>
              <w:gridCol w:w="421"/>
            </w:tblGrid>
            <w:tr>
              <w:tblPrEx>
                <w:tblW w:w="4189" w:type="dxa"/>
                <w:tblInd w:w="7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44"/>
              </w:trPr>
              <w:tc>
                <w:tcPr>
                  <w:tcW w:w="3212" w:type="dxa"/>
                  <w:tcBorders>
                    <w:left w:val="single" w:sz="2" w:space="0" w:color="000000"/>
                    <w:bottom w:val="nil"/>
                    <w:right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line="295" w:lineRule="auto"/>
                    <w:rPr>
                      <w:sz w:val="21"/>
                    </w:rPr>
                  </w:pPr>
                  <w:r>
                    <w:pict>
                      <v:rect id="_x0000_s1114" style="width:0.25pt;height:2.4pt;margin-top:83.28pt;margin-left:-20.05pt;mso-position-horizontal-relative:right-margin-area;mso-position-vertical-relative:top-margin-area;position:absolute;z-index:251716608" filled="t" fillcolor="black" stroked="f"/>
                    </w:pict>
                  </w:r>
                  <w:r>
                    <w:pict>
                      <v:rect id="_x0000_s1115" style="width:0.25pt;height:2.4pt;margin-top:83.28pt;margin-left:-89.88pt;mso-position-horizontal-relative:right-margin-area;mso-position-vertical-relative:top-margin-area;position:absolute;z-index:251717632" filled="t" fillcolor="black" stroked="f"/>
                    </w:pict>
                  </w:r>
                  <w:r>
                    <w:pict>
                      <v:shape id="_x0000_s1116" style="width:2.4pt;height:61.35pt;margin-top:12.24pt;margin-left:-159.6pt;mso-position-horizontal-relative:right-margin-area;mso-position-vertical-relative:top-margin-area;position:absolute;z-index:251715584" coordorigin="0,0" coordsize="48,1226" path="m,1223l47,1223m,981l47,981m,736l47,736m,491l47,491m,247l47,247m,2l47,2e" filled="f" strokecolor="black" strokeweight="0.24pt"/>
                    </w:pict>
                  </w:r>
                  <w:r>
                    <w:drawing>
                      <wp:anchor distT="0" distB="0" distL="0" distR="0" simplePos="0" relativeHeight="251713536" behindDoc="1" locked="0" layoutInCell="1" allowOverlap="1">
                        <wp:simplePos x="0" y="0"/>
                        <wp:positionH relativeFrom="rightMargin">
                          <wp:posOffset>-1773999</wp:posOffset>
                        </wp:positionH>
                        <wp:positionV relativeFrom="topMargin">
                          <wp:posOffset>920495</wp:posOffset>
                        </wp:positionV>
                        <wp:extent cx="380999" cy="168402"/>
                        <wp:effectExtent l="0" t="0" r="0" b="0"/>
                        <wp:wrapNone/>
                        <wp:docPr id="148" name="IM 1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8" name="IM 148"/>
                                <pic:cNvPicPr/>
                              </pic:nvPicPr>
                              <pic:blipFill>
                                <a:blip xmlns:r="http://schemas.openxmlformats.org/officeDocument/2006/relationships" r:embed="rId1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0999" cy="1684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TableText"/>
                    <w:spacing w:line="295" w:lineRule="auto"/>
                    <w:rPr>
                      <w:sz w:val="21"/>
                    </w:rPr>
                  </w:pPr>
                </w:p>
                <w:p>
                  <w:pPr>
                    <w:pStyle w:val="TableText"/>
                    <w:spacing w:line="295" w:lineRule="auto"/>
                    <w:rPr>
                      <w:sz w:val="21"/>
                    </w:rPr>
                  </w:pPr>
                </w:p>
                <w:p>
                  <w:pPr>
                    <w:pStyle w:val="TableText"/>
                    <w:spacing w:line="295" w:lineRule="auto"/>
                    <w:rPr>
                      <w:sz w:val="21"/>
                    </w:rPr>
                  </w:pPr>
                </w:p>
                <w:p>
                  <w:pPr>
                    <w:pStyle w:val="TableText"/>
                    <w:spacing w:before="46" w:line="195" w:lineRule="auto"/>
                    <w:ind w:left="2064"/>
                  </w:pPr>
                  <w:r>
                    <w:drawing>
                      <wp:anchor distT="0" distB="0" distL="0" distR="0" simplePos="0" relativeHeight="251712512" behindDoc="1" locked="0" layoutInCell="1" allowOverlap="1">
                        <wp:simplePos x="0" y="0"/>
                        <wp:positionH relativeFrom="column">
                          <wp:posOffset>264286</wp:posOffset>
                        </wp:positionH>
                        <wp:positionV relativeFrom="paragraph">
                          <wp:posOffset>-596163</wp:posOffset>
                        </wp:positionV>
                        <wp:extent cx="2127504" cy="931163"/>
                        <wp:effectExtent l="0" t="0" r="0" b="0"/>
                        <wp:wrapNone/>
                        <wp:docPr id="150" name="IM 1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xmlns:r="http://schemas.openxmlformats.org/officeDocument/2006/relationships" r:embed="rId1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7504" cy="9311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117" type="#_x0000_t202" style="width:5.6pt;height:9.5pt;margin-top:1.32pt;margin-left:32.39pt;position:absolute;z-index:25171456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20" w:line="195" w:lineRule="auto"/>
                                <w:ind w:right="2"/>
                                <w:jc w:val="right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t>1</w:t>
                  </w:r>
                </w:p>
              </w:tc>
              <w:tc>
                <w:tcPr>
                  <w:tcW w:w="556" w:type="dxa"/>
                  <w:tcBorders>
                    <w:bottom w:val="single" w:sz="16" w:space="0" w:color="C30F1B"/>
                  </w:tcBorders>
                  <w:vAlign w:val="top"/>
                </w:tcPr>
                <w:p>
                  <w:pPr>
                    <w:pStyle w:val="TableText"/>
                    <w:spacing w:before="10" w:line="195" w:lineRule="auto"/>
                    <w:ind w:left="220"/>
                  </w:pPr>
                  <w:r>
                    <w:t>6</w:t>
                  </w:r>
                </w:p>
              </w:tc>
              <w:tc>
                <w:tcPr>
                  <w:tcW w:w="421" w:type="dxa"/>
                  <w:tcBorders>
                    <w:left w:val="single" w:sz="16" w:space="0" w:color="C30F1B"/>
                    <w:bottom w:val="nil"/>
                  </w:tcBorders>
                  <w:vAlign w:val="top"/>
                </w:tcPr>
                <w:p>
                  <w:pPr>
                    <w:pStyle w:val="TableText"/>
                    <w:rPr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130"/>
          <w:footerReference w:type="default" r:id="rId131"/>
          <w:type w:val="continuous"/>
          <w:pgSz w:w="11907" w:h="16839"/>
          <w:pgMar w:top="1202" w:right="14" w:bottom="928" w:left="11" w:header="10" w:footer="21" w:gutter="0"/>
          <w:pgNumType w:start="37"/>
          <w:cols w:num="2" w:space="708" w:equalWidth="0">
            <w:col w:w="5960" w:space="100"/>
            <w:col w:w="5822" w:space="0"/>
          </w:cols>
        </w:sectPr>
      </w:pPr>
    </w:p>
    <w:tbl>
      <w:tblPr>
        <w:tblStyle w:val="TableNormal13"/>
        <w:tblW w:w="4415" w:type="dxa"/>
        <w:tblInd w:w="10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5"/>
        <w:gridCol w:w="4260"/>
      </w:tblGrid>
      <w:tr>
        <w:tblPrEx>
          <w:tblW w:w="4415" w:type="dxa"/>
          <w:tblInd w:w="105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18"/>
        </w:trPr>
        <w:tc>
          <w:tcPr>
            <w:tcW w:w="155" w:type="dxa"/>
            <w:vAlign w:val="top"/>
          </w:tcPr>
          <w:p>
            <w:pPr>
              <w:pStyle w:val="TableText"/>
              <w:spacing w:before="95" w:line="195" w:lineRule="auto"/>
              <w:ind w:left="4"/>
            </w:pPr>
            <w:r>
              <w:t>0</w:t>
            </w:r>
          </w:p>
        </w:tc>
        <w:tc>
          <w:tcPr>
            <w:tcW w:w="4260" w:type="dxa"/>
            <w:vAlign w:val="top"/>
          </w:tcPr>
          <w:tbl>
            <w:tblPr>
              <w:tblStyle w:val="TableNormal13"/>
              <w:tblW w:w="4189" w:type="dxa"/>
              <w:tblInd w:w="7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212"/>
              <w:gridCol w:w="556"/>
              <w:gridCol w:w="421"/>
            </w:tblGrid>
            <w:tr>
              <w:tblPrEx>
                <w:tblW w:w="4189" w:type="dxa"/>
                <w:tblInd w:w="7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44"/>
              </w:trPr>
              <w:tc>
                <w:tcPr>
                  <w:tcW w:w="3212" w:type="dxa"/>
                  <w:vMerge w:val="restart"/>
                  <w:tcBorders>
                    <w:left w:val="single" w:sz="2" w:space="0" w:color="000000"/>
                    <w:bottom w:val="nil"/>
                    <w:right w:val="single" w:sz="16" w:space="0" w:color="000000"/>
                  </w:tcBorders>
                  <w:vAlign w:val="top"/>
                </w:tcPr>
                <w:p>
                  <w:pPr>
                    <w:spacing w:before="66" w:line="237" w:lineRule="exact"/>
                    <w:ind w:firstLine="1792"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79475" cy="150749"/>
                        <wp:effectExtent l="0" t="0" r="0" b="0"/>
                        <wp:docPr id="152" name="IM 1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xmlns:r="http://schemas.openxmlformats.org/officeDocument/2006/relationships" r:embed="rId1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9475" cy="1507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56" w:type="dxa"/>
                  <w:tcBorders>
                    <w:bottom w:val="single" w:sz="16" w:space="0" w:color="C30F1B"/>
                  </w:tcBorders>
                  <w:vAlign w:val="top"/>
                </w:tcPr>
                <w:p/>
              </w:tc>
              <w:tc>
                <w:tcPr>
                  <w:tcW w:w="421" w:type="dxa"/>
                  <w:vMerge w:val="restart"/>
                  <w:tcBorders>
                    <w:left w:val="single" w:sz="16" w:space="0" w:color="C30F1B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4189" w:type="dxa"/>
                <w:tblInd w:w="70" w:type="dxa"/>
                <w:tblLayout w:type="fixed"/>
              </w:tblPrEx>
              <w:trPr>
                <w:trHeight w:val="1413"/>
              </w:trPr>
              <w:tc>
                <w:tcPr>
                  <w:tcW w:w="3212" w:type="dxa"/>
                  <w:vMerge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16" w:space="0" w:color="000000"/>
                  </w:tcBorders>
                  <w:vAlign w:val="top"/>
                </w:tcPr>
                <w:p>
                  <w:pPr>
                    <w:pStyle w:val="TableText"/>
                    <w:rPr>
                      <w:sz w:val="21"/>
                    </w:rPr>
                  </w:pPr>
                </w:p>
              </w:tc>
              <w:tc>
                <w:tcPr>
                  <w:tcW w:w="556" w:type="dxa"/>
                  <w:tcBorders>
                    <w:top w:val="single" w:sz="16" w:space="0" w:color="C30F1B"/>
                    <w:left w:val="single" w:sz="16" w:space="0" w:color="C30F1B"/>
                    <w:bottom w:val="single" w:sz="12" w:space="0" w:color="C30F1B"/>
                    <w:right w:val="single" w:sz="16" w:space="0" w:color="C30F1B"/>
                  </w:tcBorders>
                  <w:vAlign w:val="top"/>
                </w:tcPr>
                <w:p>
                  <w:pPr>
                    <w:pStyle w:val="TableText"/>
                    <w:rPr>
                      <w:sz w:val="21"/>
                    </w:rPr>
                  </w:pPr>
                </w:p>
              </w:tc>
              <w:tc>
                <w:tcPr>
                  <w:tcW w:w="421" w:type="dxa"/>
                  <w:vMerge/>
                  <w:tcBorders>
                    <w:top w:val="nil"/>
                    <w:left w:val="single" w:sz="16" w:space="0" w:color="C30F1B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rPr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13" w:line="107" w:lineRule="exact"/>
              <w:ind w:left="594"/>
            </w:pPr>
            <w:r>
              <w:pict>
                <v:shape id="_x0000_s1118" type="#_x0000_t202" style="width:19.6pt;height:9.5pt;margin-top:4.67pt;margin-left:98.59pt;position:absolute;z-index:2517186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5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2021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9" type="#_x0000_t202" style="width:19.6pt;height:9.5pt;margin-top:4.67pt;margin-left:168.43pt;position:absolute;z-index:2517196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5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2022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  <w:position w:val="-2"/>
              </w:rPr>
              <w:t>2020</w:t>
            </w:r>
          </w:p>
        </w:tc>
      </w:tr>
    </w:tbl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43" w:line="198" w:lineRule="auto"/>
        <w:ind w:left="682"/>
        <w:rPr>
          <w:sz w:val="13"/>
          <w:szCs w:val="13"/>
        </w:rPr>
      </w:pPr>
      <w:r>
        <w:rPr>
          <w:spacing w:val="9"/>
          <w:sz w:val="13"/>
          <w:szCs w:val="13"/>
        </w:rPr>
        <w:t>资料来源：微导纳米招股说明书，西部证券研发中心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217" w:lineRule="auto"/>
        <w:ind w:left="31"/>
        <w:rPr>
          <w:sz w:val="18"/>
          <w:szCs w:val="18"/>
        </w:rPr>
      </w:pPr>
      <w:r>
        <w:rPr>
          <w:color w:val="0D0D0D"/>
          <w:spacing w:val="-4"/>
          <w:sz w:val="18"/>
          <w:szCs w:val="18"/>
        </w:rPr>
        <w:t>图</w:t>
      </w:r>
      <w:r>
        <w:rPr>
          <w:color w:val="0D0D0D"/>
          <w:spacing w:val="-22"/>
          <w:sz w:val="18"/>
          <w:szCs w:val="18"/>
        </w:rPr>
        <w:t xml:space="preserve"> </w:t>
      </w:r>
      <w:r>
        <w:rPr>
          <w:rFonts w:ascii="Arial" w:eastAsia="Arial" w:hAnsi="Arial" w:cs="Arial"/>
          <w:color w:val="0D0D0D"/>
          <w:spacing w:val="-4"/>
          <w:sz w:val="18"/>
          <w:szCs w:val="18"/>
        </w:rPr>
        <w:t>10</w:t>
      </w:r>
      <w:r>
        <w:rPr>
          <w:color w:val="0D0D0D"/>
          <w:spacing w:val="-4"/>
          <w:sz w:val="18"/>
          <w:szCs w:val="18"/>
        </w:rPr>
        <w:t>：</w:t>
      </w:r>
      <w:r>
        <w:rPr>
          <w:spacing w:val="-4"/>
          <w:sz w:val="18"/>
          <w:szCs w:val="18"/>
        </w:rPr>
        <w:t>存储为主要订单来源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" w:line="1912" w:lineRule="exact"/>
        <w:ind w:firstLine="1807"/>
      </w:pPr>
      <w:r>
        <w:rPr>
          <w:position w:val="-38"/>
        </w:rPr>
        <w:pict>
          <v:group id="_x0000_i1120" style="width:96.6pt;height:95.65pt;mso-position-horizontal-relative:char;mso-position-vertical-relative:line" coordorigin="0,0" coordsize="1931,1913" filled="f" stroked="f">
            <v:shape id="_x0000_s1121" style="width:1251;height:1913;left:680;position:absolute" coordorigin="0,0" coordsize="1251,1913" path="m295,c823,,1251,428,1251,956c1251,1484,823,1912,295,1912c195,1912,95,1896,,1865l295,956l295,xe" filled="t" fillcolor="#c30f1b" stroked="f"/>
            <v:shape id="_x0000_s1122" style="width:940;height:910;left:36;position:absolute;top:956" coordorigin="0,0" coordsize="940,910" path="m643,909c311,801,65,521,,179l939,l643,909xe" filled="t" fillcolor="#ba9873" stroked="f"/>
            <v:shape id="_x0000_s1123" style="width:975;height:953;position:absolute;top:182" coordorigin="0,0" coordsize="975,953" path="m36,952c-32,588,114,217,413,l975,773l36,952xe" filled="t" fillcolor="#c8c8c8" stroked="f"/>
            <v:shape id="_x0000_s1124" style="width:562;height:956;left:413;position:absolute" coordorigin="0,0" coordsize="562,956" path="m,182m,182c163,64,360,,562,l562,956l,182xe" filled="t" fillcolor="#eab3a7" stroked="f"/>
            <w10:wrap type="none"/>
          </v:group>
        </w:pict>
      </w:r>
    </w:p>
    <w:p>
      <w:pPr>
        <w:pStyle w:val="BodyText"/>
        <w:spacing w:before="139" w:line="216" w:lineRule="auto"/>
        <w:ind w:left="543"/>
        <w:rPr>
          <w:sz w:val="18"/>
          <w:szCs w:val="18"/>
        </w:rPr>
      </w:pPr>
      <w:r>
        <w:rPr>
          <w:color w:val="254061"/>
          <w:position w:val="1"/>
          <w:sz w:val="18"/>
          <w:szCs w:val="18"/>
        </w:rPr>
        <w:drawing>
          <wp:inline distT="0" distB="0" distL="0" distR="0">
            <wp:extent cx="57911" cy="56388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23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新型存储</w:t>
      </w:r>
      <w:r>
        <w:rPr>
          <w:color w:val="254061"/>
          <w:spacing w:val="82"/>
          <w:sz w:val="18"/>
          <w:szCs w:val="18"/>
        </w:rPr>
        <w:t xml:space="preserve">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6388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1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先进逻辑</w:t>
      </w:r>
      <w:r>
        <w:rPr>
          <w:color w:val="254061"/>
          <w:spacing w:val="82"/>
          <w:sz w:val="18"/>
          <w:szCs w:val="18"/>
        </w:rPr>
        <w:t xml:space="preserve">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6388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9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新型显示</w:t>
      </w:r>
      <w:r>
        <w:rPr>
          <w:color w:val="254061"/>
          <w:spacing w:val="82"/>
          <w:sz w:val="18"/>
          <w:szCs w:val="18"/>
        </w:rPr>
        <w:t xml:space="preserve"> </w:t>
      </w:r>
      <w:r>
        <w:rPr>
          <w:position w:val="1"/>
          <w:sz w:val="18"/>
          <w:szCs w:val="18"/>
        </w:rPr>
        <w:drawing>
          <wp:inline distT="0" distB="0" distL="0" distR="0">
            <wp:extent cx="57911" cy="56388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6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化合物半导体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43" w:line="198" w:lineRule="auto"/>
        <w:ind w:left="13"/>
        <w:rPr>
          <w:sz w:val="13"/>
          <w:szCs w:val="13"/>
        </w:rPr>
      </w:pPr>
      <w:r>
        <w:rPr>
          <w:spacing w:val="9"/>
          <w:sz w:val="13"/>
          <w:szCs w:val="13"/>
        </w:rPr>
        <w:t>资料来源：微导纳米招股说明书，西部证券研发中心</w:t>
      </w:r>
    </w:p>
    <w:p>
      <w:pPr>
        <w:spacing w:line="198" w:lineRule="auto"/>
        <w:rPr>
          <w:sz w:val="13"/>
          <w:szCs w:val="13"/>
        </w:rPr>
      </w:pPr>
      <w:r>
        <w:rPr>
          <w:sz w:val="13"/>
          <w:szCs w:val="13"/>
        </w:rPr>
        <w:br/>
      </w:r>
      <w:r>
        <w:rPr>
          <w:sz w:val="13"/>
          <w:szCs w:val="1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https://d.book118.com/088027005106006041</w:t>
        </w:r>
      </w:hyperlink>
    </w:p>
    <w:p>
      <w:pPr>
        <w:spacing w:line="198" w:lineRule="auto"/>
        <w:rPr>
          <w:sz w:val="13"/>
          <w:szCs w:val="13"/>
        </w:rPr>
      </w:pPr>
    </w:p>
    <w:sectPr>
      <w:headerReference w:type="default" r:id="rId138"/>
      <w:footerReference w:type="default" r:id="rId139"/>
      <w:type w:val="nextPage"/>
      <w:pgSz w:w="11907" w:h="16839"/>
      <w:pgMar w:top="1202" w:right="14" w:bottom="928" w:left="11" w:header="10" w:footer="21" w:gutter="0"/>
      <w:pgNumType w:start="38"/>
      <w:cols w:num="2" w:space="708" w:equalWidth="0">
        <w:col w:w="5960" w:space="100"/>
        <w:col w:w="5822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  <w:rPr>
        <w:sz w:val="16"/>
        <w:szCs w:val="16"/>
      </w:rPr>
    </w:pPr>
    <w:r>
      <w:pict>
        <v:rect id="_x0000_s2049" style="width:4.25pt;height:31.2pt;margin-top:809.7pt;margin-left:0.55pt;mso-position-horizontal-relative:page;mso-position-vertical-relative:page;position:absolute;z-index:251659264" o:allowincell="f" filled="t" fillcolor="#c30f1b" stroked="f"/>
      </w:pict>
    </w:r>
    <w:r>
      <w:pict>
        <v:rect id="_x0000_s2050" style="width:155.9pt;height:4.25pt;margin-top:836.55pt;margin-left:4.35pt;mso-position-horizontal-relative:page;mso-position-vertical-relative:page;position:absolute;z-index:251658240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</w:t>
    </w:r>
    <w:r>
      <w:rPr>
        <w:rFonts w:ascii="Arial" w:eastAsia="Arial" w:hAnsi="Arial" w:cs="Arial"/>
        <w:b/>
        <w:bCs/>
        <w:color w:val="C30F1B"/>
        <w:spacing w:val="46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  <w:rPr>
        <w:sz w:val="16"/>
        <w:szCs w:val="16"/>
      </w:rPr>
    </w:pPr>
    <w:r>
      <w:pict>
        <v:rect id="_x0000_s2051" style="width:4.25pt;height:31.2pt;margin-top:809.7pt;margin-left:0.55pt;mso-position-horizontal-relative:page;mso-position-vertical-relative:page;position:absolute;z-index:251661312" o:allowincell="f" filled="t" fillcolor="#c30f1b" stroked="f"/>
      </w:pict>
    </w:r>
    <w:r>
      <w:pict>
        <v:rect id="_x0000_s2052" style="width:155.9pt;height:4.25pt;margin-top:836.55pt;margin-left:4.35pt;mso-position-horizontal-relative:page;mso-position-vertical-relative:page;position:absolute;z-index:251660288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</w:t>
    </w:r>
    <w:r>
      <w:rPr>
        <w:rFonts w:ascii="Arial" w:eastAsia="Arial" w:hAnsi="Arial" w:cs="Arial"/>
        <w:b/>
        <w:bCs/>
        <w:color w:val="C30F1B"/>
        <w:spacing w:val="46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  <w:rPr>
        <w:sz w:val="16"/>
        <w:szCs w:val="16"/>
      </w:rPr>
    </w:pPr>
    <w:r>
      <w:pict>
        <v:rect id="_x0000_s2053" style="width:4.25pt;height:31.2pt;margin-top:809.7pt;margin-left:0.55pt;mso-position-horizontal-relative:page;mso-position-vertical-relative:page;position:absolute;z-index:251663360" o:allowincell="f" filled="t" fillcolor="#c30f1b" stroked="f"/>
      </w:pict>
    </w:r>
    <w:r>
      <w:pict>
        <v:rect id="_x0000_s2054" style="width:155.9pt;height:4.25pt;margin-top:836.55pt;margin-left:4.35pt;mso-position-horizontal-relative:page;mso-position-vertical-relative:page;position:absolute;z-index:251662336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</w:t>
    </w:r>
    <w:r>
      <w:rPr>
        <w:rFonts w:ascii="Arial" w:eastAsia="Arial" w:hAnsi="Arial" w:cs="Arial"/>
        <w:b/>
        <w:bCs/>
        <w:color w:val="C30F1B"/>
        <w:spacing w:val="46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  <w:rPr>
        <w:sz w:val="16"/>
        <w:szCs w:val="16"/>
      </w:rPr>
    </w:pPr>
    <w:r>
      <w:pict>
        <v:rect id="_x0000_s2055" style="width:4.25pt;height:31.2pt;margin-top:809.7pt;margin-left:0.55pt;mso-position-horizontal-relative:page;mso-position-vertical-relative:page;position:absolute;z-index:251665408" o:allowincell="f" filled="t" fillcolor="#c30f1b" stroked="f"/>
      </w:pict>
    </w:r>
    <w:r>
      <w:pict>
        <v:rect id="_x0000_s2056" style="width:155.9pt;height:4.25pt;margin-top:836.55pt;margin-left:4.35pt;mso-position-horizontal-relative:page;mso-position-vertical-relative:page;position:absolute;z-index:251664384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</w:t>
    </w:r>
    <w:r>
      <w:rPr>
        <w:rFonts w:ascii="Arial" w:eastAsia="Arial" w:hAnsi="Arial" w:cs="Arial"/>
        <w:b/>
        <w:bCs/>
        <w:color w:val="C30F1B"/>
        <w:spacing w:val="46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52" w:line="207" w:lineRule="auto"/>
      <w:ind w:left="691"/>
      <w:rPr>
        <w:sz w:val="16"/>
        <w:szCs w:val="16"/>
      </w:rPr>
    </w:pPr>
    <w:r>
      <w:pict>
        <v:rect id="_x0000_s2057" style="width:4.25pt;height:31.2pt;margin-top:809.7pt;margin-left:0.55pt;mso-position-horizontal-relative:page;mso-position-vertical-relative:page;position:absolute;z-index:251667456" o:allowincell="f" filled="t" fillcolor="#c30f1b" stroked="f"/>
      </w:pict>
    </w:r>
    <w:r>
      <w:pict>
        <v:rect id="_x0000_s2058" style="width:155.9pt;height:4.25pt;margin-top:836.55pt;margin-left:4.35pt;mso-position-horizontal-relative:page;mso-position-vertical-relative:page;position:absolute;z-index:251666432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</w:t>
    </w:r>
    <w:r>
      <w:rPr>
        <w:rFonts w:ascii="Arial" w:eastAsia="Arial" w:hAnsi="Arial" w:cs="Arial"/>
        <w:b/>
        <w:bCs/>
        <w:color w:val="C30F1B"/>
        <w:spacing w:val="46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2"/>
      <w:rPr>
        <w:sz w:val="16"/>
        <w:szCs w:val="16"/>
      </w:rPr>
    </w:pPr>
    <w:r>
      <w:pict>
        <v:rect id="_x0000_s2062" style="width:4.25pt;height:31.2pt;margin-top:809.7pt;margin-left:0.55pt;mso-position-horizontal-relative:page;mso-position-vertical-relative:page;position:absolute;z-index:251670528" o:allowincell="f" filled="t" fillcolor="#c30f1b" stroked="f"/>
      </w:pict>
    </w:r>
    <w:r>
      <w:pict>
        <v:rect id="_x0000_s2063" style="width:155.9pt;height:4.25pt;margin-top:836.55pt;margin-left:4.35pt;mso-position-horizontal-relative:page;mso-position-vertical-relative:page;position:absolute;z-index:251669504" o:allowincell="f" filled="t" fillcolor="#c30f1b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2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2"/>
      <w:rPr>
        <w:sz w:val="16"/>
        <w:szCs w:val="16"/>
      </w:rPr>
    </w:pPr>
    <w:r>
      <w:pict>
        <v:rect id="_x0000_s2067" style="width:4.25pt;height:31.2pt;margin-top:809.7pt;margin-left:0.55pt;mso-position-horizontal-relative:page;mso-position-vertical-relative:page;position:absolute;z-index:251673600" o:allowincell="f" filled="t" fillcolor="#c30f1b" stroked="f"/>
      </w:pict>
    </w:r>
    <w:r>
      <w:pict>
        <v:rect id="_x0000_s2068" style="width:155.9pt;height:4.25pt;margin-top:836.55pt;margin-left:4.35pt;mso-position-horizontal-relative:page;mso-position-vertical-relative:page;position:absolute;z-index:251672576" o:allowincell="f" filled="t" fillcolor="#c30f1b" stroked="f"/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16699840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99840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2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069" style="width:4.25pt;height:31.2pt;margin-top:809.7pt;margin-left:0.55pt;mso-position-horizontal-relative:page;mso-position-vertical-relative:page;position:absolute;z-index:251676672" o:allowincell="f" filled="t" fillcolor="#c30f1b" stroked="f"/>
      </w:pict>
    </w:r>
    <w:r>
      <w:pict>
        <v:rect id="_x0000_s2070" style="width:155.9pt;height:4.25pt;margin-top:836.55pt;margin-left:4.35pt;mso-position-horizontal-relative:page;mso-position-vertical-relative:page;position:absolute;z-index:251675648" o:allowincell="f" filled="t" fillcolor="#c30f1b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3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074" style="width:4.25pt;height:31.2pt;margin-top:809.7pt;margin-left:0.55pt;mso-position-horizontal-relative:page;mso-position-vertical-relative:page;position:absolute;z-index:251679744" o:allowincell="f" filled="t" fillcolor="#c30f1b" stroked="f"/>
      </w:pict>
    </w:r>
    <w:r>
      <w:pict>
        <v:rect id="_x0000_s2075" style="width:155.9pt;height:4.25pt;margin-top:836.55pt;margin-left:4.35pt;mso-position-horizontal-relative:page;mso-position-vertical-relative:page;position:absolute;z-index:251678720" o:allowincell="f" filled="t" fillcolor="#c30f1b" stroked="f"/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86641619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641619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3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1"/>
      <w:rPr>
        <w:sz w:val="16"/>
        <w:szCs w:val="16"/>
      </w:rPr>
    </w:pPr>
    <w:r>
      <w:pict>
        <v:rect id="_x0000_s2079" style="width:4.25pt;height:31.2pt;margin-top:809.7pt;margin-left:0.55pt;mso-position-horizontal-relative:page;mso-position-vertical-relative:page;position:absolute;z-index:251682816" o:allowincell="f" filled="t" fillcolor="#c30f1b" stroked="f"/>
      </w:pict>
    </w:r>
    <w:r>
      <w:pict>
        <v:rect id="_x0000_s2080" style="width:155.9pt;height:4.25pt;margin-top:836.55pt;margin-left:4.35pt;mso-position-horizontal-relative:page;mso-position-vertical-relative:page;position:absolute;z-index:251681792" o:allowincell="f" filled="t" fillcolor="#c30f1b" stroked="f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4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1"/>
      <w:rPr>
        <w:sz w:val="16"/>
        <w:szCs w:val="16"/>
      </w:rPr>
    </w:pPr>
    <w:r>
      <w:pict>
        <v:rect id="_x0000_s2084" style="width:4.25pt;height:31.2pt;margin-top:809.7pt;margin-left:0.55pt;mso-position-horizontal-relative:page;mso-position-vertical-relative:page;position:absolute;z-index:251685888" o:allowincell="f" filled="t" fillcolor="#c30f1b" stroked="f"/>
      </w:pict>
    </w:r>
    <w:r>
      <w:pict>
        <v:rect id="_x0000_s2085" style="width:155.9pt;height:4.25pt;margin-top:836.55pt;margin-left:4.35pt;mso-position-horizontal-relative:page;mso-position-vertical-relative:page;position:absolute;z-index:251684864" o:allowincell="f" filled="t" fillcolor="#c30f1b" stroked="f"/>
      </w:pict>
    </w: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274597040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4597040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4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1"/>
      <w:rPr>
        <w:sz w:val="16"/>
        <w:szCs w:val="16"/>
      </w:rPr>
    </w:pPr>
    <w:r>
      <w:pict>
        <v:rect id="_x0000_s2089" style="width:4.25pt;height:31.2pt;margin-top:809.7pt;margin-left:0.55pt;mso-position-horizontal-relative:page;mso-position-vertical-relative:page;position:absolute;z-index:251688960" o:allowincell="f" filled="t" fillcolor="#c30f1b" stroked="f"/>
      </w:pict>
    </w:r>
    <w:r>
      <w:pict>
        <v:rect id="_x0000_s2090" style="width:155.9pt;height:4.25pt;margin-top:836.55pt;margin-left:4.35pt;mso-position-horizontal-relative:page;mso-position-vertical-relative:page;position:absolute;z-index:251687936" o:allowincell="f" filled="t" fillcolor="#c30f1b" stroked="f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060964415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0964415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4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1"/>
      <w:rPr>
        <w:sz w:val="16"/>
        <w:szCs w:val="16"/>
      </w:rPr>
    </w:pPr>
    <w:r>
      <w:pict>
        <v:rect id="_x0000_s2094" style="width:4.25pt;height:31.2pt;margin-top:809.7pt;margin-left:0.55pt;mso-position-horizontal-relative:page;mso-position-vertical-relative:page;position:absolute;z-index:251692032" o:allowincell="f" filled="t" fillcolor="#c30f1b" stroked="f"/>
      </w:pict>
    </w:r>
    <w:r>
      <w:pict>
        <v:rect id="_x0000_s2095" style="width:155.9pt;height:4.25pt;margin-top:836.55pt;margin-left:4.35pt;mso-position-horizontal-relative:page;mso-position-vertical-relative:page;position:absolute;z-index:251691008" o:allowincell="f" filled="t" fillcolor="#c30f1b" stroked="f"/>
      </w:pict>
    </w: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43676269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676269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4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5"/>
      <w:rPr>
        <w:sz w:val="16"/>
        <w:szCs w:val="16"/>
      </w:rPr>
    </w:pPr>
    <w:r>
      <w:pict>
        <v:rect id="_x0000_s2099" style="width:4.25pt;height:31.2pt;margin-top:809.7pt;margin-left:0.55pt;mso-position-horizontal-relative:page;mso-position-vertical-relative:page;position:absolute;z-index:251695104" o:allowincell="f" filled="t" fillcolor="#c30f1b" stroked="f"/>
      </w:pict>
    </w:r>
    <w:r>
      <w:pict>
        <v:rect id="_x0000_s2100" style="width:155.9pt;height:4.25pt;margin-top:836.55pt;margin-left:4.35pt;mso-position-horizontal-relative:page;mso-position-vertical-relative:page;position:absolute;z-index:251694080" o:allowincell="f" filled="t" fillcolor="#c30f1b" stroked="f"/>
      </w:pict>
    </w: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5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</w:t>
    </w:r>
    <w:r>
      <w:rPr>
        <w:spacing w:val="-2"/>
        <w:sz w:val="16"/>
        <w:szCs w:val="16"/>
      </w:rPr>
      <w:t>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5"/>
      <w:rPr>
        <w:sz w:val="16"/>
        <w:szCs w:val="16"/>
      </w:rPr>
    </w:pPr>
    <w:r>
      <w:pict>
        <v:rect id="_x0000_s2104" style="width:4.25pt;height:31.2pt;margin-top:809.7pt;margin-left:0.55pt;mso-position-horizontal-relative:page;mso-position-vertical-relative:page;position:absolute;z-index:251698176" o:allowincell="f" filled="t" fillcolor="#c30f1b" stroked="f"/>
      </w:pict>
    </w:r>
    <w:r>
      <w:pict>
        <v:rect id="_x0000_s2105" style="width:155.9pt;height:4.25pt;margin-top:836.55pt;margin-left:4.35pt;mso-position-horizontal-relative:page;mso-position-vertical-relative:page;position:absolute;z-index:251697152" o:allowincell="f" filled="t" fillcolor="#c30f1b" stroked="f"/>
      </w:pict>
    </w:r>
    <w: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573834335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3834335" name="IM 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5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</w:t>
    </w:r>
    <w:r>
      <w:rPr>
        <w:spacing w:val="-2"/>
        <w:sz w:val="16"/>
        <w:szCs w:val="16"/>
      </w:rPr>
      <w:t>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5"/>
      <w:rPr>
        <w:sz w:val="16"/>
        <w:szCs w:val="16"/>
      </w:rPr>
    </w:pPr>
    <w:r>
      <w:pict>
        <v:rect id="_x0000_s2109" style="width:4.25pt;height:31.2pt;margin-top:809.7pt;margin-left:0.55pt;mso-position-horizontal-relative:page;mso-position-vertical-relative:page;position:absolute;z-index:251701248" o:allowincell="f" filled="t" fillcolor="#c30f1b" stroked="f"/>
      </w:pict>
    </w:r>
    <w:r>
      <w:pict>
        <v:rect id="_x0000_s2110" style="width:155.9pt;height:4.25pt;margin-top:836.55pt;margin-left:4.35pt;mso-position-horizontal-relative:page;mso-position-vertical-relative:page;position:absolute;z-index:251700224" o:allowincell="f" filled="t" fillcolor="#c30f1b" stroked="f"/>
      </w:pict>
    </w: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2008627721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627721" name="IM 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5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</w:t>
    </w:r>
    <w:r>
      <w:rPr>
        <w:spacing w:val="-2"/>
        <w:sz w:val="16"/>
        <w:szCs w:val="16"/>
      </w:rPr>
      <w:t>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5"/>
      <w:rPr>
        <w:sz w:val="16"/>
        <w:szCs w:val="16"/>
      </w:rPr>
    </w:pPr>
    <w:r>
      <w:pict>
        <v:rect id="_x0000_s2114" style="width:4.25pt;height:31.2pt;margin-top:809.7pt;margin-left:0.55pt;mso-position-horizontal-relative:page;mso-position-vertical-relative:page;position:absolute;z-index:251704320" o:allowincell="f" filled="t" fillcolor="#c30f1b" stroked="f"/>
      </w:pict>
    </w:r>
    <w:r>
      <w:pict>
        <v:rect id="_x0000_s2115" style="width:155.9pt;height:4.25pt;margin-top:836.55pt;margin-left:4.35pt;mso-position-horizontal-relative:page;mso-position-vertical-relative:page;position:absolute;z-index:251703296" o:allowincell="f" filled="t" fillcolor="#c30f1b" stroked="f"/>
      </w:pict>
    </w:r>
    <w:r>
      <w:drawing>
        <wp:anchor distT="0" distB="0" distL="0" distR="0" simplePos="0" relativeHeight="25170227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691492509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1492509" name="IM 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5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</w:t>
    </w:r>
    <w:r>
      <w:rPr>
        <w:spacing w:val="-2"/>
        <w:sz w:val="16"/>
        <w:szCs w:val="16"/>
      </w:rPr>
      <w:t>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19" style="width:4.25pt;height:31.2pt;margin-top:809.7pt;margin-left:0.55pt;mso-position-horizontal-relative:page;mso-position-vertical-relative:page;position:absolute;z-index:251706368" o:allowincell="f" filled="t" fillcolor="#c30f1b" stroked="f"/>
      </w:pict>
    </w:r>
    <w:r>
      <w:pict>
        <v:rect id="_x0000_s2120" style="width:155.9pt;height:4.25pt;margin-top:836.55pt;margin-left:4.35pt;mso-position-horizontal-relative:page;mso-position-vertical-relative:page;position:absolute;z-index:251705344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6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24" style="width:4.25pt;height:31.2pt;margin-top:809.7pt;margin-left:0.55pt;mso-position-horizontal-relative:page;mso-position-vertical-relative:page;position:absolute;z-index:251708416" o:allowincell="f" filled="t" fillcolor="#c30f1b" stroked="f"/>
      </w:pict>
    </w:r>
    <w:r>
      <w:pict>
        <v:rect id="_x0000_s2125" style="width:155.9pt;height:4.25pt;margin-top:836.55pt;margin-left:4.35pt;mso-position-horizontal-relative:page;mso-position-vertical-relative:page;position:absolute;z-index:251707392" o:allowincell="f" filled="t" fillcolor="#c30f1b" stroked="f"/>
      </w:pict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6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29" style="width:4.25pt;height:31.2pt;margin-top:809.7pt;margin-left:0.55pt;mso-position-horizontal-relative:page;mso-position-vertical-relative:page;position:absolute;z-index:251711488" o:allowincell="f" filled="t" fillcolor="#c30f1b" stroked="f"/>
      </w:pict>
    </w:r>
    <w:r>
      <w:pict>
        <v:rect id="_x0000_s2130" style="width:155.9pt;height:4.25pt;margin-top:836.55pt;margin-left:4.35pt;mso-position-horizontal-relative:page;mso-position-vertical-relative:page;position:absolute;z-index:251710464" o:allowincell="f" filled="t" fillcolor="#c30f1b" stroked="f"/>
      </w:pict>
    </w: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7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34" style="width:4.25pt;height:31.2pt;margin-top:809.7pt;margin-left:0.55pt;mso-position-horizontal-relative:page;mso-position-vertical-relative:page;position:absolute;z-index:251714560" o:allowincell="f" filled="t" fillcolor="#c30f1b" stroked="f"/>
      </w:pict>
    </w:r>
    <w:r>
      <w:pict>
        <v:rect id="_x0000_s2135" style="width:155.9pt;height:4.25pt;margin-top:836.55pt;margin-left:4.35pt;mso-position-horizontal-relative:page;mso-position-vertical-relative:page;position:absolute;z-index:251713536" o:allowincell="f" filled="t" fillcolor="#c30f1b" stroked="f"/>
      </w:pict>
    </w:r>
    <w:r>
      <w:drawing>
        <wp:anchor distT="0" distB="0" distL="0" distR="0" simplePos="0" relativeHeight="25171251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225028322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5028322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7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39" style="width:4.25pt;height:31.2pt;margin-top:809.7pt;margin-left:0.55pt;mso-position-horizontal-relative:page;mso-position-vertical-relative:page;position:absolute;z-index:251717632" o:allowincell="f" filled="t" fillcolor="#c30f1b" stroked="f"/>
      </w:pict>
    </w:r>
    <w:r>
      <w:pict>
        <v:rect id="_x0000_s2140" style="width:155.9pt;height:4.25pt;margin-top:836.55pt;margin-left:4.35pt;mso-position-horizontal-relative:page;mso-position-vertical-relative:page;position:absolute;z-index:251716608" o:allowincell="f" filled="t" fillcolor="#c30f1b" stroked="f"/>
      </w:pict>
    </w: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8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44" style="width:4.25pt;height:31.2pt;margin-top:809.7pt;margin-left:0.55pt;mso-position-horizontal-relative:page;mso-position-vertical-relative:page;position:absolute;z-index:251720704" o:allowincell="f" filled="t" fillcolor="#c30f1b" stroked="f"/>
      </w:pict>
    </w:r>
    <w:r>
      <w:pict>
        <v:rect id="_x0000_s2145" style="width:155.9pt;height:4.25pt;margin-top:836.55pt;margin-left:4.35pt;mso-position-horizontal-relative:page;mso-position-vertical-relative:page;position:absolute;z-index:251719680" o:allowincell="f" filled="t" fillcolor="#c30f1b" stroked="f"/>
      </w:pict>
    </w:r>
    <w:r>
      <w:drawing>
        <wp:anchor distT="0" distB="0" distL="0" distR="0" simplePos="0" relativeHeight="25171865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443178336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178336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8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49" style="width:4.25pt;height:31.2pt;margin-top:809.7pt;margin-left:0.55pt;mso-position-horizontal-relative:page;mso-position-vertical-relative:page;position:absolute;z-index:251723776" o:allowincell="f" filled="t" fillcolor="#c30f1b" stroked="f"/>
      </w:pict>
    </w:r>
    <w:r>
      <w:pict>
        <v:rect id="_x0000_s2150" style="width:155.9pt;height:4.25pt;margin-top:836.55pt;margin-left:4.35pt;mso-position-horizontal-relative:page;mso-position-vertical-relative:page;position:absolute;z-index:251722752" o:allowincell="f" filled="t" fillcolor="#c30f1b" stroked="f"/>
      </w:pict>
    </w: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731313112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1313112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8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54" style="width:4.25pt;height:31.2pt;margin-top:809.7pt;margin-left:0.55pt;mso-position-horizontal-relative:page;mso-position-vertical-relative:page;position:absolute;z-index:251726848" o:allowincell="f" filled="t" fillcolor="#c30f1b" stroked="f"/>
      </w:pict>
    </w:r>
    <w:r>
      <w:pict>
        <v:rect id="_x0000_s2155" style="width:155.9pt;height:4.25pt;margin-top:836.55pt;margin-left:4.35pt;mso-position-horizontal-relative:page;mso-position-vertical-relative:page;position:absolute;z-index:251725824" o:allowincell="f" filled="t" fillcolor="#c30f1b" stroked="f"/>
      </w:pict>
    </w:r>
    <w:r>
      <w:drawing>
        <wp:anchor distT="0" distB="0" distL="0" distR="0" simplePos="0" relativeHeight="25172480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955433649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5433649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8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59" style="width:4.25pt;height:31.2pt;margin-top:809.7pt;margin-left:0.55pt;mso-position-horizontal-relative:page;mso-position-vertical-relative:page;position:absolute;z-index:251729920" o:allowincell="f" filled="t" fillcolor="#c30f1b" stroked="f"/>
      </w:pict>
    </w:r>
    <w:r>
      <w:pict>
        <v:rect id="_x0000_s2160" style="width:155.9pt;height:4.25pt;margin-top:836.55pt;margin-left:4.35pt;mso-position-horizontal-relative:page;mso-position-vertical-relative:page;position:absolute;z-index:251728896" o:allowincell="f" filled="t" fillcolor="#c30f1b" stroked="f"/>
      </w:pict>
    </w: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737776679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7776679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8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4"/>
      <w:rPr>
        <w:sz w:val="16"/>
        <w:szCs w:val="16"/>
      </w:rPr>
    </w:pPr>
    <w:r>
      <w:pict>
        <v:rect id="_x0000_s2164" style="width:4.25pt;height:31.2pt;margin-top:809.7pt;margin-left:0.55pt;mso-position-horizontal-relative:page;mso-position-vertical-relative:page;position:absolute;z-index:251732992" o:allowincell="f" filled="t" fillcolor="#c30f1b" stroked="f"/>
      </w:pict>
    </w:r>
    <w:r>
      <w:pict>
        <v:rect id="_x0000_s2165" style="width:155.9pt;height:4.25pt;margin-top:836.55pt;margin-left:4.35pt;mso-position-horizontal-relative:page;mso-position-vertical-relative:page;position:absolute;z-index:251731968" o:allowincell="f" filled="t" fillcolor="#c30f1b" stroked="f"/>
      </w:pict>
    </w:r>
    <w:r>
      <w:drawing>
        <wp:anchor distT="0" distB="0" distL="0" distR="0" simplePos="0" relativeHeight="25173094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031221385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221385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8</w:t>
    </w:r>
    <w:r>
      <w:rPr>
        <w:rFonts w:ascii="Arial" w:eastAsia="Arial" w:hAnsi="Arial" w:cs="Arial"/>
        <w:b/>
        <w:bCs/>
        <w:color w:val="C30F1B"/>
        <w:spacing w:val="3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</w:t>
    </w:r>
    <w:r>
      <w:rPr>
        <w:spacing w:val="-2"/>
        <w:sz w:val="16"/>
        <w:szCs w:val="16"/>
      </w:rPr>
      <w:t>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  <w:rPr>
        <w:sz w:val="16"/>
        <w:szCs w:val="16"/>
      </w:rPr>
    </w:pPr>
    <w:r>
      <w:pict>
        <v:rect id="_x0000_s2169" style="width:4.25pt;height:31.2pt;margin-top:809.7pt;margin-left:0.55pt;mso-position-horizontal-relative:page;mso-position-vertical-relative:page;position:absolute;z-index:251736064" o:allowincell="f" filled="t" fillcolor="#c30f1b" stroked="f"/>
      </w:pict>
    </w:r>
    <w:r>
      <w:pict>
        <v:rect id="_x0000_s2170" style="width:155.9pt;height:4.25pt;margin-top:836.55pt;margin-left:4.35pt;mso-position-horizontal-relative:page;mso-position-vertical-relative:page;position:absolute;z-index:251735040" o:allowincell="f" filled="t" fillcolor="#c30f1b" stroked="f"/>
      </w:pict>
    </w:r>
    <w: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9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</w:t>
    </w:r>
    <w:r>
      <w:rPr>
        <w:spacing w:val="-2"/>
        <w:sz w:val="16"/>
        <w:szCs w:val="16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  <w:rPr>
        <w:sz w:val="16"/>
        <w:szCs w:val="16"/>
      </w:rPr>
    </w:pPr>
    <w:r>
      <w:pict>
        <v:rect id="_x0000_s2174" style="width:4.25pt;height:31.2pt;margin-top:809.7pt;margin-left:0.55pt;mso-position-horizontal-relative:page;mso-position-vertical-relative:page;position:absolute;z-index:251739136" o:allowincell="f" filled="t" fillcolor="#c30f1b" stroked="f"/>
      </w:pict>
    </w:r>
    <w:r>
      <w:pict>
        <v:rect id="_x0000_s2175" style="width:155.9pt;height:4.25pt;margin-top:836.55pt;margin-left:4.35pt;mso-position-horizontal-relative:page;mso-position-vertical-relative:page;position:absolute;z-index:251738112" o:allowincell="f" filled="t" fillcolor="#c30f1b" stroked="f"/>
      </w:pict>
    </w:r>
    <w:r>
      <w:drawing>
        <wp:anchor distT="0" distB="0" distL="0" distR="0" simplePos="0" relativeHeight="25173708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841186766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1186766" name="IM 1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9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</w:t>
    </w:r>
    <w:r>
      <w:rPr>
        <w:spacing w:val="-2"/>
        <w:sz w:val="16"/>
        <w:szCs w:val="16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  <w:rPr>
        <w:sz w:val="16"/>
        <w:szCs w:val="16"/>
      </w:rPr>
    </w:pPr>
    <w:r>
      <w:pict>
        <v:rect id="_x0000_s2179" style="width:4.25pt;height:31.2pt;margin-top:809.7pt;margin-left:0.55pt;mso-position-horizontal-relative:page;mso-position-vertical-relative:page;position:absolute;z-index:251742208" o:allowincell="f" filled="t" fillcolor="#c30f1b" stroked="f"/>
      </w:pict>
    </w:r>
    <w:r>
      <w:pict>
        <v:rect id="_x0000_s2180" style="width:155.9pt;height:4.25pt;margin-top:836.55pt;margin-left:4.35pt;mso-position-horizontal-relative:page;mso-position-vertical-relative:page;position:absolute;z-index:251741184" o:allowincell="f" filled="t" fillcolor="#c30f1b" stroked="f"/>
      </w:pict>
    </w:r>
    <w:r>
      <w:drawing>
        <wp:anchor distT="0" distB="0" distL="0" distR="0" simplePos="0" relativeHeight="25174016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429020406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020406" name="IM 1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9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</w:t>
    </w:r>
    <w:r>
      <w:rPr>
        <w:spacing w:val="-2"/>
        <w:sz w:val="16"/>
        <w:szCs w:val="16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73"/>
      <w:rPr>
        <w:sz w:val="16"/>
        <w:szCs w:val="16"/>
      </w:rPr>
    </w:pPr>
    <w:r>
      <w:pict>
        <v:rect id="_x0000_s2184" style="width:4.25pt;height:31.2pt;margin-top:809.7pt;margin-left:0.55pt;mso-position-horizontal-relative:page;mso-position-vertical-relative:page;position:absolute;z-index:251745280" o:allowincell="f" filled="t" fillcolor="#c30f1b" stroked="f"/>
      </w:pict>
    </w:r>
    <w:r>
      <w:pict>
        <v:rect id="_x0000_s2185" style="width:155.9pt;height:4.25pt;margin-top:836.55pt;margin-left:4.35pt;mso-position-horizontal-relative:page;mso-position-vertical-relative:page;position:absolute;z-index:251744256" o:allowincell="f" filled="t" fillcolor="#c30f1b" stroked="f"/>
      </w:pict>
    </w:r>
    <w:r>
      <w:drawing>
        <wp:anchor distT="0" distB="0" distL="0" distR="0" simplePos="0" relativeHeight="25174323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530299355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0299355" name="IM 1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1"/>
        <w:sz w:val="16"/>
        <w:szCs w:val="16"/>
      </w:rPr>
      <w:t>9</w:t>
    </w:r>
    <w:r>
      <w:rPr>
        <w:rFonts w:ascii="Arial" w:eastAsia="Arial" w:hAnsi="Arial" w:cs="Arial"/>
        <w:b/>
        <w:bCs/>
        <w:color w:val="C30F1B"/>
        <w:spacing w:val="32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|</w:t>
    </w:r>
    <w:r>
      <w:rPr>
        <w:rFonts w:ascii="Arial" w:eastAsia="Arial" w:hAnsi="Arial" w:cs="Arial"/>
        <w:spacing w:val="41"/>
        <w:w w:val="101"/>
        <w:sz w:val="16"/>
        <w:szCs w:val="16"/>
      </w:rPr>
      <w:t xml:space="preserve"> </w:t>
    </w:r>
    <w:r>
      <w:rPr>
        <w:spacing w:val="-1"/>
        <w:sz w:val="16"/>
        <w:szCs w:val="16"/>
      </w:rPr>
      <w:t>请务必仔细阅读报告尾部的投资评级说明和</w:t>
    </w:r>
    <w:r>
      <w:rPr>
        <w:spacing w:val="-2"/>
        <w:sz w:val="16"/>
        <w:szCs w:val="16"/>
      </w:rPr>
      <w:t>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  <w:rPr>
        <w:sz w:val="16"/>
        <w:szCs w:val="16"/>
      </w:rPr>
    </w:pPr>
    <w:r>
      <w:pict>
        <v:rect id="_x0000_s2189" style="width:4.25pt;height:31.2pt;margin-top:809.7pt;margin-left:0.55pt;mso-position-horizontal-relative:page;mso-position-vertical-relative:page;position:absolute;z-index:251748352" o:allowincell="f" filled="t" fillcolor="#c30f1b" stroked="f"/>
      </w:pict>
    </w:r>
    <w:r>
      <w:pict>
        <v:rect id="_x0000_s2190" style="width:155.9pt;height:4.25pt;margin-top:836.55pt;margin-left:4.35pt;mso-position-horizontal-relative:page;mso-position-vertical-relative:page;position:absolute;z-index:251747328" o:allowincell="f" filled="t" fillcolor="#c30f1b" stroked="f"/>
      </w:pict>
    </w:r>
    <w:r>
      <w:drawing>
        <wp:anchor distT="0" distB="0" distL="0" distR="0" simplePos="0" relativeHeight="25174630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10</w:t>
    </w:r>
    <w:r>
      <w:rPr>
        <w:rFonts w:ascii="Arial" w:eastAsia="Arial" w:hAnsi="Arial" w:cs="Arial"/>
        <w:b/>
        <w:bCs/>
        <w:color w:val="C30F1B"/>
        <w:spacing w:val="48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  <w:rPr>
        <w:sz w:val="16"/>
        <w:szCs w:val="16"/>
      </w:rPr>
    </w:pPr>
    <w:r>
      <w:pict>
        <v:rect id="_x0000_s2194" style="width:4.25pt;height:31.2pt;margin-top:809.7pt;margin-left:0.55pt;mso-position-horizontal-relative:page;mso-position-vertical-relative:page;position:absolute;z-index:251751424" o:allowincell="f" filled="t" fillcolor="#c30f1b" stroked="f"/>
      </w:pict>
    </w:r>
    <w:r>
      <w:pict>
        <v:rect id="_x0000_s2195" style="width:155.9pt;height:4.25pt;margin-top:836.55pt;margin-left:4.35pt;mso-position-horizontal-relative:page;mso-position-vertical-relative:page;position:absolute;z-index:251750400" o:allowincell="f" filled="t" fillcolor="#c30f1b" stroked="f"/>
      </w:pict>
    </w:r>
    <w:r>
      <w:drawing>
        <wp:anchor distT="0" distB="0" distL="0" distR="0" simplePos="0" relativeHeight="25174937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59112116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121166" name="IM 1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10</w:t>
    </w:r>
    <w:r>
      <w:rPr>
        <w:rFonts w:ascii="Arial" w:eastAsia="Arial" w:hAnsi="Arial" w:cs="Arial"/>
        <w:b/>
        <w:bCs/>
        <w:color w:val="C30F1B"/>
        <w:spacing w:val="48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  <w:rPr>
        <w:sz w:val="16"/>
        <w:szCs w:val="16"/>
      </w:rPr>
    </w:pPr>
    <w:r>
      <w:pict>
        <v:rect id="_x0000_s2199" style="width:4.25pt;height:31.2pt;margin-top:809.7pt;margin-left:0.55pt;mso-position-horizontal-relative:page;mso-position-vertical-relative:page;position:absolute;z-index:251754496" o:allowincell="f" filled="t" fillcolor="#c30f1b" stroked="f"/>
      </w:pict>
    </w:r>
    <w:r>
      <w:pict>
        <v:rect id="_x0000_s2200" style="width:155.9pt;height:4.25pt;margin-top:836.55pt;margin-left:4.35pt;mso-position-horizontal-relative:page;mso-position-vertical-relative:page;position:absolute;z-index:251753472" o:allowincell="f" filled="t" fillcolor="#c30f1b" stroked="f"/>
      </w:pict>
    </w:r>
    <w:r>
      <w:drawing>
        <wp:anchor distT="0" distB="0" distL="0" distR="0" simplePos="0" relativeHeight="251752448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464378639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4378639" name="IM 1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10</w:t>
    </w:r>
    <w:r>
      <w:rPr>
        <w:rFonts w:ascii="Arial" w:eastAsia="Arial" w:hAnsi="Arial" w:cs="Arial"/>
        <w:b/>
        <w:bCs/>
        <w:color w:val="C30F1B"/>
        <w:spacing w:val="48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  <w:rPr>
        <w:sz w:val="16"/>
        <w:szCs w:val="16"/>
      </w:rPr>
    </w:pPr>
    <w:r>
      <w:pict>
        <v:rect id="_x0000_s2204" style="width:4.25pt;height:31.2pt;margin-top:809.7pt;margin-left:0.55pt;mso-position-horizontal-relative:page;mso-position-vertical-relative:page;position:absolute;z-index:251757568" o:allowincell="f" filled="t" fillcolor="#c30f1b" stroked="f"/>
      </w:pict>
    </w:r>
    <w:r>
      <w:pict>
        <v:rect id="_x0000_s2205" style="width:155.9pt;height:4.25pt;margin-top:836.55pt;margin-left:4.35pt;mso-position-horizontal-relative:page;mso-position-vertical-relative:page;position:absolute;z-index:251756544" o:allowincell="f" filled="t" fillcolor="#c30f1b" stroked="f"/>
      </w:pict>
    </w:r>
    <w:r>
      <w:drawing>
        <wp:anchor distT="0" distB="0" distL="0" distR="0" simplePos="0" relativeHeight="251755520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045260065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260065" name="IM 1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10</w:t>
    </w:r>
    <w:r>
      <w:rPr>
        <w:rFonts w:ascii="Arial" w:eastAsia="Arial" w:hAnsi="Arial" w:cs="Arial"/>
        <w:b/>
        <w:bCs/>
        <w:color w:val="C30F1B"/>
        <w:spacing w:val="48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  <w:rPr>
        <w:sz w:val="16"/>
        <w:szCs w:val="16"/>
      </w:rPr>
    </w:pPr>
    <w:r>
      <w:pict>
        <v:rect id="_x0000_s2209" style="width:4.25pt;height:31.2pt;margin-top:809.7pt;margin-left:0.55pt;mso-position-horizontal-relative:page;mso-position-vertical-relative:page;position:absolute;z-index:251760640" o:allowincell="f" filled="t" fillcolor="#c30f1b" stroked="f"/>
      </w:pict>
    </w:r>
    <w:r>
      <w:pict>
        <v:rect id="_x0000_s2210" style="width:155.9pt;height:4.25pt;margin-top:836.55pt;margin-left:4.35pt;mso-position-horizontal-relative:page;mso-position-vertical-relative:page;position:absolute;z-index:251759616" o:allowincell="f" filled="t" fillcolor="#c30f1b" stroked="f"/>
      </w:pict>
    </w:r>
    <w:r>
      <w:drawing>
        <wp:anchor distT="0" distB="0" distL="0" distR="0" simplePos="0" relativeHeight="251758592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144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 1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11</w:t>
    </w:r>
    <w:r>
      <w:rPr>
        <w:rFonts w:ascii="Arial" w:eastAsia="Arial" w:hAnsi="Arial" w:cs="Arial"/>
        <w:b/>
        <w:bCs/>
        <w:color w:val="C30F1B"/>
        <w:spacing w:val="38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  <w:rPr>
        <w:sz w:val="16"/>
        <w:szCs w:val="16"/>
      </w:rPr>
    </w:pPr>
    <w:r>
      <w:pict>
        <v:rect id="_x0000_s2214" style="width:4.25pt;height:31.2pt;margin-top:809.7pt;margin-left:0.55pt;mso-position-horizontal-relative:page;mso-position-vertical-relative:page;position:absolute;z-index:251763712" o:allowincell="f" filled="t" fillcolor="#c30f1b" stroked="f"/>
      </w:pict>
    </w:r>
    <w:r>
      <w:pict>
        <v:rect id="_x0000_s2215" style="width:155.9pt;height:4.25pt;margin-top:836.55pt;margin-left:4.35pt;mso-position-horizontal-relative:page;mso-position-vertical-relative:page;position:absolute;z-index:251762688" o:allowincell="f" filled="t" fillcolor="#c30f1b" stroked="f"/>
      </w:pict>
    </w:r>
    <w:r>
      <w:drawing>
        <wp:anchor distT="0" distB="0" distL="0" distR="0" simplePos="0" relativeHeight="251761664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2144193648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193648" name="IM 1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11</w:t>
    </w:r>
    <w:r>
      <w:rPr>
        <w:rFonts w:ascii="Arial" w:eastAsia="Arial" w:hAnsi="Arial" w:cs="Arial"/>
        <w:b/>
        <w:bCs/>
        <w:color w:val="C30F1B"/>
        <w:spacing w:val="38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0" w:after="52" w:line="208" w:lineRule="auto"/>
      <w:ind w:left="680"/>
      <w:rPr>
        <w:sz w:val="16"/>
        <w:szCs w:val="16"/>
      </w:rPr>
    </w:pPr>
    <w:r>
      <w:pict>
        <v:rect id="_x0000_s2219" style="width:4.25pt;height:31.2pt;margin-top:809.7pt;margin-left:0.55pt;mso-position-horizontal-relative:page;mso-position-vertical-relative:page;position:absolute;z-index:251766784" o:allowincell="f" filled="t" fillcolor="#c30f1b" stroked="f"/>
      </w:pict>
    </w:r>
    <w:r>
      <w:pict>
        <v:rect id="_x0000_s2220" style="width:155.9pt;height:4.25pt;margin-top:836.55pt;margin-left:4.35pt;mso-position-horizontal-relative:page;mso-position-vertical-relative:page;position:absolute;z-index:251765760" o:allowincell="f" filled="t" fillcolor="#c30f1b" stroked="f"/>
      </w:pict>
    </w:r>
    <w:r>
      <w:drawing>
        <wp:anchor distT="0" distB="0" distL="0" distR="0" simplePos="0" relativeHeight="251764736" behindDoc="0" locked="0" layoutInCell="0" allowOverlap="1">
          <wp:simplePos x="0" y="0"/>
          <wp:positionH relativeFrom="page">
            <wp:posOffset>5774195</wp:posOffset>
          </wp:positionH>
          <wp:positionV relativeFrom="page">
            <wp:posOffset>10102596</wp:posOffset>
          </wp:positionV>
          <wp:extent cx="1326361" cy="207263"/>
          <wp:effectExtent l="0" t="0" r="0" b="0"/>
          <wp:wrapNone/>
          <wp:docPr id="704744651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4744651" name="IM 1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26361" cy="207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C30F1B"/>
        <w:spacing w:val="-2"/>
        <w:sz w:val="16"/>
        <w:szCs w:val="16"/>
      </w:rPr>
      <w:t>11</w:t>
    </w:r>
    <w:r>
      <w:rPr>
        <w:rFonts w:ascii="Arial" w:eastAsia="Arial" w:hAnsi="Arial" w:cs="Arial"/>
        <w:b/>
        <w:bCs/>
        <w:color w:val="C30F1B"/>
        <w:spacing w:val="38"/>
        <w:w w:val="101"/>
        <w:sz w:val="16"/>
        <w:szCs w:val="16"/>
      </w:rPr>
      <w:t xml:space="preserve"> </w:t>
    </w:r>
    <w:r>
      <w:rPr>
        <w:rFonts w:ascii="Arial" w:eastAsia="Arial" w:hAnsi="Arial" w:cs="Arial"/>
        <w:spacing w:val="-2"/>
        <w:sz w:val="16"/>
        <w:szCs w:val="16"/>
      </w:rPr>
      <w:t>|</w:t>
    </w:r>
    <w:r>
      <w:rPr>
        <w:rFonts w:ascii="Arial" w:eastAsia="Arial" w:hAnsi="Arial" w:cs="Arial"/>
        <w:spacing w:val="41"/>
        <w:sz w:val="16"/>
        <w:szCs w:val="16"/>
      </w:rPr>
      <w:t xml:space="preserve"> </w:t>
    </w:r>
    <w:r>
      <w:rPr>
        <w:spacing w:val="-2"/>
        <w:sz w:val="16"/>
        <w:szCs w:val="16"/>
      </w:rPr>
      <w:t>请务必仔细阅读报告尾部的投资评级说明和声明</w:t>
    </w:r>
  </w:p>
  <w:p>
    <w:pPr>
      <w:spacing w:line="300" w:lineRule="auto"/>
      <w:rPr>
        <w:rFonts w:ascii="Arial"/>
        <w:sz w:val="21"/>
      </w:rPr>
    </w:pPr>
  </w:p>
  <w:p>
    <w:pPr>
      <w:spacing w:line="300" w:lineRule="auto"/>
      <w:rPr>
        <w:rFonts w:ascii="Arial"/>
        <w:sz w:val="21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59" style="width:4.25pt;height:31.2pt;margin-top:0.55pt;margin-left:590.35pt;mso-position-horizontal-relative:page;mso-position-vertical-relative:page;position:absolute;z-index:251660288" o:allowincell="f" filled="t" fillcolor="#c30f1b" stroked="f"/>
      </w:pict>
    </w:r>
    <w:r>
      <w:pict>
        <v:rect id="_x0000_s2060" style="width:155.9pt;height:4.25pt;margin-top:0.6pt;margin-left:434.3pt;mso-position-horizontal-relative:page;mso-position-vertical-relative:page;position:absolute;z-index:25165926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1.55pt;height:21.8pt;margin-top:-2.81pt;margin-left:488.95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64" style="width:4.25pt;height:31.2pt;margin-top:0.55pt;margin-left:590.35pt;mso-position-horizontal-relative:page;mso-position-vertical-relative:page;position:absolute;z-index:251663360" o:allowincell="f" filled="t" fillcolor="#c30f1b" stroked="f"/>
      </w:pict>
    </w:r>
    <w:r>
      <w:pict>
        <v:rect id="_x0000_s2065" style="width:155.9pt;height:4.25pt;margin-top:0.6pt;margin-left:434.3pt;mso-position-horizontal-relative:page;mso-position-vertical-relative:page;position:absolute;z-index:25166233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1.55pt;height:21.8pt;margin-top:-2.81pt;margin-left:488.95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71" style="width:4.25pt;height:31.2pt;margin-top:0.55pt;margin-left:590.35pt;mso-position-horizontal-relative:page;mso-position-vertical-relative:page;position:absolute;z-index:251666432" o:allowincell="f" filled="t" fillcolor="#c30f1b" stroked="f"/>
      </w:pict>
    </w:r>
    <w:r>
      <w:pict>
        <v:rect id="_x0000_s2072" style="width:155.9pt;height:4.25pt;margin-top:0.6pt;margin-left:434.3pt;mso-position-horizontal-relative:page;mso-position-vertical-relative:page;position:absolute;z-index:25166540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71.55pt;height:21.8pt;margin-top:-2.81pt;margin-left:488.95pt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76" style="width:4.25pt;height:31.2pt;margin-top:0.55pt;margin-left:590.35pt;mso-position-horizontal-relative:page;mso-position-vertical-relative:page;position:absolute;z-index:251669504" o:allowincell="f" filled="t" fillcolor="#c30f1b" stroked="f"/>
      </w:pict>
    </w:r>
    <w:r>
      <w:pict>
        <v:rect id="_x0000_s2077" style="width:155.9pt;height:4.25pt;margin-top:0.6pt;margin-left:434.3pt;mso-position-horizontal-relative:page;mso-position-vertical-relative:page;position:absolute;z-index:25166848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71.55pt;height:21.8pt;margin-top:-2.81pt;margin-left:488.95pt;position:absolute;z-index:2516674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81" style="width:4.25pt;height:31.2pt;margin-top:0.55pt;margin-left:590.35pt;mso-position-horizontal-relative:page;mso-position-vertical-relative:page;position:absolute;z-index:251672576" o:allowincell="f" filled="t" fillcolor="#c30f1b" stroked="f"/>
      </w:pict>
    </w:r>
    <w:r>
      <w:pict>
        <v:rect id="_x0000_s2082" style="width:155.9pt;height:4.25pt;margin-top:0.6pt;margin-left:434.3pt;mso-position-horizontal-relative:page;mso-position-vertical-relative:page;position:absolute;z-index:25167155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71.55pt;height:21.8pt;margin-top:-2.81pt;margin-left:488.95pt;position:absolute;z-index:2516705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86" style="width:4.25pt;height:31.2pt;margin-top:0.55pt;margin-left:590.35pt;mso-position-horizontal-relative:page;mso-position-vertical-relative:page;position:absolute;z-index:251675648" o:allowincell="f" filled="t" fillcolor="#c30f1b" stroked="f"/>
      </w:pict>
    </w:r>
    <w:r>
      <w:pict>
        <v:rect id="_x0000_s2087" style="width:155.9pt;height:4.25pt;margin-top:0.6pt;margin-left:434.3pt;mso-position-horizontal-relative:page;mso-position-vertical-relative:page;position:absolute;z-index:25167462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71.55pt;height:21.8pt;margin-top:-2.81pt;margin-left:488.95pt;position:absolute;z-index:2516736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91" style="width:4.25pt;height:31.2pt;margin-top:0.55pt;margin-left:590.35pt;mso-position-horizontal-relative:page;mso-position-vertical-relative:page;position:absolute;z-index:251678720" o:allowincell="f" filled="t" fillcolor="#c30f1b" stroked="f"/>
      </w:pict>
    </w:r>
    <w:r>
      <w:pict>
        <v:rect id="_x0000_s2092" style="width:155.9pt;height:4.25pt;margin-top:0.6pt;margin-left:434.3pt;mso-position-horizontal-relative:page;mso-position-vertical-relative:page;position:absolute;z-index:25167769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71.55pt;height:21.8pt;margin-top:-2.81pt;margin-left:488.95pt;position:absolute;z-index:25167667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096" style="width:4.25pt;height:31.2pt;margin-top:0.55pt;margin-left:590.35pt;mso-position-horizontal-relative:page;mso-position-vertical-relative:page;position:absolute;z-index:251681792" o:allowincell="f" filled="t" fillcolor="#c30f1b" stroked="f"/>
      </w:pict>
    </w:r>
    <w:r>
      <w:pict>
        <v:rect id="_x0000_s2097" style="width:155.9pt;height:4.25pt;margin-top:0.6pt;margin-left:434.3pt;mso-position-horizontal-relative:page;mso-position-vertical-relative:page;position:absolute;z-index:25168076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71.55pt;height:21.8pt;margin-top:-2.81pt;margin-left:488.95pt;position:absolute;z-index:25167974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01" style="width:4.25pt;height:31.2pt;margin-top:0.55pt;margin-left:590.35pt;mso-position-horizontal-relative:page;mso-position-vertical-relative:page;position:absolute;z-index:251684864" o:allowincell="f" filled="t" fillcolor="#c30f1b" stroked="f"/>
      </w:pict>
    </w:r>
    <w:r>
      <w:pict>
        <v:rect id="_x0000_s2102" style="width:155.9pt;height:4.25pt;margin-top:0.6pt;margin-left:434.3pt;mso-position-horizontal-relative:page;mso-position-vertical-relative:page;position:absolute;z-index:25168384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71.55pt;height:21.8pt;margin-top:-2.81pt;margin-left:488.95pt;position:absolute;z-index:25168281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06" style="width:4.25pt;height:31.2pt;margin-top:0.55pt;margin-left:590.35pt;mso-position-horizontal-relative:page;mso-position-vertical-relative:page;position:absolute;z-index:251687936" o:allowincell="f" filled="t" fillcolor="#c30f1b" stroked="f"/>
      </w:pict>
    </w:r>
    <w:r>
      <w:pict>
        <v:rect id="_x0000_s2107" style="width:155.9pt;height:4.25pt;margin-top:0.6pt;margin-left:434.3pt;mso-position-horizontal-relative:page;mso-position-vertical-relative:page;position:absolute;z-index:25168691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71.55pt;height:21.8pt;margin-top:-2.81pt;margin-left:488.95pt;position:absolute;z-index:2516858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11" style="width:4.25pt;height:31.2pt;margin-top:0.55pt;margin-left:590.35pt;mso-position-horizontal-relative:page;mso-position-vertical-relative:page;position:absolute;z-index:251691008" o:allowincell="f" filled="t" fillcolor="#c30f1b" stroked="f"/>
      </w:pict>
    </w:r>
    <w:r>
      <w:pict>
        <v:rect id="_x0000_s2112" style="width:155.9pt;height:4.25pt;margin-top:0.6pt;margin-left:434.3pt;mso-position-horizontal-relative:page;mso-position-vertical-relative:page;position:absolute;z-index:25168998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71.55pt;height:21.8pt;margin-top:-2.81pt;margin-left:488.95pt;position:absolute;z-index:2516889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16" style="width:4.25pt;height:31.2pt;margin-top:0.55pt;margin-left:590.35pt;mso-position-horizontal-relative:page;mso-position-vertical-relative:page;position:absolute;z-index:251694080" o:allowincell="f" filled="t" fillcolor="#c30f1b" stroked="f"/>
      </w:pict>
    </w:r>
    <w:r>
      <w:pict>
        <v:rect id="_x0000_s2117" style="width:155.9pt;height:4.25pt;margin-top:0.6pt;margin-left:434.3pt;mso-position-horizontal-relative:page;mso-position-vertical-relative:page;position:absolute;z-index:25169305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71.55pt;height:21.8pt;margin-top:-2.81pt;margin-left:488.95pt;position:absolute;z-index:2516920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21" style="width:4.25pt;height:31.2pt;margin-top:0.55pt;margin-left:590.35pt;mso-position-horizontal-relative:page;mso-position-vertical-relative:page;position:absolute;z-index:251697152" o:allowincell="f" filled="t" fillcolor="#c30f1b" stroked="f"/>
      </w:pict>
    </w:r>
    <w:r>
      <w:pict>
        <v:rect id="_x0000_s2122" style="width:155.9pt;height:4.25pt;margin-top:0.6pt;margin-left:434.3pt;mso-position-horizontal-relative:page;mso-position-vertical-relative:page;position:absolute;z-index:25169612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71.55pt;height:21.8pt;margin-top:-2.81pt;margin-left:488.95pt;position:absolute;z-index:25169510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26" style="width:4.25pt;height:31.2pt;margin-top:0.55pt;margin-left:590.35pt;mso-position-horizontal-relative:page;mso-position-vertical-relative:page;position:absolute;z-index:251700224" o:allowincell="f" filled="t" fillcolor="#c30f1b" stroked="f"/>
      </w:pict>
    </w:r>
    <w:r>
      <w:pict>
        <v:rect id="_x0000_s2127" style="width:155.9pt;height:4.25pt;margin-top:0.6pt;margin-left:434.3pt;mso-position-horizontal-relative:page;mso-position-vertical-relative:page;position:absolute;z-index:25169920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71.55pt;height:21.8pt;margin-top:-2.81pt;margin-left:488.95pt;position:absolute;z-index:25169817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31" style="width:4.25pt;height:31.2pt;margin-top:0.55pt;margin-left:590.35pt;mso-position-horizontal-relative:page;mso-position-vertical-relative:page;position:absolute;z-index:251703296" o:allowincell="f" filled="t" fillcolor="#c30f1b" stroked="f"/>
      </w:pict>
    </w:r>
    <w:r>
      <w:pict>
        <v:rect id="_x0000_s2132" style="width:155.9pt;height:4.25pt;margin-top:0.6pt;margin-left:434.3pt;mso-position-horizontal-relative:page;mso-position-vertical-relative:page;position:absolute;z-index:25170227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71.55pt;height:21.8pt;margin-top:-2.81pt;margin-left:488.95pt;position:absolute;z-index:2517012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36" style="width:4.25pt;height:31.2pt;margin-top:0.55pt;margin-left:590.35pt;mso-position-horizontal-relative:page;mso-position-vertical-relative:page;position:absolute;z-index:251706368" o:allowincell="f" filled="t" fillcolor="#c30f1b" stroked="f"/>
      </w:pict>
    </w:r>
    <w:r>
      <w:pict>
        <v:rect id="_x0000_s2137" style="width:155.9pt;height:4.25pt;margin-top:0.6pt;margin-left:434.3pt;mso-position-horizontal-relative:page;mso-position-vertical-relative:page;position:absolute;z-index:25170534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71.55pt;height:21.8pt;margin-top:-2.81pt;margin-left:488.95pt;position:absolute;z-index:25170432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41" style="width:4.25pt;height:31.2pt;margin-top:0.55pt;margin-left:590.35pt;mso-position-horizontal-relative:page;mso-position-vertical-relative:page;position:absolute;z-index:251709440" o:allowincell="f" filled="t" fillcolor="#c30f1b" stroked="f"/>
      </w:pict>
    </w:r>
    <w:r>
      <w:pict>
        <v:rect id="_x0000_s2142" style="width:155.9pt;height:4.25pt;margin-top:0.6pt;margin-left:434.3pt;mso-position-horizontal-relative:page;mso-position-vertical-relative:page;position:absolute;z-index:25170841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71.55pt;height:21.8pt;margin-top:-2.81pt;margin-left:488.95pt;position:absolute;z-index:25170739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46" style="width:4.25pt;height:31.2pt;margin-top:0.55pt;margin-left:590.35pt;mso-position-horizontal-relative:page;mso-position-vertical-relative:page;position:absolute;z-index:251712512" o:allowincell="f" filled="t" fillcolor="#c30f1b" stroked="f"/>
      </w:pict>
    </w:r>
    <w:r>
      <w:pict>
        <v:rect id="_x0000_s2147" style="width:155.9pt;height:4.25pt;margin-top:0.6pt;margin-left:434.3pt;mso-position-horizontal-relative:page;mso-position-vertical-relative:page;position:absolute;z-index:25171148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71.55pt;height:21.8pt;margin-top:-2.81pt;margin-left:488.95pt;position:absolute;z-index:2517104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51" style="width:4.25pt;height:31.2pt;margin-top:0.55pt;margin-left:590.35pt;mso-position-horizontal-relative:page;mso-position-vertical-relative:page;position:absolute;z-index:251715584" o:allowincell="f" filled="t" fillcolor="#c30f1b" stroked="f"/>
      </w:pict>
    </w:r>
    <w:r>
      <w:pict>
        <v:rect id="_x0000_s2152" style="width:155.9pt;height:4.25pt;margin-top:0.6pt;margin-left:434.3pt;mso-position-horizontal-relative:page;mso-position-vertical-relative:page;position:absolute;z-index:25171456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71.55pt;height:21.8pt;margin-top:-2.81pt;margin-left:488.95pt;position:absolute;z-index:2517135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56" style="width:4.25pt;height:31.2pt;margin-top:0.55pt;margin-left:590.35pt;mso-position-horizontal-relative:page;mso-position-vertical-relative:page;position:absolute;z-index:251718656" o:allowincell="f" filled="t" fillcolor="#c30f1b" stroked="f"/>
      </w:pict>
    </w:r>
    <w:r>
      <w:pict>
        <v:rect id="_x0000_s2157" style="width:155.9pt;height:4.25pt;margin-top:0.6pt;margin-left:434.3pt;mso-position-horizontal-relative:page;mso-position-vertical-relative:page;position:absolute;z-index:25171763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71.55pt;height:21.8pt;margin-top:-2.81pt;margin-left:488.95pt;position:absolute;z-index:2517166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61" style="width:4.25pt;height:31.2pt;margin-top:0.55pt;margin-left:590.35pt;mso-position-horizontal-relative:page;mso-position-vertical-relative:page;position:absolute;z-index:251721728" o:allowincell="f" filled="t" fillcolor="#c30f1b" stroked="f"/>
      </w:pict>
    </w:r>
    <w:r>
      <w:pict>
        <v:rect id="_x0000_s2162" style="width:155.9pt;height:4.25pt;margin-top:0.6pt;margin-left:434.3pt;mso-position-horizontal-relative:page;mso-position-vertical-relative:page;position:absolute;z-index:25172070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71.55pt;height:21.8pt;margin-top:-2.81pt;margin-left:488.95pt;position:absolute;z-index:2517196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66" style="width:4.25pt;height:31.2pt;margin-top:0.55pt;margin-left:590.35pt;mso-position-horizontal-relative:page;mso-position-vertical-relative:page;position:absolute;z-index:251724800" o:allowincell="f" filled="t" fillcolor="#c30f1b" stroked="f"/>
      </w:pict>
    </w:r>
    <w:r>
      <w:pict>
        <v:rect id="_x0000_s2167" style="width:155.9pt;height:4.25pt;margin-top:0.6pt;margin-left:434.3pt;mso-position-horizontal-relative:page;mso-position-vertical-relative:page;position:absolute;z-index:25172377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71.55pt;height:21.8pt;margin-top:-2.81pt;margin-left:488.95pt;position:absolute;z-index:25172275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71" style="width:4.25pt;height:31.2pt;margin-top:0.55pt;margin-left:590.35pt;mso-position-horizontal-relative:page;mso-position-vertical-relative:page;position:absolute;z-index:251727872" o:allowincell="f" filled="t" fillcolor="#c30f1b" stroked="f"/>
      </w:pict>
    </w:r>
    <w:r>
      <w:pict>
        <v:rect id="_x0000_s2172" style="width:155.9pt;height:4.25pt;margin-top:0.6pt;margin-left:434.3pt;mso-position-horizontal-relative:page;mso-position-vertical-relative:page;position:absolute;z-index:25172684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71.55pt;height:21.8pt;margin-top:-2.81pt;margin-left:488.95pt;position:absolute;z-index:2517258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76" style="width:4.25pt;height:31.2pt;margin-top:0.55pt;margin-left:590.35pt;mso-position-horizontal-relative:page;mso-position-vertical-relative:page;position:absolute;z-index:251730944" o:allowincell="f" filled="t" fillcolor="#c30f1b" stroked="f"/>
      </w:pict>
    </w:r>
    <w:r>
      <w:pict>
        <v:rect id="_x0000_s2177" style="width:155.9pt;height:4.25pt;margin-top:0.6pt;margin-left:434.3pt;mso-position-horizontal-relative:page;mso-position-vertical-relative:page;position:absolute;z-index:25172992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71.55pt;height:21.8pt;margin-top:-2.81pt;margin-left:488.95pt;position:absolute;z-index:25172889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81" style="width:4.25pt;height:31.2pt;margin-top:0.55pt;margin-left:590.35pt;mso-position-horizontal-relative:page;mso-position-vertical-relative:page;position:absolute;z-index:251734016" o:allowincell="f" filled="t" fillcolor="#c30f1b" stroked="f"/>
      </w:pict>
    </w:r>
    <w:r>
      <w:pict>
        <v:rect id="_x0000_s2182" style="width:155.9pt;height:4.25pt;margin-top:0.6pt;margin-left:434.3pt;mso-position-horizontal-relative:page;mso-position-vertical-relative:page;position:absolute;z-index:25173299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71.55pt;height:21.8pt;margin-top:-2.81pt;margin-left:488.95pt;position:absolute;z-index:25173196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86" style="width:4.25pt;height:31.2pt;margin-top:0.55pt;margin-left:590.35pt;mso-position-horizontal-relative:page;mso-position-vertical-relative:page;position:absolute;z-index:251737088" o:allowincell="f" filled="t" fillcolor="#c30f1b" stroked="f"/>
      </w:pict>
    </w:r>
    <w:r>
      <w:pict>
        <v:rect id="_x0000_s2187" style="width:155.9pt;height:4.25pt;margin-top:0.6pt;margin-left:434.3pt;mso-position-horizontal-relative:page;mso-position-vertical-relative:page;position:absolute;z-index:25173606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71.55pt;height:21.8pt;margin-top:-2.81pt;margin-left:488.95pt;position:absolute;z-index:2517350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91" style="width:4.25pt;height:31.2pt;margin-top:0.55pt;margin-left:590.35pt;mso-position-horizontal-relative:page;mso-position-vertical-relative:page;position:absolute;z-index:251740160" o:allowincell="f" filled="t" fillcolor="#c30f1b" stroked="f"/>
      </w:pict>
    </w:r>
    <w:r>
      <w:pict>
        <v:rect id="_x0000_s2192" style="width:155.9pt;height:4.25pt;margin-top:0.6pt;margin-left:434.3pt;mso-position-horizontal-relative:page;mso-position-vertical-relative:page;position:absolute;z-index:25173913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71.55pt;height:21.8pt;margin-top:-2.81pt;margin-left:488.95pt;position:absolute;z-index:2517381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196" style="width:4.25pt;height:31.2pt;margin-top:0.55pt;margin-left:590.35pt;mso-position-horizontal-relative:page;mso-position-vertical-relative:page;position:absolute;z-index:251743232" o:allowincell="f" filled="t" fillcolor="#c30f1b" stroked="f"/>
      </w:pict>
    </w:r>
    <w:r>
      <w:pict>
        <v:rect id="_x0000_s2197" style="width:155.9pt;height:4.25pt;margin-top:0.6pt;margin-left:434.3pt;mso-position-horizontal-relative:page;mso-position-vertical-relative:page;position:absolute;z-index:25174220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71.55pt;height:21.8pt;margin-top:-2.81pt;margin-left:488.95pt;position:absolute;z-index:2517411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201" style="width:4.25pt;height:31.2pt;margin-top:0.55pt;margin-left:590.35pt;mso-position-horizontal-relative:page;mso-position-vertical-relative:page;position:absolute;z-index:251746304" o:allowincell="f" filled="t" fillcolor="#c30f1b" stroked="f"/>
      </w:pict>
    </w:r>
    <w:r>
      <w:pict>
        <v:rect id="_x0000_s2202" style="width:155.9pt;height:4.25pt;margin-top:0.6pt;margin-left:434.3pt;mso-position-horizontal-relative:page;mso-position-vertical-relative:page;position:absolute;z-index:251745280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71.55pt;height:21.8pt;margin-top:-2.81pt;margin-left:488.95pt;position:absolute;z-index:2517442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206" style="width:4.25pt;height:31.2pt;margin-top:0.55pt;margin-left:590.35pt;mso-position-horizontal-relative:page;mso-position-vertical-relative:page;position:absolute;z-index:251749376" o:allowincell="f" filled="t" fillcolor="#c30f1b" stroked="f"/>
      </w:pict>
    </w:r>
    <w:r>
      <w:pict>
        <v:rect id="_x0000_s2207" style="width:155.9pt;height:4.25pt;margin-top:0.6pt;margin-left:434.3pt;mso-position-horizontal-relative:page;mso-position-vertical-relative:page;position:absolute;z-index:251748352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71.55pt;height:21.8pt;margin-top:-2.81pt;margin-left:488.95pt;position:absolute;z-index:2517473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211" style="width:4.25pt;height:31.2pt;margin-top:0.55pt;margin-left:590.35pt;mso-position-horizontal-relative:page;mso-position-vertical-relative:page;position:absolute;z-index:251752448" o:allowincell="f" filled="t" fillcolor="#c30f1b" stroked="f"/>
      </w:pict>
    </w:r>
    <w:r>
      <w:pict>
        <v:rect id="_x0000_s2212" style="width:155.9pt;height:4.25pt;margin-top:0.6pt;margin-left:434.3pt;mso-position-horizontal-relative:page;mso-position-vertical-relative:page;position:absolute;z-index:251751424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71.55pt;height:21.8pt;margin-top:-2.81pt;margin-left:488.95pt;position:absolute;z-index:2517504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216" style="width:4.25pt;height:31.2pt;margin-top:0.55pt;margin-left:590.35pt;mso-position-horizontal-relative:page;mso-position-vertical-relative:page;position:absolute;z-index:251755520" o:allowincell="f" filled="t" fillcolor="#c30f1b" stroked="f"/>
      </w:pict>
    </w:r>
    <w:r>
      <w:pict>
        <v:rect id="_x0000_s2217" style="width:155.9pt;height:4.25pt;margin-top:0.6pt;margin-left:434.3pt;mso-position-horizontal-relative:page;mso-position-vertical-relative:page;position:absolute;z-index:251754496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71.55pt;height:21.8pt;margin-top:-2.81pt;margin-left:488.95pt;position:absolute;z-index:25175347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3" w:lineRule="auto"/>
      <w:rPr>
        <w:rFonts w:ascii="Arial"/>
        <w:sz w:val="21"/>
      </w:rPr>
    </w:pPr>
    <w:r>
      <w:pict>
        <v:rect id="_x0000_s2221" style="width:4.25pt;height:31.2pt;margin-top:0.55pt;margin-left:590.35pt;mso-position-horizontal-relative:page;mso-position-vertical-relative:page;position:absolute;z-index:251758592" o:allowincell="f" filled="t" fillcolor="#c30f1b" stroked="f"/>
      </w:pict>
    </w:r>
    <w:r>
      <w:pict>
        <v:rect id="_x0000_s2222" style="width:155.9pt;height:4.25pt;margin-top:0.6pt;margin-left:434.3pt;mso-position-horizontal-relative:page;mso-position-vertical-relative:page;position:absolute;z-index:251757568" o:allowincell="f" filled="t" fillcolor="#c30f1b" stroked="f"/>
      </w:pict>
    </w:r>
  </w:p>
  <w:p>
    <w:pPr>
      <w:spacing w:line="284" w:lineRule="auto"/>
      <w:rPr>
        <w:rFonts w:ascii="Arial"/>
        <w:sz w:val="21"/>
      </w:rPr>
    </w:pPr>
  </w:p>
  <w:p>
    <w:pPr>
      <w:spacing w:line="284" w:lineRule="auto"/>
      <w:rPr>
        <w:rFonts w:ascii="Arial"/>
        <w:sz w:val="21"/>
      </w:rPr>
    </w:pPr>
  </w:p>
  <w:p>
    <w:pPr>
      <w:pStyle w:val="BodyText"/>
      <w:spacing w:before="78" w:line="190" w:lineRule="auto"/>
      <w:ind w:left="682"/>
      <w:rPr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71.55pt;height:21.8pt;margin-top:-2.81pt;margin-left:488.95pt;position:absolute;z-index:25175654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8" w:lineRule="auto"/>
                  <w:ind w:left="20" w:right="20" w:firstLine="763"/>
                  <w:rPr>
                    <w:sz w:val="16"/>
                    <w:szCs w:val="16"/>
                  </w:rPr>
                </w:pPr>
                <w:r>
                  <w:rPr>
                    <w:color w:val="7F7F7F"/>
                    <w:spacing w:val="-4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西部证券</w:t>
                </w:r>
                <w:r>
                  <w:rPr>
                    <w:color w:val="7F7F7F"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2024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年</w:t>
                </w:r>
                <w:r>
                  <w:rPr>
                    <w:color w:val="7F7F7F"/>
                    <w:spacing w:val="-18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02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月</w:t>
                </w:r>
                <w:r>
                  <w:rPr>
                    <w:color w:val="7F7F7F"/>
                    <w:spacing w:val="-3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7F7F7F"/>
                    <w:spacing w:val="-6"/>
                    <w:sz w:val="16"/>
                    <w:szCs w:val="16"/>
                  </w:rPr>
                  <w:t xml:space="preserve">25  </w:t>
                </w:r>
                <w:r>
                  <w:rPr>
                    <w:color w:val="7F7F7F"/>
                    <w:spacing w:val="-6"/>
                    <w:sz w:val="16"/>
                    <w:szCs w:val="16"/>
                    <w14:textOutline w14:w="2917">
                      <w14:solidFill>
                        <w14:srgbClr w14:val="7F7F7F"/>
                      </w14:solidFill>
                      <w14:prstDash w14:val="solid"/>
                      <w14:miter w14:lim="10"/>
                    </w14:textOutline>
                  </w:rPr>
                  <w:t>日</w:t>
                </w:r>
              </w:p>
            </w:txbxContent>
          </v:textbox>
        </v:shape>
      </w:pict>
    </w:r>
    <w:r>
      <w:rPr>
        <w:color w:val="7F7F7F"/>
        <w:spacing w:val="-7"/>
        <w:sz w:val="24"/>
        <w:szCs w:val="24"/>
      </w:rPr>
      <w:t>行业周报</w:t>
    </w:r>
    <w:r>
      <w:rPr>
        <w:color w:val="7F7F7F"/>
        <w:spacing w:val="24"/>
        <w:sz w:val="24"/>
        <w:szCs w:val="24"/>
      </w:rPr>
      <w:t xml:space="preserve"> </w:t>
    </w:r>
    <w:r>
      <w:rPr>
        <w:rFonts w:ascii="Arial" w:eastAsia="Arial" w:hAnsi="Arial" w:cs="Arial"/>
        <w:color w:val="7F7F7F"/>
        <w:spacing w:val="-7"/>
        <w:sz w:val="24"/>
        <w:szCs w:val="24"/>
      </w:rPr>
      <w:t>|</w:t>
    </w:r>
    <w:r>
      <w:rPr>
        <w:rFonts w:ascii="Arial" w:eastAsia="Arial" w:hAnsi="Arial" w:cs="Arial"/>
        <w:color w:val="7F7F7F"/>
        <w:spacing w:val="9"/>
        <w:sz w:val="24"/>
        <w:szCs w:val="24"/>
      </w:rPr>
      <w:t xml:space="preserve">  </w:t>
    </w:r>
    <w:r>
      <w:rPr>
        <w:color w:val="7F7F7F"/>
        <w:spacing w:val="-7"/>
        <w:sz w:val="24"/>
        <w:szCs w:val="24"/>
      </w:rPr>
      <w:t>电力设备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00" Type="http://schemas.openxmlformats.org/officeDocument/2006/relationships/header" Target="header21.xml" /><Relationship Id="rId101" Type="http://schemas.openxmlformats.org/officeDocument/2006/relationships/footer" Target="footer26.xml" /><Relationship Id="rId102" Type="http://schemas.openxmlformats.org/officeDocument/2006/relationships/header" Target="header22.xml" /><Relationship Id="rId103" Type="http://schemas.openxmlformats.org/officeDocument/2006/relationships/footer" Target="footer27.xml" /><Relationship Id="rId104" Type="http://schemas.openxmlformats.org/officeDocument/2006/relationships/header" Target="header23.xml" /><Relationship Id="rId105" Type="http://schemas.openxmlformats.org/officeDocument/2006/relationships/footer" Target="footer28.xml" /><Relationship Id="rId106" Type="http://schemas.openxmlformats.org/officeDocument/2006/relationships/header" Target="header24.xml" /><Relationship Id="rId107" Type="http://schemas.openxmlformats.org/officeDocument/2006/relationships/footer" Target="footer29.xml" /><Relationship Id="rId108" Type="http://schemas.openxmlformats.org/officeDocument/2006/relationships/header" Target="header25.xml" /><Relationship Id="rId109" Type="http://schemas.openxmlformats.org/officeDocument/2006/relationships/footer" Target="footer30.xml" /><Relationship Id="rId11" Type="http://schemas.openxmlformats.org/officeDocument/2006/relationships/image" Target="media/image4.jpeg" /><Relationship Id="rId110" Type="http://schemas.openxmlformats.org/officeDocument/2006/relationships/header" Target="header26.xml" /><Relationship Id="rId111" Type="http://schemas.openxmlformats.org/officeDocument/2006/relationships/footer" Target="footer31.xml" /><Relationship Id="rId112" Type="http://schemas.openxmlformats.org/officeDocument/2006/relationships/header" Target="header27.xml" /><Relationship Id="rId113" Type="http://schemas.openxmlformats.org/officeDocument/2006/relationships/footer" Target="footer32.xml" /><Relationship Id="rId114" Type="http://schemas.openxmlformats.org/officeDocument/2006/relationships/image" Target="media/image52.jpeg" /><Relationship Id="rId115" Type="http://schemas.openxmlformats.org/officeDocument/2006/relationships/image" Target="media/image53.jpeg" /><Relationship Id="rId116" Type="http://schemas.openxmlformats.org/officeDocument/2006/relationships/image" Target="media/image54.jpeg" /><Relationship Id="rId117" Type="http://schemas.openxmlformats.org/officeDocument/2006/relationships/image" Target="media/image55.png" /><Relationship Id="rId118" Type="http://schemas.openxmlformats.org/officeDocument/2006/relationships/image" Target="media/image56.png" /><Relationship Id="rId119" Type="http://schemas.openxmlformats.org/officeDocument/2006/relationships/header" Target="header28.xml" /><Relationship Id="rId12" Type="http://schemas.openxmlformats.org/officeDocument/2006/relationships/image" Target="media/image5.jpeg" /><Relationship Id="rId120" Type="http://schemas.openxmlformats.org/officeDocument/2006/relationships/footer" Target="footer33.xml" /><Relationship Id="rId121" Type="http://schemas.openxmlformats.org/officeDocument/2006/relationships/header" Target="header29.xml" /><Relationship Id="rId122" Type="http://schemas.openxmlformats.org/officeDocument/2006/relationships/footer" Target="footer34.xml" /><Relationship Id="rId123" Type="http://schemas.openxmlformats.org/officeDocument/2006/relationships/header" Target="header30.xml" /><Relationship Id="rId124" Type="http://schemas.openxmlformats.org/officeDocument/2006/relationships/footer" Target="footer35.xml" /><Relationship Id="rId125" Type="http://schemas.openxmlformats.org/officeDocument/2006/relationships/header" Target="header31.xml" /><Relationship Id="rId126" Type="http://schemas.openxmlformats.org/officeDocument/2006/relationships/footer" Target="footer36.xml" /><Relationship Id="rId127" Type="http://schemas.openxmlformats.org/officeDocument/2006/relationships/image" Target="media/image57.png" /><Relationship Id="rId128" Type="http://schemas.openxmlformats.org/officeDocument/2006/relationships/image" Target="media/image58.png" /><Relationship Id="rId129" Type="http://schemas.openxmlformats.org/officeDocument/2006/relationships/image" Target="media/image59.png" /><Relationship Id="rId13" Type="http://schemas.openxmlformats.org/officeDocument/2006/relationships/footer" Target="footer5.xml" /><Relationship Id="rId130" Type="http://schemas.openxmlformats.org/officeDocument/2006/relationships/header" Target="header32.xml" /><Relationship Id="rId131" Type="http://schemas.openxmlformats.org/officeDocument/2006/relationships/footer" Target="footer37.xml" /><Relationship Id="rId132" Type="http://schemas.openxmlformats.org/officeDocument/2006/relationships/image" Target="media/image60.png" /><Relationship Id="rId133" Type="http://schemas.openxmlformats.org/officeDocument/2006/relationships/image" Target="media/image61.png" /><Relationship Id="rId134" Type="http://schemas.openxmlformats.org/officeDocument/2006/relationships/image" Target="media/image62.png" /><Relationship Id="rId135" Type="http://schemas.openxmlformats.org/officeDocument/2006/relationships/image" Target="media/image63.png" /><Relationship Id="rId136" Type="http://schemas.openxmlformats.org/officeDocument/2006/relationships/image" Target="media/image64.png" /><Relationship Id="rId137" Type="http://schemas.openxmlformats.org/officeDocument/2006/relationships/hyperlink" Target="https://d.book118.com/088027005106006041" TargetMode="External" /><Relationship Id="rId138" Type="http://schemas.openxmlformats.org/officeDocument/2006/relationships/header" Target="header33.xml" /><Relationship Id="rId139" Type="http://schemas.openxmlformats.org/officeDocument/2006/relationships/footer" Target="footer38.xml" /><Relationship Id="rId14" Type="http://schemas.openxmlformats.org/officeDocument/2006/relationships/header" Target="header1.xml" /><Relationship Id="rId140" Type="http://schemas.openxmlformats.org/officeDocument/2006/relationships/theme" Target="theme/theme1.xml" /><Relationship Id="rId141" Type="http://schemas.openxmlformats.org/officeDocument/2006/relationships/styles" Target="styles.xml" /><Relationship Id="rId15" Type="http://schemas.openxmlformats.org/officeDocument/2006/relationships/footer" Target="footer6.xml" /><Relationship Id="rId16" Type="http://schemas.openxmlformats.org/officeDocument/2006/relationships/header" Target="header2.xml" /><Relationship Id="rId17" Type="http://schemas.openxmlformats.org/officeDocument/2006/relationships/footer" Target="footer7.xml" /><Relationship Id="rId18" Type="http://schemas.openxmlformats.org/officeDocument/2006/relationships/header" Target="header3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9.xml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header" Target="header5.xml" /><Relationship Id="rId26" Type="http://schemas.openxmlformats.org/officeDocument/2006/relationships/footer" Target="footer10.xml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image" Target="media/image16.png" /><Relationship Id="rId34" Type="http://schemas.openxmlformats.org/officeDocument/2006/relationships/image" Target="media/image17.png" /><Relationship Id="rId35" Type="http://schemas.openxmlformats.org/officeDocument/2006/relationships/image" Target="media/image18.png" /><Relationship Id="rId36" Type="http://schemas.openxmlformats.org/officeDocument/2006/relationships/image" Target="media/image19.png" /><Relationship Id="rId37" Type="http://schemas.openxmlformats.org/officeDocument/2006/relationships/image" Target="media/image20.png" /><Relationship Id="rId38" Type="http://schemas.openxmlformats.org/officeDocument/2006/relationships/image" Target="media/image21.png" /><Relationship Id="rId39" Type="http://schemas.openxmlformats.org/officeDocument/2006/relationships/image" Target="media/image22.png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header" Target="header6.xml" /><Relationship Id="rId43" Type="http://schemas.openxmlformats.org/officeDocument/2006/relationships/footer" Target="footer11.xml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header" Target="header7.xml" /><Relationship Id="rId47" Type="http://schemas.openxmlformats.org/officeDocument/2006/relationships/footer" Target="footer12.xml" /><Relationship Id="rId48" Type="http://schemas.openxmlformats.org/officeDocument/2006/relationships/header" Target="header8.xml" /><Relationship Id="rId49" Type="http://schemas.openxmlformats.org/officeDocument/2006/relationships/footer" Target="footer13.xml" /><Relationship Id="rId5" Type="http://schemas.openxmlformats.org/officeDocument/2006/relationships/image" Target="media/image2.png" /><Relationship Id="rId50" Type="http://schemas.openxmlformats.org/officeDocument/2006/relationships/header" Target="header9.xml" /><Relationship Id="rId51" Type="http://schemas.openxmlformats.org/officeDocument/2006/relationships/footer" Target="footer14.xml" /><Relationship Id="rId52" Type="http://schemas.openxmlformats.org/officeDocument/2006/relationships/image" Target="media/image27.png" /><Relationship Id="rId53" Type="http://schemas.openxmlformats.org/officeDocument/2006/relationships/image" Target="media/image28.jpeg" /><Relationship Id="rId54" Type="http://schemas.openxmlformats.org/officeDocument/2006/relationships/image" Target="media/image29.jpeg" /><Relationship Id="rId55" Type="http://schemas.openxmlformats.org/officeDocument/2006/relationships/image" Target="media/image30.jpeg" /><Relationship Id="rId56" Type="http://schemas.openxmlformats.org/officeDocument/2006/relationships/image" Target="media/image31.jpeg" /><Relationship Id="rId57" Type="http://schemas.openxmlformats.org/officeDocument/2006/relationships/image" Target="media/image32.jpeg" /><Relationship Id="rId58" Type="http://schemas.openxmlformats.org/officeDocument/2006/relationships/image" Target="media/image33.jpeg" /><Relationship Id="rId59" Type="http://schemas.openxmlformats.org/officeDocument/2006/relationships/image" Target="media/image34.png" /><Relationship Id="rId6" Type="http://schemas.openxmlformats.org/officeDocument/2006/relationships/footer" Target="footer1.xml" /><Relationship Id="rId60" Type="http://schemas.openxmlformats.org/officeDocument/2006/relationships/image" Target="media/image35.jpeg" /><Relationship Id="rId61" Type="http://schemas.openxmlformats.org/officeDocument/2006/relationships/image" Target="media/image36.jpeg" /><Relationship Id="rId62" Type="http://schemas.openxmlformats.org/officeDocument/2006/relationships/image" Target="media/image37.png" /><Relationship Id="rId63" Type="http://schemas.openxmlformats.org/officeDocument/2006/relationships/image" Target="media/image38.png" /><Relationship Id="rId64" Type="http://schemas.openxmlformats.org/officeDocument/2006/relationships/image" Target="media/image39.png" /><Relationship Id="rId65" Type="http://schemas.openxmlformats.org/officeDocument/2006/relationships/image" Target="media/image40.png" /><Relationship Id="rId66" Type="http://schemas.openxmlformats.org/officeDocument/2006/relationships/header" Target="header10.xml" /><Relationship Id="rId67" Type="http://schemas.openxmlformats.org/officeDocument/2006/relationships/footer" Target="footer15.xml" /><Relationship Id="rId68" Type="http://schemas.openxmlformats.org/officeDocument/2006/relationships/header" Target="header11.xml" /><Relationship Id="rId69" Type="http://schemas.openxmlformats.org/officeDocument/2006/relationships/footer" Target="footer16.xml" /><Relationship Id="rId7" Type="http://schemas.openxmlformats.org/officeDocument/2006/relationships/footer" Target="footer2.xml" /><Relationship Id="rId70" Type="http://schemas.openxmlformats.org/officeDocument/2006/relationships/header" Target="header12.xml" /><Relationship Id="rId71" Type="http://schemas.openxmlformats.org/officeDocument/2006/relationships/footer" Target="footer17.xml" /><Relationship Id="rId72" Type="http://schemas.openxmlformats.org/officeDocument/2006/relationships/image" Target="media/image6.png" /><Relationship Id="rId73" Type="http://schemas.openxmlformats.org/officeDocument/2006/relationships/header" Target="header13.xml" /><Relationship Id="rId74" Type="http://schemas.openxmlformats.org/officeDocument/2006/relationships/footer" Target="footer18.xml" /><Relationship Id="rId75" Type="http://schemas.openxmlformats.org/officeDocument/2006/relationships/header" Target="header14.xml" /><Relationship Id="rId76" Type="http://schemas.openxmlformats.org/officeDocument/2006/relationships/footer" Target="footer19.xml" /><Relationship Id="rId77" Type="http://schemas.openxmlformats.org/officeDocument/2006/relationships/image" Target="media/image41.jpeg" /><Relationship Id="rId78" Type="http://schemas.openxmlformats.org/officeDocument/2006/relationships/header" Target="header15.xml" /><Relationship Id="rId79" Type="http://schemas.openxmlformats.org/officeDocument/2006/relationships/footer" Target="footer20.xml" /><Relationship Id="rId8" Type="http://schemas.openxmlformats.org/officeDocument/2006/relationships/footer" Target="footer3.xml" /><Relationship Id="rId80" Type="http://schemas.openxmlformats.org/officeDocument/2006/relationships/image" Target="media/image42.png" /><Relationship Id="rId81" Type="http://schemas.openxmlformats.org/officeDocument/2006/relationships/image" Target="media/image43.png" /><Relationship Id="rId82" Type="http://schemas.openxmlformats.org/officeDocument/2006/relationships/header" Target="header16.xml" /><Relationship Id="rId83" Type="http://schemas.openxmlformats.org/officeDocument/2006/relationships/footer" Target="footer21.xml" /><Relationship Id="rId84" Type="http://schemas.openxmlformats.org/officeDocument/2006/relationships/image" Target="media/image44.png" /><Relationship Id="rId85" Type="http://schemas.openxmlformats.org/officeDocument/2006/relationships/image" Target="media/image45.png" /><Relationship Id="rId86" Type="http://schemas.openxmlformats.org/officeDocument/2006/relationships/image" Target="media/image46.png" /><Relationship Id="rId87" Type="http://schemas.openxmlformats.org/officeDocument/2006/relationships/header" Target="header17.xml" /><Relationship Id="rId88" Type="http://schemas.openxmlformats.org/officeDocument/2006/relationships/footer" Target="footer22.xml" /><Relationship Id="rId89" Type="http://schemas.openxmlformats.org/officeDocument/2006/relationships/image" Target="media/image47.png" /><Relationship Id="rId9" Type="http://schemas.openxmlformats.org/officeDocument/2006/relationships/footer" Target="footer4.xml" /><Relationship Id="rId90" Type="http://schemas.openxmlformats.org/officeDocument/2006/relationships/header" Target="header18.xml" /><Relationship Id="rId91" Type="http://schemas.openxmlformats.org/officeDocument/2006/relationships/footer" Target="footer23.xml" /><Relationship Id="rId92" Type="http://schemas.openxmlformats.org/officeDocument/2006/relationships/header" Target="header19.xml" /><Relationship Id="rId93" Type="http://schemas.openxmlformats.org/officeDocument/2006/relationships/footer" Target="footer24.xml" /><Relationship Id="rId94" Type="http://schemas.openxmlformats.org/officeDocument/2006/relationships/image" Target="media/image48.png" /><Relationship Id="rId95" Type="http://schemas.openxmlformats.org/officeDocument/2006/relationships/image" Target="media/image49.png" /><Relationship Id="rId96" Type="http://schemas.openxmlformats.org/officeDocument/2006/relationships/image" Target="media/image50.png" /><Relationship Id="rId97" Type="http://schemas.openxmlformats.org/officeDocument/2006/relationships/image" Target="media/image51.png" /><Relationship Id="rId98" Type="http://schemas.openxmlformats.org/officeDocument/2006/relationships/header" Target="header20.xml" /><Relationship Id="rId99" Type="http://schemas.openxmlformats.org/officeDocument/2006/relationships/footer" Target="footer25.xm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2024-03-01T21:23:18Z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2024-03-01T22:25:30Z</vt:filetime>
  </property>
  <property fmtid="{D5CDD505-2E9C-101B-9397-08002B2CF9AE}" pid="3" name="CRO">
    <vt:lpwstr>wqlLaW5nc29mdCBQREYgdG8gV1BTIDkw</vt:lpwstr>
  </property>
</Properties>
</file>