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53" w:line="222" w:lineRule="auto"/>
        <w:ind w:left="30"/>
        <w:outlineLvl w:val="0"/>
      </w:pPr>
      <w:r>
        <w:rPr>
          <w:rFonts w:ascii="Times New Roman" w:eastAsia="Times New Roman" w:hAnsi="Times New Roman" w:cs="Times New Roman"/>
          <w:b/>
          <w:bCs/>
          <w:spacing w:val="-8"/>
        </w:rPr>
        <w:t>1.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 </w:t>
      </w:r>
      <w:r>
        <w:rPr>
          <w:b/>
          <w:bCs/>
          <w:spacing w:val="-8"/>
        </w:rPr>
        <w:t>任务来源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7" w:firstLine="572"/>
        <w:jc w:val="both"/>
      </w:pPr>
      <w:r>
        <w:t>本任务来源于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t>年生态环境部环境规划院牵头的科技部</w:t>
      </w:r>
      <w:r>
        <w:rPr>
          <w:spacing w:val="-1"/>
        </w:rPr>
        <w:t>国家</w:t>
      </w:r>
      <w:r>
        <w:t xml:space="preserve"> </w:t>
      </w:r>
      <w:r>
        <w:rPr>
          <w:spacing w:val="18"/>
        </w:rPr>
        <w:t>重点研发项目</w:t>
      </w:r>
      <w:r>
        <w:rPr>
          <w:rFonts w:ascii="Times New Roman" w:eastAsia="Times New Roman" w:hAnsi="Times New Roman" w:cs="Times New Roman"/>
          <w:spacing w:val="18"/>
        </w:rPr>
        <w:t>“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8"/>
        </w:rPr>
        <w:t>污染场地风险管控机制与经济</w:t>
      </w:r>
      <w:r>
        <w:rPr>
          <w:spacing w:val="17"/>
        </w:rPr>
        <w:t>政策技术体系研究</w:t>
      </w:r>
      <w:r>
        <w:rPr>
          <w:rFonts w:ascii="Times New Roman" w:eastAsia="Times New Roman" w:hAnsi="Times New Roman" w:cs="Times New Roman"/>
          <w:spacing w:val="17"/>
        </w:rPr>
        <w:t>”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1"/>
        </w:rPr>
        <w:t>（</w:t>
      </w:r>
      <w:r>
        <w:rPr>
          <w:rFonts w:ascii="Times New Roman" w:eastAsia="Times New Roman" w:hAnsi="Times New Roman" w:cs="Times New Roman"/>
          <w:spacing w:val="1"/>
        </w:rPr>
        <w:t>2020</w:t>
      </w:r>
      <w:r>
        <w:rPr>
          <w:rFonts w:ascii="Times New Roman" w:eastAsia="Times New Roman" w:hAnsi="Times New Roman" w:cs="Times New Roman"/>
        </w:rPr>
        <w:t>YFC</w:t>
      </w:r>
      <w:r>
        <w:rPr>
          <w:rFonts w:ascii="Times New Roman" w:eastAsia="Times New Roman" w:hAnsi="Times New Roman" w:cs="Times New Roman"/>
          <w:spacing w:val="1"/>
        </w:rPr>
        <w:t>1807500</w:t>
      </w:r>
      <w:r>
        <w:rPr>
          <w:spacing w:val="17"/>
        </w:rPr>
        <w:t>），</w:t>
      </w:r>
      <w:r>
        <w:rPr>
          <w:spacing w:val="1"/>
        </w:rPr>
        <w:t>主编单位生态环境部环境规划</w:t>
      </w:r>
      <w:r>
        <w:t>院作为课题承</w:t>
      </w:r>
      <w:r>
        <w:t xml:space="preserve"> </w:t>
      </w:r>
      <w:r>
        <w:rPr>
          <w:spacing w:val="-1"/>
        </w:rPr>
        <w:t>担单位负责“污染场地管控区划与规划技术工具研究”（课</w:t>
      </w:r>
      <w:r>
        <w:rPr>
          <w:spacing w:val="-2"/>
        </w:rPr>
        <w:t>题编号：</w:t>
      </w:r>
      <w:r>
        <w:t xml:space="preserve"> </w:t>
      </w:r>
      <w:r>
        <w:rPr>
          <w:rFonts w:ascii="Times New Roman" w:eastAsia="Times New Roman" w:hAnsi="Times New Roman" w:cs="Times New Roman"/>
          <w:spacing w:val="2"/>
        </w:rPr>
        <w:t>2020</w:t>
      </w:r>
      <w:r>
        <w:rPr>
          <w:rFonts w:ascii="Times New Roman" w:eastAsia="Times New Roman" w:hAnsi="Times New Roman" w:cs="Times New Roman"/>
        </w:rPr>
        <w:t>YFC</w:t>
      </w:r>
      <w:r>
        <w:rPr>
          <w:rFonts w:ascii="Times New Roman" w:eastAsia="Times New Roman" w:hAnsi="Times New Roman" w:cs="Times New Roman"/>
          <w:spacing w:val="2"/>
        </w:rPr>
        <w:t>1807504</w:t>
      </w:r>
      <w:r>
        <w:rPr>
          <w:spacing w:val="2"/>
        </w:rPr>
        <w:t>）研究工作。该任务针对当前不同</w:t>
      </w:r>
      <w:r>
        <w:rPr>
          <w:spacing w:val="1"/>
        </w:rPr>
        <w:t>尺度场地可持续</w:t>
      </w:r>
      <w:r>
        <w:t xml:space="preserve"> </w:t>
      </w:r>
      <w:r>
        <w:rPr>
          <w:spacing w:val="-3"/>
        </w:rPr>
        <w:t>风险管控缺少多元、量化、可持续风险区划和专项规划</w:t>
      </w:r>
      <w:r>
        <w:rPr>
          <w:spacing w:val="-4"/>
        </w:rPr>
        <w:t>技术，缺少全</w:t>
      </w:r>
      <w:r>
        <w:t xml:space="preserve"> </w:t>
      </w:r>
      <w:r>
        <w:rPr>
          <w:spacing w:val="-3"/>
        </w:rPr>
        <w:t>过程、可持续、多元交互风险管控决策工具的问题，开</w:t>
      </w:r>
      <w:r>
        <w:rPr>
          <w:spacing w:val="-4"/>
        </w:rPr>
        <w:t>展可持续风险</w:t>
      </w:r>
      <w:r>
        <w:t xml:space="preserve"> </w:t>
      </w:r>
      <w:r>
        <w:rPr>
          <w:spacing w:val="-3"/>
        </w:rPr>
        <w:t>管控区划技术方法、专项规划技术模式和交互决策工具</w:t>
      </w:r>
      <w:r>
        <w:rPr>
          <w:spacing w:val="-4"/>
        </w:rPr>
        <w:t>研究，为国家</w:t>
      </w:r>
      <w:r>
        <w:t xml:space="preserve"> </w:t>
      </w:r>
      <w:r>
        <w:rPr>
          <w:spacing w:val="-3"/>
        </w:rPr>
        <w:t>污染场地可持续风险管控提供科技支撑服务。为了进一</w:t>
      </w:r>
      <w:r>
        <w:rPr>
          <w:spacing w:val="-4"/>
        </w:rPr>
        <w:t>步将项目研究</w:t>
      </w:r>
      <w:r>
        <w:t xml:space="preserve"> </w:t>
      </w:r>
      <w:r>
        <w:rPr>
          <w:spacing w:val="-3"/>
        </w:rPr>
        <w:t>成果和经验进行转化、推广，结合项目任务和当前污染场地</w:t>
      </w:r>
      <w:r>
        <w:rPr>
          <w:spacing w:val="-4"/>
        </w:rPr>
        <w:t>风险管控</w:t>
      </w:r>
    </w:p>
    <w:p>
      <w:pPr>
        <w:pStyle w:val="BodyText"/>
        <w:spacing w:line="222" w:lineRule="auto"/>
        <w:ind w:left="34"/>
      </w:pPr>
      <w:r>
        <w:rPr>
          <w:spacing w:val="-1"/>
        </w:rPr>
        <w:t>可持续长效发展的需求，提出编制本技术指</w:t>
      </w:r>
      <w:r>
        <w:rPr>
          <w:spacing w:val="-2"/>
        </w:rPr>
        <w:t>南。</w:t>
      </w:r>
    </w:p>
    <w:p>
      <w:pPr>
        <w:pStyle w:val="BodyText"/>
        <w:spacing w:before="289" w:line="411" w:lineRule="auto"/>
        <w:ind w:left="32" w:right="59" w:firstLine="558"/>
        <w:jc w:val="both"/>
      </w:pPr>
      <w:r>
        <w:rPr>
          <w:spacing w:val="2"/>
        </w:rPr>
        <w:t>根据中华环保联合会</w:t>
      </w:r>
      <w:r>
        <w:rPr>
          <w:spacing w:val="2"/>
          <w:shd w:val="clear" w:color="auto" w:fill="FFFF00"/>
        </w:rPr>
        <w:t>《关于征集“</w:t>
      </w:r>
      <w:r>
        <w:rPr>
          <w:rFonts w:ascii="Times New Roman" w:eastAsia="Times New Roman" w:hAnsi="Times New Roman" w:cs="Times New Roman"/>
          <w:spacing w:val="2"/>
          <w:shd w:val="clear" w:color="auto" w:fill="FFFF00"/>
        </w:rPr>
        <w:t>2023</w:t>
      </w:r>
      <w:r>
        <w:rPr>
          <w:rFonts w:ascii="Times New Roman" w:eastAsia="Times New Roman" w:hAnsi="Times New Roman" w:cs="Times New Roman"/>
          <w:spacing w:val="43"/>
          <w:shd w:val="clear" w:color="auto" w:fill="FFFF00"/>
        </w:rPr>
        <w:t xml:space="preserve"> </w:t>
      </w:r>
      <w:r>
        <w:rPr>
          <w:spacing w:val="2"/>
          <w:shd w:val="clear" w:color="auto" w:fill="FFFF00"/>
        </w:rPr>
        <w:t>年度土壤（地下水）治</w:t>
      </w:r>
      <w:r>
        <w:t xml:space="preserve"> </w:t>
      </w:r>
      <w:r>
        <w:rPr>
          <w:spacing w:val="-3"/>
          <w:shd w:val="clear" w:color="auto" w:fill="FFFF00"/>
        </w:rPr>
        <w:t>理修复团体标准</w:t>
      </w:r>
      <w:r>
        <w:rPr>
          <w:spacing w:val="-106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”的通知》（中环联字〔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2023</w:t>
      </w:r>
      <w:r>
        <w:rPr>
          <w:spacing w:val="-3"/>
          <w:shd w:val="clear" w:color="auto" w:fill="FFFF00"/>
        </w:rPr>
        <w:t>〕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150</w:t>
      </w:r>
      <w:r>
        <w:rPr>
          <w:rFonts w:ascii="Times New Roman" w:eastAsia="Times New Roman" w:hAnsi="Times New Roman" w:cs="Times New Roman"/>
          <w:spacing w:val="24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号）的</w:t>
      </w:r>
      <w:r>
        <w:rPr>
          <w:spacing w:val="-3"/>
        </w:rPr>
        <w:t>要求，由</w:t>
      </w:r>
      <w:r>
        <w:t xml:space="preserve"> </w:t>
      </w:r>
      <w:r>
        <w:rPr>
          <w:spacing w:val="-4"/>
        </w:rPr>
        <w:t>生态环境部环境规划院作为项目承担单位，中国科学院生态环境研究</w:t>
      </w:r>
      <w:r>
        <w:rPr>
          <w:spacing w:val="11"/>
        </w:rPr>
        <w:t xml:space="preserve"> </w:t>
      </w:r>
      <w:r>
        <w:rPr>
          <w:spacing w:val="-4"/>
        </w:rPr>
        <w:t>中心和北京师范大学作为项目协作单位，联合承担《污染场地可持续</w:t>
      </w:r>
    </w:p>
    <w:p>
      <w:pPr>
        <w:pStyle w:val="BodyText"/>
        <w:spacing w:before="1" w:line="220" w:lineRule="auto"/>
        <w:ind w:left="32"/>
      </w:pPr>
      <w:r>
        <w:rPr>
          <w:spacing w:val="-1"/>
        </w:rPr>
        <w:t>风险管控区划技术指南》标准项目的编制工</w:t>
      </w:r>
      <w:r>
        <w:rPr>
          <w:spacing w:val="-2"/>
        </w:rPr>
        <w:t>作。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18"/>
        <w:outlineLvl w:val="0"/>
      </w:pPr>
      <w:r>
        <w:rPr>
          <w:rFonts w:ascii="Times New Roman" w:eastAsia="Times New Roman" w:hAnsi="Times New Roman" w:cs="Times New Roman"/>
          <w:b/>
          <w:bCs/>
          <w:spacing w:val="-2"/>
        </w:rPr>
        <w:t xml:space="preserve">2.   </w:t>
      </w:r>
      <w:r>
        <w:rPr>
          <w:b/>
          <w:bCs/>
          <w:spacing w:val="-2"/>
        </w:rPr>
        <w:t>标准制定必要性</w:t>
      </w:r>
    </w:p>
    <w:p>
      <w:pPr>
        <w:spacing w:line="29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35" w:bottom="1377" w:left="1785" w:header="0" w:footer="1212" w:gutter="0"/>
          <w:cols w:space="708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60"/>
        <w:jc w:val="right"/>
      </w:pPr>
      <w:r>
        <w:rPr>
          <w:spacing w:val="-4"/>
          <w:position w:val="26"/>
        </w:rPr>
        <w:t>土壤既是环境要素也是最基本的生产要素，天然具备生态价值承</w:t>
      </w:r>
    </w:p>
    <w:p>
      <w:pPr>
        <w:pStyle w:val="BodyText"/>
        <w:spacing w:line="220" w:lineRule="auto"/>
        <w:ind w:left="30"/>
      </w:pPr>
      <w:r>
        <w:rPr>
          <w:spacing w:val="-4"/>
        </w:rPr>
        <w:t>载职能，作为各类污染物的最终受体，土壤环境在表达区域生态环境</w:t>
      </w:r>
    </w:p>
    <w:p>
      <w:pPr>
        <w:spacing w:line="220" w:lineRule="auto"/>
        <w:sectPr>
          <w:footerReference w:type="default" r:id="rId5"/>
          <w:type w:val="nextPage"/>
          <w:pgSz w:w="11906" w:h="16839"/>
          <w:pgMar w:top="1431" w:right="1735" w:bottom="1377" w:left="1785" w:header="0" w:footer="1212" w:gutter="0"/>
          <w:pgNumType w:start="2"/>
          <w:cols w:space="708"/>
          <w:titlePg w:val="0"/>
        </w:sectPr>
      </w:pPr>
    </w:p>
    <w:p>
      <w:pPr>
        <w:pStyle w:val="BodyText"/>
        <w:spacing w:before="186" w:line="411" w:lineRule="auto"/>
        <w:ind w:left="29" w:right="20" w:firstLine="7"/>
        <w:jc w:val="both"/>
      </w:pPr>
      <w:r>
        <w:rPr>
          <w:spacing w:val="-4"/>
        </w:rPr>
        <w:t>方面具有基础性、先导性战略地位。然而目前，土壤污染问题已严重</w:t>
      </w:r>
      <w:r>
        <w:rPr>
          <w:spacing w:val="5"/>
        </w:rPr>
        <w:t xml:space="preserve"> </w:t>
      </w:r>
      <w:r>
        <w:rPr>
          <w:spacing w:val="-4"/>
        </w:rPr>
        <w:t>影响到全球性生态环境质量、人体健康、食品安全和社会经济的协调</w:t>
      </w:r>
      <w:r>
        <w:rPr>
          <w:spacing w:val="12"/>
        </w:rPr>
        <w:t xml:space="preserve"> </w:t>
      </w:r>
      <w:r>
        <w:rPr>
          <w:spacing w:val="-4"/>
        </w:rPr>
        <w:t>发展。风险管控是保障土壤和地下水安全的必要手段，通过土十条和</w:t>
      </w:r>
      <w:r>
        <w:rPr>
          <w:spacing w:val="12"/>
        </w:rPr>
        <w:t xml:space="preserve"> </w:t>
      </w:r>
      <w:r>
        <w:rPr>
          <w:spacing w:val="-3"/>
        </w:rPr>
        <w:t>土壤法作出了明确的国家层面的战略部署，尤其是党的十八大以来，</w:t>
      </w:r>
      <w:r>
        <w:rPr>
          <w:spacing w:val="12"/>
        </w:rPr>
        <w:t xml:space="preserve"> </w:t>
      </w:r>
      <w:r>
        <w:rPr>
          <w:spacing w:val="-4"/>
        </w:rPr>
        <w:t>习近平总书记也多次作出重要指示批示，强调了强化土壤污染管控和</w:t>
      </w:r>
      <w:r>
        <w:rPr>
          <w:spacing w:val="12"/>
        </w:rPr>
        <w:t xml:space="preserve"> </w:t>
      </w:r>
      <w:r>
        <w:rPr>
          <w:spacing w:val="-4"/>
        </w:rPr>
        <w:t>修复、有效防范风险的必要性、迫切性和重要性。美英等发达国家的</w:t>
      </w:r>
      <w:r>
        <w:rPr>
          <w:spacing w:val="15"/>
        </w:rPr>
        <w:t xml:space="preserve"> </w:t>
      </w:r>
      <w:r>
        <w:rPr>
          <w:spacing w:val="-4"/>
        </w:rPr>
        <w:t>土壤污染修复经验表明，污染管理理念已然完成了从彻底清除向可持</w:t>
      </w:r>
      <w:r>
        <w:rPr>
          <w:spacing w:val="12"/>
        </w:rPr>
        <w:t xml:space="preserve"> </w:t>
      </w:r>
      <w:r>
        <w:rPr>
          <w:spacing w:val="-4"/>
        </w:rPr>
        <w:t>续风险管控转变的重大变革，以可持续发展为导向的全生命周期风险</w:t>
      </w:r>
    </w:p>
    <w:p>
      <w:pPr>
        <w:pStyle w:val="BodyText"/>
        <w:spacing w:before="1" w:line="222" w:lineRule="auto"/>
        <w:ind w:left="45"/>
      </w:pPr>
      <w:r>
        <w:rPr>
          <w:spacing w:val="-1"/>
        </w:rPr>
        <w:t>管理是打好打赢土壤污染防治攻坚战的必然趋</w:t>
      </w:r>
      <w:r>
        <w:rPr>
          <w:spacing w:val="-2"/>
        </w:rPr>
        <w:t>势和必要手段。</w:t>
      </w:r>
    </w:p>
    <w:p>
      <w:pPr>
        <w:pStyle w:val="BodyText"/>
        <w:spacing w:before="293" w:line="411" w:lineRule="auto"/>
        <w:ind w:left="1" w:firstLine="593"/>
        <w:jc w:val="both"/>
      </w:pPr>
      <w:r>
        <w:rPr>
          <w:spacing w:val="-4"/>
        </w:rPr>
        <w:t>污染场地可持续风险管控是一个复杂的决策过程，从全生命周期</w:t>
      </w:r>
      <w:r>
        <w:t xml:space="preserve"> </w:t>
      </w:r>
      <w:r>
        <w:rPr>
          <w:spacing w:val="-3"/>
        </w:rPr>
        <w:t>视角看，早期的风险管控偏向于成本减少和环境影响最小化，而后期</w:t>
      </w:r>
      <w:r>
        <w:rPr>
          <w:spacing w:val="10"/>
        </w:rPr>
        <w:t xml:space="preserve"> </w:t>
      </w:r>
      <w:r>
        <w:rPr>
          <w:spacing w:val="-3"/>
        </w:rPr>
        <w:t>的土地再开发则更强调土地收益和社会可持续。由此看来，污染场地</w:t>
      </w:r>
      <w:r>
        <w:rPr>
          <w:spacing w:val="10"/>
        </w:rPr>
        <w:t xml:space="preserve"> </w:t>
      </w:r>
      <w:r>
        <w:rPr>
          <w:spacing w:val="-3"/>
        </w:rPr>
        <w:t>可持续风险管控不仅要坚持传统研究中风险识别的基础核心地位，还</w:t>
      </w:r>
      <w:r>
        <w:rPr>
          <w:spacing w:val="10"/>
        </w:rPr>
        <w:t xml:space="preserve"> </w:t>
      </w:r>
      <w:r>
        <w:rPr>
          <w:spacing w:val="-3"/>
        </w:rPr>
        <w:t>应考虑土壤污染风险胁迫下土地资源的经济性贬值。从我国土壤污染</w:t>
      </w:r>
      <w:r>
        <w:rPr>
          <w:spacing w:val="10"/>
        </w:rPr>
        <w:t xml:space="preserve"> </w:t>
      </w:r>
      <w:r>
        <w:rPr>
          <w:spacing w:val="-4"/>
        </w:rPr>
        <w:t>防治历程来看，“十三五</w:t>
      </w:r>
      <w:r>
        <w:rPr>
          <w:spacing w:val="-97"/>
        </w:rPr>
        <w:t xml:space="preserve"> </w:t>
      </w:r>
      <w:r>
        <w:rPr>
          <w:spacing w:val="-4"/>
        </w:rPr>
        <w:t>”期间仍处于起步阶段，主要是开展土壤污</w:t>
      </w:r>
      <w:r>
        <w:t xml:space="preserve"> </w:t>
      </w:r>
      <w:r>
        <w:rPr>
          <w:spacing w:val="-1"/>
        </w:rPr>
        <w:t>染调查、摸清底数和研发治理修复技术等基础夯实工作。经验表明，</w:t>
      </w:r>
      <w:r>
        <w:rPr>
          <w:spacing w:val="1"/>
        </w:rPr>
        <w:t xml:space="preserve"> </w:t>
      </w:r>
      <w:r>
        <w:rPr>
          <w:spacing w:val="-3"/>
        </w:rPr>
        <w:t>土壤污染防治资金投入缺口巨大是土壤污染防治的关键瓶颈之一，再</w:t>
      </w:r>
      <w:r>
        <w:rPr>
          <w:spacing w:val="10"/>
        </w:rPr>
        <w:t xml:space="preserve"> </w:t>
      </w:r>
      <w:r>
        <w:rPr>
          <w:spacing w:val="-3"/>
        </w:rPr>
        <w:t>加上新冠肺炎疫情给财政运行带来了前所未有的困难和挑战，我国用</w:t>
      </w:r>
      <w:r>
        <w:rPr>
          <w:spacing w:val="10"/>
        </w:rPr>
        <w:t xml:space="preserve"> </w:t>
      </w:r>
      <w:r>
        <w:rPr>
          <w:spacing w:val="-3"/>
        </w:rPr>
        <w:t>于土壤污染防治的财政资金远无法满足现实需求，因此现阶段还不具</w:t>
      </w:r>
      <w:r>
        <w:rPr>
          <w:spacing w:val="10"/>
        </w:rPr>
        <w:t xml:space="preserve"> </w:t>
      </w:r>
      <w:r>
        <w:rPr>
          <w:spacing w:val="-1"/>
        </w:rPr>
        <w:t>备同时对全国尺度上土壤环境进行污染预防、全面治理的经济实力。</w:t>
      </w:r>
      <w:r>
        <w:rPr>
          <w:spacing w:val="1"/>
        </w:rPr>
        <w:t xml:space="preserve"> </w:t>
      </w:r>
      <w:r>
        <w:rPr>
          <w:spacing w:val="-4"/>
        </w:rPr>
        <w:t>“十四五</w:t>
      </w:r>
      <w:r>
        <w:rPr>
          <w:spacing w:val="-98"/>
        </w:rPr>
        <w:t xml:space="preserve"> </w:t>
      </w:r>
      <w:r>
        <w:rPr>
          <w:spacing w:val="-4"/>
        </w:rPr>
        <w:t>”时期我国土壤生态环境保护形势依然严峻，对土壤的精细</w:t>
      </w:r>
    </w:p>
    <w:p>
      <w:pPr>
        <w:pStyle w:val="BodyText"/>
        <w:spacing w:before="1" w:line="222" w:lineRule="auto"/>
        <w:ind w:left="31"/>
      </w:pPr>
      <w:r>
        <w:rPr>
          <w:spacing w:val="-1"/>
        </w:rPr>
        <w:t>化管理和可持续利用提出了更为紧迫的现实需求。</w:t>
      </w:r>
    </w:p>
    <w:p>
      <w:pPr>
        <w:spacing w:line="222" w:lineRule="auto"/>
        <w:sectPr>
          <w:footerReference w:type="default" r:id="rId6"/>
          <w:pgSz w:w="11906" w:h="16839"/>
          <w:pgMar w:top="1431" w:right="1746" w:bottom="1378" w:left="1785" w:header="0" w:footer="1212" w:gutter="0"/>
          <w:pgNumType w:start="3"/>
          <w:cols w:space="708"/>
        </w:sectPr>
      </w:pPr>
    </w:p>
    <w:p>
      <w:pPr>
        <w:pStyle w:val="BodyText"/>
        <w:spacing w:before="187" w:line="411" w:lineRule="auto"/>
        <w:ind w:left="30" w:right="93" w:firstLine="561"/>
        <w:jc w:val="both"/>
      </w:pPr>
      <w:r>
        <w:rPr>
          <w:spacing w:val="-4"/>
        </w:rPr>
        <w:t>在此背景下，十分有必要开展场地土壤可持续风险管控区划研究</w:t>
      </w:r>
      <w:r>
        <w:rPr>
          <w:spacing w:val="4"/>
        </w:rPr>
        <w:t xml:space="preserve"> </w:t>
      </w:r>
      <w:r>
        <w:rPr>
          <w:spacing w:val="-4"/>
        </w:rPr>
        <w:t>和分类管理，建立土壤污染防治可持续风险管控区划核心理论体系和</w:t>
      </w:r>
      <w:r>
        <w:rPr>
          <w:spacing w:val="11"/>
        </w:rPr>
        <w:t xml:space="preserve"> </w:t>
      </w:r>
      <w:r>
        <w:rPr>
          <w:spacing w:val="-4"/>
        </w:rPr>
        <w:t>技术方法，揭示土壤污染风险管控决策与区域可持续发展交互作用机</w:t>
      </w:r>
      <w:r>
        <w:rPr>
          <w:spacing w:val="11"/>
        </w:rPr>
        <w:t xml:space="preserve"> </w:t>
      </w:r>
      <w:r>
        <w:rPr>
          <w:spacing w:val="-4"/>
        </w:rPr>
        <w:t>制。一方面，支持土壤污染风险预测从点到面、从静态到动态的空间</w:t>
      </w:r>
      <w:r>
        <w:rPr>
          <w:spacing w:val="11"/>
        </w:rPr>
        <w:t xml:space="preserve"> </w:t>
      </w:r>
      <w:r>
        <w:rPr>
          <w:spacing w:val="-4"/>
        </w:rPr>
        <w:t>大尺度铺排，对因地制宜建立污染场地可持续风险管控区划模式、提</w:t>
      </w:r>
      <w:r>
        <w:rPr>
          <w:spacing w:val="11"/>
        </w:rPr>
        <w:t xml:space="preserve"> </w:t>
      </w:r>
      <w:r>
        <w:rPr>
          <w:spacing w:val="-4"/>
        </w:rPr>
        <w:t>升区域整体可持续发展水平具有重要的理论指导意义；另一方面，通</w:t>
      </w:r>
      <w:r>
        <w:rPr>
          <w:spacing w:val="11"/>
        </w:rPr>
        <w:t xml:space="preserve"> </w:t>
      </w:r>
      <w:r>
        <w:rPr>
          <w:spacing w:val="-4"/>
        </w:rPr>
        <w:t>过识别可持续发展潜力大的场地对其采取优先管控和再开发策略，以</w:t>
      </w:r>
      <w:r>
        <w:rPr>
          <w:spacing w:val="11"/>
        </w:rPr>
        <w:t xml:space="preserve"> </w:t>
      </w:r>
      <w:r>
        <w:rPr>
          <w:spacing w:val="-4"/>
        </w:rPr>
        <w:t>实现有限资源的优化配置，对完善土壤环境管理顶层设计、规范土地</w:t>
      </w:r>
      <w:r>
        <w:rPr>
          <w:spacing w:val="11"/>
        </w:rPr>
        <w:t xml:space="preserve"> </w:t>
      </w:r>
      <w:r>
        <w:rPr>
          <w:spacing w:val="-4"/>
        </w:rPr>
        <w:t>市场定价，最终服务于国家层面土壤污染分类管控应用，具有重要的</w:t>
      </w:r>
    </w:p>
    <w:p>
      <w:pPr>
        <w:pStyle w:val="BodyText"/>
        <w:spacing w:before="1" w:line="222" w:lineRule="auto"/>
        <w:ind w:left="35"/>
      </w:pPr>
      <w:r>
        <w:rPr>
          <w:spacing w:val="-4"/>
        </w:rPr>
        <w:t>实践决策价值。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6"/>
        <w:outlineLvl w:val="0"/>
      </w:pPr>
      <w:r>
        <w:rPr>
          <w:rFonts w:ascii="Times New Roman" w:eastAsia="Times New Roman" w:hAnsi="Times New Roman" w:cs="Times New Roman"/>
          <w:b/>
          <w:bCs/>
          <w:spacing w:val="-5"/>
        </w:rPr>
        <w:t>3.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  </w:t>
      </w:r>
      <w:r>
        <w:rPr>
          <w:b/>
          <w:bCs/>
          <w:spacing w:val="-5"/>
        </w:rPr>
        <w:t>主要工作过程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90"/>
      </w:pPr>
      <w:r>
        <w:rPr>
          <w:spacing w:val="-4"/>
          <w:position w:val="26"/>
        </w:rPr>
        <w:t>本标准由生态环境部环境规划院起草，中国科学院生态环境研究</w:t>
      </w:r>
    </w:p>
    <w:p>
      <w:pPr>
        <w:pStyle w:val="BodyText"/>
        <w:spacing w:line="221" w:lineRule="auto"/>
        <w:ind w:left="66"/>
      </w:pPr>
      <w:r>
        <w:rPr>
          <w:spacing w:val="-2"/>
        </w:rPr>
        <w:t>中心等单位协助起草。技术归口单位为中华</w:t>
      </w:r>
      <w:r>
        <w:rPr>
          <w:spacing w:val="-3"/>
        </w:rPr>
        <w:t>环保联合会。</w:t>
      </w:r>
    </w:p>
    <w:p>
      <w:pPr>
        <w:pStyle w:val="BodyText"/>
        <w:spacing w:before="290" w:line="411" w:lineRule="auto"/>
        <w:ind w:left="36" w:right="96" w:firstLine="552"/>
        <w:jc w:val="both"/>
      </w:pPr>
      <w:r>
        <w:t>（</w:t>
      </w:r>
      <w:r>
        <w:rPr>
          <w:rFonts w:ascii="Times New Roman" w:eastAsia="Times New Roman" w:hAnsi="Times New Roman" w:cs="Times New Roman"/>
        </w:rPr>
        <w:t>1</w:t>
      </w:r>
      <w:r>
        <w:t>）</w:t>
      </w: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t>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t>月，生态环境部环境规划院召开科技部国家重</w:t>
      </w:r>
      <w:r>
        <w:t xml:space="preserve"> </w:t>
      </w:r>
      <w:r>
        <w:rPr>
          <w:spacing w:val="4"/>
        </w:rPr>
        <w:t>点研发项目</w:t>
      </w:r>
      <w:r>
        <w:rPr>
          <w:rFonts w:ascii="Times New Roman" w:eastAsia="Times New Roman" w:hAnsi="Times New Roman" w:cs="Times New Roman"/>
          <w:spacing w:val="4"/>
        </w:rPr>
        <w:t>“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4"/>
        </w:rPr>
        <w:t>污染场地风险管控机制与经济政策技术体系研究</w:t>
      </w:r>
      <w:r>
        <w:rPr>
          <w:rFonts w:ascii="Times New Roman" w:eastAsia="Times New Roman" w:hAnsi="Times New Roman" w:cs="Times New Roman"/>
          <w:spacing w:val="4"/>
        </w:rPr>
        <w:t>”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4"/>
        </w:rPr>
        <w:t>启动</w:t>
      </w:r>
      <w:r>
        <w:t xml:space="preserve"> </w:t>
      </w:r>
      <w:r>
        <w:rPr>
          <w:spacing w:val="-4"/>
        </w:rPr>
        <w:t>会。生态环境部环境规划院承担课题“污染场地管控区划与规划技术</w:t>
      </w:r>
      <w:r>
        <w:rPr>
          <w:spacing w:val="5"/>
        </w:rPr>
        <w:t xml:space="preserve"> </w:t>
      </w:r>
      <w:r>
        <w:rPr>
          <w:spacing w:val="-1"/>
        </w:rPr>
        <w:t>工具研究</w:t>
      </w:r>
      <w:r>
        <w:rPr>
          <w:spacing w:val="-102"/>
        </w:rPr>
        <w:t xml:space="preserve"> </w:t>
      </w:r>
      <w:r>
        <w:rPr>
          <w:spacing w:val="-1"/>
        </w:rPr>
        <w:t>”（课题编号：</w:t>
      </w:r>
      <w:r>
        <w:rPr>
          <w:rFonts w:ascii="Times New Roman" w:eastAsia="Times New Roman" w:hAnsi="Times New Roman" w:cs="Times New Roman"/>
          <w:spacing w:val="-1"/>
        </w:rPr>
        <w:t>2020YFC1807504</w:t>
      </w:r>
      <w:r>
        <w:rPr>
          <w:spacing w:val="18"/>
        </w:rPr>
        <w:t>），</w:t>
      </w:r>
      <w:r>
        <w:rPr>
          <w:spacing w:val="-1"/>
        </w:rPr>
        <w:t>并提出《污染场地可</w:t>
      </w:r>
    </w:p>
    <w:p>
      <w:pPr>
        <w:pStyle w:val="BodyText"/>
        <w:spacing w:before="1" w:line="220" w:lineRule="auto"/>
        <w:ind w:left="32"/>
        <w:sectPr>
          <w:footerReference w:type="default" r:id="rId7"/>
          <w:pgSz w:w="11906" w:h="16839"/>
          <w:pgMar w:top="1431" w:right="1700" w:bottom="1378" w:left="1785" w:header="0" w:footer="1212" w:gutter="0"/>
          <w:pgNumType w:start="4"/>
          <w:cols w:space="708"/>
        </w:sectPr>
      </w:pPr>
      <w:r>
        <w:rPr>
          <w:spacing w:val="-2"/>
        </w:rPr>
        <w:t>持续风险管控区划技术指南》编制工作。</w:t>
      </w:r>
    </w:p>
    <w:p>
      <w:pPr>
        <w:pStyle w:val="BodyText"/>
        <w:spacing w:before="290" w:line="411" w:lineRule="auto"/>
        <w:ind w:left="30" w:firstLine="559"/>
        <w:jc w:val="both"/>
      </w:pPr>
      <w:r>
        <w:t>（</w:t>
      </w:r>
      <w:r>
        <w:rPr>
          <w:rFonts w:ascii="Times New Roman" w:eastAsia="Times New Roman" w:hAnsi="Times New Roman" w:cs="Times New Roman"/>
        </w:rPr>
        <w:t>2</w:t>
      </w:r>
      <w:r>
        <w:t>）</w:t>
      </w:r>
      <w:r>
        <w:rPr>
          <w:rFonts w:ascii="Times New Roman" w:eastAsia="Times New Roman" w:hAnsi="Times New Roman" w:cs="Times New Roman"/>
          <w:shd w:val="clear" w:color="auto" w:fill="FFFF00"/>
        </w:rPr>
        <w:t>2022</w:t>
      </w:r>
      <w:r>
        <w:rPr>
          <w:rFonts w:ascii="Times New Roman" w:eastAsia="Times New Roman" w:hAnsi="Times New Roman" w:cs="Times New Roman"/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年</w:t>
      </w:r>
      <w:r>
        <w:rPr>
          <w:spacing w:val="-33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00"/>
        </w:rPr>
        <w:t>11</w:t>
      </w:r>
      <w:r>
        <w:rPr>
          <w:rFonts w:ascii="Times New Roman" w:eastAsia="Times New Roman" w:hAnsi="Times New Roman" w:cs="Times New Roman"/>
          <w:spacing w:val="35"/>
          <w:shd w:val="clear" w:color="auto" w:fill="FFFF00"/>
        </w:rPr>
        <w:t xml:space="preserve"> </w:t>
      </w:r>
      <w:r>
        <w:rPr>
          <w:shd w:val="clear" w:color="auto" w:fill="FFFF00"/>
        </w:rPr>
        <w:t>月</w:t>
      </w:r>
      <w:r>
        <w:t>，标准编制组在北京召开了《污染场地可持</w:t>
      </w:r>
      <w:r>
        <w:t xml:space="preserve"> </w:t>
      </w:r>
      <w:r>
        <w:rPr>
          <w:spacing w:val="-10"/>
        </w:rPr>
        <w:t>续风险管控区划技术指南》团体标准启动会，生态环境部环境规划院、</w:t>
      </w:r>
    </w:p>
    <w:p>
      <w:pPr>
        <w:pStyle w:val="BodyText"/>
        <w:spacing w:before="1" w:line="221" w:lineRule="auto"/>
        <w:ind w:left="66"/>
      </w:pPr>
      <w:r>
        <w:rPr>
          <w:spacing w:val="-5"/>
        </w:rPr>
        <w:t>中国科学院生态环境研究中心等主、参编单位确定了标准主要内容和</w:t>
      </w:r>
    </w:p>
    <w:p>
      <w:pPr>
        <w:spacing w:line="221" w:lineRule="auto"/>
        <w:sectPr>
          <w:footerReference w:type="default" r:id="rId8"/>
          <w:type w:val="nextPage"/>
          <w:pgSz w:w="11906" w:h="16839"/>
          <w:pgMar w:top="1431" w:right="1700" w:bottom="1378" w:left="1785" w:header="0" w:footer="1212" w:gutter="0"/>
          <w:pgNumType w:start="5"/>
          <w:cols w:space="708"/>
          <w:titlePg w:val="0"/>
        </w:sectPr>
      </w:pPr>
    </w:p>
    <w:p>
      <w:pPr>
        <w:pStyle w:val="BodyText"/>
        <w:spacing w:before="180" w:line="222" w:lineRule="auto"/>
        <w:ind w:left="32"/>
      </w:pPr>
      <w:r>
        <w:rPr>
          <w:spacing w:val="-4"/>
        </w:rPr>
        <w:t>编写框架；</w:t>
      </w:r>
    </w:p>
    <w:p>
      <w:pPr>
        <w:pStyle w:val="BodyText"/>
        <w:spacing w:before="289" w:line="411" w:lineRule="auto"/>
        <w:ind w:left="43" w:right="240" w:firstLine="546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2023</w:t>
      </w:r>
      <w:r>
        <w:rPr>
          <w:rFonts w:ascii="Times New Roman" w:eastAsia="Times New Roman" w:hAnsi="Times New Roman" w:cs="Times New Roman"/>
          <w:spacing w:val="41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年</w:t>
      </w:r>
      <w:r>
        <w:rPr>
          <w:spacing w:val="-57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5</w:t>
      </w:r>
      <w:r>
        <w:rPr>
          <w:rFonts w:ascii="Times New Roman" w:eastAsia="Times New Roman" w:hAnsi="Times New Roman" w:cs="Times New Roman"/>
          <w:spacing w:val="30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月</w:t>
      </w:r>
      <w:r>
        <w:rPr>
          <w:spacing w:val="-4"/>
        </w:rPr>
        <w:t>，标准编制组在北京召开《污染场地可持续风</w:t>
      </w:r>
      <w:r>
        <w:t xml:space="preserve"> </w:t>
      </w:r>
      <w:r>
        <w:rPr>
          <w:spacing w:val="-4"/>
        </w:rPr>
        <w:t>险管控区划技术指南》团体标准座谈会，生态环境部环境规划院</w:t>
      </w:r>
      <w:r>
        <w:rPr>
          <w:spacing w:val="-5"/>
        </w:rPr>
        <w:t>、中</w:t>
      </w:r>
      <w:r>
        <w:t xml:space="preserve"> </w:t>
      </w:r>
      <w:r>
        <w:rPr>
          <w:spacing w:val="-4"/>
        </w:rPr>
        <w:t>国科学院生态环境研究中心等主、参编单位对标准草案初稿提出修改</w:t>
      </w:r>
    </w:p>
    <w:p>
      <w:pPr>
        <w:pStyle w:val="BodyText"/>
        <w:spacing w:before="1" w:line="222" w:lineRule="auto"/>
        <w:ind w:left="41"/>
      </w:pPr>
      <w:r>
        <w:rPr>
          <w:spacing w:val="-10"/>
        </w:rPr>
        <w:t>意见；</w:t>
      </w:r>
    </w:p>
    <w:p>
      <w:pPr>
        <w:pStyle w:val="BodyText"/>
        <w:spacing w:before="287" w:line="411" w:lineRule="auto"/>
        <w:ind w:left="43" w:right="146" w:firstLine="546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2023</w:t>
      </w:r>
      <w:r>
        <w:rPr>
          <w:rFonts w:ascii="Times New Roman" w:eastAsia="Times New Roman" w:hAnsi="Times New Roman" w:cs="Times New Roman"/>
          <w:spacing w:val="25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年</w:t>
      </w:r>
      <w:r>
        <w:rPr>
          <w:spacing w:val="-6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7</w:t>
      </w:r>
      <w:r>
        <w:rPr>
          <w:rFonts w:ascii="Times New Roman" w:eastAsia="Times New Roman" w:hAnsi="Times New Roman" w:cs="Times New Roman"/>
          <w:spacing w:val="30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月</w:t>
      </w:r>
      <w:r>
        <w:rPr>
          <w:spacing w:val="-3"/>
        </w:rPr>
        <w:t>，标准编制组在北京</w:t>
      </w:r>
      <w:r>
        <w:rPr>
          <w:spacing w:val="-4"/>
        </w:rPr>
        <w:t>召开《污染场地可持续风</w:t>
      </w:r>
      <w:r>
        <w:t xml:space="preserve"> </w:t>
      </w:r>
      <w:r>
        <w:rPr>
          <w:spacing w:val="-10"/>
        </w:rPr>
        <w:t>险管控区划技术指南》团体标准线上座谈会，生态环境部环境规划院、</w:t>
      </w:r>
      <w:r>
        <w:rPr>
          <w:spacing w:val="4"/>
        </w:rPr>
        <w:t xml:space="preserve"> </w:t>
      </w:r>
      <w:r>
        <w:rPr>
          <w:spacing w:val="-4"/>
        </w:rPr>
        <w:t>中国科学院生态环境研究中心等主、参编单位修改标准初稿并形成草</w:t>
      </w:r>
    </w:p>
    <w:p>
      <w:pPr>
        <w:pStyle w:val="BodyText"/>
        <w:spacing w:before="2" w:line="222" w:lineRule="auto"/>
        <w:ind w:left="31"/>
      </w:pPr>
      <w:r>
        <w:rPr>
          <w:spacing w:val="-6"/>
        </w:rPr>
        <w:t>案稿；</w:t>
      </w:r>
    </w:p>
    <w:p>
      <w:pPr>
        <w:pStyle w:val="BodyText"/>
        <w:spacing w:before="285" w:line="624" w:lineRule="exact"/>
        <w:ind w:left="589"/>
      </w:pPr>
      <w:r>
        <w:rPr>
          <w:spacing w:val="-3"/>
          <w:position w:val="26"/>
        </w:rPr>
        <w:t>（</w:t>
      </w:r>
      <w:r>
        <w:rPr>
          <w:rFonts w:ascii="Times New Roman" w:eastAsia="Times New Roman" w:hAnsi="Times New Roman" w:cs="Times New Roman"/>
          <w:spacing w:val="-3"/>
          <w:position w:val="26"/>
        </w:rPr>
        <w:t>5</w:t>
      </w:r>
      <w:r>
        <w:rPr>
          <w:spacing w:val="-3"/>
          <w:position w:val="26"/>
        </w:rPr>
        <w:t>）</w:t>
      </w:r>
      <w:r>
        <w:rPr>
          <w:rFonts w:ascii="Times New Roman" w:eastAsia="Times New Roman" w:hAnsi="Times New Roman" w:cs="Times New Roman"/>
          <w:spacing w:val="-3"/>
          <w:position w:val="26"/>
          <w:shd w:val="clear" w:color="auto" w:fill="FFFF00"/>
        </w:rPr>
        <w:t>2023</w:t>
      </w:r>
      <w:r>
        <w:rPr>
          <w:rFonts w:ascii="Times New Roman" w:eastAsia="Times New Roman" w:hAnsi="Times New Roman" w:cs="Times New Roman"/>
          <w:spacing w:val="27"/>
          <w:position w:val="26"/>
          <w:shd w:val="clear" w:color="auto" w:fill="FFFF00"/>
        </w:rPr>
        <w:t xml:space="preserve"> </w:t>
      </w:r>
      <w:r>
        <w:rPr>
          <w:spacing w:val="-3"/>
          <w:position w:val="26"/>
          <w:shd w:val="clear" w:color="auto" w:fill="FFFF00"/>
        </w:rPr>
        <w:t>年</w:t>
      </w:r>
      <w:r>
        <w:rPr>
          <w:spacing w:val="-59"/>
          <w:position w:val="26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hd w:val="clear" w:color="auto" w:fill="FFFF00"/>
        </w:rPr>
        <w:t>9</w:t>
      </w:r>
      <w:r>
        <w:rPr>
          <w:rFonts w:ascii="Times New Roman" w:eastAsia="Times New Roman" w:hAnsi="Times New Roman" w:cs="Times New Roman"/>
          <w:spacing w:val="32"/>
          <w:position w:val="26"/>
          <w:shd w:val="clear" w:color="auto" w:fill="FFFF00"/>
        </w:rPr>
        <w:t xml:space="preserve"> </w:t>
      </w:r>
      <w:r>
        <w:rPr>
          <w:spacing w:val="-3"/>
          <w:position w:val="26"/>
          <w:shd w:val="clear" w:color="auto" w:fill="FFFF00"/>
        </w:rPr>
        <w:t>月</w:t>
      </w:r>
      <w:r>
        <w:rPr>
          <w:spacing w:val="-3"/>
          <w:position w:val="26"/>
        </w:rPr>
        <w:t>，由中华环保联合会组织专家进行立项评审，</w:t>
      </w:r>
    </w:p>
    <w:p>
      <w:pPr>
        <w:pStyle w:val="BodyText"/>
        <w:spacing w:before="2" w:line="222" w:lineRule="auto"/>
        <w:ind w:left="33"/>
      </w:pPr>
      <w:r>
        <w:rPr>
          <w:spacing w:val="-8"/>
        </w:rPr>
        <w:t>专家组一致通过《污染场地可持续风险管控区划技术指南》标准</w:t>
      </w:r>
      <w:r>
        <w:rPr>
          <w:spacing w:val="-9"/>
        </w:rPr>
        <w:t>立项。</w:t>
      </w:r>
    </w:p>
    <w:p>
      <w:pPr>
        <w:pStyle w:val="BodyText"/>
        <w:spacing w:before="288" w:line="411" w:lineRule="auto"/>
        <w:ind w:left="29" w:right="159" w:firstLine="560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6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>2023</w:t>
      </w:r>
      <w:r>
        <w:rPr>
          <w:rFonts w:ascii="Times New Roman" w:eastAsia="Times New Roman" w:hAnsi="Times New Roman" w:cs="Times New Roman"/>
          <w:spacing w:val="28"/>
          <w:w w:val="101"/>
          <w:shd w:val="clear" w:color="auto" w:fill="FFFF00"/>
        </w:rPr>
        <w:t xml:space="preserve"> </w:t>
      </w:r>
      <w:r>
        <w:rPr>
          <w:spacing w:val="-6"/>
          <w:shd w:val="clear" w:color="auto" w:fill="FFFF00"/>
        </w:rPr>
        <w:t>年</w:t>
      </w:r>
      <w:r>
        <w:rPr>
          <w:spacing w:val="-38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>10</w:t>
      </w:r>
      <w:r>
        <w:rPr>
          <w:rFonts w:ascii="Times New Roman" w:eastAsia="Times New Roman" w:hAnsi="Times New Roman" w:cs="Times New Roman"/>
          <w:spacing w:val="30"/>
          <w:shd w:val="clear" w:color="auto" w:fill="FFFF00"/>
        </w:rPr>
        <w:t xml:space="preserve"> </w:t>
      </w:r>
      <w:r>
        <w:rPr>
          <w:spacing w:val="-6"/>
          <w:shd w:val="clear" w:color="auto" w:fill="FFFF00"/>
        </w:rPr>
        <w:t>月</w:t>
      </w:r>
      <w:r>
        <w:rPr>
          <w:spacing w:val="-6"/>
        </w:rPr>
        <w:t>，由中华环保联合会组织专家进行标准预审，</w:t>
      </w:r>
      <w:r>
        <w:t xml:space="preserve"> </w:t>
      </w:r>
      <w:r>
        <w:rPr>
          <w:spacing w:val="-4"/>
        </w:rPr>
        <w:t>标准编制组根据评审意见修改并形成《污染场地可持续风险管控区划</w:t>
      </w:r>
      <w:r>
        <w:rPr>
          <w:spacing w:val="12"/>
        </w:rPr>
        <w:t xml:space="preserve"> </w:t>
      </w:r>
      <w:r>
        <w:rPr>
          <w:spacing w:val="-4"/>
        </w:rPr>
        <w:t>技术指南》草案稿。草案内容包括：前言、适用范围、规范性引用文</w:t>
      </w:r>
      <w:r>
        <w:rPr>
          <w:spacing w:val="12"/>
        </w:rPr>
        <w:t xml:space="preserve"> </w:t>
      </w:r>
      <w:r>
        <w:rPr>
          <w:spacing w:val="-4"/>
        </w:rPr>
        <w:t>件、术语和定义、区划程序（指标选取、资料收集、数据处理、技术</w:t>
      </w:r>
    </w:p>
    <w:p>
      <w:pPr>
        <w:pStyle w:val="BodyText"/>
        <w:spacing w:before="2" w:line="222" w:lineRule="auto"/>
        <w:ind w:left="36"/>
      </w:pPr>
      <w:r>
        <w:rPr>
          <w:spacing w:val="-2"/>
        </w:rPr>
        <w:t>方法）和附录共六部分内容技术要求。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18"/>
        <w:outlineLvl w:val="0"/>
      </w:pPr>
      <w:r>
        <w:rPr>
          <w:rFonts w:ascii="Times New Roman" w:eastAsia="Times New Roman" w:hAnsi="Times New Roman" w:cs="Times New Roman"/>
          <w:b/>
          <w:bCs/>
          <w:spacing w:val="-7"/>
        </w:rPr>
        <w:t>4.</w:t>
      </w:r>
      <w:r>
        <w:rPr>
          <w:rFonts w:ascii="Times New Roman" w:eastAsia="Times New Roman" w:hAnsi="Times New Roman" w:cs="Times New Roman"/>
          <w:b/>
          <w:bCs/>
          <w:spacing w:val="17"/>
        </w:rPr>
        <w:t xml:space="preserve">   </w:t>
      </w:r>
      <w:r>
        <w:rPr>
          <w:b/>
          <w:bCs/>
          <w:spacing w:val="-7"/>
        </w:rPr>
        <w:t>国内外相关标准概况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6"/>
      </w:pPr>
      <w:r>
        <w:rPr>
          <w:rFonts w:ascii="Times New Roman" w:eastAsia="Times New Roman" w:hAnsi="Times New Roman" w:cs="Times New Roman"/>
          <w:spacing w:val="-5"/>
        </w:rPr>
        <w:t>4.1.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 </w:t>
      </w:r>
      <w:r>
        <w:rPr>
          <w:spacing w:val="-5"/>
        </w:rPr>
        <w:t>国内相关标准概况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554" w:bottom="1376" w:left="1785" w:header="0" w:footer="1212" w:gutter="0"/>
          <w:pgNumType w:start="6"/>
          <w:cols w:space="708"/>
        </w:sectPr>
      </w:pPr>
    </w:p>
    <w:p>
      <w:pPr>
        <w:pStyle w:val="BodyText"/>
        <w:spacing w:before="92" w:line="624" w:lineRule="exact"/>
        <w:jc w:val="right"/>
      </w:pPr>
      <w:r>
        <w:rPr>
          <w:spacing w:val="-6"/>
          <w:position w:val="26"/>
        </w:rPr>
        <w:t>与国外发达国家相比，我国开展污染场地风险管控工作起步较晚。</w:t>
      </w:r>
    </w:p>
    <w:p>
      <w:pPr>
        <w:pStyle w:val="BodyText"/>
        <w:spacing w:before="1" w:line="221" w:lineRule="auto"/>
        <w:ind w:left="17"/>
      </w:pPr>
      <w:r>
        <w:rPr>
          <w:rFonts w:ascii="Times New Roman" w:eastAsia="Times New Roman" w:hAnsi="Times New Roman" w:cs="Times New Roman"/>
          <w:spacing w:val="3"/>
        </w:rPr>
        <w:t>2000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3"/>
        </w:rPr>
        <w:t>年，北京市环境保护科学研究院主持完成《北</w:t>
      </w:r>
      <w:r>
        <w:rPr>
          <w:spacing w:val="2"/>
        </w:rPr>
        <w:t>京化工集团七厂</w:t>
      </w:r>
    </w:p>
    <w:p>
      <w:pPr>
        <w:spacing w:line="221" w:lineRule="auto"/>
        <w:sectPr>
          <w:footerReference w:type="default" r:id="rId10"/>
          <w:type w:val="nextPage"/>
          <w:pgSz w:w="11906" w:h="16839"/>
          <w:pgMar w:top="1431" w:right="1554" w:bottom="1376" w:left="1785" w:header="0" w:footer="1212" w:gutter="0"/>
          <w:pgNumType w:start="7"/>
          <w:cols w:space="708"/>
          <w:titlePg w:val="0"/>
        </w:sectPr>
      </w:pPr>
    </w:p>
    <w:p>
      <w:pPr>
        <w:pStyle w:val="BodyText"/>
        <w:spacing w:before="188" w:line="411" w:lineRule="auto"/>
        <w:ind w:left="29" w:firstLine="4"/>
      </w:pPr>
      <w:r>
        <w:rPr>
          <w:spacing w:val="-5"/>
        </w:rPr>
        <w:t>及北京市第一建筑构件厂等用地性质改变的环境风险调查与分析》项</w:t>
      </w:r>
      <w:r>
        <w:rPr>
          <w:spacing w:val="-5"/>
        </w:rPr>
        <w:t xml:space="preserve">  </w:t>
      </w:r>
      <w:r>
        <w:rPr>
          <w:spacing w:val="-5"/>
        </w:rPr>
        <w:t>目，这是国内首次引入场地风险评估技术的场</w:t>
      </w:r>
      <w:r>
        <w:rPr>
          <w:spacing w:val="-6"/>
        </w:rPr>
        <w:t>地调查与风险评估项目，</w:t>
      </w:r>
      <w:r>
        <w:t xml:space="preserve"> </w:t>
      </w:r>
      <w:r>
        <w:rPr>
          <w:spacing w:val="-5"/>
        </w:rPr>
        <w:t>开展场地土壤砷和汞污染风险评估及修复目标值推导。随后，我国风</w:t>
      </w:r>
      <w:r>
        <w:rPr>
          <w:spacing w:val="-5"/>
        </w:rPr>
        <w:t xml:space="preserve">  </w:t>
      </w:r>
      <w:r>
        <w:rPr>
          <w:spacing w:val="-5"/>
        </w:rPr>
        <w:t>险管控制度体系经过近二十余年发展衍变，经历了从适用普遍性规范</w:t>
      </w:r>
      <w:r>
        <w:rPr>
          <w:spacing w:val="-5"/>
        </w:rPr>
        <w:t xml:space="preserve">  </w:t>
      </w:r>
      <w:r>
        <w:rPr>
          <w:spacing w:val="-5"/>
        </w:rPr>
        <w:t>到独立性立法两个阶段，在污染场地环境管理系列技术导则、风险管</w:t>
      </w:r>
      <w:r>
        <w:rPr>
          <w:spacing w:val="-5"/>
        </w:rPr>
        <w:t xml:space="preserve">  </w:t>
      </w:r>
      <w:r>
        <w:rPr>
          <w:spacing w:val="-5"/>
        </w:rPr>
        <w:t>控标准与技术指南及北京、重庆等地方污染场地风险评价筛选值和技</w:t>
      </w:r>
      <w:r>
        <w:rPr>
          <w:spacing w:val="-5"/>
        </w:rPr>
        <w:t xml:space="preserve">  </w:t>
      </w:r>
      <w:r>
        <w:rPr>
          <w:spacing w:val="-7"/>
        </w:rPr>
        <w:t>术导则的补充完善下，初步形成了以《土壤污染防治法》为专门立法、</w:t>
      </w:r>
      <w:r>
        <w:rPr>
          <w:spacing w:val="9"/>
        </w:rPr>
        <w:t xml:space="preserve"> </w:t>
      </w:r>
      <w:r>
        <w:rPr>
          <w:spacing w:val="-6"/>
        </w:rPr>
        <w:t>以“土十条</w:t>
      </w:r>
      <w:r>
        <w:rPr>
          <w:spacing w:val="-94"/>
        </w:rPr>
        <w:t xml:space="preserve"> </w:t>
      </w:r>
      <w:r>
        <w:rPr>
          <w:spacing w:val="-6"/>
        </w:rPr>
        <w:t>”为具体实施要求、配套系列技术导则的污染场地全过程</w:t>
      </w:r>
      <w:r>
        <w:rPr>
          <w:spacing w:val="-6"/>
        </w:rPr>
        <w:t xml:space="preserve">  </w:t>
      </w:r>
      <w:r>
        <w:rPr>
          <w:spacing w:val="1"/>
        </w:rPr>
        <w:t>风险管控体系，覆盖了风险预防、风险调查、</w:t>
      </w:r>
      <w:r>
        <w:t>风险评估、风险管控、</w:t>
      </w:r>
      <w:r>
        <w:t xml:space="preserve"> </w:t>
      </w:r>
      <w:r>
        <w:rPr>
          <w:spacing w:val="-5"/>
        </w:rPr>
        <w:t>效果验收和后期监管等各个阶段。其中，污染场地风险管控区划相关</w:t>
      </w:r>
      <w:r>
        <w:rPr>
          <w:spacing w:val="-5"/>
        </w:rPr>
        <w:t xml:space="preserve">  </w:t>
      </w:r>
      <w:r>
        <w:rPr>
          <w:spacing w:val="-5"/>
        </w:rPr>
        <w:t>研究主要以土壤环境质量标准和风险评价为理论基础，基于土壤环境</w:t>
      </w:r>
      <w:r>
        <w:rPr>
          <w:spacing w:val="-5"/>
        </w:rPr>
        <w:t xml:space="preserve">  </w:t>
      </w:r>
      <w:r>
        <w:rPr>
          <w:spacing w:val="6"/>
        </w:rPr>
        <w:t>质量或风险评价结果判定场地污染程度及管控优先性和可行的管控</w:t>
      </w:r>
    </w:p>
    <w:p>
      <w:pPr>
        <w:pStyle w:val="BodyText"/>
        <w:spacing w:before="1" w:line="220" w:lineRule="auto"/>
        <w:ind w:left="36"/>
      </w:pPr>
      <w:r>
        <w:rPr>
          <w:spacing w:val="-1"/>
        </w:rPr>
        <w:t>方式。国家和地方发布或公开征求意见的与之相关的技术标准包括：</w:t>
      </w:r>
    </w:p>
    <w:p>
      <w:pPr>
        <w:pStyle w:val="BodyText"/>
        <w:spacing w:before="289" w:line="223" w:lineRule="auto"/>
        <w:ind w:left="589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）土壤环境质量标准</w:t>
      </w:r>
    </w:p>
    <w:p>
      <w:pPr>
        <w:pStyle w:val="BodyText"/>
        <w:spacing w:before="290" w:line="411" w:lineRule="auto"/>
        <w:ind w:left="23" w:right="221" w:firstLine="560"/>
      </w:pPr>
      <w:r>
        <w:rPr>
          <w:spacing w:val="-12"/>
        </w:rPr>
        <w:t>《土壤环境质量</w:t>
      </w:r>
      <w:r>
        <w:rPr>
          <w:spacing w:val="-12"/>
        </w:rPr>
        <w:t xml:space="preserve"> </w:t>
      </w:r>
      <w:r>
        <w:rPr>
          <w:spacing w:val="-12"/>
        </w:rPr>
        <w:t>建设用地土壤污染风险管控标准（试行）》（</w:t>
      </w:r>
      <w:r>
        <w:rPr>
          <w:rFonts w:ascii="Times New Roman" w:eastAsia="Times New Roman" w:hAnsi="Times New Roman" w:cs="Times New Roman"/>
          <w:spacing w:val="-12"/>
        </w:rPr>
        <w:t>GB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36600-2018</w:t>
      </w:r>
      <w:r>
        <w:rPr>
          <w:spacing w:val="-2"/>
        </w:rPr>
        <w:t>）及相关地方标准：深圳市《建设用地土壤污染风险筛选</w:t>
      </w:r>
      <w:r>
        <w:rPr>
          <w:spacing w:val="15"/>
        </w:rPr>
        <w:t xml:space="preserve"> </w:t>
      </w:r>
      <w:r>
        <w:rPr>
          <w:spacing w:val="-2"/>
        </w:rPr>
        <w:t>值和管制值》（</w:t>
      </w:r>
      <w:r>
        <w:rPr>
          <w:rFonts w:ascii="Times New Roman" w:eastAsia="Times New Roman" w:hAnsi="Times New Roman" w:cs="Times New Roman"/>
          <w:spacing w:val="-2"/>
        </w:rPr>
        <w:t>DB4403/T 67-2020</w:t>
      </w:r>
      <w:r>
        <w:rPr>
          <w:spacing w:val="-2"/>
        </w:rPr>
        <w:t>）、河北省《建设用地土壤污染风</w:t>
      </w:r>
      <w:r>
        <w:rPr>
          <w:spacing w:val="13"/>
        </w:rPr>
        <w:t xml:space="preserve"> </w:t>
      </w:r>
      <w:r>
        <w:rPr>
          <w:spacing w:val="-2"/>
        </w:rPr>
        <w:t>险筛选值》（</w:t>
      </w:r>
      <w:r>
        <w:rPr>
          <w:rFonts w:ascii="Times New Roman" w:eastAsia="Times New Roman" w:hAnsi="Times New Roman" w:cs="Times New Roman"/>
          <w:spacing w:val="-2"/>
        </w:rPr>
        <w:t>DB13/T 5216-2020</w:t>
      </w:r>
      <w:r>
        <w:rPr>
          <w:spacing w:val="-2"/>
        </w:rPr>
        <w:t>）、北京市《场地土壤环境风险评价</w:t>
      </w:r>
      <w:r>
        <w:rPr>
          <w:spacing w:val="13"/>
        </w:rPr>
        <w:t xml:space="preserve"> </w:t>
      </w:r>
      <w:r>
        <w:rPr>
          <w:spacing w:val="-1"/>
        </w:rPr>
        <w:t>筛选值》（</w:t>
      </w:r>
      <w:r>
        <w:rPr>
          <w:rFonts w:ascii="Times New Roman" w:eastAsia="Times New Roman" w:hAnsi="Times New Roman" w:cs="Times New Roman"/>
          <w:spacing w:val="-1"/>
        </w:rPr>
        <w:t>DB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11/T 811-2011</w:t>
      </w:r>
      <w:r>
        <w:rPr>
          <w:spacing w:val="-1"/>
        </w:rPr>
        <w:t>）、重庆市《场地土壤环境风险评估筛</w:t>
      </w:r>
      <w:r>
        <w:t xml:space="preserve"> </w:t>
      </w:r>
      <w:r>
        <w:rPr>
          <w:spacing w:val="-11"/>
        </w:rPr>
        <w:t>选值》（</w:t>
      </w:r>
      <w:r>
        <w:rPr>
          <w:rFonts w:ascii="Times New Roman" w:eastAsia="Times New Roman" w:hAnsi="Times New Roman" w:cs="Times New Roman"/>
          <w:spacing w:val="-11"/>
        </w:rPr>
        <w:t>DB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50/T 723-2016</w:t>
      </w:r>
      <w:r>
        <w:rPr>
          <w:spacing w:val="-11"/>
        </w:rPr>
        <w:t>）、广东省《土壤重金属风险评价筛选值</w:t>
      </w:r>
      <w:r>
        <w:rPr>
          <w:spacing w:val="-11"/>
        </w:rPr>
        <w:t xml:space="preserve"> </w:t>
      </w:r>
      <w:r>
        <w:rPr>
          <w:spacing w:val="-11"/>
        </w:rPr>
        <w:t>珠</w:t>
      </w:r>
      <w:r>
        <w:t xml:space="preserve"> </w:t>
      </w:r>
      <w:r>
        <w:rPr>
          <w:spacing w:val="-4"/>
        </w:rPr>
        <w:t>江三角洲》（</w:t>
      </w:r>
      <w:r>
        <w:rPr>
          <w:rFonts w:ascii="Times New Roman" w:eastAsia="Times New Roman" w:hAnsi="Times New Roman" w:cs="Times New Roman"/>
          <w:spacing w:val="-4"/>
        </w:rPr>
        <w:t>DB 44/T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1415-2014</w:t>
      </w:r>
      <w:r>
        <w:rPr>
          <w:spacing w:val="-4"/>
        </w:rPr>
        <w:t>）、浙江省《污染场</w:t>
      </w:r>
      <w:r>
        <w:rPr>
          <w:spacing w:val="-5"/>
        </w:rPr>
        <w:t>地风险评估技术</w:t>
      </w:r>
    </w:p>
    <w:p>
      <w:pPr>
        <w:pStyle w:val="BodyText"/>
        <w:spacing w:before="1" w:line="220" w:lineRule="auto"/>
        <w:ind w:left="32"/>
      </w:pPr>
      <w:r>
        <w:rPr>
          <w:spacing w:val="-2"/>
        </w:rPr>
        <w:t>导则》（</w:t>
      </w:r>
      <w:r>
        <w:rPr>
          <w:rFonts w:ascii="Times New Roman" w:eastAsia="Times New Roman" w:hAnsi="Times New Roman" w:cs="Times New Roman"/>
          <w:spacing w:val="-2"/>
        </w:rPr>
        <w:t>DB 33/T 892-2013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，附录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spacing w:val="-2"/>
        </w:rPr>
        <w:t>土壤风险评估筛选值）等。</w:t>
      </w:r>
    </w:p>
    <w:p>
      <w:pPr>
        <w:spacing w:line="220" w:lineRule="auto"/>
        <w:sectPr>
          <w:footerReference w:type="default" r:id="rId11"/>
          <w:pgSz w:w="11906" w:h="16839"/>
          <w:pgMar w:top="1431" w:right="1575" w:bottom="1376" w:left="1785" w:header="0" w:footer="1212" w:gutter="0"/>
          <w:pgNumType w:start="8"/>
          <w:cols w:space="708"/>
        </w:sectPr>
      </w:pPr>
    </w:p>
    <w:p>
      <w:pPr>
        <w:pStyle w:val="BodyText"/>
        <w:spacing w:before="180" w:line="221" w:lineRule="auto"/>
        <w:ind w:left="589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）风险评估技术导则</w:t>
      </w:r>
    </w:p>
    <w:p>
      <w:pPr>
        <w:pStyle w:val="BodyText"/>
        <w:spacing w:before="292" w:line="411" w:lineRule="auto"/>
        <w:ind w:left="22" w:firstLine="561"/>
      </w:pPr>
      <w:r>
        <w:rPr>
          <w:spacing w:val="2"/>
        </w:rPr>
        <w:t>《建设用地土壤风险评估技术导则》（</w:t>
      </w:r>
      <w:r>
        <w:rPr>
          <w:rFonts w:ascii="Times New Roman" w:eastAsia="Times New Roman" w:hAnsi="Times New Roman" w:cs="Times New Roman"/>
        </w:rPr>
        <w:t>HJ</w:t>
      </w:r>
      <w:r>
        <w:rPr>
          <w:rFonts w:ascii="Times New Roman" w:eastAsia="Times New Roman" w:hAnsi="Times New Roman" w:cs="Times New Roman"/>
          <w:spacing w:val="2"/>
        </w:rPr>
        <w:t xml:space="preserve"> 25.3-2</w:t>
      </w:r>
      <w:r>
        <w:rPr>
          <w:rFonts w:ascii="Times New Roman" w:eastAsia="Times New Roman" w:hAnsi="Times New Roman" w:cs="Times New Roman"/>
          <w:spacing w:val="1"/>
        </w:rPr>
        <w:t>019</w:t>
      </w:r>
      <w:r>
        <w:rPr>
          <w:spacing w:val="1"/>
        </w:rPr>
        <w:t>）及相关地</w:t>
      </w:r>
      <w:r>
        <w:t xml:space="preserve"> </w:t>
      </w:r>
      <w:r>
        <w:rPr>
          <w:spacing w:val="10"/>
        </w:rPr>
        <w:t>方标准：</w:t>
      </w:r>
      <w:r>
        <w:rPr>
          <w:spacing w:val="-75"/>
        </w:rPr>
        <w:t xml:space="preserve"> </w:t>
      </w:r>
      <w:r>
        <w:rPr>
          <w:spacing w:val="10"/>
        </w:rPr>
        <w:t>重庆市《场地环境调查与风险评估技术导则》</w:t>
      </w:r>
      <w:r>
        <w:rPr>
          <w:spacing w:val="-108"/>
        </w:rPr>
        <w:t xml:space="preserve"> </w:t>
      </w:r>
      <w:r>
        <w:rPr>
          <w:spacing w:val="10"/>
        </w:rPr>
        <w:t>（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10"/>
        </w:rPr>
        <w:t>50/T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spacing w:val="-7"/>
        </w:rPr>
        <w:t>725-2016</w:t>
      </w:r>
      <w:r>
        <w:rPr>
          <w:spacing w:val="-7"/>
        </w:rPr>
        <w:t>）、上海市《上海市建设用地土壤污染状况调查、风险评估、</w:t>
      </w:r>
      <w:r>
        <w:rPr>
          <w:spacing w:val="7"/>
        </w:rPr>
        <w:t xml:space="preserve"> </w:t>
      </w:r>
      <w:r>
        <w:rPr>
          <w:spacing w:val="-4"/>
        </w:rPr>
        <w:t>风险管控与修复方案编制、风险管控与修复效果评估工作的补充规定</w:t>
      </w:r>
      <w:r>
        <w:rPr>
          <w:spacing w:val="-4"/>
        </w:rPr>
        <w:t xml:space="preserve"> </w:t>
      </w:r>
      <w:r>
        <w:rPr>
          <w:spacing w:val="-26"/>
        </w:rPr>
        <w:t>（试行）》、浙江省《污染场地风险评估技术导则》（</w:t>
      </w:r>
      <w:r>
        <w:rPr>
          <w:rFonts w:ascii="Times New Roman" w:eastAsia="Times New Roman" w:hAnsi="Times New Roman" w:cs="Times New Roman"/>
          <w:spacing w:val="-26"/>
        </w:rPr>
        <w:t>DB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26"/>
        </w:rPr>
        <w:t>33/T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26"/>
        </w:rPr>
        <w:t>892-2013</w:t>
      </w:r>
      <w:r>
        <w:rPr>
          <w:spacing w:val="-26"/>
        </w:rPr>
        <w:t>）、</w:t>
      </w:r>
    </w:p>
    <w:p>
      <w:pPr>
        <w:pStyle w:val="BodyText"/>
        <w:spacing w:before="1" w:line="222" w:lineRule="auto"/>
        <w:ind w:left="38"/>
      </w:pPr>
      <w:r>
        <w:rPr>
          <w:spacing w:val="-2"/>
        </w:rPr>
        <w:t>北京市《场地环境评价技术导则》（</w:t>
      </w:r>
      <w:r>
        <w:rPr>
          <w:rFonts w:ascii="Times New Roman" w:eastAsia="Times New Roman" w:hAnsi="Times New Roman" w:cs="Times New Roman"/>
          <w:spacing w:val="-2"/>
        </w:rPr>
        <w:t>DB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11/T 656-2</w:t>
      </w:r>
      <w:r>
        <w:rPr>
          <w:rFonts w:ascii="Times New Roman" w:eastAsia="Times New Roman" w:hAnsi="Times New Roman" w:cs="Times New Roman"/>
          <w:spacing w:val="-3"/>
        </w:rPr>
        <w:t>009</w:t>
      </w:r>
      <w:r>
        <w:rPr>
          <w:spacing w:val="-3"/>
        </w:rPr>
        <w:t>）等。</w:t>
      </w:r>
    </w:p>
    <w:p>
      <w:pPr>
        <w:pStyle w:val="BodyText"/>
        <w:spacing w:before="287" w:line="411" w:lineRule="auto"/>
        <w:ind w:left="33" w:right="93" w:firstLine="563"/>
      </w:pPr>
      <w:r>
        <w:rPr>
          <w:spacing w:val="-4"/>
        </w:rPr>
        <w:t>另外，针对污染场地分类管理还发布了《关闭搬迁企业</w:t>
      </w:r>
      <w:r>
        <w:rPr>
          <w:spacing w:val="-5"/>
        </w:rPr>
        <w:t>地块风险</w:t>
      </w:r>
      <w:r>
        <w:t xml:space="preserve"> </w:t>
      </w:r>
      <w:r>
        <w:rPr>
          <w:spacing w:val="-4"/>
        </w:rPr>
        <w:t>筛查与风险分级技术规定（试行）》和《在产企业地块风险筛查与风</w:t>
      </w:r>
      <w:r>
        <w:rPr>
          <w:spacing w:val="8"/>
        </w:rPr>
        <w:t xml:space="preserve"> </w:t>
      </w:r>
      <w:r>
        <w:rPr>
          <w:spacing w:val="-4"/>
        </w:rPr>
        <w:t>险分级技术规定（试行）》等文件，明确了全国土壤污染状况详查重</w:t>
      </w:r>
    </w:p>
    <w:p>
      <w:pPr>
        <w:pStyle w:val="BodyText"/>
        <w:spacing w:before="1" w:line="221" w:lineRule="auto"/>
        <w:ind w:left="45"/>
      </w:pPr>
      <w:r>
        <w:rPr>
          <w:spacing w:val="-2"/>
        </w:rPr>
        <w:t>点行业企业地块的风险筛查与风险分级的技术要求。</w:t>
      </w:r>
    </w:p>
    <w:p>
      <w:pPr>
        <w:pStyle w:val="BodyText"/>
        <w:spacing w:before="291" w:line="411" w:lineRule="auto"/>
        <w:ind w:left="17" w:right="96" w:firstLine="580"/>
      </w:pPr>
      <w:r>
        <w:rPr>
          <w:spacing w:val="-4"/>
        </w:rPr>
        <w:t>然而，仅仅基于风险进行污染场地分级分类管理，决</w:t>
      </w:r>
      <w:r>
        <w:rPr>
          <w:spacing w:val="-5"/>
        </w:rPr>
        <w:t>策过程缺乏</w:t>
      </w:r>
      <w:r>
        <w:t xml:space="preserve"> </w:t>
      </w:r>
      <w:r>
        <w:rPr>
          <w:spacing w:val="-3"/>
        </w:rPr>
        <w:t>对环境、社会、经济等多维度的系统全面考量。污染场</w:t>
      </w:r>
      <w:r>
        <w:rPr>
          <w:spacing w:val="-4"/>
        </w:rPr>
        <w:t>地风险管理过</w:t>
      </w:r>
      <w:r>
        <w:t xml:space="preserve"> </w:t>
      </w:r>
      <w:r>
        <w:rPr>
          <w:spacing w:val="1"/>
        </w:rPr>
        <w:t>程的可持续思想仅在《污染地块绿色可持续修复通则》（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spacing w:val="1"/>
        </w:rPr>
        <w:t>／</w:t>
      </w:r>
      <w:r>
        <w:rPr>
          <w:rFonts w:ascii="Times New Roman" w:eastAsia="Times New Roman" w:hAnsi="Times New Roman" w:cs="Times New Roman"/>
        </w:rPr>
        <w:t>CAEPI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26-2020</w:t>
      </w:r>
      <w:r>
        <w:rPr>
          <w:spacing w:val="1"/>
        </w:rPr>
        <w:t>）</w:t>
      </w:r>
      <w:r>
        <w:rPr>
          <w:spacing w:val="-81"/>
        </w:rPr>
        <w:t xml:space="preserve"> </w:t>
      </w:r>
      <w:r>
        <w:rPr>
          <w:spacing w:val="1"/>
        </w:rPr>
        <w:t>中有所体现。综上所述，纳入经济、社会等可持续发</w:t>
      </w:r>
      <w:r>
        <w:t>展因</w:t>
      </w:r>
      <w:r>
        <w:t xml:space="preserve"> </w:t>
      </w:r>
      <w:r>
        <w:rPr>
          <w:spacing w:val="-3"/>
        </w:rPr>
        <w:t>素的风险管控区划制度尚未成型，现阶段国家和地方暂</w:t>
      </w:r>
      <w:r>
        <w:rPr>
          <w:spacing w:val="-4"/>
        </w:rPr>
        <w:t>无发布或公开</w:t>
      </w:r>
    </w:p>
    <w:p>
      <w:pPr>
        <w:pStyle w:val="BodyText"/>
        <w:spacing w:before="2" w:line="222" w:lineRule="auto"/>
        <w:ind w:left="31"/>
      </w:pPr>
      <w:r>
        <w:rPr>
          <w:spacing w:val="-2"/>
        </w:rPr>
        <w:t>征求意见的技术标准。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6"/>
      </w:pPr>
      <w:r>
        <w:rPr>
          <w:rFonts w:ascii="Times New Roman" w:eastAsia="Times New Roman" w:hAnsi="Times New Roman" w:cs="Times New Roman"/>
          <w:spacing w:val="-5"/>
        </w:rPr>
        <w:t>4.2.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 </w:t>
      </w:r>
      <w:r>
        <w:rPr>
          <w:spacing w:val="-5"/>
        </w:rPr>
        <w:t>国外相关标准概况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33" w:right="93" w:firstLine="554"/>
        <w:jc w:val="both"/>
        <w:sectPr>
          <w:footerReference w:type="default" r:id="rId12"/>
          <w:pgSz w:w="11906" w:h="16839"/>
          <w:pgMar w:top="1431" w:right="1700" w:bottom="1378" w:left="1785" w:header="0" w:footer="1212" w:gutter="0"/>
          <w:pgNumType w:start="9"/>
          <w:cols w:space="708"/>
        </w:sectPr>
      </w:pPr>
      <w:r>
        <w:rPr>
          <w:spacing w:val="-4"/>
        </w:rPr>
        <w:t>从发达国家污染场地风险管控管理历程来看，美国、英国、加拿</w:t>
      </w:r>
      <w:r>
        <w:rPr>
          <w:spacing w:val="7"/>
        </w:rPr>
        <w:t xml:space="preserve"> </w:t>
      </w:r>
      <w:r>
        <w:rPr>
          <w:spacing w:val="-4"/>
        </w:rPr>
        <w:t>大等发达国家已经在法律法规、技术标准、监管制度、资金支持及运</w:t>
      </w:r>
    </w:p>
    <w:p>
      <w:pPr>
        <w:pStyle w:val="BodyText"/>
        <w:spacing w:before="1" w:line="221" w:lineRule="auto"/>
        <w:ind w:left="32"/>
      </w:pPr>
      <w:r>
        <w:rPr>
          <w:spacing w:val="-4"/>
        </w:rPr>
        <w:t>行机制方面形成了比较完善的污染地块风险管理体系，制定了较为精</w:t>
      </w:r>
    </w:p>
    <w:p>
      <w:pPr>
        <w:spacing w:line="221" w:lineRule="auto"/>
        <w:sectPr>
          <w:footerReference w:type="default" r:id="rId13"/>
          <w:type w:val="nextPage"/>
          <w:pgSz w:w="11906" w:h="16839"/>
          <w:pgMar w:top="1431" w:right="1700" w:bottom="1378" w:left="1785" w:header="0" w:footer="1212" w:gutter="0"/>
          <w:pgNumType w:start="10"/>
          <w:cols w:space="708"/>
          <w:titlePg w:val="0"/>
        </w:sectPr>
      </w:pPr>
    </w:p>
    <w:p>
      <w:pPr>
        <w:pStyle w:val="BodyText"/>
        <w:spacing w:before="181" w:line="624" w:lineRule="exact"/>
        <w:ind w:left="35"/>
      </w:pPr>
      <w:r>
        <w:rPr>
          <w:spacing w:val="-4"/>
          <w:position w:val="26"/>
        </w:rPr>
        <w:t>细化的污染场地风险筛查与风险等级划分技术体系，并广泛应用于污</w:t>
      </w:r>
    </w:p>
    <w:p>
      <w:pPr>
        <w:pStyle w:val="BodyText"/>
        <w:spacing w:before="1" w:line="222" w:lineRule="auto"/>
        <w:ind w:left="33"/>
      </w:pPr>
      <w:r>
        <w:rPr>
          <w:spacing w:val="-3"/>
        </w:rPr>
        <w:t>染场地修复决策过程。</w:t>
      </w:r>
    </w:p>
    <w:p>
      <w:pPr>
        <w:pStyle w:val="BodyText"/>
        <w:spacing w:before="286" w:line="224" w:lineRule="auto"/>
        <w:ind w:left="589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）美国</w:t>
      </w:r>
    </w:p>
    <w:p>
      <w:pPr>
        <w:pStyle w:val="BodyText"/>
        <w:spacing w:before="291" w:line="411" w:lineRule="auto"/>
        <w:ind w:left="21" w:firstLine="572"/>
      </w:pPr>
      <w:r>
        <w:rPr>
          <w:spacing w:val="-5"/>
        </w:rPr>
        <w:t>美国是最早实行污染场地风险分级管理的国家，其污染场地管理</w:t>
      </w:r>
      <w:r>
        <w:rPr>
          <w:spacing w:val="-5"/>
        </w:rPr>
        <w:t xml:space="preserve"> </w:t>
      </w:r>
      <w:r>
        <w:rPr>
          <w:spacing w:val="-4"/>
        </w:rPr>
        <w:t>体系主要依赖于两个重要的法律框架，《综合环境回应、补偿和责任</w:t>
      </w:r>
      <w:r>
        <w:rPr>
          <w:spacing w:val="-4"/>
        </w:rPr>
        <w:t xml:space="preserve"> </w:t>
      </w:r>
      <w:r>
        <w:rPr>
          <w:spacing w:val="-20"/>
        </w:rPr>
        <w:t>法案》（</w:t>
      </w:r>
      <w:r>
        <w:rPr>
          <w:rFonts w:ascii="Times New Roman" w:eastAsia="Times New Roman" w:hAnsi="Times New Roman" w:cs="Times New Roman"/>
          <w:spacing w:val="-20"/>
        </w:rPr>
        <w:t>CERCLA</w:t>
      </w:r>
      <w:r>
        <w:rPr>
          <w:spacing w:val="-20"/>
        </w:rPr>
        <w:t>，</w:t>
      </w:r>
      <w:r>
        <w:rPr>
          <w:rFonts w:ascii="Times New Roman" w:eastAsia="Times New Roman" w:hAnsi="Times New Roman" w:cs="Times New Roman"/>
          <w:spacing w:val="-20"/>
        </w:rPr>
        <w:t>“</w:t>
      </w:r>
      <w:r>
        <w:rPr>
          <w:rFonts w:ascii="Times New Roman" w:eastAsia="Times New Roman" w:hAnsi="Times New Roman" w:cs="Times New Roman"/>
          <w:spacing w:val="-42"/>
        </w:rPr>
        <w:t xml:space="preserve"> </w:t>
      </w:r>
      <w:r>
        <w:rPr>
          <w:spacing w:val="-20"/>
        </w:rPr>
        <w:t>超基金法案</w:t>
      </w:r>
      <w:r>
        <w:rPr>
          <w:rFonts w:ascii="Times New Roman" w:eastAsia="Times New Roman" w:hAnsi="Times New Roman" w:cs="Times New Roman"/>
          <w:spacing w:val="-20"/>
        </w:rPr>
        <w:t>”</w:t>
      </w:r>
      <w:r>
        <w:rPr>
          <w:spacing w:val="-20"/>
        </w:rPr>
        <w:t>）和《危险废物管理法案》（</w:t>
      </w:r>
      <w:r>
        <w:rPr>
          <w:rFonts w:ascii="Times New Roman" w:eastAsia="Times New Roman" w:hAnsi="Times New Roman" w:cs="Times New Roman"/>
          <w:spacing w:val="-20"/>
        </w:rPr>
        <w:t>RCRA</w:t>
      </w:r>
      <w:r>
        <w:rPr>
          <w:spacing w:val="-20"/>
        </w:rPr>
        <w:t>）。</w:t>
      </w:r>
      <w:r>
        <w:t xml:space="preserve"> </w:t>
      </w:r>
      <w:r>
        <w:rPr>
          <w:spacing w:val="-4"/>
        </w:rPr>
        <w:t>在有效的法律保障下，美国政府又制定了一系列技术规范和指南，为</w:t>
      </w:r>
      <w:r>
        <w:rPr>
          <w:spacing w:val="-4"/>
        </w:rPr>
        <w:t xml:space="preserve"> </w:t>
      </w:r>
      <w:r>
        <w:rPr>
          <w:spacing w:val="-4"/>
        </w:rPr>
        <w:t>土壤污染防治过程中环境管理机制的落实提供技术依据，规范和指导</w:t>
      </w:r>
      <w:r>
        <w:rPr>
          <w:spacing w:val="-4"/>
        </w:rPr>
        <w:t xml:space="preserve"> </w:t>
      </w:r>
      <w:r>
        <w:rPr>
          <w:spacing w:val="-4"/>
        </w:rPr>
        <w:t>场地环境调查、风险评估和棕地修复等行为。其中，《超级基金场地</w:t>
      </w:r>
      <w:r>
        <w:rPr>
          <w:spacing w:val="-4"/>
        </w:rPr>
        <w:t xml:space="preserve"> </w:t>
      </w:r>
      <w:r>
        <w:rPr>
          <w:spacing w:val="-1"/>
        </w:rPr>
        <w:t>土壤筛选导则》（</w:t>
      </w:r>
      <w:r>
        <w:rPr>
          <w:rFonts w:ascii="Times New Roman" w:eastAsia="Times New Roman" w:hAnsi="Times New Roman" w:cs="Times New Roman"/>
          <w:spacing w:val="-1"/>
        </w:rPr>
        <w:t>Soil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Screening Guidance /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SSG</w:t>
      </w:r>
      <w:r>
        <w:rPr>
          <w:spacing w:val="-1"/>
        </w:rPr>
        <w:t>）、《超级基金场地</w:t>
      </w:r>
      <w:r>
        <w:rPr>
          <w:spacing w:val="-1"/>
        </w:rPr>
        <w:t xml:space="preserve"> </w:t>
      </w:r>
      <w:r>
        <w:rPr>
          <w:spacing w:val="3"/>
        </w:rPr>
        <w:t>化学污染物区域筛选水平》（</w:t>
      </w:r>
      <w:r>
        <w:rPr>
          <w:rFonts w:ascii="Times New Roman" w:eastAsia="Times New Roman" w:hAnsi="Times New Roman" w:cs="Times New Roman"/>
        </w:rPr>
        <w:t>Regional</w:t>
      </w:r>
      <w:r>
        <w:rPr>
          <w:rFonts w:ascii="Times New Roman" w:eastAsia="Times New Roman" w:hAnsi="Times New Roman" w:cs="Times New Roman"/>
          <w:spacing w:val="33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Screening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Levels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Chemical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>Contaminants at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Superfund Sites/RSLs</w:t>
      </w:r>
      <w:r>
        <w:rPr>
          <w:spacing w:val="-1"/>
        </w:rPr>
        <w:t>）、《基于风险的矫正行动标准</w:t>
      </w:r>
      <w:r>
        <w:rPr>
          <w:spacing w:val="-1"/>
        </w:rPr>
        <w:t xml:space="preserve"> </w:t>
      </w:r>
      <w:r>
        <w:rPr>
          <w:spacing w:val="-4"/>
        </w:rPr>
        <w:t>导则》（</w:t>
      </w:r>
      <w:r>
        <w:rPr>
          <w:rFonts w:ascii="Times New Roman" w:eastAsia="Times New Roman" w:hAnsi="Times New Roman" w:cs="Times New Roman"/>
          <w:spacing w:val="-4"/>
        </w:rPr>
        <w:t>Stand Guide for Risk-Based Corrective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Action/ASTM E-2081</w:t>
      </w:r>
      <w:r>
        <w:rPr>
          <w:spacing w:val="-4"/>
        </w:rPr>
        <w:t>）、</w:t>
      </w:r>
      <w:r>
        <w:t xml:space="preserve"> </w:t>
      </w:r>
      <w:r>
        <w:rPr>
          <w:spacing w:val="-4"/>
        </w:rPr>
        <w:t>《超级基金场地健康风险评估手册》和《暴露因子手册》等标准为场</w:t>
      </w:r>
      <w:r>
        <w:rPr>
          <w:spacing w:val="-4"/>
        </w:rPr>
        <w:t xml:space="preserve"> </w:t>
      </w:r>
      <w:r>
        <w:rPr>
          <w:spacing w:val="6"/>
        </w:rPr>
        <w:t>地管理者确定基于风险和特定场地背景的土壤筛选水平提供了分层</w:t>
      </w:r>
    </w:p>
    <w:p>
      <w:pPr>
        <w:pStyle w:val="BodyText"/>
        <w:spacing w:line="221" w:lineRule="auto"/>
        <w:ind w:left="30"/>
      </w:pPr>
      <w:r>
        <w:rPr>
          <w:spacing w:val="-3"/>
        </w:rPr>
        <w:t>次的管理框架。</w:t>
      </w:r>
    </w:p>
    <w:p>
      <w:pPr>
        <w:pStyle w:val="BodyText"/>
        <w:spacing w:before="291" w:line="411" w:lineRule="auto"/>
        <w:ind w:left="17" w:right="102" w:firstLine="585"/>
        <w:sectPr>
          <w:footerReference w:type="default" r:id="rId14"/>
          <w:pgSz w:w="11906" w:h="16839"/>
          <w:pgMar w:top="1431" w:right="1693" w:bottom="1376" w:left="1785" w:header="0" w:footer="1212" w:gutter="0"/>
          <w:pgNumType w:start="11"/>
          <w:cols w:space="708"/>
        </w:sectPr>
      </w:pPr>
      <w:r>
        <w:rPr>
          <w:spacing w:val="-4"/>
        </w:rPr>
        <w:t>受资金、资源、人力、时间等因素限制，为</w:t>
      </w:r>
      <w:r>
        <w:rPr>
          <w:spacing w:val="-5"/>
        </w:rPr>
        <w:t>使更多的受污染土地</w:t>
      </w:r>
      <w:r>
        <w:t xml:space="preserve"> </w:t>
      </w:r>
      <w:r>
        <w:rPr>
          <w:spacing w:val="-5"/>
        </w:rPr>
        <w:t>得到及时治理，美国建立了国家优先控制场地名录（</w:t>
      </w:r>
      <w:r>
        <w:rPr>
          <w:rFonts w:ascii="Times New Roman" w:eastAsia="Times New Roman" w:hAnsi="Times New Roman" w:cs="Times New Roman"/>
          <w:spacing w:val="-5"/>
        </w:rPr>
        <w:t>National Priorities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</w:rPr>
        <w:t>List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，</w:t>
      </w:r>
      <w:r>
        <w:rPr>
          <w:rFonts w:ascii="Times New Roman" w:eastAsia="Times New Roman" w:hAnsi="Times New Roman" w:cs="Times New Roman"/>
        </w:rPr>
        <w:t>NPL</w:t>
      </w:r>
      <w:r>
        <w:rPr>
          <w:spacing w:val="10"/>
        </w:rPr>
        <w:t>），</w:t>
      </w:r>
      <w:r>
        <w:t>有助于污染地块修复优先性排序，确定哪个场地需要</w:t>
      </w:r>
      <w:r>
        <w:t xml:space="preserve"> </w:t>
      </w:r>
      <w:r>
        <w:rPr>
          <w:spacing w:val="-3"/>
        </w:rPr>
        <w:t>深入调查。污染地块被列入国家优先控制场地名录的主</w:t>
      </w:r>
      <w:r>
        <w:rPr>
          <w:spacing w:val="-4"/>
        </w:rPr>
        <w:t>要判别依据是</w:t>
      </w:r>
      <w:r>
        <w:t xml:space="preserve"> </w:t>
      </w:r>
      <w:r>
        <w:t>危害排序系统（</w:t>
      </w:r>
      <w:r>
        <w:rPr>
          <w:rFonts w:ascii="Times New Roman" w:eastAsia="Times New Roman" w:hAnsi="Times New Roman" w:cs="Times New Roman"/>
        </w:rPr>
        <w:t>Hazard Ranking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System / HRS</w:t>
      </w:r>
      <w:r>
        <w:rPr>
          <w:spacing w:val="21"/>
        </w:rPr>
        <w:t>），</w:t>
      </w:r>
      <w:r>
        <w:t>利用初步场地评估</w:t>
      </w:r>
    </w:p>
    <w:p>
      <w:pPr>
        <w:pStyle w:val="BodyText"/>
        <w:spacing w:line="220" w:lineRule="auto"/>
        <w:ind w:left="46"/>
      </w:pPr>
      <w:r>
        <w:rPr>
          <w:spacing w:val="-4"/>
        </w:rPr>
        <w:t>的有限信息评估该场地对人类健康和周边环境的潜在威胁</w:t>
      </w:r>
      <w:r>
        <w:rPr>
          <w:spacing w:val="-5"/>
        </w:rPr>
        <w:t>。基本操作</w:t>
      </w:r>
    </w:p>
    <w:p>
      <w:pPr>
        <w:spacing w:line="220" w:lineRule="auto"/>
        <w:sectPr>
          <w:footerReference w:type="default" r:id="rId15"/>
          <w:type w:val="nextPage"/>
          <w:pgSz w:w="11906" w:h="16839"/>
          <w:pgMar w:top="1431" w:right="1693" w:bottom="1376" w:left="1785" w:header="0" w:footer="1212" w:gutter="0"/>
          <w:pgNumType w:start="12"/>
          <w:cols w:space="708"/>
          <w:titlePg w:val="0"/>
        </w:sectPr>
      </w:pPr>
    </w:p>
    <w:p>
      <w:pPr>
        <w:pStyle w:val="BodyText"/>
        <w:spacing w:before="185" w:line="411" w:lineRule="auto"/>
        <w:ind w:left="29" w:firstLine="3"/>
      </w:pPr>
      <w:r>
        <w:rPr>
          <w:spacing w:val="-5"/>
        </w:rPr>
        <w:t>程序为：首先通过现场调查初步评价污染状况并将信息录入超级基金</w:t>
      </w:r>
      <w:r>
        <w:rPr>
          <w:spacing w:val="-5"/>
        </w:rPr>
        <w:t xml:space="preserve">  </w:t>
      </w:r>
      <w:r>
        <w:rPr>
          <w:spacing w:val="-5"/>
        </w:rPr>
        <w:t>信息系统；然后通过危害排序系统判定土壤污染程度，评估场地对人</w:t>
      </w:r>
      <w:r>
        <w:rPr>
          <w:spacing w:val="-5"/>
        </w:rPr>
        <w:t xml:space="preserve">  </w:t>
      </w:r>
      <w:r>
        <w:rPr>
          <w:spacing w:val="-5"/>
        </w:rPr>
        <w:t>体和环境的危害程度，对于经判定后仍需开展</w:t>
      </w:r>
      <w:r>
        <w:rPr>
          <w:spacing w:val="-6"/>
        </w:rPr>
        <w:t>进一步详细评估的场址，</w:t>
      </w:r>
      <w:r>
        <w:t xml:space="preserve"> </w:t>
      </w:r>
      <w:r>
        <w:rPr>
          <w:spacing w:val="-5"/>
        </w:rPr>
        <w:t>列入优先修复名录；随后对优先修复名单上的场地按照场地环境详细</w:t>
      </w:r>
      <w:r>
        <w:rPr>
          <w:spacing w:val="-5"/>
        </w:rPr>
        <w:t xml:space="preserve">  </w:t>
      </w:r>
      <w:r>
        <w:rPr>
          <w:spacing w:val="-5"/>
        </w:rPr>
        <w:t>调查、修复方案设计与可行性研究、工程施工、竣工验收、污染修复</w:t>
      </w:r>
      <w:r>
        <w:rPr>
          <w:spacing w:val="-5"/>
        </w:rPr>
        <w:t xml:space="preserve">  </w:t>
      </w:r>
      <w:r>
        <w:rPr>
          <w:spacing w:val="-4"/>
        </w:rPr>
        <w:t>设施运行与维护等流程操作，验收合格的地块将从优先修复名录上除</w:t>
      </w:r>
    </w:p>
    <w:p>
      <w:pPr>
        <w:pStyle w:val="BodyText"/>
        <w:spacing w:before="1" w:line="220" w:lineRule="auto"/>
        <w:ind w:left="31"/>
      </w:pPr>
      <w:r>
        <w:rPr>
          <w:spacing w:val="2"/>
        </w:rPr>
        <w:t>名。</w:t>
      </w:r>
      <w:r>
        <w:rPr>
          <w:rFonts w:ascii="Times New Roman" w:eastAsia="Times New Roman" w:hAnsi="Times New Roman" w:cs="Times New Roman"/>
        </w:rPr>
        <w:t>HRS</w:t>
      </w:r>
      <w:r>
        <w:rPr>
          <w:rFonts w:ascii="Times New Roman" w:eastAsia="Times New Roman" w:hAnsi="Times New Roman" w:cs="Times New Roman"/>
          <w:spacing w:val="56"/>
        </w:rPr>
        <w:t xml:space="preserve"> </w:t>
      </w:r>
      <w:r>
        <w:rPr>
          <w:spacing w:val="2"/>
        </w:rPr>
        <w:t>的评估标准基于两级指标，从地下水迁移、地表水迁移、</w:t>
      </w:r>
    </w:p>
    <w:p>
      <w:pPr>
        <w:pStyle w:val="BodyText"/>
        <w:spacing w:before="291" w:line="411" w:lineRule="auto"/>
        <w:ind w:left="31" w:right="178" w:firstLine="2"/>
      </w:pPr>
      <w:r>
        <w:rPr>
          <w:spacing w:val="-2"/>
        </w:rPr>
        <w:t>土壤暴露情况和大气迁移四种迁移途径出发，分</w:t>
      </w:r>
      <w:r>
        <w:rPr>
          <w:spacing w:val="-3"/>
        </w:rPr>
        <w:t>别从释放的可能性、</w:t>
      </w:r>
      <w:r>
        <w:t xml:space="preserve"> </w:t>
      </w:r>
      <w:r>
        <w:rPr>
          <w:spacing w:val="-4"/>
        </w:rPr>
        <w:t>废弃物的特点和目标为场地赋值，再使用均方根方程法计算场地最后</w:t>
      </w:r>
      <w:r>
        <w:rPr>
          <w:spacing w:val="10"/>
        </w:rPr>
        <w:t xml:space="preserve"> </w:t>
      </w:r>
      <w:r>
        <w:rPr>
          <w:spacing w:val="2"/>
        </w:rPr>
        <w:t>评分，将评分大于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28.5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2"/>
        </w:rPr>
        <w:t>分的地块列入国家优先治理名录，否则没有</w:t>
      </w:r>
    </w:p>
    <w:p>
      <w:pPr>
        <w:pStyle w:val="BodyText"/>
        <w:spacing w:line="221" w:lineRule="auto"/>
        <w:ind w:left="34"/>
      </w:pPr>
      <w:r>
        <w:rPr>
          <w:spacing w:val="-2"/>
        </w:rPr>
        <w:t>必要采取进一步风险管控行动。</w:t>
      </w: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91" w:line="224" w:lineRule="auto"/>
        <w:ind w:left="529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spacing w:val="-4"/>
        </w:rPr>
        <w:t>）英国</w:t>
      </w:r>
    </w:p>
    <w:p>
      <w:pPr>
        <w:pStyle w:val="BodyText"/>
        <w:spacing w:before="232" w:line="411" w:lineRule="auto"/>
        <w:ind w:left="30" w:right="219" w:firstLine="559"/>
        <w:sectPr>
          <w:footerReference w:type="default" r:id="rId16"/>
          <w:pgSz w:w="11906" w:h="16839"/>
          <w:pgMar w:top="1431" w:right="1574" w:bottom="1378" w:left="1785" w:header="0" w:footer="1212" w:gutter="0"/>
          <w:pgNumType w:start="13"/>
          <w:cols w:space="708"/>
        </w:sectPr>
      </w:pPr>
      <w:r>
        <w:rPr>
          <w:spacing w:val="-16"/>
        </w:rPr>
        <w:t>英</w:t>
      </w:r>
      <w:r>
        <w:rPr>
          <w:spacing w:val="-16"/>
        </w:rPr>
        <w:t xml:space="preserve"> </w:t>
      </w:r>
      <w:r>
        <w:rPr>
          <w:spacing w:val="-16"/>
        </w:rPr>
        <w:t>国</w:t>
      </w:r>
      <w:r>
        <w:rPr>
          <w:spacing w:val="-42"/>
        </w:rPr>
        <w:t xml:space="preserve"> </w:t>
      </w:r>
      <w:r>
        <w:rPr>
          <w:spacing w:val="-16"/>
        </w:rPr>
        <w:t>于</w:t>
      </w:r>
      <w:r>
        <w:rPr>
          <w:spacing w:val="34"/>
        </w:rPr>
        <w:t xml:space="preserve"> </w:t>
      </w:r>
      <w:r>
        <w:rPr>
          <w:rFonts w:ascii="Times New Roman" w:eastAsia="Times New Roman" w:hAnsi="Times New Roman" w:cs="Times New Roman"/>
          <w:spacing w:val="-16"/>
        </w:rPr>
        <w:t xml:space="preserve">1990   </w:t>
      </w:r>
      <w:r>
        <w:rPr>
          <w:spacing w:val="-16"/>
        </w:rPr>
        <w:t>年</w:t>
      </w:r>
      <w:r>
        <w:rPr>
          <w:spacing w:val="-48"/>
        </w:rPr>
        <w:t xml:space="preserve"> </w:t>
      </w:r>
      <w:r>
        <w:rPr>
          <w:spacing w:val="-16"/>
        </w:rPr>
        <w:t>颁</w:t>
      </w:r>
      <w:r>
        <w:rPr>
          <w:spacing w:val="-45"/>
        </w:rPr>
        <w:t xml:space="preserve"> </w:t>
      </w:r>
      <w:r>
        <w:rPr>
          <w:spacing w:val="-16"/>
        </w:rPr>
        <w:t>布</w:t>
      </w:r>
      <w:r>
        <w:rPr>
          <w:spacing w:val="-16"/>
        </w:rPr>
        <w:t xml:space="preserve"> </w:t>
      </w:r>
      <w:r>
        <w:rPr>
          <w:spacing w:val="-16"/>
        </w:rPr>
        <w:t>了</w:t>
      </w:r>
      <w:r>
        <w:rPr>
          <w:spacing w:val="-65"/>
        </w:rPr>
        <w:t xml:space="preserve"> </w:t>
      </w:r>
      <w:r>
        <w:rPr>
          <w:spacing w:val="-16"/>
        </w:rPr>
        <w:t>《</w:t>
      </w:r>
      <w:r>
        <w:rPr>
          <w:spacing w:val="-16"/>
        </w:rPr>
        <w:t xml:space="preserve"> </w:t>
      </w:r>
      <w:r>
        <w:rPr>
          <w:spacing w:val="-16"/>
        </w:rPr>
        <w:t>环</w:t>
      </w:r>
      <w:r>
        <w:rPr>
          <w:spacing w:val="-44"/>
        </w:rPr>
        <w:t xml:space="preserve"> </w:t>
      </w:r>
      <w:r>
        <w:rPr>
          <w:spacing w:val="-16"/>
        </w:rPr>
        <w:t>境</w:t>
      </w:r>
      <w:r>
        <w:rPr>
          <w:spacing w:val="-49"/>
        </w:rPr>
        <w:t xml:space="preserve"> </w:t>
      </w:r>
      <w:r>
        <w:rPr>
          <w:spacing w:val="-16"/>
        </w:rPr>
        <w:t>保</w:t>
      </w:r>
      <w:r>
        <w:rPr>
          <w:spacing w:val="-48"/>
        </w:rPr>
        <w:t xml:space="preserve"> </w:t>
      </w:r>
      <w:r>
        <w:rPr>
          <w:spacing w:val="-16"/>
        </w:rPr>
        <w:t>护</w:t>
      </w:r>
      <w:r>
        <w:rPr>
          <w:spacing w:val="-41"/>
        </w:rPr>
        <w:t xml:space="preserve"> </w:t>
      </w:r>
      <w:r>
        <w:rPr>
          <w:spacing w:val="-16"/>
        </w:rPr>
        <w:t>法</w:t>
      </w:r>
      <w:r>
        <w:rPr>
          <w:spacing w:val="-46"/>
        </w:rPr>
        <w:t xml:space="preserve"> </w:t>
      </w:r>
      <w:r>
        <w:rPr>
          <w:spacing w:val="-16"/>
        </w:rPr>
        <w:t>案</w:t>
      </w:r>
      <w:r>
        <w:rPr>
          <w:spacing w:val="-42"/>
        </w:rPr>
        <w:t xml:space="preserve"> </w:t>
      </w:r>
      <w:r>
        <w:rPr>
          <w:spacing w:val="-16"/>
        </w:rPr>
        <w:t>》</w:t>
      </w:r>
      <w:r>
        <w:rPr>
          <w:spacing w:val="-34"/>
        </w:rPr>
        <w:t xml:space="preserve"> </w:t>
      </w:r>
      <w:r>
        <w:rPr>
          <w:spacing w:val="-16"/>
        </w:rPr>
        <w:t>第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-16"/>
        </w:rPr>
        <w:t>2A</w:t>
      </w:r>
      <w:r>
        <w:rPr>
          <w:rFonts w:ascii="Times New Roman" w:eastAsia="Times New Roman" w:hAnsi="Times New Roman" w:cs="Times New Roman"/>
          <w:spacing w:val="-17"/>
        </w:rPr>
        <w:t xml:space="preserve">    </w:t>
      </w:r>
      <w:r>
        <w:rPr>
          <w:spacing w:val="-17"/>
        </w:rPr>
        <w:t>部</w:t>
      </w:r>
      <w:r>
        <w:rPr>
          <w:spacing w:val="-46"/>
        </w:rPr>
        <w:t xml:space="preserve"> </w:t>
      </w:r>
      <w:r>
        <w:rPr>
          <w:spacing w:val="-17"/>
        </w:rPr>
        <w:t>分</w:t>
      </w:r>
      <w:r>
        <w:t xml:space="preserve"> 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Environmental Protec</w:t>
      </w:r>
      <w:r>
        <w:rPr>
          <w:rFonts w:ascii="Times New Roman" w:eastAsia="Times New Roman" w:hAnsi="Times New Roman" w:cs="Times New Roman"/>
          <w:spacing w:val="-2"/>
        </w:rPr>
        <w:t>tion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Act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1990: Part 2A</w:t>
      </w:r>
      <w:r>
        <w:rPr>
          <w:spacing w:val="-3"/>
        </w:rPr>
        <w:t>），</w:t>
      </w:r>
      <w:r>
        <w:rPr>
          <w:spacing w:val="-2"/>
        </w:rPr>
        <w:t>为土壤污染鉴定及恢</w:t>
      </w:r>
      <w:r>
        <w:t xml:space="preserve"> </w:t>
      </w:r>
      <w:r>
        <w:rPr>
          <w:spacing w:val="-4"/>
        </w:rPr>
        <w:t>复整治提供了依据，并明确了污染地块的定义，将风险评估的思想纳</w:t>
      </w:r>
      <w:r>
        <w:rPr>
          <w:spacing w:val="11"/>
        </w:rPr>
        <w:t xml:space="preserve"> </w:t>
      </w:r>
      <w:r>
        <w:rPr>
          <w:spacing w:val="-4"/>
        </w:rPr>
        <w:t>入土壤污染防治。基于此，英国对污染地块管理采取从污染地块识别</w:t>
      </w:r>
      <w:r>
        <w:rPr>
          <w:spacing w:val="11"/>
        </w:rPr>
        <w:t xml:space="preserve"> </w:t>
      </w:r>
      <w:r>
        <w:rPr>
          <w:spacing w:val="-4"/>
        </w:rPr>
        <w:t>到治理行动实施全过程的风险管理，并积极鼓励当地社会群体尽早参</w:t>
      </w:r>
      <w:r>
        <w:rPr>
          <w:spacing w:val="14"/>
        </w:rPr>
        <w:t xml:space="preserve"> </w:t>
      </w:r>
      <w:r>
        <w:rPr>
          <w:spacing w:val="-4"/>
        </w:rPr>
        <w:t>与整个决策过程。在污染地块识别阶段，英国土壤污染防治技术指南</w:t>
      </w:r>
      <w:r>
        <w:rPr>
          <w:spacing w:val="11"/>
        </w:rPr>
        <w:t xml:space="preserve"> </w:t>
      </w:r>
      <w:r>
        <w:rPr>
          <w:spacing w:val="-4"/>
        </w:rPr>
        <w:t>建议对人类和生态系统进行基于风险的分阶段评估和管理。第一阶段</w:t>
      </w:r>
      <w:r>
        <w:rPr>
          <w:spacing w:val="11"/>
        </w:rPr>
        <w:t xml:space="preserve"> </w:t>
      </w:r>
      <w:r>
        <w:rPr>
          <w:spacing w:val="-4"/>
        </w:rPr>
        <w:t>基于场地相关资料和现场踏勘开发特定场地概念模型，确定潜在污染</w:t>
      </w:r>
      <w:r>
        <w:rPr>
          <w:spacing w:val="11"/>
        </w:rPr>
        <w:t xml:space="preserve"> </w:t>
      </w:r>
      <w:r>
        <w:rPr>
          <w:spacing w:val="-4"/>
        </w:rPr>
        <w:t>物、暴露途径和受体之间的关联。第二阶段采用污染地块暴露评估模</w:t>
      </w:r>
    </w:p>
    <w:p>
      <w:pPr>
        <w:pStyle w:val="BodyText"/>
        <w:spacing w:before="1" w:line="220" w:lineRule="auto"/>
        <w:ind w:left="43"/>
      </w:pPr>
      <w:r>
        <w:rPr>
          <w:spacing w:val="-3"/>
        </w:rPr>
        <w:t>型估算暴露风险及土壤指导值（</w:t>
      </w:r>
      <w:r>
        <w:rPr>
          <w:rFonts w:ascii="Times New Roman" w:eastAsia="Times New Roman" w:hAnsi="Times New Roman" w:cs="Times New Roman"/>
          <w:spacing w:val="-3"/>
        </w:rPr>
        <w:t>Soil Guideline Values /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SGVs</w:t>
      </w:r>
      <w:r>
        <w:rPr>
          <w:spacing w:val="-4"/>
        </w:rPr>
        <w:t>），</w:t>
      </w:r>
      <w:r>
        <w:rPr>
          <w:spacing w:val="-3"/>
        </w:rPr>
        <w:t>判断</w:t>
      </w:r>
    </w:p>
    <w:p>
      <w:pPr>
        <w:spacing w:line="220" w:lineRule="auto"/>
        <w:sectPr>
          <w:footerReference w:type="default" r:id="rId17"/>
          <w:type w:val="nextPage"/>
          <w:pgSz w:w="11906" w:h="16839"/>
          <w:pgMar w:top="1431" w:right="1574" w:bottom="1378" w:left="1785" w:header="0" w:footer="1212" w:gutter="0"/>
          <w:pgNumType w:start="14"/>
          <w:cols w:space="708"/>
          <w:titlePg w:val="0"/>
        </w:sectPr>
      </w:pPr>
    </w:p>
    <w:p>
      <w:pPr>
        <w:pStyle w:val="BodyText"/>
        <w:spacing w:before="184" w:line="411" w:lineRule="auto"/>
        <w:ind w:left="20" w:right="193" w:firstLine="11"/>
        <w:jc w:val="both"/>
        <w:rPr>
          <w:rFonts w:ascii="Times New Roman" w:eastAsia="Times New Roman" w:hAnsi="Times New Roman" w:cs="Times New Roman"/>
        </w:rPr>
      </w:pPr>
      <w:r>
        <w:rPr>
          <w:spacing w:val="-4"/>
        </w:rPr>
        <w:t>是否采取进一步评估或修复行动，同时可排列污染地块优先次序。第</w:t>
      </w:r>
      <w:r>
        <w:rPr>
          <w:spacing w:val="10"/>
        </w:rPr>
        <w:t xml:space="preserve"> </w:t>
      </w:r>
      <w:r>
        <w:rPr>
          <w:spacing w:val="-3"/>
        </w:rPr>
        <w:t>三阶段为详细的定量风险评估，确定场地污染的</w:t>
      </w:r>
      <w:r>
        <w:rPr>
          <w:spacing w:val="-4"/>
        </w:rPr>
        <w:t>严重程度和进行修复</w:t>
      </w:r>
      <w:r>
        <w:t xml:space="preserve"> </w:t>
      </w:r>
      <w:r>
        <w:rPr>
          <w:spacing w:val="4"/>
        </w:rPr>
        <w:t>的时间，指导文件包括《</w:t>
      </w:r>
      <w:r>
        <w:rPr>
          <w:rFonts w:ascii="Times New Roman" w:eastAsia="Times New Roman" w:hAnsi="Times New Roman" w:cs="Times New Roman"/>
        </w:rPr>
        <w:t>CLEA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4"/>
        </w:rPr>
        <w:t>模型技术背景更新文件</w:t>
      </w:r>
      <w:r>
        <w:rPr>
          <w:spacing w:val="3"/>
        </w:rPr>
        <w:t>》（</w:t>
      </w:r>
      <w:r>
        <w:rPr>
          <w:rFonts w:ascii="Times New Roman" w:eastAsia="Times New Roman" w:hAnsi="Times New Roman" w:cs="Times New Roman"/>
        </w:rPr>
        <w:t xml:space="preserve">Updated </w:t>
      </w:r>
      <w:r>
        <w:rPr>
          <w:rFonts w:ascii="Times New Roman" w:eastAsia="Times New Roman" w:hAnsi="Times New Roman" w:cs="Times New Roman"/>
          <w:spacing w:val="-3"/>
        </w:rPr>
        <w:t>Technical Background to the CLEA Model/CLEA-SR3</w:t>
      </w:r>
      <w:r>
        <w:rPr>
          <w:spacing w:val="-3"/>
        </w:rPr>
        <w:t>）和《土壤污染物</w:t>
      </w:r>
      <w:r>
        <w:t xml:space="preserve"> </w:t>
      </w:r>
      <w:r>
        <w:rPr>
          <w:spacing w:val="27"/>
        </w:rPr>
        <w:t>的人体健康毒理评价》</w:t>
      </w:r>
      <w:r>
        <w:rPr>
          <w:spacing w:val="-72"/>
        </w:rPr>
        <w:t xml:space="preserve"> </w:t>
      </w:r>
      <w:r>
        <w:rPr>
          <w:spacing w:val="27"/>
        </w:rPr>
        <w:t>（</w:t>
      </w:r>
      <w:r>
        <w:rPr>
          <w:rFonts w:ascii="Times New Roman" w:eastAsia="Times New Roman" w:hAnsi="Times New Roman" w:cs="Times New Roman"/>
        </w:rPr>
        <w:t>Human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</w:rPr>
        <w:t>health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toxicological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assessment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</w:p>
    <w:p>
      <w:pPr>
        <w:pStyle w:val="BodyText"/>
        <w:spacing w:before="1" w:line="222" w:lineRule="auto"/>
        <w:ind w:left="21"/>
      </w:pPr>
      <w:r>
        <w:rPr>
          <w:rFonts w:ascii="Times New Roman" w:eastAsia="Times New Roman" w:hAnsi="Times New Roman" w:cs="Times New Roman"/>
          <w:spacing w:val="-1"/>
        </w:rPr>
        <w:t>contaminants in soil</w:t>
      </w:r>
      <w:r>
        <w:rPr>
          <w:spacing w:val="-1"/>
        </w:rPr>
        <w:t>）等标准。</w:t>
      </w:r>
    </w:p>
    <w:p>
      <w:pPr>
        <w:pStyle w:val="BodyText"/>
        <w:spacing w:before="289" w:line="411" w:lineRule="auto"/>
        <w:ind w:left="13" w:right="192" w:firstLine="578"/>
      </w:pPr>
      <w:r>
        <w:rPr>
          <w:spacing w:val="-4"/>
        </w:rPr>
        <w:t>在场地治理决策阶段，英国可持续修复论坛（</w:t>
      </w:r>
      <w:r>
        <w:rPr>
          <w:rFonts w:ascii="Times New Roman" w:eastAsia="Times New Roman" w:hAnsi="Times New Roman" w:cs="Times New Roman"/>
          <w:spacing w:val="-4"/>
        </w:rPr>
        <w:t>SuRF-UK</w:t>
      </w:r>
      <w:r>
        <w:rPr>
          <w:spacing w:val="-4"/>
        </w:rPr>
        <w:t>）主</w:t>
      </w:r>
      <w:r>
        <w:rPr>
          <w:spacing w:val="-5"/>
        </w:rPr>
        <w:t>张将</w:t>
      </w:r>
      <w:r>
        <w:t xml:space="preserve"> </w:t>
      </w:r>
      <w:r>
        <w:rPr>
          <w:spacing w:val="-2"/>
        </w:rPr>
        <w:t>可持续发展的理念贯穿于整个工程初始设计、实施和后期监测阶</w:t>
      </w:r>
      <w:r>
        <w:rPr>
          <w:spacing w:val="-3"/>
        </w:rPr>
        <w:t>段，</w:t>
      </w:r>
      <w:r>
        <w:t xml:space="preserve"> </w:t>
      </w:r>
      <w:r>
        <w:rPr>
          <w:spacing w:val="-3"/>
        </w:rPr>
        <w:t>配套政策立法和实践工程检验，形成了第一个完整的可持续修复</w:t>
      </w:r>
      <w:r>
        <w:rPr>
          <w:spacing w:val="-4"/>
        </w:rPr>
        <w:t>框架</w:t>
      </w:r>
      <w:r>
        <w:t xml:space="preserve"> </w:t>
      </w:r>
      <w:r>
        <w:rPr>
          <w:spacing w:val="4"/>
        </w:rPr>
        <w:t>和修复技术评估指标导则《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SuRF</w:t>
      </w:r>
      <w:r>
        <w:rPr>
          <w:rFonts w:ascii="Times New Roman" w:eastAsia="Times New Roman" w:hAnsi="Times New Roman" w:cs="Times New Roman"/>
          <w:spacing w:val="4"/>
        </w:rPr>
        <w:t>-</w:t>
      </w:r>
      <w:r>
        <w:rPr>
          <w:rFonts w:ascii="Times New Roman" w:eastAsia="Times New Roman" w:hAnsi="Times New Roman" w:cs="Times New Roman"/>
        </w:rPr>
        <w:t>UK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indicator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set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sustainable </w:t>
      </w:r>
      <w:r>
        <w:rPr>
          <w:rFonts w:ascii="Times New Roman" w:eastAsia="Times New Roman" w:hAnsi="Times New Roman" w:cs="Times New Roman"/>
        </w:rPr>
        <w:t>remediation assessment</w:t>
      </w:r>
      <w:r>
        <w:t>》，</w:t>
      </w:r>
      <w:r>
        <w:rPr>
          <w:spacing w:val="-67"/>
        </w:rPr>
        <w:t xml:space="preserve"> </w:t>
      </w:r>
      <w:r>
        <w:t>旨在</w:t>
      </w:r>
      <w:r>
        <w:rPr>
          <w:spacing w:val="-1"/>
        </w:rPr>
        <w:t>为污染土壤和地下水的可持续修复提</w:t>
      </w:r>
    </w:p>
    <w:p>
      <w:pPr>
        <w:pStyle w:val="BodyText"/>
        <w:spacing w:before="1" w:line="222" w:lineRule="auto"/>
        <w:ind w:left="31"/>
      </w:pPr>
      <w:r>
        <w:rPr>
          <w:spacing w:val="-3"/>
        </w:rPr>
        <w:t>供决策支撑。</w:t>
      </w:r>
    </w:p>
    <w:p>
      <w:pPr>
        <w:pStyle w:val="BodyText"/>
        <w:spacing w:before="285" w:line="222" w:lineRule="auto"/>
        <w:ind w:left="589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）荷兰</w:t>
      </w:r>
    </w:p>
    <w:p>
      <w:pPr>
        <w:pStyle w:val="BodyText"/>
        <w:spacing w:before="293" w:line="411" w:lineRule="auto"/>
        <w:ind w:left="13" w:firstLine="577"/>
        <w:sectPr>
          <w:footerReference w:type="default" r:id="rId18"/>
          <w:pgSz w:w="11906" w:h="16839"/>
          <w:pgMar w:top="1431" w:right="1574" w:bottom="1378" w:left="1785" w:header="0" w:footer="1212" w:gutter="0"/>
          <w:pgNumType w:start="15"/>
          <w:cols w:space="708"/>
        </w:sectPr>
      </w:pPr>
      <w:r>
        <w:rPr>
          <w:spacing w:val="4"/>
        </w:rPr>
        <w:t>荷兰是较早关注土壤污染防治并就土壤保护专门立法的欧洲发</w:t>
      </w:r>
      <w:r>
        <w:rPr>
          <w:spacing w:val="4"/>
        </w:rPr>
        <w:t xml:space="preserve">  </w:t>
      </w:r>
      <w:r>
        <w:rPr>
          <w:spacing w:val="-7"/>
        </w:rPr>
        <w:t>达国家之一。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1983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7"/>
        </w:rPr>
        <w:t>年的《土壤修复临时法》（</w:t>
      </w:r>
      <w:r>
        <w:rPr>
          <w:rFonts w:ascii="Times New Roman" w:eastAsia="Times New Roman" w:hAnsi="Times New Roman" w:cs="Times New Roman"/>
          <w:spacing w:val="-8"/>
        </w:rPr>
        <w:t>Interim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Soil Remediation    </w:t>
      </w:r>
      <w:r>
        <w:rPr>
          <w:rFonts w:ascii="Times New Roman" w:eastAsia="Times New Roman" w:hAnsi="Times New Roman" w:cs="Times New Roman"/>
        </w:rPr>
        <w:t>Act</w:t>
      </w:r>
      <w:r>
        <w:rPr>
          <w:spacing w:val="1"/>
        </w:rPr>
        <w:t>）是荷兰制定的第一部致力于解决土壤污染问题的法律，基</w:t>
      </w:r>
      <w:r>
        <w:t>于土</w:t>
      </w:r>
      <w:r>
        <w:t xml:space="preserve">  </w:t>
      </w:r>
      <w:r>
        <w:rPr>
          <w:spacing w:val="-10"/>
        </w:rPr>
        <w:t>壤背景值和专家经验提出了最初的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 xml:space="preserve">B </w:t>
      </w:r>
      <w:r>
        <w:rPr>
          <w:spacing w:val="-10"/>
        </w:rPr>
        <w:t>和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0"/>
        </w:rPr>
        <w:t>土壤标准值体系（</w:t>
      </w:r>
      <w:r>
        <w:rPr>
          <w:rFonts w:ascii="Times New Roman" w:eastAsia="Times New Roman" w:hAnsi="Times New Roman" w:cs="Times New Roman"/>
          <w:spacing w:val="-10"/>
        </w:rPr>
        <w:t>SQSs</w:t>
      </w:r>
      <w:r>
        <w:rPr>
          <w:spacing w:val="-71"/>
          <w:w w:val="91"/>
        </w:rPr>
        <w:t>），</w:t>
      </w:r>
      <w:r>
        <w:t xml:space="preserve"> </w:t>
      </w:r>
      <w:r>
        <w:rPr>
          <w:spacing w:val="-5"/>
        </w:rPr>
        <w:t>引入</w:t>
      </w:r>
      <w:r>
        <w:rPr>
          <w:rFonts w:ascii="Times New Roman" w:eastAsia="Times New Roman" w:hAnsi="Times New Roman" w:cs="Times New Roman"/>
          <w:spacing w:val="-5"/>
        </w:rPr>
        <w:t>“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5"/>
        </w:rPr>
        <w:t>多功能土壤</w:t>
      </w:r>
      <w:r>
        <w:rPr>
          <w:rFonts w:ascii="Times New Roman" w:eastAsia="Times New Roman" w:hAnsi="Times New Roman" w:cs="Times New Roman"/>
          <w:spacing w:val="-5"/>
        </w:rPr>
        <w:t>”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-5"/>
        </w:rPr>
        <w:t>的定义，认为土壤修复的标准为可满足任何功能的</w:t>
      </w:r>
      <w:r>
        <w:rPr>
          <w:spacing w:val="-6"/>
        </w:rPr>
        <w:t xml:space="preserve">  </w:t>
      </w:r>
      <w:r>
        <w:rPr>
          <w:spacing w:val="2"/>
        </w:rPr>
        <w:t>土地再利用用途。</w:t>
      </w:r>
      <w:r>
        <w:rPr>
          <w:rFonts w:ascii="Times New Roman" w:eastAsia="Times New Roman" w:hAnsi="Times New Roman" w:cs="Times New Roman"/>
          <w:spacing w:val="2"/>
        </w:rPr>
        <w:t>2008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spacing w:val="2"/>
        </w:rPr>
        <w:t>年《土壤质量法令》（</w:t>
      </w:r>
      <w:r>
        <w:rPr>
          <w:rFonts w:ascii="Times New Roman" w:eastAsia="Times New Roman" w:hAnsi="Times New Roman" w:cs="Times New Roman"/>
        </w:rPr>
        <w:t>Soil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Quality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Decree</w:t>
      </w:r>
      <w:r>
        <w:rPr>
          <w:spacing w:val="2"/>
        </w:rPr>
        <w:t>）</w:t>
      </w:r>
      <w:r>
        <w:rPr>
          <w:spacing w:val="2"/>
        </w:rPr>
        <w:t xml:space="preserve">  </w:t>
      </w:r>
      <w:r>
        <w:rPr>
          <w:spacing w:val="-4"/>
        </w:rPr>
        <w:t>发布，强调土壤的可持续管理，探索健康的人居环境与土壤功能间的</w:t>
      </w:r>
      <w:r>
        <w:rPr>
          <w:spacing w:val="-5"/>
        </w:rPr>
        <w:t xml:space="preserve">  </w:t>
      </w:r>
      <w:r>
        <w:rPr>
          <w:spacing w:val="-3"/>
        </w:rPr>
        <w:t>平衡，并考虑到土壤治理成本和治理目标的可行性，</w:t>
      </w:r>
      <w:r>
        <w:rPr>
          <w:spacing w:val="-4"/>
        </w:rPr>
        <w:t>以</w:t>
      </w:r>
      <w:r>
        <w:rPr>
          <w:rFonts w:ascii="Times New Roman" w:eastAsia="Times New Roman" w:hAnsi="Times New Roman" w:cs="Times New Roman"/>
          <w:spacing w:val="-4"/>
        </w:rPr>
        <w:t>“</w:t>
      </w:r>
      <w:r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spacing w:val="-4"/>
        </w:rPr>
        <w:t>适用性</w:t>
      </w:r>
      <w:r>
        <w:rPr>
          <w:rFonts w:ascii="Times New Roman" w:eastAsia="Times New Roman" w:hAnsi="Times New Roman" w:cs="Times New Roman"/>
          <w:spacing w:val="-4"/>
        </w:rPr>
        <w:t>”</w:t>
      </w:r>
      <w:r>
        <w:rPr>
          <w:rFonts w:ascii="Times New Roman" w:eastAsia="Times New Roman" w:hAnsi="Times New Roman" w:cs="Times New Roman"/>
          <w:spacing w:val="-46"/>
        </w:rPr>
        <w:t xml:space="preserve"> </w:t>
      </w:r>
      <w:r>
        <w:rPr>
          <w:spacing w:val="-4"/>
        </w:rPr>
        <w:t>原则</w:t>
      </w:r>
    </w:p>
    <w:p>
      <w:pPr>
        <w:pStyle w:val="BodyText"/>
        <w:spacing w:line="221" w:lineRule="auto"/>
        <w:ind w:left="30"/>
      </w:pPr>
      <w:r>
        <w:rPr>
          <w:spacing w:val="-4"/>
        </w:rPr>
        <w:t>替代</w:t>
      </w:r>
      <w:r>
        <w:rPr>
          <w:rFonts w:ascii="Times New Roman" w:eastAsia="Times New Roman" w:hAnsi="Times New Roman" w:cs="Times New Roman"/>
          <w:spacing w:val="-4"/>
        </w:rPr>
        <w:t>“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多功能土壤</w:t>
      </w:r>
      <w:r>
        <w:rPr>
          <w:rFonts w:ascii="Times New Roman" w:eastAsia="Times New Roman" w:hAnsi="Times New Roman" w:cs="Times New Roman"/>
          <w:spacing w:val="-4"/>
        </w:rPr>
        <w:t>”</w:t>
      </w:r>
      <w:r>
        <w:rPr>
          <w:rFonts w:ascii="Times New Roman" w:eastAsia="Times New Roman" w:hAnsi="Times New Roman" w:cs="Times New Roman"/>
          <w:spacing w:val="-48"/>
        </w:rPr>
        <w:t xml:space="preserve"> </w:t>
      </w:r>
      <w:r>
        <w:rPr>
          <w:spacing w:val="-4"/>
        </w:rPr>
        <w:t>原则，即根据土地当前用</w:t>
      </w:r>
      <w:r>
        <w:rPr>
          <w:spacing w:val="-5"/>
        </w:rPr>
        <w:t>途和再开发用途确定治理</w:t>
      </w:r>
    </w:p>
    <w:p>
      <w:pPr>
        <w:spacing w:line="221" w:lineRule="auto"/>
        <w:sectPr>
          <w:footerReference w:type="default" r:id="rId19"/>
          <w:type w:val="nextPage"/>
          <w:pgSz w:w="11906" w:h="16839"/>
          <w:pgMar w:top="1431" w:right="1574" w:bottom="1378" w:left="1785" w:header="0" w:footer="1212" w:gutter="0"/>
          <w:pgNumType w:start="16"/>
          <w:cols w:space="708"/>
          <w:titlePg w:val="0"/>
        </w:sectPr>
      </w:pPr>
    </w:p>
    <w:p>
      <w:pPr>
        <w:pStyle w:val="BodyText"/>
        <w:spacing w:before="185" w:line="411" w:lineRule="auto"/>
        <w:ind w:left="29" w:right="139" w:firstLine="50"/>
        <w:jc w:val="both"/>
      </w:pPr>
      <w:r>
        <w:rPr>
          <w:spacing w:val="-5"/>
        </w:rPr>
        <w:t>目标。根据背景值和干预值将土地分为清洁土壤、轻度</w:t>
      </w:r>
      <w:r>
        <w:rPr>
          <w:spacing w:val="-6"/>
        </w:rPr>
        <w:t>污染土壤和严</w:t>
      </w:r>
      <w:r>
        <w:t xml:space="preserve"> </w:t>
      </w:r>
      <w:r>
        <w:rPr>
          <w:spacing w:val="-10"/>
        </w:rPr>
        <w:t>重污染土壤，考虑适用型原则，清洁土壤适用于任何用途的土地利用，</w:t>
      </w:r>
      <w:r>
        <w:rPr>
          <w:spacing w:val="5"/>
        </w:rPr>
        <w:t xml:space="preserve"> </w:t>
      </w:r>
      <w:r>
        <w:rPr>
          <w:spacing w:val="-4"/>
        </w:rPr>
        <w:t>轻度污染土壤根据最大值又划分为居住适用类型和工业适用类型，严</w:t>
      </w:r>
      <w:r>
        <w:rPr>
          <w:spacing w:val="12"/>
        </w:rPr>
        <w:t xml:space="preserve"> </w:t>
      </w:r>
      <w:r>
        <w:rPr>
          <w:spacing w:val="-4"/>
        </w:rPr>
        <w:t>重污染土壤不适用于任何土地用途的直接开发。对受到污染但没有超</w:t>
      </w:r>
      <w:r>
        <w:rPr>
          <w:spacing w:val="12"/>
        </w:rPr>
        <w:t xml:space="preserve"> </w:t>
      </w:r>
      <w:r>
        <w:rPr>
          <w:spacing w:val="1"/>
        </w:rPr>
        <w:t>过干预值的土壤纳入可持续利用管理，对超过干预值的土壤按</w:t>
      </w:r>
      <w:r>
        <w:rPr>
          <w:rFonts w:ascii="Times New Roman" w:eastAsia="Times New Roman" w:hAnsi="Times New Roman" w:cs="Times New Roman"/>
          <w:spacing w:val="1"/>
        </w:rPr>
        <w:t>“</w:t>
      </w:r>
      <w:r>
        <w:rPr>
          <w:rFonts w:ascii="Times New Roman" w:eastAsia="Times New Roman" w:hAnsi="Times New Roman" w:cs="Times New Roman"/>
          <w:spacing w:val="-50"/>
        </w:rPr>
        <w:t xml:space="preserve"> </w:t>
      </w:r>
      <w:r>
        <w:t>场地</w:t>
      </w:r>
      <w:r>
        <w:t xml:space="preserve"> </w:t>
      </w:r>
      <w:r>
        <w:rPr>
          <w:spacing w:val="-1"/>
        </w:rPr>
        <w:t>环境调查</w:t>
      </w:r>
      <w:r>
        <w:rPr>
          <w:rFonts w:ascii="Times New Roman" w:eastAsia="Times New Roman" w:hAnsi="Times New Roman" w:cs="Times New Roman"/>
          <w:spacing w:val="-1"/>
        </w:rPr>
        <w:t>-</w:t>
      </w:r>
      <w:r>
        <w:rPr>
          <w:spacing w:val="-1"/>
        </w:rPr>
        <w:t>风险评估及基于风险的治理目标和措施</w:t>
      </w:r>
      <w:r>
        <w:rPr>
          <w:rFonts w:ascii="Times New Roman" w:eastAsia="Times New Roman" w:hAnsi="Times New Roman" w:cs="Times New Roman"/>
          <w:spacing w:val="-1"/>
        </w:rPr>
        <w:t>-</w:t>
      </w:r>
      <w:r>
        <w:rPr>
          <w:spacing w:val="-1"/>
        </w:rPr>
        <w:t>修复技术筛选及可</w:t>
      </w:r>
    </w:p>
    <w:p>
      <w:pPr>
        <w:pStyle w:val="BodyText"/>
        <w:spacing w:before="1" w:line="220" w:lineRule="auto"/>
        <w:ind w:left="32"/>
      </w:pPr>
      <w:r>
        <w:rPr>
          <w:spacing w:val="-3"/>
        </w:rPr>
        <w:t>行性评价</w:t>
      </w:r>
      <w:r>
        <w:rPr>
          <w:rFonts w:ascii="Times New Roman" w:eastAsia="Times New Roman" w:hAnsi="Times New Roman" w:cs="Times New Roman"/>
          <w:spacing w:val="-3"/>
        </w:rPr>
        <w:t>-</w:t>
      </w:r>
      <w:r>
        <w:rPr>
          <w:spacing w:val="-3"/>
        </w:rPr>
        <w:t>修复结果评估检测</w:t>
      </w:r>
      <w:r>
        <w:rPr>
          <w:rFonts w:ascii="Times New Roman" w:eastAsia="Times New Roman" w:hAnsi="Times New Roman" w:cs="Times New Roman"/>
          <w:spacing w:val="-3"/>
        </w:rPr>
        <w:t>”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3"/>
        </w:rPr>
        <w:t>的程序开展土壤修复。</w:t>
      </w:r>
    </w:p>
    <w:p>
      <w:pPr>
        <w:pStyle w:val="BodyText"/>
        <w:spacing w:before="288" w:line="224" w:lineRule="auto"/>
        <w:ind w:left="589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spacing w:val="-4"/>
        </w:rPr>
        <w:t>）加拿大</w:t>
      </w:r>
    </w:p>
    <w:p>
      <w:pPr>
        <w:pStyle w:val="BodyText"/>
        <w:spacing w:before="289" w:line="411" w:lineRule="auto"/>
        <w:ind w:left="29" w:firstLine="574"/>
      </w:pPr>
      <w:r>
        <w:rPr>
          <w:rFonts w:ascii="Times New Roman" w:eastAsia="Times New Roman" w:hAnsi="Times New Roman" w:cs="Times New Roman"/>
          <w:spacing w:val="-6"/>
        </w:rPr>
        <w:t>1989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-6"/>
        </w:rPr>
        <w:t>年，加拿大环境部长委员会（</w:t>
      </w:r>
      <w:r>
        <w:rPr>
          <w:rFonts w:ascii="Times New Roman" w:eastAsia="Times New Roman" w:hAnsi="Times New Roman" w:cs="Times New Roman"/>
          <w:spacing w:val="-6"/>
        </w:rPr>
        <w:t>CCME</w:t>
      </w:r>
      <w:r>
        <w:rPr>
          <w:spacing w:val="-6"/>
        </w:rPr>
        <w:t>）</w:t>
      </w:r>
      <w:r>
        <w:rPr>
          <w:spacing w:val="-7"/>
        </w:rPr>
        <w:t>制定了国家污染场地</w:t>
      </w:r>
      <w:r>
        <w:rPr>
          <w:spacing w:val="-7"/>
        </w:rPr>
        <w:t xml:space="preserve">  </w:t>
      </w:r>
      <w:r>
        <w:rPr>
          <w:spacing w:val="-5"/>
        </w:rPr>
        <w:t>修复纲要（</w:t>
      </w:r>
      <w:r>
        <w:rPr>
          <w:rFonts w:ascii="Times New Roman" w:eastAsia="Times New Roman" w:hAnsi="Times New Roman" w:cs="Times New Roman"/>
          <w:spacing w:val="-5"/>
        </w:rPr>
        <w:t>NCSRP</w:t>
      </w:r>
      <w:r>
        <w:rPr>
          <w:spacing w:val="-11"/>
        </w:rPr>
        <w:t>），</w:t>
      </w:r>
      <w:r>
        <w:rPr>
          <w:spacing w:val="-5"/>
        </w:rPr>
        <w:t>旨在提供资源用于评估</w:t>
      </w:r>
      <w:r>
        <w:rPr>
          <w:spacing w:val="-6"/>
        </w:rPr>
        <w:t>和修复联邦管辖区域内</w:t>
      </w:r>
      <w:r>
        <w:rPr>
          <w:spacing w:val="-6"/>
        </w:rPr>
        <w:t xml:space="preserve">  </w:t>
      </w:r>
      <w:r>
        <w:rPr>
          <w:spacing w:val="-5"/>
        </w:rPr>
        <w:t>的高风险污染场地，并支持与场地修复技术、法律责任和修复标准相</w:t>
      </w:r>
      <w:r>
        <w:rPr>
          <w:spacing w:val="-5"/>
        </w:rPr>
        <w:t xml:space="preserve">  </w:t>
      </w:r>
      <w:r>
        <w:rPr>
          <w:spacing w:val="-6"/>
        </w:rPr>
        <w:t>关的研究。为了实现联邦污染场地的分类管理和优先排序，</w:t>
      </w:r>
      <w:r>
        <w:rPr>
          <w:rFonts w:ascii="Times New Roman" w:eastAsia="Times New Roman" w:hAnsi="Times New Roman" w:cs="Times New Roman"/>
          <w:spacing w:val="-6"/>
        </w:rPr>
        <w:t>CCME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6"/>
        </w:rPr>
        <w:t>于</w:t>
      </w:r>
      <w:r>
        <w:rPr>
          <w:spacing w:val="-6"/>
        </w:rPr>
        <w:t xml:space="preserve">  </w:t>
      </w:r>
      <w:r>
        <w:rPr>
          <w:rFonts w:ascii="Times New Roman" w:eastAsia="Times New Roman" w:hAnsi="Times New Roman" w:cs="Times New Roman"/>
          <w:spacing w:val="1"/>
        </w:rPr>
        <w:t>1992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1"/>
        </w:rPr>
        <w:t>年在联邦污染场地行动计划的指导下开发了污染场地国家分类</w:t>
      </w:r>
      <w:r>
        <w:rPr>
          <w:spacing w:val="1"/>
        </w:rPr>
        <w:t xml:space="preserve">  </w:t>
      </w:r>
      <w:r>
        <w:rPr>
          <w:spacing w:val="-2"/>
        </w:rPr>
        <w:t>系统（</w:t>
      </w:r>
      <w:r>
        <w:rPr>
          <w:rFonts w:ascii="Times New Roman" w:eastAsia="Times New Roman" w:hAnsi="Times New Roman" w:cs="Times New Roman"/>
          <w:spacing w:val="-2"/>
        </w:rPr>
        <w:t>NCSCS</w:t>
      </w:r>
      <w:r>
        <w:rPr>
          <w:spacing w:val="-2"/>
        </w:rPr>
        <w:t>）。</w:t>
      </w:r>
      <w:r>
        <w:rPr>
          <w:rFonts w:ascii="Times New Roman" w:eastAsia="Times New Roman" w:hAnsi="Times New Roman" w:cs="Times New Roman"/>
          <w:spacing w:val="-2"/>
        </w:rPr>
        <w:t>NCSCS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2"/>
        </w:rPr>
        <w:t>系统以三个主要方面对场地进行评分：污</w:t>
      </w:r>
      <w:r>
        <w:rPr>
          <w:spacing w:val="-2"/>
        </w:rPr>
        <w:t xml:space="preserve">  </w:t>
      </w:r>
      <w:r>
        <w:rPr>
          <w:spacing w:val="1"/>
        </w:rPr>
        <w:t>染物特性、迁移途径和暴露。每个一级指标下</w:t>
      </w:r>
      <w:r>
        <w:t>又包含二级评估因子。</w:t>
      </w:r>
      <w:r>
        <w:t xml:space="preserve"> </w:t>
      </w:r>
      <w:r>
        <w:rPr>
          <w:spacing w:val="-5"/>
        </w:rPr>
        <w:t>对每个因子分别进行评分，然后使用加和数值</w:t>
      </w:r>
      <w:r>
        <w:rPr>
          <w:spacing w:val="-6"/>
        </w:rPr>
        <w:t>法来确定场地的总评分，</w:t>
      </w:r>
    </w:p>
    <w:p>
      <w:pPr>
        <w:pStyle w:val="BodyText"/>
        <w:spacing w:before="1" w:line="222" w:lineRule="auto"/>
        <w:ind w:left="29"/>
      </w:pPr>
      <w:r>
        <w:rPr>
          <w:spacing w:val="-1"/>
        </w:rPr>
        <w:t>从而实现对污染场地的风险分级和管理。</w:t>
      </w:r>
    </w:p>
    <w:p>
      <w:pPr>
        <w:pStyle w:val="BodyText"/>
        <w:spacing w:before="285" w:line="224" w:lineRule="auto"/>
        <w:ind w:left="589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5</w:t>
      </w:r>
      <w:r>
        <w:rPr>
          <w:spacing w:val="-4"/>
        </w:rPr>
        <w:t>）德国</w:t>
      </w:r>
    </w:p>
    <w:p>
      <w:pPr>
        <w:pStyle w:val="BodyText"/>
        <w:spacing w:before="287" w:line="411" w:lineRule="auto"/>
        <w:ind w:left="29" w:right="219" w:firstLine="570"/>
        <w:sectPr>
          <w:footerReference w:type="default" r:id="rId20"/>
          <w:pgSz w:w="11906" w:h="16839"/>
          <w:pgMar w:top="1431" w:right="1574" w:bottom="1378" w:left="1785" w:header="0" w:footer="1212" w:gutter="0"/>
          <w:pgNumType w:start="17"/>
          <w:cols w:space="708"/>
        </w:sectPr>
      </w:pPr>
      <w:r>
        <w:rPr>
          <w:spacing w:val="-4"/>
        </w:rPr>
        <w:t>为判别土壤是否污染以采取进一步的应对措施，德</w:t>
      </w:r>
      <w:r>
        <w:rPr>
          <w:spacing w:val="-5"/>
        </w:rPr>
        <w:t>国在《联邦土</w:t>
      </w:r>
      <w:r>
        <w:t xml:space="preserve"> </w:t>
      </w:r>
      <w:r>
        <w:rPr>
          <w:spacing w:val="-1"/>
        </w:rPr>
        <w:t>壤保护法案》（</w:t>
      </w:r>
      <w:r>
        <w:rPr>
          <w:rFonts w:ascii="Times New Roman" w:eastAsia="Times New Roman" w:hAnsi="Times New Roman" w:cs="Times New Roman"/>
          <w:spacing w:val="-1"/>
        </w:rPr>
        <w:t>The Federal Soil Pro</w:t>
      </w:r>
      <w:r>
        <w:rPr>
          <w:rFonts w:ascii="Times New Roman" w:eastAsia="Times New Roman" w:hAnsi="Times New Roman" w:cs="Times New Roman"/>
          <w:spacing w:val="-2"/>
        </w:rPr>
        <w:t>tection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Act</w:t>
      </w:r>
      <w:r>
        <w:rPr>
          <w:spacing w:val="-2"/>
        </w:rPr>
        <w:t>）</w:t>
      </w:r>
      <w:r>
        <w:rPr>
          <w:spacing w:val="-84"/>
        </w:rPr>
        <w:t xml:space="preserve"> </w:t>
      </w:r>
      <w:r>
        <w:rPr>
          <w:spacing w:val="-2"/>
        </w:rPr>
        <w:t>中将基于风险评价定</w:t>
      </w:r>
      <w:r>
        <w:t xml:space="preserve"> </w:t>
      </w:r>
      <w:r>
        <w:rPr>
          <w:spacing w:val="-4"/>
        </w:rPr>
        <w:t>义了三种土壤环境标准：</w:t>
      </w:r>
      <w:r>
        <w:rPr>
          <w:rFonts w:ascii="SimSun" w:eastAsia="SimSun" w:hAnsi="SimSun" w:cs="SimSun"/>
          <w:spacing w:val="-4"/>
        </w:rPr>
        <w:t>①</w:t>
      </w:r>
      <w:r>
        <w:rPr>
          <w:spacing w:val="-4"/>
        </w:rPr>
        <w:t>适用于不同暴露途径（土壤至人体、土壤</w:t>
      </w:r>
    </w:p>
    <w:p>
      <w:pPr>
        <w:pStyle w:val="BodyText"/>
        <w:spacing w:line="220" w:lineRule="auto"/>
        <w:ind w:left="39"/>
      </w:pPr>
      <w:r>
        <w:rPr>
          <w:spacing w:val="-3"/>
        </w:rPr>
        <w:t>至植物和土壤至地下水）的触发值，在土壤至人体的</w:t>
      </w:r>
      <w:r>
        <w:rPr>
          <w:spacing w:val="-4"/>
        </w:rPr>
        <w:t>暴露途径下，还</w:t>
      </w:r>
    </w:p>
    <w:p>
      <w:pPr>
        <w:spacing w:line="220" w:lineRule="auto"/>
        <w:sectPr>
          <w:footerReference w:type="default" r:id="rId21"/>
          <w:type w:val="nextPage"/>
          <w:pgSz w:w="11906" w:h="16839"/>
          <w:pgMar w:top="1431" w:right="1574" w:bottom="1378" w:left="1785" w:header="0" w:footer="1212" w:gutter="0"/>
          <w:pgNumType w:start="18"/>
          <w:cols w:space="708"/>
          <w:titlePg w:val="0"/>
        </w:sectPr>
      </w:pPr>
    </w:p>
    <w:p>
      <w:pPr>
        <w:pStyle w:val="BodyText"/>
        <w:spacing w:before="185" w:line="411" w:lineRule="auto"/>
        <w:ind w:left="20" w:firstLine="10"/>
        <w:jc w:val="both"/>
      </w:pPr>
      <w:r>
        <w:rPr>
          <w:spacing w:val="-4"/>
        </w:rPr>
        <w:t>考虑了不同的土地用途（游乐场、居民区、公园和娱乐设施、工业和</w:t>
      </w:r>
      <w:r>
        <w:rPr>
          <w:spacing w:val="10"/>
        </w:rPr>
        <w:t xml:space="preserve"> </w:t>
      </w:r>
      <w:r>
        <w:rPr>
          <w:spacing w:val="-5"/>
        </w:rPr>
        <w:t>商业用地</w:t>
      </w:r>
      <w:r>
        <w:rPr>
          <w:spacing w:val="-73"/>
        </w:rPr>
        <w:t>）；</w:t>
      </w:r>
      <w:r>
        <w:rPr>
          <w:rFonts w:ascii="SimSun" w:eastAsia="SimSun" w:hAnsi="SimSun" w:cs="SimSun"/>
          <w:spacing w:val="-5"/>
        </w:rPr>
        <w:t>②</w:t>
      </w:r>
      <w:r>
        <w:rPr>
          <w:spacing w:val="-5"/>
        </w:rPr>
        <w:t>基于土壤至人体、土壤至植物暴露途</w:t>
      </w:r>
      <w:r>
        <w:rPr>
          <w:spacing w:val="-6"/>
        </w:rPr>
        <w:t>径制定的行动值；</w:t>
      </w:r>
      <w:r>
        <w:t xml:space="preserve"> </w:t>
      </w:r>
      <w:r>
        <w:rPr>
          <w:rFonts w:ascii="SimSun" w:eastAsia="SimSun" w:hAnsi="SimSun" w:cs="SimSun"/>
          <w:spacing w:val="-3"/>
        </w:rPr>
        <w:t>③</w:t>
      </w:r>
      <w:r>
        <w:rPr>
          <w:spacing w:val="-3"/>
        </w:rPr>
        <w:t>防止新的土壤污染发生的预防值。超过触发值，须对</w:t>
      </w:r>
      <w:r>
        <w:rPr>
          <w:spacing w:val="-4"/>
        </w:rPr>
        <w:t>超标的个别点</w:t>
      </w:r>
      <w:r>
        <w:t xml:space="preserve"> </w:t>
      </w:r>
      <w:r>
        <w:rPr>
          <w:spacing w:val="-3"/>
        </w:rPr>
        <w:t>位开展进一步调查，考虑土壤利用，确定是否存在土壤</w:t>
      </w:r>
      <w:r>
        <w:rPr>
          <w:spacing w:val="-4"/>
        </w:rPr>
        <w:t>的有害改变或</w:t>
      </w:r>
      <w:r>
        <w:t xml:space="preserve"> </w:t>
      </w:r>
      <w:r>
        <w:rPr>
          <w:spacing w:val="-3"/>
        </w:rPr>
        <w:t>场地污染。超过行动值通常表示存在土壤的有害</w:t>
      </w:r>
      <w:r>
        <w:rPr>
          <w:spacing w:val="-4"/>
        </w:rPr>
        <w:t>改变或场地污染，考</w:t>
      </w:r>
      <w:r>
        <w:t xml:space="preserve"> </w:t>
      </w:r>
      <w:r>
        <w:rPr>
          <w:spacing w:val="-3"/>
        </w:rPr>
        <w:t>虑土壤利用并需要采取补救措施。超过预防值表示存</w:t>
      </w:r>
      <w:r>
        <w:rPr>
          <w:spacing w:val="-4"/>
        </w:rPr>
        <w:t>在土壤的有害改</w:t>
      </w:r>
    </w:p>
    <w:p>
      <w:pPr>
        <w:pStyle w:val="BodyText"/>
        <w:spacing w:line="221" w:lineRule="auto"/>
        <w:ind w:left="39"/>
      </w:pPr>
      <w:r>
        <w:rPr>
          <w:spacing w:val="-1"/>
        </w:rPr>
        <w:t>变，考虑地质因素或与扩散、沉降相关的污染物</w:t>
      </w:r>
      <w:r>
        <w:rPr>
          <w:spacing w:val="-2"/>
        </w:rPr>
        <w:t>浓度。</w:t>
      </w:r>
    </w:p>
    <w:p>
      <w:pPr>
        <w:pStyle w:val="BodyText"/>
        <w:spacing w:before="287" w:line="224" w:lineRule="auto"/>
        <w:ind w:left="589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6</w:t>
      </w:r>
      <w:r>
        <w:rPr>
          <w:spacing w:val="-3"/>
        </w:rPr>
        <w:t>）其它国家</w:t>
      </w:r>
    </w:p>
    <w:p>
      <w:pPr>
        <w:pStyle w:val="BodyText"/>
        <w:spacing w:before="285" w:line="411" w:lineRule="auto"/>
        <w:ind w:left="65" w:right="77" w:firstLine="533"/>
      </w:pPr>
      <w:r>
        <w:rPr>
          <w:spacing w:val="-4"/>
        </w:rPr>
        <w:t>澳大利亚在“</w:t>
      </w:r>
      <w:r>
        <w:rPr>
          <w:spacing w:val="-87"/>
        </w:rPr>
        <w:t xml:space="preserve"> </w:t>
      </w:r>
      <w:r>
        <w:rPr>
          <w:spacing w:val="-4"/>
        </w:rPr>
        <w:t>已知和疑似污染场地（</w:t>
      </w:r>
      <w:r>
        <w:rPr>
          <w:rFonts w:ascii="Times New Roman" w:eastAsia="Times New Roman" w:hAnsi="Times New Roman" w:cs="Times New Roman"/>
          <w:spacing w:val="-4"/>
        </w:rPr>
        <w:t>DEP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>2001</w:t>
      </w:r>
      <w:r>
        <w:rPr>
          <w:spacing w:val="-5"/>
        </w:rPr>
        <w:t>）”导则中提供</w:t>
      </w:r>
      <w:r>
        <w:t xml:space="preserve"> </w:t>
      </w:r>
      <w:r>
        <w:rPr>
          <w:spacing w:val="-5"/>
        </w:rPr>
        <w:t>了有关场地鉴定和报告的信息，基于调查范围、污染物信息、污染范</w:t>
      </w:r>
    </w:p>
    <w:p>
      <w:pPr>
        <w:pStyle w:val="BodyText"/>
        <w:spacing w:before="1" w:line="221" w:lineRule="auto"/>
        <w:ind w:left="58"/>
      </w:pPr>
      <w:r>
        <w:rPr>
          <w:spacing w:val="-2"/>
        </w:rPr>
        <w:t>围及污染对人类健康及环境的危害等对污染场地风险进行分类。</w:t>
      </w:r>
    </w:p>
    <w:p>
      <w:pPr>
        <w:pStyle w:val="BodyText"/>
        <w:spacing w:before="294" w:line="411" w:lineRule="auto"/>
        <w:ind w:left="8" w:right="77" w:firstLine="594"/>
      </w:pPr>
      <w:r>
        <w:rPr>
          <w:spacing w:val="-4"/>
        </w:rPr>
        <w:t>随着污染场地风险管理的深入推进，发达国</w:t>
      </w:r>
      <w:r>
        <w:rPr>
          <w:spacing w:val="-5"/>
        </w:rPr>
        <w:t>家逐步将可持续发展</w:t>
      </w:r>
      <w:r>
        <w:t xml:space="preserve"> </w:t>
      </w:r>
      <w:r>
        <w:rPr>
          <w:spacing w:val="-3"/>
        </w:rPr>
        <w:t>思想纳入场地修复与再生的全生命周期过程，从棕地可持续利用的角</w:t>
      </w:r>
      <w:r>
        <w:rPr>
          <w:spacing w:val="3"/>
        </w:rPr>
        <w:t xml:space="preserve"> </w:t>
      </w:r>
      <w:r>
        <w:rPr>
          <w:spacing w:val="15"/>
        </w:rPr>
        <w:t>度出发建立污染场地风险管控优先选择机制和决策体系</w:t>
      </w:r>
      <w:r>
        <w:rPr>
          <w:spacing w:val="-84"/>
        </w:rPr>
        <w:t xml:space="preserve"> </w:t>
      </w:r>
      <w:r>
        <w:rPr>
          <w:spacing w:val="15"/>
        </w:rPr>
        <w:t>。</w:t>
      </w:r>
      <w:r>
        <w:rPr>
          <w:spacing w:val="14"/>
        </w:rPr>
        <w:t>如英国</w:t>
      </w:r>
      <w:r>
        <w:t xml:space="preserve"> </w:t>
      </w:r>
      <w:r>
        <w:rPr>
          <w:rFonts w:ascii="Times New Roman" w:eastAsia="Times New Roman" w:hAnsi="Times New Roman" w:cs="Times New Roman"/>
        </w:rPr>
        <w:t>NGO</w:t>
      </w:r>
      <w:r>
        <w:rPr>
          <w:rFonts w:ascii="Times New Roman" w:eastAsia="Times New Roman" w:hAnsi="Times New Roman" w:cs="Times New Roman"/>
          <w:spacing w:val="5"/>
        </w:rPr>
        <w:t>-</w:t>
      </w:r>
      <w:r>
        <w:rPr>
          <w:spacing w:val="5"/>
        </w:rPr>
        <w:t>建筑业研究和信息协会（</w:t>
      </w:r>
      <w:r>
        <w:rPr>
          <w:rFonts w:ascii="Times New Roman" w:eastAsia="Times New Roman" w:hAnsi="Times New Roman" w:cs="Times New Roman"/>
        </w:rPr>
        <w:t>CIRIA</w:t>
      </w:r>
      <w:r>
        <w:rPr>
          <w:spacing w:val="5"/>
        </w:rPr>
        <w:t>）发布的棕地再开发路线图、</w:t>
      </w:r>
      <w:r>
        <w:rPr>
          <w:spacing w:val="9"/>
        </w:rPr>
        <w:t xml:space="preserve"> </w:t>
      </w:r>
      <w:r>
        <w:rPr>
          <w:spacing w:val="-2"/>
        </w:rPr>
        <w:t>欧盟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RESCUE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2"/>
        </w:rPr>
        <w:t>项目制定的城市棕地再开发矩阵、美国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EPA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-3"/>
        </w:rPr>
        <w:t>的棕地再</w:t>
      </w:r>
      <w:r>
        <w:t xml:space="preserve"> </w:t>
      </w:r>
      <w:r>
        <w:rPr>
          <w:spacing w:val="-3"/>
        </w:rPr>
        <w:t>开发流程，通过社会、环境、经济等多个维度指标的系统整合，从地</w:t>
      </w:r>
      <w:r>
        <w:rPr>
          <w:spacing w:val="6"/>
        </w:rPr>
        <w:t xml:space="preserve"> </w:t>
      </w:r>
      <w:r>
        <w:rPr>
          <w:spacing w:val="-3"/>
        </w:rPr>
        <w:t>区再开发潜力、场地吸引力和市场竞争力、环境风险消除等多个维度</w:t>
      </w:r>
      <w:r>
        <w:rPr>
          <w:spacing w:val="6"/>
        </w:rPr>
        <w:t xml:space="preserve"> </w:t>
      </w:r>
      <w:r>
        <w:rPr>
          <w:spacing w:val="-3"/>
        </w:rPr>
        <w:t>综合评估，识别具备再开发条件及再开发适宜程度较高的污染场地进</w:t>
      </w:r>
      <w:r>
        <w:rPr>
          <w:spacing w:val="3"/>
        </w:rPr>
        <w:t xml:space="preserve"> </w:t>
      </w:r>
      <w:r>
        <w:rPr>
          <w:spacing w:val="-3"/>
        </w:rPr>
        <w:t>行优先管控区划分与用地规划部署，最终形成污染场地可持续风险管</w:t>
      </w:r>
    </w:p>
    <w:p>
      <w:pPr>
        <w:pStyle w:val="BodyText"/>
        <w:spacing w:line="221" w:lineRule="auto"/>
        <w:ind w:left="31"/>
      </w:pPr>
      <w:r>
        <w:rPr>
          <w:spacing w:val="-1"/>
        </w:rPr>
        <w:t>控区划等级划分和分类管理的基础理论框架。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https://d.book118.com/088050133072006027</w:t>
        </w:r>
      </w:hyperlink>
    </w:p>
    <w:p>
      <w:pPr>
        <w:pStyle w:val="BodyText"/>
        <w:spacing w:line="221" w:lineRule="auto"/>
        <w:ind w:left="31"/>
      </w:pPr>
    </w:p>
    <w:sectPr>
      <w:footerReference w:type="default" r:id="rId23"/>
      <w:pgSz w:w="11906" w:h="16839"/>
      <w:pgMar w:top="1431" w:right="1717" w:bottom="1377" w:left="1785" w:header="0" w:footer="1212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3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3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3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09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088050133072006027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2024-01-19T20:29:28Z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65aa6b2848bf93001f6fb5c8wl</vt:lpwstr>
  </property>
</Properties>
</file>