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85" w:lineRule="auto"/>
      </w:pPr>
      <w:r>
        <w:rPr>
          <w:rFonts w:ascii="宋体" w:hAnsi="宋体"/>
          <w:b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10198100</wp:posOffset>
            </wp:positionH>
            <wp:positionV relativeFrom="topMargin">
              <wp:posOffset>10782300</wp:posOffset>
            </wp:positionV>
            <wp:extent cx="444500" cy="3175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24"/>
        </w:rPr>
        <w:t>机密</w:t>
      </w:r>
      <w:r>
        <w:rPr>
          <w:rFonts w:eastAsia="Times New Roman" w:cs="Times New Roman"/>
          <w:b/>
          <w:sz w:val="24"/>
        </w:rPr>
        <w:t>★</w:t>
      </w:r>
      <w:r>
        <w:rPr>
          <w:rFonts w:ascii="宋体" w:hAnsi="宋体"/>
          <w:b/>
          <w:sz w:val="24"/>
        </w:rPr>
        <w:t>启用前</w:t>
      </w:r>
    </w:p>
    <w:p>
      <w:pPr>
        <w:spacing w:line="285" w:lineRule="auto"/>
        <w:jc w:val="center"/>
      </w:pPr>
      <w:r>
        <w:rPr>
          <w:rFonts w:eastAsia="Times New Roman" w:cs="Times New Roman"/>
          <w:b/>
          <w:sz w:val="32"/>
        </w:rPr>
        <w:t xml:space="preserve"> </w:t>
      </w:r>
      <w:r>
        <w:rPr>
          <w:rFonts w:ascii="宋体" w:hAnsi="宋体"/>
          <w:b/>
          <w:sz w:val="32"/>
        </w:rPr>
        <w:t>2023年天津市中考历史真题</w:t>
      </w:r>
    </w:p>
    <w:p>
      <w:pPr>
        <w:spacing w:line="285" w:lineRule="auto"/>
      </w:pPr>
      <w:r>
        <w:rPr>
          <w:rFonts w:ascii="宋体" w:hAnsi="宋体"/>
          <w:b/>
          <w:sz w:val="24"/>
        </w:rPr>
        <w:t>道德与法治和历史合场考试，合计用时</w:t>
      </w:r>
      <w:r>
        <w:rPr>
          <w:rFonts w:eastAsia="Times New Roman" w:cs="Times New Roman"/>
          <w:b/>
          <w:sz w:val="24"/>
        </w:rPr>
        <w:t>120</w:t>
      </w:r>
      <w:r>
        <w:rPr>
          <w:rFonts w:ascii="宋体" w:hAnsi="宋体"/>
          <w:b/>
          <w:sz w:val="24"/>
        </w:rPr>
        <w:t>分钟。</w:t>
      </w:r>
    </w:p>
    <w:p>
      <w:pPr>
        <w:spacing w:line="285" w:lineRule="auto"/>
      </w:pPr>
      <w:r>
        <w:rPr>
          <w:rFonts w:ascii="宋体" w:hAnsi="宋体"/>
          <w:b/>
          <w:sz w:val="24"/>
        </w:rPr>
        <w:t>本试卷分为第</w:t>
      </w:r>
      <w:r>
        <w:rPr>
          <w:rFonts w:eastAsia="Times New Roman" w:cs="Times New Roman"/>
          <w:b/>
          <w:sz w:val="24"/>
        </w:rPr>
        <w:t>Ⅰ</w:t>
      </w:r>
      <w:r>
        <w:rPr>
          <w:rFonts w:ascii="宋体" w:hAnsi="宋体"/>
          <w:b/>
          <w:sz w:val="24"/>
        </w:rPr>
        <w:t>卷（选择题）和第</w:t>
      </w:r>
      <w:r>
        <w:rPr>
          <w:rFonts w:eastAsia="Times New Roman" w:cs="Times New Roman"/>
          <w:b/>
          <w:sz w:val="24"/>
        </w:rPr>
        <w:t>Ⅱ</w:t>
      </w:r>
      <w:r>
        <w:rPr>
          <w:rFonts w:ascii="宋体" w:hAnsi="宋体"/>
          <w:b/>
          <w:sz w:val="24"/>
        </w:rPr>
        <w:t>卷（非选择题）两部分。第</w:t>
      </w:r>
      <w:r>
        <w:rPr>
          <w:rFonts w:eastAsia="Times New Roman" w:cs="Times New Roman"/>
          <w:b/>
          <w:sz w:val="24"/>
        </w:rPr>
        <w:t>Ⅰ</w:t>
      </w:r>
      <w:r>
        <w:rPr>
          <w:rFonts w:ascii="宋体" w:hAnsi="宋体"/>
          <w:b/>
          <w:sz w:val="24"/>
        </w:rPr>
        <w:t>卷为第</w:t>
      </w: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页至第</w:t>
      </w:r>
      <w:r>
        <w:rPr>
          <w:rFonts w:eastAsia="Times New Roman" w:cs="Times New Roman"/>
          <w:b/>
          <w:sz w:val="24"/>
        </w:rPr>
        <w:t>5</w:t>
      </w:r>
      <w:r>
        <w:rPr>
          <w:rFonts w:ascii="宋体" w:hAnsi="宋体"/>
          <w:b/>
          <w:sz w:val="24"/>
        </w:rPr>
        <w:t>页，第</w:t>
      </w:r>
      <w:r>
        <w:rPr>
          <w:rFonts w:eastAsia="Times New Roman" w:cs="Times New Roman"/>
          <w:b/>
          <w:sz w:val="24"/>
        </w:rPr>
        <w:t>Ⅱ</w:t>
      </w:r>
      <w:r>
        <w:rPr>
          <w:rFonts w:ascii="宋体" w:hAnsi="宋体"/>
          <w:b/>
          <w:sz w:val="24"/>
        </w:rPr>
        <w:t>卷为第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页至第</w:t>
      </w:r>
      <w:r>
        <w:rPr>
          <w:rFonts w:eastAsia="Times New Roman" w:cs="Times New Roman"/>
          <w:b/>
          <w:sz w:val="24"/>
        </w:rPr>
        <w:t>8</w:t>
      </w:r>
      <w:r>
        <w:rPr>
          <w:rFonts w:ascii="宋体" w:hAnsi="宋体"/>
          <w:b/>
          <w:sz w:val="24"/>
        </w:rPr>
        <w:t>页。试卷满分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分。</w:t>
      </w:r>
    </w:p>
    <w:p>
      <w:pPr>
        <w:spacing w:line="285" w:lineRule="auto"/>
      </w:pPr>
      <w:r>
        <w:rPr>
          <w:rFonts w:ascii="宋体" w:hAnsi="宋体"/>
          <w:b/>
          <w:sz w:val="24"/>
        </w:rPr>
        <w:t>答题时，务必将答案涂写在</w:t>
      </w:r>
      <w:r>
        <w:rPr>
          <w:rFonts w:eastAsia="Times New Roman" w:cs="Times New Roman"/>
          <w:b/>
          <w:sz w:val="24"/>
        </w:rPr>
        <w:t>“</w:t>
      </w:r>
      <w:r>
        <w:rPr>
          <w:rFonts w:ascii="宋体" w:hAnsi="宋体"/>
          <w:b/>
          <w:sz w:val="24"/>
        </w:rPr>
        <w:t>答题卡</w:t>
      </w:r>
      <w:r>
        <w:rPr>
          <w:rFonts w:eastAsia="Times New Roman" w:cs="Times New Roman"/>
          <w:b/>
          <w:sz w:val="24"/>
        </w:rPr>
        <w:t>”</w:t>
      </w:r>
      <w:r>
        <w:rPr>
          <w:rFonts w:ascii="宋体" w:hAnsi="宋体"/>
          <w:b/>
          <w:sz w:val="24"/>
        </w:rPr>
        <w:t>上，答案答在试卷上无效。考试结束后，将本试卷和</w:t>
      </w:r>
      <w:r>
        <w:rPr>
          <w:rFonts w:eastAsia="Times New Roman" w:cs="Times New Roman"/>
          <w:b/>
          <w:sz w:val="24"/>
        </w:rPr>
        <w:t>“</w:t>
      </w:r>
      <w:r>
        <w:rPr>
          <w:rFonts w:ascii="宋体" w:hAnsi="宋体"/>
          <w:b/>
          <w:sz w:val="24"/>
        </w:rPr>
        <w:t>答题卡</w:t>
      </w:r>
      <w:r>
        <w:rPr>
          <w:rFonts w:eastAsia="Times New Roman" w:cs="Times New Roman"/>
          <w:b/>
          <w:sz w:val="24"/>
        </w:rPr>
        <w:t>”</w:t>
      </w:r>
      <w:r>
        <w:rPr>
          <w:rFonts w:ascii="宋体" w:hAnsi="宋体"/>
          <w:b/>
          <w:sz w:val="24"/>
        </w:rPr>
        <w:t>一并交回。</w:t>
      </w:r>
    </w:p>
    <w:p>
      <w:pPr>
        <w:spacing w:line="285" w:lineRule="auto"/>
      </w:pPr>
      <w:r>
        <w:rPr>
          <w:rFonts w:ascii="宋体" w:hAnsi="宋体"/>
          <w:b/>
          <w:sz w:val="24"/>
        </w:rPr>
        <w:t>祝你考试顺利！</w:t>
      </w:r>
    </w:p>
    <w:p>
      <w:pPr>
        <w:spacing w:line="285" w:lineRule="auto"/>
        <w:jc w:val="center"/>
      </w:pPr>
      <w:r>
        <w:rPr>
          <w:rFonts w:ascii="宋体" w:hAnsi="宋体"/>
          <w:b/>
          <w:sz w:val="24"/>
        </w:rPr>
        <w:t>第</w:t>
      </w:r>
      <w:r>
        <w:rPr>
          <w:rFonts w:eastAsia="Times New Roman" w:cs="Times New Roman"/>
          <w:b/>
          <w:sz w:val="24"/>
        </w:rPr>
        <w:t>Ⅰ</w:t>
      </w:r>
      <w:r>
        <w:rPr>
          <w:rFonts w:ascii="宋体" w:hAnsi="宋体"/>
          <w:b/>
          <w:sz w:val="24"/>
        </w:rPr>
        <w:t>卷</w:t>
      </w:r>
    </w:p>
    <w:p>
      <w:pPr>
        <w:spacing w:line="285" w:lineRule="auto"/>
      </w:pPr>
      <w:r>
        <w:rPr>
          <w:rFonts w:ascii="宋体" w:hAnsi="宋体"/>
          <w:b/>
          <w:sz w:val="24"/>
        </w:rPr>
        <w:t>注意事项：</w:t>
      </w:r>
    </w:p>
    <w:p>
      <w:pPr>
        <w:spacing w:line="285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．每题选出答案后，用</w:t>
      </w:r>
      <w:r>
        <w:rPr>
          <w:rFonts w:eastAsia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铅笔把</w:t>
      </w:r>
      <w:r>
        <w:rPr>
          <w:rFonts w:eastAsia="Times New Roman" w:cs="Times New Roman"/>
          <w:b/>
          <w:sz w:val="24"/>
        </w:rPr>
        <w:t>“</w:t>
      </w:r>
      <w:r>
        <w:rPr>
          <w:rFonts w:ascii="宋体" w:hAnsi="宋体"/>
          <w:b/>
          <w:sz w:val="24"/>
        </w:rPr>
        <w:t>答题卡</w:t>
      </w:r>
      <w:r>
        <w:rPr>
          <w:rFonts w:eastAsia="Times New Roman" w:cs="Times New Roman"/>
          <w:b/>
          <w:sz w:val="24"/>
        </w:rPr>
        <w:t>”</w:t>
      </w:r>
      <w:r>
        <w:rPr>
          <w:rFonts w:ascii="宋体" w:hAnsi="宋体"/>
          <w:b/>
          <w:sz w:val="24"/>
        </w:rPr>
        <w:t>上对应题目的答案标号的信息点涂黑。如需改动，用橡皮擦干净后，再选涂其他答案标号的信息点。</w:t>
      </w:r>
    </w:p>
    <w:p>
      <w:pPr>
        <w:spacing w:line="285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．本卷共</w:t>
      </w:r>
      <w:r>
        <w:rPr>
          <w:rFonts w:eastAsia="Times New Roman" w:cs="Times New Roman"/>
          <w:b/>
          <w:sz w:val="24"/>
        </w:rPr>
        <w:t>25</w:t>
      </w:r>
      <w:r>
        <w:rPr>
          <w:rFonts w:ascii="宋体" w:hAnsi="宋体"/>
          <w:b/>
          <w:sz w:val="24"/>
        </w:rPr>
        <w:t>题，每题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50</w:t>
      </w:r>
      <w:r>
        <w:rPr>
          <w:rFonts w:ascii="宋体" w:hAnsi="宋体"/>
          <w:b/>
          <w:sz w:val="24"/>
        </w:rPr>
        <w:t>分。在每题给出的四个选项中，只有一项最符合题意。</w:t>
      </w:r>
    </w:p>
    <w:p>
      <w:pPr>
        <w:spacing w:line="360" w:lineRule="auto"/>
      </w:pPr>
      <w:r>
        <w:t xml:space="preserve">1. </w:t>
      </w:r>
      <w:r>
        <w:rPr>
          <w:rFonts w:ascii="宋体" w:hAnsi="宋体"/>
        </w:rPr>
        <w:t>根据考古发现，远古农耕时代的河姆渡人最有可能吃到的是（</w:t>
      </w:r>
      <w:r>
        <w:rPr>
          <w:rFonts w:eastAsia="Times New Roman" w:cs="Times New Roman"/>
        </w:rPr>
        <w:t xml:space="preserve">    </w:t>
      </w:r>
      <w:r>
        <w:rPr>
          <w:rFonts w:ascii="宋体" w:hAnsi="宋体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/>
        </w:rPr>
        <w:t>粟</w:t>
      </w:r>
      <w:r>
        <w:tab/>
      </w:r>
      <w:r>
        <w:t xml:space="preserve">B. </w:t>
      </w:r>
      <w:r>
        <w:rPr>
          <w:rFonts w:ascii="宋体" w:hAnsi="宋体"/>
        </w:rPr>
        <w:t>水稻</w:t>
      </w:r>
      <w:r>
        <w:tab/>
      </w:r>
      <w:r>
        <w:t xml:space="preserve">C. </w:t>
      </w:r>
      <w:r>
        <w:rPr>
          <w:rFonts w:ascii="宋体" w:hAnsi="宋体"/>
        </w:rPr>
        <w:t>葡萄</w:t>
      </w:r>
      <w:r>
        <w:tab/>
      </w:r>
      <w:r>
        <w:t xml:space="preserve">D. </w:t>
      </w:r>
      <w:r>
        <w:rPr>
          <w:rFonts w:ascii="宋体" w:hAnsi="宋体"/>
        </w:rPr>
        <w:t>甘薯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所学可知，河姆渡人生活在距今约7000年的长江流域的浙江余姚。住宅是干栏式房屋。使用磨制石器，如骨耜；种植水稻，B项正确；粟是半坡原始居民种植的农作物，排除A项；葡萄是汉朝从西域引进的，排除C项；甘薯是明朝从美洲引进的，排除D项。故选B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汉武帝为加强中央对地方的控制，采纳主父偃的建议实施了（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分封制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郡县制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推恩令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行省制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结合所学知识可知，汉武帝时，采纳主父偃的建议实行推恩令，规定：诸侯王死后，除嫡长子继承王位外，其他子弟也可分割王国的一部分土地成为列侯，由郡守统辖，加强了中央对地方的控制，C项正确；西周灭商后，便大规模地分封王室子弟和功臣，诸侯在其封国内享有世袭统治权，也有服从天子命令、定期朝贡、提供军赋和力役、维护周室安全的责任，排除A项；秦始皇统一全国，普遍推行郡县制，废除分封制，建立了第一个专制主义中央集权的王朝，排除B项；元朝时实行行省制，排除D项。故选C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学习历史需要了解和掌握历史纪年方法。赤壁之战发生的公元</w:t>
      </w:r>
      <w:r>
        <w:rPr>
          <w:rFonts w:eastAsia="Times New Roman" w:cs="Times New Roman"/>
          <w:color w:val="000000"/>
        </w:rPr>
        <w:t>208</w:t>
      </w:r>
      <w:r>
        <w:rPr>
          <w:rFonts w:ascii="宋体" w:hAnsi="宋体"/>
          <w:color w:val="000000"/>
        </w:rPr>
        <w:t>年还可以表述为（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公元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世纪初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公元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世纪末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公元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世纪初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公元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世纪末</w:t>
      </w:r>
    </w:p>
    <w:p>
      <w:pPr>
        <w:spacing w:line="360" w:lineRule="auto"/>
        <w:textAlignment w:val="center"/>
        <w:rPr>
          <w:color w:val="000000"/>
        </w:rPr>
        <w:sectPr>
          <w:headerReference w:type="default" r:id="rId7"/>
          <w:footerReference w:type="default" r:id="rId8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结合所学知识可知，通常来说，一个世纪是指100年，而世纪的计算方法是以公历纪年为基础。具体世纪换算公式为百位数上加1，如：公元208年换算成世纪就是公元3世纪初，C项正确；排除ABD项。故选C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尽道隋亡为此河，至今千里赖通波。若无水殿龙舟事，共禹论功不较多。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这首诗可用于研究（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隋朝统一的条件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赵州桥的艺术特点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科举制创立的作用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大运河开凿的影响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由材料“尽道隋亡为此河”“若无水殿龙舟事”可知，诗人认为开凿大运河是隋朝灭亡的原因之一，见证了隋炀帝的穷奢极欲，同时根据材料中“至今千里赖通波”“共禹论功不较多”可知，诗人认为大运河沟通了南北交流，促进了社会经济的发展。因此这首诗可用于研究大运河开凿的影响，D项正确；题干反映的是隋朝统一后开凿的大运河的影响，不是隋朝统一的条件，排除A项；题干反映的不是赵州桥，是大运河的开通，排除B项；题干和科举制的创立无关，排除C项。故选D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如图描绘的灌溉工具是（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1657350" cy="21812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耧车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翻车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筒车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秧马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所学知识，如图描绘的灌溉工具是唐朝出现的筒车，C项正确；耧车是西汉出现的耕地工具，排除A项；翻车又名龙骨水车，旧时中国民间灌溉农田用的龙骨水车，形状似龙骨，排除B项；秧马是旧时中国农具，是种植水稻时，用于插秧和拔秧的工具，排除D项。故选C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中国古代历史上长期存在的丞相制度废除于（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  <w:sectPr>
          <w:headerReference w:type="default" r:id="rId10"/>
          <w:footerReference w:type="default" r:id="rId11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唐朝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宋朝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明朝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清朝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所学可知，明朝朱元璋时期，废除丞相制度和中书省，提升吏、户、礼、兵、刑、工六部的职权，直接向皇帝负责，C项正确；唐朝、宋朝在明朝之前，没有废除丞相制度，排除AB项；清朝在明朝之后，不存在丞相制度，排除D项。故选C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秦朝修筑驰道、汉朝发行五铢钱、元朝设立宣政院、郑成功收复台湾在客观上的共同意义在于（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维护国家统一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削弱地方权力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抵御外来入侵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加强君主专制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为加强各地的交通往来，秦始皇下令统一车辆和道路的宽窄，并修筑贯通全国的道路，使秦朝的陆路交通四通八达，维护国家统一；为加强朝廷对社会经济的控制，汉武帝把铸币权收归中央，统一铸造五铢钱，维护国家统一；元朝建立后在西藏设立宣慰使司都元帅府，由宣政院直接统辖，维护国家统一；郑成功收复台湾，维护了国家统一，A项正确；题干和削弱地方权力无关，排除B项；只有郑成功收复台湾抵抗外来侵略入侵，排除C项；题干和加强君主专制无关，排除D项。故选A项。</w:t>
      </w:r>
    </w:p>
    <w:p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中华百年看天津。请完成下面小题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作家冯骥才说：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从历史角度看，天津小洋楼是西方入侵的一目了然的证据；从文化角度看，它却是本土文化一个奇异的创造。进而说，是在被动历史背景下主动的文化创造。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西方入侵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过程中把天津开为商埠的是（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《南京条约》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《天津条约》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《北京条约》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《马关条约》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eastAsia="Times New Roman" w:cs="Times New Roman"/>
          <w:color w:val="000000"/>
        </w:rPr>
        <w:t>1866</w:t>
      </w:r>
      <w:r>
        <w:rPr>
          <w:rFonts w:ascii="宋体" w:hAnsi="宋体"/>
          <w:color w:val="000000"/>
        </w:rPr>
        <w:t>年，三口通商大臣崇厚筹办天津机器局东局和西局。东局原址位于天津城东贾家洁道，是中国第一家近代化火药厂。这一洋务企业创办的目的是（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自强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求富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民主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共和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8. C    9. 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【8题详解】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所学知识，1860年，英法联军攻占北京，咸丰帝逃往承德，清政府被迫与侵略者签订《北京条约》，《北京条约》规定，增开天津为通商口岸，C项正确；《南京条约》开放广州、福州、宁波、上海、厦门为通商口岸，排除A项；《天津条约》中，增开汉口、南京等十处为通商口岸，排除B项；《马关条约》开放沙市、重庆、苏州、杭州为商埠，排除D项。故选C项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12"/>
          <w:footerReference w:type="default" r:id="rId13"/>
          <w:type w:val="nextPage"/>
          <w:pgSz w:w="11906" w:h="16838"/>
          <w:pgMar w:top="910" w:right="1080" w:bottom="1440" w:left="1080" w:header="152" w:footer="0" w:gutter="0"/>
          <w:pgNumType w:start="3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【9题详解】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材料“1866年”“天津机器局”“是中国第一家近代化火药厂”可知，19世纪60年代，洋务派以“自强”为口号，发展近代军事工业，A项正确；“求富”是19世纪70年代起开办的民用企业的口号，排除B项；民主科学是新文化运动的口号，排除C项；中华民国是资产阶级民主共和国，排除D项。故选A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eastAsia="Times New Roman" w:cs="Times New Roman"/>
          <w:color w:val="000000"/>
        </w:rPr>
        <w:t>“20</w:t>
      </w:r>
      <w:r>
        <w:rPr>
          <w:rFonts w:ascii="宋体" w:hAnsi="宋体"/>
          <w:color w:val="000000"/>
        </w:rPr>
        <w:t>世纪初，有一年份叫辛亥，有一壮举叫首义</w:t>
      </w:r>
      <w:r>
        <w:rPr>
          <w:rFonts w:eastAsia="Times New Roman" w:cs="Times New Roman"/>
          <w:color w:val="000000"/>
        </w:rPr>
        <w:t>……”</w:t>
      </w:r>
      <w:r>
        <w:rPr>
          <w:rFonts w:ascii="宋体" w:hAnsi="宋体"/>
          <w:color w:val="000000"/>
        </w:rPr>
        <w:t>歌谣中辛亥年发生的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首义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是指（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安庆起义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广西起义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黄花岗起义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武昌起义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题干“20世纪初，有一年份叫辛亥，有一壮举叫首义……”和所学知识可知，1911年10月10日，革命党人在湖北武昌发动起义，第二天清晨，起义军完全占领武昌城，12日，起义军完全控制武汉三镇，史称“武昌起义”。武昌起义是辛亥革命的开端，武昌被称为首义之城。武昌起义胜利后，各省纷纷响应，到11月下，全国已有一半以上的省份宣布独立，支持革命，清朝统治土崩瓦解，D项正确；安庆起义发生于1907年，是清代末年由光复会成员发动的反对清廷的武装起义之一，排除A项；广西起义发生于1907年，排除B项；黄花岗起义是1911年4月革命党人在广州举行的起义，排除C项。故选D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制作时间轴是中学生常用的学习方法。根据下列时间轴所探究的主题推断，问号处对应的是（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4410075" cy="14668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五四运动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中国共产党成立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秋收起义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井冈山会师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【详解】根据所学可知，1921年中共一大的召开，标志着中国共产党的诞生，B项正确；五四运动是1919年，排除A项；秋收起义是1927年，排除C项；井冈山会师是1928年，排除D项。故选B项。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确立了思想建党、政治建军原则的会议是（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八七会议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古田会议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遵义会议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瓦窑堡会议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15"/>
          <w:footerReference w:type="default" r:id="rId16"/>
          <w:type w:val="nextPage"/>
          <w:pgSz w:w="11906" w:h="16838"/>
          <w:pgMar w:top="910" w:right="1080" w:bottom="1440" w:left="1080" w:header="152" w:footer="0" w:gutter="0"/>
          <w:pgNumType w:start="4"/>
          <w:cols w:num="1" w:space="720"/>
          <w:titlePg w:val="0"/>
          <w:docGrid w:type="lines" w:linePitch="312" w:charSpace="0"/>
        </w:sect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所学知识可知，1929年12月，古田会议在福建上杭县古田召开，大会认真总结了南昌起义以来建军建党的经验，确立了人民军队建设的基本原则，核心内容是党指挥枪，重申了党对红军实行绝对领导，确立了“思想建党、政治建军”的建党建军原则，B项正确；八七会议通过了土地革命和武装反抗国民党反动统治的总方针，排除A项；遵义会议确立了毛泽东在中共中央的领导地位，是党的历史上生死攸关的转折点，排除C项；瓦窑堡会议是1935年在陕北安定县瓦窑堡举行扩大会议，决定了建立抗日民族统一战线的策略，排除D项。故选B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《地球的红飘带》一书中描写了四渡赤水、飞夺泸定桥以及翻雪山、过草地等场景。这些场景反映的历史事件是（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国民革命军北伐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中国工农红军长征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刘邓大军千里跃进大别山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人民解放军占领南京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题干“四渡赤水、飞夺泸定桥以及翻雪山、过草地”和所学知识可知，这些场景反映的历史事件是中国工农红军长征。1934年10月，由于红军反围剿失利，被迫进行长征。一路上敌人围追堵截，红军拼死英勇冲杀，冲过敌人四道封锁线，渡过湘江后，红军人员损失过半。1935年1月，遵义会议召开，确立了毛泽东的正确领导。遵义会议是中国革命生死攸关的转折点。遵义会议后，红军声东击西，四渡赤水河，打乱了敌人的追剿计划，然后巧渡金沙江，红军跳出敌人包围圈。此后红军强渡大渡河、飞夺泸定桥、过大雪山、草地，在1935年10月到达吴起镇与陕北红军胜利会师。1936 年10 月红军三大主力在甘肃会宁会师，标志长征胜利结束，B项正确；北伐战争是由中国国民党领导下的国民政府以国民革命军为主力，蒋介石为总司令于1926年至1928年间发动的统一战争，与材料场景不符，排除A项；1947年夏，刘伯承、邓小平率领晋冀鲁豫解放军主力，千里挺进大别山，直接威胁到南京、武汉，揭开了人民解放军战略进攻的序幕，与材料地点不符，排除C项；1949年4月，渡江战役胜利后，人民解放军占领南京，与材料地点不符，排除D项。故选B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全民族抗战爆发后，中国军队主动对日作战取得的第一个重大胜利是（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平型关大捷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台儿庄战役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武汉会战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百团大战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17"/>
          <w:footerReference w:type="default" r:id="rId18"/>
          <w:type w:val="nextPage"/>
          <w:pgSz w:w="11906" w:h="16838"/>
          <w:pgMar w:top="910" w:right="1080" w:bottom="1440" w:left="1080" w:header="152" w:footer="0" w:gutter="0"/>
          <w:pgNumType w:start="5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详解】据所学可知，1937年9月，日军向平型关开进。八路军第一一五师在师长林彪率领下，在平型关一带伏击日军，将日军全部歼灭。平型关大捷是全国抗战以来中国军队主动出击取得的第一个胜利，粉碎了日军“不可战胜”的神话，A项正确；台儿庄战役是正面战场取得的最大胜利，排除B项；武汉会战使日本企图迅速灭亡中国的的既定战略彻底破灭，排除C项；1940年下半年，八路军总部在彭德怀指挥下，组织了100多个团，在华北广阔的地域，对日军发动了一场大规模进攻，史称“百团大战”，与题干不符，排除D项。故选A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如图描绘了某宪法草案公布后人们在田间地头热议</w:t>
      </w:r>
      <w:r>
        <w:rPr>
          <w:rFonts w:ascii="宋体" w:hAnsi="宋体"/>
          <w:color w:val="000000"/>
        </w:rPr>
        <w:drawing>
          <wp:inline distT="0" distB="0" distL="0" distR="0">
            <wp:extent cx="133350" cy="1778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画面。随后出台的我国有史以来真正反映人民利益的宪法是（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1695450" cy="19621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宪法草案公布了（版画）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1912</w:t>
      </w:r>
      <w:r>
        <w:rPr>
          <w:rFonts w:ascii="宋体" w:hAnsi="宋体"/>
          <w:color w:val="000000"/>
        </w:rPr>
        <w:t>年《中华民国临时约法》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eastAsia="Times New Roman" w:cs="Times New Roman"/>
          <w:color w:val="000000"/>
        </w:rPr>
        <w:t>1914</w:t>
      </w:r>
      <w:r>
        <w:rPr>
          <w:rFonts w:ascii="宋体" w:hAnsi="宋体"/>
          <w:color w:val="000000"/>
        </w:rPr>
        <w:t>年《中华民国约法》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1949</w:t>
      </w:r>
      <w:r>
        <w:rPr>
          <w:rFonts w:ascii="宋体" w:hAnsi="宋体"/>
          <w:color w:val="000000"/>
        </w:rPr>
        <w:t>年《中国人民政治协商会议共同纲领》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eastAsia="Times New Roman" w:cs="Times New Roman"/>
          <w:color w:val="000000"/>
        </w:rPr>
        <w:t>1954</w:t>
      </w:r>
      <w:r>
        <w:rPr>
          <w:rFonts w:ascii="宋体" w:hAnsi="宋体"/>
          <w:color w:val="000000"/>
        </w:rPr>
        <w:t>年《中华人民共和国宪法》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1954</w:t>
      </w:r>
      <w:r>
        <w:rPr>
          <w:rFonts w:ascii="宋体" w:hAnsi="宋体"/>
          <w:color w:val="000000"/>
        </w:rPr>
        <w:t>年第一届全国人民代表大会的召开，颁布了《中华人民共和国宪法》，这是中国历史上第一部社会主义性质的宪法，也是有史以来真正反映人民利益的宪法，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项正确；</w:t>
      </w:r>
      <w:r>
        <w:rPr>
          <w:rFonts w:eastAsia="Times New Roman" w:cs="Times New Roman"/>
          <w:color w:val="000000"/>
        </w:rPr>
        <w:t>1912</w:t>
      </w:r>
      <w:r>
        <w:rPr>
          <w:rFonts w:ascii="宋体" w:hAnsi="宋体"/>
          <w:color w:val="000000"/>
        </w:rPr>
        <w:t>年《中华民国临时约法》是资产阶级共和国宪法性质的重要文件，是辛亥革命的重要成果，排除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项；《中华民国约法》，又名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袁记约法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，是指民国三年五月一日由中华民国总统袁世凯公布的一个取代《中华民国临时约法》的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临时宪法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。此约法在民国五年袁世凯创立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中华帝国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时被废弃，后一直未再恢复，排除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项；</w:t>
      </w:r>
      <w:r>
        <w:rPr>
          <w:rFonts w:eastAsia="Times New Roman" w:cs="Times New Roman"/>
          <w:color w:val="000000"/>
        </w:rPr>
        <w:t>1949</w:t>
      </w:r>
      <w:r>
        <w:rPr>
          <w:rFonts w:ascii="宋体" w:hAnsi="宋体"/>
          <w:color w:val="000000"/>
        </w:rPr>
        <w:t>年《中国人民政治协商会议共同纲领》是中国人民政治协商会议第一届全体会议</w:t>
      </w:r>
      <w:r>
        <w:rPr>
          <w:rFonts w:eastAsia="Times New Roman" w:cs="Times New Roman"/>
          <w:color w:val="000000"/>
        </w:rPr>
        <w:t>1949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29</w:t>
      </w:r>
      <w:r>
        <w:rPr>
          <w:rFonts w:ascii="宋体" w:hAnsi="宋体"/>
          <w:color w:val="000000"/>
        </w:rPr>
        <w:t>日通过的，为新中国的成立做了准备，排除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项。故选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在油田大会战时，王进喜率领钻井队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人拉肩扛</w:t>
      </w:r>
      <w:r>
        <w:rPr>
          <w:rFonts w:eastAsia="Times New Roman" w:cs="Times New Roman"/>
          <w:color w:val="000000"/>
        </w:rPr>
        <w:t>”“</w:t>
      </w:r>
      <w:r>
        <w:rPr>
          <w:rFonts w:ascii="宋体" w:hAnsi="宋体"/>
          <w:color w:val="000000"/>
        </w:rPr>
        <w:t>盆端桶提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：遇到险情时，用身体搅拌泥浆制服井喷。在他们身上体现的时代精神是（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保家卫国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艰苦创业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助人为乐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科技创新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题干“在油田大会战时，王进喜率领钻井队‘人拉肩扛’‘盆端桶提’，遇到险情时，用身体搅拌泥浆制服井喷”可知，在他们身上体现的时代精神是艰苦创业，B项正确；保家卫国与抗美援朝有关，排除A项；题干主要体现的是艰苦创业，无私奉献的精神，助人为乐与题干无关，排除C项；题干没有涉及科技创新，排除D项。故选B项。</w:t>
      </w:r>
    </w:p>
    <w:p>
      <w:pPr>
        <w:spacing w:line="360" w:lineRule="auto"/>
        <w:textAlignment w:val="center"/>
        <w:rPr>
          <w:color w:val="000000"/>
        </w:rPr>
        <w:sectPr>
          <w:headerReference w:type="default" r:id="rId21"/>
          <w:footerReference w:type="default" r:id="rId22"/>
          <w:type w:val="nextPage"/>
          <w:pgSz w:w="11906" w:h="16838"/>
          <w:pgMar w:top="910" w:right="1080" w:bottom="1440" w:left="1080" w:header="152" w:footer="0" w:gutter="0"/>
          <w:pgNumType w:start="6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同学们要在暑期实地开展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中国首批经济特区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主题研学活动。他们应去（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北京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重庆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上海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深圳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题干“中国首批经济特区”可知，他们应该去深圳。1979年7月，中共中央、国务院同意在广东省的深圳、珠海、汕头三市和福建省的厦门市试办出口特区。1980年5月，中共中央和国务院决定将深圳、珠海、汕头和厦门这四个出口特区改称为经济特区，D项正确；北京、重庆、上海不是经济特区，排除ABC项。故选D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下图为香港《大公报》</w:t>
      </w:r>
      <w:r>
        <w:rPr>
          <w:rFonts w:eastAsia="Times New Roman" w:cs="Times New Roman"/>
          <w:color w:val="000000"/>
        </w:rPr>
        <w:t>1997</w:t>
      </w:r>
      <w:r>
        <w:rPr>
          <w:rFonts w:ascii="宋体" w:hAnsi="宋体"/>
          <w:color w:val="000000"/>
        </w:rPr>
        <w:t>年某一天的版面。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回归了开新篇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的大字设计是为了强调（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2876550" cy="19240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提出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一国两制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方针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正式签署中英联合声明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中国恢复对香港行使主权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中国恢复对澳门行使主权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材料“香港《大公报》1997年某一天”“回归了开新篇”可知反映了香港的回归，结合所学可知，1997年7月1日中国对香港恢复行使主权，C项正确；材料是“一国两制”方针的成功实践香港回归，排除A项；正式签署中英联合声明是1984年，排除B项；材料反应的内容是香港，与澳门无关，排除D项。故选C项。</w:t>
      </w:r>
    </w:p>
    <w:p>
      <w:pPr>
        <w:spacing w:line="360" w:lineRule="auto"/>
        <w:textAlignment w:val="center"/>
        <w:rPr>
          <w:color w:val="000000"/>
        </w:rPr>
        <w:sectPr>
          <w:headerReference w:type="default" r:id="rId24"/>
          <w:footerReference w:type="default" r:id="rId25"/>
          <w:type w:val="nextPage"/>
          <w:pgSz w:w="11906" w:h="16838"/>
          <w:pgMar w:top="910" w:right="1080" w:bottom="1440" w:left="1080" w:header="152" w:footer="0" w:gutter="0"/>
          <w:pgNumType w:start="7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如图的建筑产生于（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3048000" cy="22288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古代埃及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古代希腊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古代罗马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拜占庭帝国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所学可知，题干图片反映的古罗马斗兽场（大竞技场），罗马角斗场在意大利首都罗马市内台伯河东岸，为古罗马的象征，C项正确；古罗马斗兽场与古埃及、古希腊、拜占庭帝国无关，排除ABD项。故选C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历史解释是对史实的分析和评判。下列选项属于历史解释的是（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1689</w:t>
      </w:r>
      <w:r>
        <w:rPr>
          <w:rFonts w:ascii="宋体" w:hAnsi="宋体"/>
          <w:color w:val="000000"/>
        </w:rPr>
        <w:t>年英国议会通过了《权利法案》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eastAsia="Times New Roman" w:cs="Times New Roman"/>
          <w:color w:val="000000"/>
        </w:rPr>
        <w:t>1775</w:t>
      </w:r>
      <w:r>
        <w:rPr>
          <w:rFonts w:ascii="宋体" w:hAnsi="宋体"/>
          <w:color w:val="000000"/>
        </w:rPr>
        <w:t>年来克星顿传出了枪声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1789</w:t>
      </w:r>
      <w:r>
        <w:rPr>
          <w:rFonts w:ascii="宋体" w:hAnsi="宋体"/>
          <w:color w:val="000000"/>
        </w:rPr>
        <w:t>年巴黎民众攻占巴士底狱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eastAsia="Times New Roman" w:cs="Times New Roman"/>
          <w:color w:val="000000"/>
        </w:rPr>
        <w:t>1789</w:t>
      </w:r>
      <w:r>
        <w:rPr>
          <w:rFonts w:ascii="宋体" w:hAnsi="宋体"/>
          <w:color w:val="000000"/>
        </w:rPr>
        <w:t>年的法国《人权宣言》具有历史进步性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</w:t>
      </w:r>
      <w:r>
        <w:rPr>
          <w:rFonts w:ascii="宋体" w:hAnsi="宋体"/>
          <w:color w:val="000000"/>
        </w:rPr>
        <w:t>材料“历史解释是对史实的分析和评判”可知，历史解释是历史史实的客观评判，选项中“1789年的法国《人权宣言》具有历史进步性”的论述是对法国《人权宣言》的客观评价，属于历史解释，D项正确；1689年英国颁布《权利法案》，限制国王权力，这属于历史史实，排除A项；1775年来克星顿传出了枪声，标志着美国独立战争开始，属于历史史实，排除B项；1789年巴黎民众攻占巴士底狱，标志着法国大革命的开始，属于历史史实，排除C项。故选D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第一次工业革命中，将蒸汽机变为主要动力来源的发明家是（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哈格里夫斯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瓦特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诺贝尔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爱迪生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27"/>
          <w:footerReference w:type="default" r:id="rId28"/>
          <w:type w:val="nextPage"/>
          <w:pgSz w:w="11906" w:h="16838"/>
          <w:pgMar w:top="910" w:right="1080" w:bottom="1440" w:left="1080" w:header="152" w:footer="0" w:gutter="0"/>
          <w:pgNumType w:start="8"/>
          <w:cols w:num="1" w:space="720"/>
          <w:titlePg w:val="0"/>
          <w:docGrid w:type="lines" w:linePitch="312" w:charSpace="0"/>
        </w:sect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第一次工业革命期间，瓦特制成了改良蒸汽机，使机器获得了持续而稳定的动力。人们利用蒸汽机提供的动力带动机器，进行生产，极大地促进了大工厂生产的发展。从此，人类进入了“蒸汽时代”。在第一次工业革命期间，将蒸汽机变为主要动力的发明家是瓦特，B项正确；哈格里夫斯发明了珍妮纺纱机是第一次工业革命开始的标志，排除A项；诺贝尔发明了现代炸药，排除C项；爱迪生在第二次工业革命中发明了电灯等，把人类带入了“电气时代”，排除D项。故选B项。</w:t>
      </w:r>
    </w:p>
    <w:p>
      <w:pPr>
        <w:spacing w:line="285" w:lineRule="auto"/>
        <w:ind w:firstLine="420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音乐作品可以表现重大社会题材。请回答</w:t>
      </w:r>
      <w:r>
        <w:rPr>
          <w:rFonts w:eastAsia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～</w:t>
      </w:r>
      <w:r>
        <w:rPr>
          <w:rFonts w:eastAsia="Times New Roman" w:cs="Times New Roman"/>
          <w:color w:val="000000"/>
        </w:rPr>
        <w:t>23</w:t>
      </w:r>
      <w:r>
        <w:rPr>
          <w:rFonts w:ascii="宋体" w:hAnsi="宋体"/>
          <w:color w:val="000000"/>
        </w:rPr>
        <w:t>题</w:t>
      </w:r>
    </w:p>
    <w:p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音乐作品可以表现重大社会题材。请完成下面小题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《英雄交响曲》气势磅礴，表达出作曲家对自由、平等和博爱的渴望。这位德国天才作曲家是（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贝多芬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列夫</w:t>
      </w:r>
      <w:r>
        <w:rPr>
          <w:rFonts w:eastAsia="Times New Roman" w:cs="Times New Roman"/>
          <w:color w:val="000000"/>
        </w:rPr>
        <w:t>·</w:t>
      </w:r>
      <w:r>
        <w:rPr>
          <w:rFonts w:ascii="宋体" w:hAnsi="宋体"/>
          <w:color w:val="000000"/>
        </w:rPr>
        <w:t>托尔斯泰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达尔文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梵高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《英雄交响曲》本来是为歌颂拿破仑而作，但在1804年正式发表时作者愤怒地去掉了拿破仑的名字。这是因为拿破仑（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发动政变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加冕称帝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远征俄国失败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兵败滑铁卢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22. A    23. 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【22题详解】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结合所学知识可知，《英雄交响曲》是贝多芬在1803年至1804年间创作的四乐章交响曲，A项正确；列夫·托尔斯泰是19世纪中期俄国批判现实主义作家，代表作有《战争与和平》《安娜·卡列尼娜》《复活》等，排除B项；达尔文创立生物进化论，排除C项；梵高是荷兰后印象派画家，代表作有《向日葵》等，排除D项。故选A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【23题详解】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结合所学知识可知，贝多芬写的《英雄交响曲》，本来是准备献给拿破仑的，因其称帝而撕毁题辞，改标题为“纪念一位伟人而作”，B项正确；贝多芬写的《英雄交响曲》，本来是准备献给拿破仑的，因其称帝而撕毁题辞，排除A项；1812年，拿破仑远征俄国失败，与题干时间不符，排除C项；1815年拿破仑兵败滑铁卢，与题干时间不符，排除D项。故选B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某历史兴趣小组收集了以下资料进行探究学习。他们学习的主题应该是（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9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照片：《周恩来在万隆会议上发言》</w:t>
            </w:r>
          </w:p>
          <w:p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地图：《非洲独立进程图》</w:t>
            </w:r>
          </w:p>
          <w:p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纪录片：《巴拿马运河》</w:t>
            </w:r>
          </w:p>
          <w:p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传记：《曼德拉传》</w:t>
            </w:r>
          </w:p>
        </w:tc>
      </w:tr>
    </w:tbl>
    <w:p>
      <w:pPr>
        <w:spacing w:line="360" w:lineRule="auto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一战后亚非拉民族民主运动的高涨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二战后资本主义的新变化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二战后亚非拉国家的新发展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二战后社会主义力量的壮大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https://d.book118.com/088072066033006047</w:t>
        </w:r>
      </w:hyperlink>
    </w:p>
    <w:p>
      <w:pPr>
        <w:spacing w:line="360" w:lineRule="auto"/>
        <w:textAlignment w:val="center"/>
        <w:rPr>
          <w:color w:val="000000"/>
        </w:rPr>
      </w:pPr>
    </w:p>
    <w:sectPr>
      <w:headerReference w:type="default" r:id="rId30"/>
      <w:footerReference w:type="default" r:id="rId31"/>
      <w:type w:val="nextPage"/>
      <w:pgSz w:w="11906" w:h="16838"/>
      <w:pgMar w:top="910" w:right="1080" w:bottom="1440" w:left="1080" w:header="152" w:footer="0" w:gutter="0"/>
      <w:pgNumType w:start="9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4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0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6192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mso-height-relative:page;mso-width-relative:page;position:absolute;z-index:251661312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4144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4" type="#_x0000_t75" alt="学科网 zxxk.com" style="width:0.05pt;height:0.05pt;margin-top:-20.75pt;margin-left:64.05pt;mso-height-relative:page;mso-width-relative:page;position:absolute;z-index:251663360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2096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mso-height-relative:page;mso-width-relative:page;position:absolute;z-index:251665408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0048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8" type="#_x0000_t75" alt="学科网 zxxk.com" style="width:0.05pt;height:0.05pt;margin-top:-20.75pt;margin-left:64.05pt;mso-height-relative:page;mso-width-relative:page;position:absolute;z-index:251667456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8000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0" type="#_x0000_t75" alt="学科网 zxxk.com" style="width:0.05pt;height:0.05pt;margin-top:-20.75pt;margin-left:64.05pt;mso-height-relative:page;mso-width-relative:page;position:absolute;z-index:251669504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5952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2" type="#_x0000_t75" alt="学科网 zxxk.com" style="width:0.05pt;height:0.05pt;margin-top:-20.75pt;margin-left:64.05pt;mso-height-relative:page;mso-width-relative:page;position:absolute;z-index:251671552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3904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4" type="#_x0000_t75" alt="学科网 zxxk.com" style="width:0.05pt;height:0.05pt;margin-top:-20.75pt;margin-left:64.05pt;mso-height-relative:page;mso-width-relative:page;position:absolute;z-index:251673600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  <w:r>
      <w:t>页</w:t>
    </w: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1856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6" type="#_x0000_t75" alt="学科网 zxxk.com" style="width:0.05pt;height:0.05pt;margin-top:-20.75pt;margin-left:64.05pt;mso-height-relative:page;mso-width-relative:page;position:absolute;z-index:251675648" coordsize="21600,21600" o:preferrelative="t" filled="f" stroked="f">
          <v:stroke joinstyle="miter"/>
          <v:imagedata r:id="rId1" o:title="{75232B38-A165-1FB7-499C-2E1C792CACB5}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1743B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16B12"/>
    <w:rsid w:val="00A25705"/>
    <w:rsid w:val="00A405DB"/>
    <w:rsid w:val="00A536B0"/>
    <w:rsid w:val="00AA18B4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D0D5790"/>
    <w:rsid w:val="38274566"/>
  </w:rsids>
  <w:docVars>
    <w:docVar w:name="commondata" w:val="eyJoZGlkIjoiMDc3ZmQ5ODU2MzhkMGU1N2YzYzc4NGQzM2NkYTNlZW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59" w:unhideWhenUsed="0" w:qFormat="1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5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unhideWhenUsed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kern w:val="2"/>
      <w:sz w:val="18"/>
      <w:szCs w:val="24"/>
    </w:rPr>
  </w:style>
  <w:style w:type="paragraph" w:styleId="NoSpacing">
    <w:name w:val="No Spacing"/>
    <w:autoRedefine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4.png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header" Target="header5.xml" /><Relationship Id="rId18" Type="http://schemas.openxmlformats.org/officeDocument/2006/relationships/footer" Target="footer5.xml" /><Relationship Id="rId19" Type="http://schemas.openxmlformats.org/officeDocument/2006/relationships/image" Target="media/image5.wmf" /><Relationship Id="rId2" Type="http://schemas.openxmlformats.org/officeDocument/2006/relationships/webSettings" Target="webSettings.xml" /><Relationship Id="rId20" Type="http://schemas.openxmlformats.org/officeDocument/2006/relationships/image" Target="media/image6.png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image" Target="media/image7.png" /><Relationship Id="rId24" Type="http://schemas.openxmlformats.org/officeDocument/2006/relationships/header" Target="header7.xml" /><Relationship Id="rId25" Type="http://schemas.openxmlformats.org/officeDocument/2006/relationships/footer" Target="footer7.xml" /><Relationship Id="rId26" Type="http://schemas.openxmlformats.org/officeDocument/2006/relationships/image" Target="media/image8.png" /><Relationship Id="rId27" Type="http://schemas.openxmlformats.org/officeDocument/2006/relationships/header" Target="header8.xml" /><Relationship Id="rId28" Type="http://schemas.openxmlformats.org/officeDocument/2006/relationships/footer" Target="footer8.xml" /><Relationship Id="rId29" Type="http://schemas.openxmlformats.org/officeDocument/2006/relationships/hyperlink" Target="https://d.book118.com/088072066033006047" TargetMode="External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footer" Target="footer9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3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/>
    <customShpInfo spid="_x0000_s307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1774</Words>
  <Characters>10114</Characters>
  <Application>Microsoft Office Word</Application>
  <DocSecurity>0</DocSecurity>
  <Lines>84</Lines>
  <Paragraphs>23</Paragraphs>
  <ScaleCrop>false</ScaleCrop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彩虹的梦</cp:lastModifiedBy>
  <cp:revision>0</cp:revision>
  <dcterms:created xsi:type="dcterms:W3CDTF">2023-08-16T21:40:00Z</dcterms:created>
  <dcterms:modified xsi:type="dcterms:W3CDTF">2024-03-19T06:30:36Z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0D5BE57EFFFC463CBA4592EB9B68D69E_12</vt:lpwstr>
  </property>
  <property fmtid="{D5CDD505-2E9C-101B-9397-08002B2CF9AE}" pid="7" name="KSOProductBuildVer">
    <vt:lpwstr>2052-12.1.0.16388</vt:lpwstr>
  </property>
</Properties>
</file>