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media/image1.tif" ContentType="image/tiff"/>
  <Override PartName="/word/media/image2.tif" ContentType="image/tiff"/>
  <Override PartName="/word/media/image3.tif" ContentType="image/tiff"/>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left"/>
        <w:rPr>
          <w:rFonts w:ascii="Times New Roman" w:eastAsia="宋体" w:hAnsi="Times New Roman" w:cs="Times New Roman" w:hint="default"/>
          <w:b/>
          <w:bCs/>
          <w:sz w:val="24"/>
          <w:szCs w:val="24"/>
        </w:rPr>
      </w:pPr>
      <w:r>
        <w:rPr>
          <w:rFonts w:ascii="Times New Roman" w:eastAsia="宋体" w:hAnsi="Times New Roman" w:cs="Times New Roman" w:hint="default"/>
          <w:b/>
          <w:bCs/>
          <w:sz w:val="24"/>
          <w:szCs w:val="24"/>
        </w:rPr>
        <w:t>2024人教版高中历史选择性必修1同步</w:t>
      </w:r>
    </w:p>
    <w:p>
      <w:pPr>
        <w:spacing w:line="360" w:lineRule="auto"/>
        <w:jc w:val="center"/>
        <w:rPr>
          <w:rFonts w:ascii="Times New Roman" w:eastAsia="宋体" w:hAnsi="Times New Roman" w:cs="Times New Roman" w:hint="default"/>
          <w:sz w:val="24"/>
          <w:szCs w:val="24"/>
        </w:rPr>
      </w:pPr>
      <w:bookmarkStart w:id="0" w:name="_GoBack"/>
      <w:bookmarkEnd w:id="0"/>
      <w:r>
        <w:rPr>
          <w:rFonts w:ascii="Times New Roman" w:eastAsia="宋体" w:hAnsi="Times New Roman" w:cs="Times New Roman" w:hint="default"/>
          <w:sz w:val="24"/>
          <w:szCs w:val="24"/>
        </w:rPr>
        <w:t>第16课　中国赋税制度的演变</w:t>
      </w:r>
    </w:p>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基础过关练</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题组一　中国古代的赋役制度</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1.(2022江苏连云港期末)由于史籍没有明文记载秦劳动者服役的起始年龄,学者遂据“汉承秦制”推断秦劳动者20岁或23岁开始服役。后来,学者研究睡虎地秦简发现,秦人17周岁开始为国家服役。由此可知</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A.文献与考古互证方可证实历史</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B.考古发掘可以补写历史</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C.唯考古发掘才能还原历史真相</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D.历史推断违背求真理念</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2.(2023广东佛山摸底)公元前189年,西汉政府规定:女子年十五以上至三十不嫁,五算(五倍的人头税)。据此推知,汉初</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A.休养生息政策内容广泛</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B.男尊女卑观念盛行</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C.对人口增长的需求迫切</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D.人头税的负担较轻</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3.(2022山东青岛期中)汉代规定23岁至50岁的男丁要在郡县或京师服徭役一个月,如不愿服役,可纳钱二千文,由政府雇人代役。该规定　</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A.从根本上抑制土地兼并</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B.强化了对农民人身控制</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C.取消了官僚地主的特权</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D.利于增加政府财政收入</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4.(2022黑龙江哈尔滨月考)唐朝前期实行租庸调制,授田的男丁每年须缴纳粟二石,为国家服劳役二十日,不去服役可纳绢或布代役。这种课征约占当时农民总收入的四分之一。这一做法</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A.强化了人身依附关系</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B.消除了重敛人民的弊病</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C.遏止了土地兼并现象</w:t>
      </w:r>
    </w:p>
    <w:p>
      <w:pPr>
        <w:spacing w:line="360" w:lineRule="auto"/>
        <w:rPr>
          <w:rFonts w:ascii="Times New Roman" w:eastAsia="宋体" w:hAnsi="Times New Roman" w:cs="Times New Roman" w:hint="default"/>
          <w:sz w:val="24"/>
          <w:szCs w:val="24"/>
        </w:rPr>
        <w:sectPr>
          <w:headerReference w:type="default" r:id="rId7"/>
          <w:footerReference w:type="default" r:id="rId8"/>
          <w:footnotePr>
            <w:numFmt w:val="decimalEnclosedCircleChinese"/>
          </w:footnotePr>
          <w:pgSz w:w="11907" w:h="16839"/>
          <w:pgMar w:top="1440" w:right="1080" w:bottom="1440" w:left="1080" w:header="720" w:footer="720" w:gutter="0"/>
          <w:cols w:num="1" w:space="720"/>
        </w:sectPr>
      </w:pPr>
      <w:r>
        <w:rPr>
          <w:rFonts w:ascii="Times New Roman" w:eastAsia="宋体" w:hAnsi="Times New Roman" w:cs="Times New Roman" w:hint="default"/>
          <w:sz w:val="24"/>
          <w:szCs w:val="24"/>
        </w:rPr>
        <w:t>D.有利于社会秩序的稳定</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5.有学者认为:“自安史之乱以后,赋税名目繁多,民不堪命。两税法则规定百姓只需纳夏秋两税……将名目繁多之税目简化,且两税之外不得别征,实为德政。”这说明两税法的实行</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A.解决了土地兼并问题</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B.增加了政府的财政收入</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C.促进了赋税的货币化</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D.起到减少税目和简化手续的作用</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6.(2023湖北十堰月考)北宋中期以后乡村出现了受雇于高豪之家的代役人,顶替雇主到地方官府当差。募役法实行后,这一类代役人大部分被国家认可,南宋时渐成常态。这一现象(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A.促进了商品经济发展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B.削弱了国家基层治理能力</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C.加剧了社会阶层对立</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D.加速了人口向城市流动</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7.(2022浙江温州十校期中)据史料记载:“通府州县十岁中夏税、秋粮、存留、起运之额,均徭、里甲、土贡、雇募、加银之例,一条总征之。”上述赋役制度</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A.缓解了北宋政府的财政危机</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B.改变了战国以来的征税标准</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C.推动了明朝商品经济的发展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D.彻底废除长期存在的人头税</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8.(2023湖南岳阳期中)从商鞅变法到隋唐时期,政府重视对户口的清查和统计;明清时期,政府却重视土地的清丈。这一变化反映了明清时期</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A.赋税征收标准发生变化</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B.土地兼并现象严重</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C.政府主动适应商品经济发展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D.重农抑商政策的影响</w:t>
      </w:r>
    </w:p>
    <w:p>
      <w:pPr>
        <w:spacing w:line="360" w:lineRule="auto"/>
        <w:rPr>
          <w:rFonts w:ascii="Times New Roman" w:eastAsia="宋体" w:hAnsi="Times New Roman" w:cs="Times New Roman" w:hint="default"/>
          <w:sz w:val="24"/>
          <w:szCs w:val="24"/>
        </w:rPr>
        <w:sectPr>
          <w:headerReference w:type="default" r:id="rId9"/>
          <w:footerReference w:type="default" r:id="rId10"/>
          <w:footnotePr>
            <w:numFmt w:val="decimalEnclosedCircleChinese"/>
          </w:footnotePr>
          <w:type w:val="nextPage"/>
          <w:pgSz w:w="11907" w:h="16839"/>
          <w:pgMar w:top="1440" w:right="1080" w:bottom="1440" w:left="1080" w:header="720" w:footer="720" w:gutter="0"/>
          <w:pgNumType w:start="2"/>
          <w:cols w:num="1" w:space="720"/>
          <w:titlePg w:val="0"/>
        </w:sectPr>
      </w:pPr>
      <w:r>
        <w:rPr>
          <w:rFonts w:ascii="Times New Roman" w:eastAsia="宋体" w:hAnsi="Times New Roman" w:cs="Times New Roman" w:hint="default"/>
          <w:sz w:val="24"/>
          <w:szCs w:val="24"/>
        </w:rPr>
        <w:t>9.(2022北京房山期末)下面是《中国古代户籍制度和赋役制度关系示意图》。对此解读正确的是</w:t>
      </w:r>
      <w:r>
        <w:ptab w:relativeTo="margin" w:alignment="right" w:leader="none"/>
      </w:r>
      <w:r>
        <w:rPr>
          <w:rFonts w:ascii="Times New Roman" w:eastAsia="宋体" w:hAnsi="Times New Roman" w:cs="Times New Roman" w:hint="default"/>
          <w:sz w:val="24"/>
          <w:szCs w:val="24"/>
        </w:rPr>
        <w:t>(　　)</w:t>
      </w:r>
    </w:p>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drawing>
          <wp:inline distT="0" distB="0" distL="0" distR="0">
            <wp:extent cx="2843530" cy="1475740"/>
            <wp:effectExtent l="0" t="0" r="0" b="0"/>
            <wp:docPr id="5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5.jpeg"/>
                    <pic:cNvPicPr>
                      <a:picLocks noChangeAspect="1"/>
                    </pic:cNvPicPr>
                  </pic:nvPicPr>
                  <pic:blipFill>
                    <a:blip xmlns:r="http://schemas.openxmlformats.org/officeDocument/2006/relationships" r:embed="rId11"/>
                    <a:stretch>
                      <a:fillRect/>
                    </a:stretch>
                  </pic:blipFill>
                  <pic:spPr>
                    <a:xfrm>
                      <a:off x="0" y="0"/>
                      <a:ext cx="2844000" cy="1476000"/>
                    </a:xfrm>
                    <a:prstGeom prst="rect">
                      <a:avLst/>
                    </a:prstGeom>
                  </pic:spPr>
                </pic:pic>
              </a:graphicData>
            </a:graphic>
          </wp:inline>
        </w:drawing>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A.历代户籍制度只有创新没有继承</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B.元朝时期的地税完全取代了丁税</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C.户籍和赋税之间的联系日趋紧密</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D.政府对百姓的人身束缚逐渐减弱</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题组二　关税与个人所得税制度的起源与演变</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10.(2022山西太原期中)19世纪70年代以后,清朝官员多次提出协定关税条款违背“西洋公法”,且对本国主权有所损害,主张政府应借修约机会修改税则。这表明当时的有识之士　</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A.竭力取消对华不平等条约</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B.明确了国家主权平等原则</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C.开始运用国际法维护权益</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D.认识到关税自主的重要性</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11.(2022浙江温州十校期中)1927年南京国民政府成立后,宣告关税自主,并公布国定《进口税暂行条例》。1928年,国民政府发表“改订新约”的对外宣言,关税自主是其中一项内容。到1930年,国民政府与多个国家先后签署新的关税条约。从这些内容可以看出(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A.我国逐步丧失关税自主权</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B.中国经济、军事迅速发展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C.中国已经摆脱帝国主义侵略</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D.中国关税自主权取得进展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12.(2023湖南三湘名校联考)1928年,南京国民政府改革关税保管制度,将关税分为值百抽五的旧税与新增的额外关税两项,前者照旧存入汇丰银行偿付外债、赔款,后者则存入中央银行。1932年,国民政府彻底取消两种税款的分别,将全部关税存入中央银行。关税保管权的变更</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A.扭转了中国对外贸易入超局面</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B.推动国内市场与国际市场的全面接轨</w:t>
      </w:r>
    </w:p>
    <w:p>
      <w:pPr>
        <w:spacing w:line="360" w:lineRule="auto"/>
        <w:rPr>
          <w:rFonts w:ascii="Times New Roman" w:eastAsia="宋体" w:hAnsi="Times New Roman" w:cs="Times New Roman" w:hint="default"/>
          <w:sz w:val="24"/>
          <w:szCs w:val="24"/>
        </w:rPr>
        <w:sectPr>
          <w:headerReference w:type="default" r:id="rId12"/>
          <w:footerReference w:type="default" r:id="rId13"/>
          <w:footnotePr>
            <w:numFmt w:val="decimalEnclosedCircleChinese"/>
          </w:footnotePr>
          <w:type w:val="nextPage"/>
          <w:pgSz w:w="11907" w:h="16839"/>
          <w:pgMar w:top="1440" w:right="1080" w:bottom="1440" w:left="1080" w:header="720" w:footer="720" w:gutter="0"/>
          <w:pgNumType w:start="3"/>
          <w:cols w:num="1" w:space="720"/>
          <w:titlePg w:val="0"/>
        </w:sectPr>
      </w:pPr>
      <w:r>
        <w:rPr>
          <w:rFonts w:ascii="Times New Roman" w:eastAsia="宋体" w:hAnsi="Times New Roman" w:cs="Times New Roman" w:hint="default"/>
          <w:sz w:val="24"/>
          <w:szCs w:val="24"/>
        </w:rPr>
        <w:t>C.为民族工业的发展提供了空间</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D.导致中国近代经济结构发生根本变化</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13.(2022河北保定期中)南京国民政府在1943年和1946年几次重新修订了“所得税法”和“所得税法实施细则”,特别是1946年对个人所得税的修正中,进一步扩大了征税范围,新增了综合所得税,并调整了税率与级距,提高了免征额等。这表明</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A.政府税收更注重实效性</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B.个人所得税具有调节收入分配的功能</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C.个人征税内容更加广泛</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D.调节征税标准可以增加收入</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14.(2023广东惠州四校联考)1980年全国人大通过的《中华人民共和国个人所得税法》规定个人所得税起征点为每月800元,此后分别调至每月1 600元、2 000元、3 500元、5 000元,并进行包括子女教育、大病医疗、住房贷款利息、赡养老人等在内的专项附加扣除。这些变化表明</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A.个税起征点呈下降的趋势</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B.个税征收制度更加完善</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C.国民生产总值极大增长</w:t>
      </w:r>
    </w:p>
    <w:p>
      <w:pPr>
        <w:spacing w:line="360" w:lineRule="auto"/>
        <w:rPr>
          <w:rFonts w:ascii="Times New Roman" w:eastAsia="宋体" w:hAnsi="Times New Roman" w:cs="Times New Roman" w:hint="default"/>
          <w:sz w:val="24"/>
          <w:szCs w:val="24"/>
        </w:rPr>
        <w:sectPr>
          <w:headerReference w:type="default" r:id="rId14"/>
          <w:footerReference w:type="default" r:id="rId15"/>
          <w:footnotePr>
            <w:numFmt w:val="decimalEnclosedCircleChinese"/>
          </w:footnotePr>
          <w:type w:val="nextPage"/>
          <w:pgSz w:w="11907" w:h="16839"/>
          <w:pgMar w:top="1440" w:right="1080" w:bottom="1440" w:left="1080" w:header="720" w:footer="720" w:gutter="0"/>
          <w:pgNumType w:start="4"/>
          <w:cols w:num="1" w:space="720"/>
          <w:titlePg w:val="0"/>
        </w:sectPr>
      </w:pPr>
      <w:r>
        <w:rPr>
          <w:rFonts w:ascii="Times New Roman" w:eastAsia="宋体" w:hAnsi="Times New Roman" w:cs="Times New Roman" w:hint="default"/>
          <w:sz w:val="24"/>
          <w:szCs w:val="24"/>
        </w:rPr>
        <w:t>D.居民贫富差距基本消除</w:t>
      </w:r>
    </w:p>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能力提升练</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题组一　中国古代的赋役制度</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1.(2023河南郑州中牟一中月考)先秦时期,齐国根据土地质量的好坏和数量的多少征收赋税;鲁国根据耕地的多少征收赋税;楚国根据土地产出的多少征收赋税。这些举措</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A.提高了抵御自然灾害的能力</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B.极大地调动了生产者的积极性</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C.使得铁犁牛耕在全国得到普及</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D.有效地缓解了土地兼并现象</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2.(2022河北石家庄二中期中)关于秦朝徭役,《史记·陈涉世家》中有“失期,法皆斩”的记载。云梦睡虎地出土的《秦律·徭律》却规定“御中发征,乏弗行(没有及时出发),赀(罚)二甲。失期三日到五日,谇(责备);六日到旬,赀一盾;过旬,赀一甲”。由此可见(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A.多重史料互证可以丰富历史认知</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B.《史记》属于私人修史,可信度低</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C.考古发掘是还原历史的唯一途径</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D.《秦律》客观再现秦朝历史全貌</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3.(2022河北期中)下表是汉代一个五口之家的赋税负担简表(单位:钱)。对表中信息解读准确的是,汉代</w:t>
      </w:r>
      <w:r>
        <w:ptab w:relativeTo="margin" w:alignment="right" w:leader="none"/>
      </w:r>
      <w:r>
        <w:rPr>
          <w:rFonts w:ascii="Times New Roman" w:eastAsia="宋体" w:hAnsi="Times New Roman" w:cs="Times New Roman" w:hint="default"/>
          <w:sz w:val="24"/>
          <w:szCs w:val="24"/>
        </w:rPr>
        <w:t>(　　)</w:t>
      </w:r>
    </w:p>
    <w:tbl>
      <w:tblPr>
        <w:tblStyle w:val="TableNormal"/>
        <w:tblW w:w="0" w:type="auto"/>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
      <w:tblGrid>
        <w:gridCol w:w="766"/>
        <w:gridCol w:w="826"/>
        <w:gridCol w:w="886"/>
        <w:gridCol w:w="946"/>
        <w:gridCol w:w="826"/>
      </w:tblGrid>
      <w:tr>
        <w:tblPrEx>
          <w:tblW w:w="0" w:type="auto"/>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Ex>
        <w:trPr>
          <w:trHeight w:val="313"/>
          <w:jc w:val="center"/>
        </w:trPr>
        <w:tc>
          <w:tcPr>
            <w:tcW w:w="0" w:type="auto"/>
            <w:gridSpan w:val="2"/>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财产税</w:t>
            </w:r>
          </w:p>
        </w:tc>
        <w:tc>
          <w:tcPr>
            <w:tcW w:w="0" w:type="auto"/>
            <w:gridSpan w:val="3"/>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人头税</w:t>
            </w:r>
          </w:p>
        </w:tc>
      </w:tr>
      <w:tr>
        <w:tblPrEx>
          <w:tblW w:w="0" w:type="auto"/>
          <w:jc w:val="center"/>
          <w:tblCellMar>
            <w:top w:w="0" w:type="dxa"/>
            <w:left w:w="108" w:type="dxa"/>
            <w:bottom w:w="0" w:type="dxa"/>
            <w:right w:w="108" w:type="dxa"/>
          </w:tblCellMar>
        </w:tblPrEx>
        <w:trPr>
          <w:trHeight w:val="313"/>
          <w:jc w:val="center"/>
        </w:trPr>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土地税</w:t>
            </w:r>
          </w:p>
        </w:tc>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刍稿税</w:t>
            </w:r>
          </w:p>
        </w:tc>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更赋</w:t>
            </w:r>
          </w:p>
        </w:tc>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算赋</w:t>
            </w:r>
          </w:p>
        </w:tc>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口赋</w:t>
            </w:r>
          </w:p>
        </w:tc>
      </w:tr>
      <w:tr>
        <w:tblPrEx>
          <w:tblW w:w="0" w:type="auto"/>
          <w:jc w:val="center"/>
          <w:tblCellMar>
            <w:top w:w="0" w:type="dxa"/>
            <w:left w:w="108" w:type="dxa"/>
            <w:bottom w:w="0" w:type="dxa"/>
            <w:right w:w="108" w:type="dxa"/>
          </w:tblCellMar>
        </w:tblPrEx>
        <w:trPr>
          <w:trHeight w:val="313"/>
          <w:jc w:val="center"/>
        </w:trPr>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约400</w:t>
            </w:r>
          </w:p>
        </w:tc>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小于50</w:t>
            </w:r>
          </w:p>
        </w:tc>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约3 450</w:t>
            </w:r>
          </w:p>
        </w:tc>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至少240</w:t>
            </w:r>
          </w:p>
        </w:tc>
        <w:tc>
          <w:tcPr>
            <w:tcW w:w="0" w:type="auto"/>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最多60</w:t>
            </w:r>
          </w:p>
        </w:tc>
      </w:tr>
    </w:tbl>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A.休养生息政策未深入民间</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B.租庸调制遭到严重的破坏</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C.农民的赋税负担有所减轻</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D.赋税征收标准以人丁为主</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4.(2023黑龙江双鸭山期中)宋代前期,一些民户采取私自雇人代应州县役之法,朝廷对此屡禁不止。至南宋时期,朝廷亦无法禁绝民户私下雇人代应保甲乡役,私雇代役开始合法化。这一现象反映出宋代</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A.经济发展影响国家政策</w:t>
      </w:r>
    </w:p>
    <w:p>
      <w:pPr>
        <w:spacing w:line="360" w:lineRule="auto"/>
        <w:rPr>
          <w:rFonts w:ascii="Times New Roman" w:eastAsia="宋体" w:hAnsi="Times New Roman" w:cs="Times New Roman" w:hint="default"/>
          <w:sz w:val="24"/>
          <w:szCs w:val="24"/>
        </w:rPr>
        <w:sectPr>
          <w:headerReference w:type="default" r:id="rId16"/>
          <w:footerReference w:type="default" r:id="rId17"/>
          <w:footnotePr>
            <w:numFmt w:val="decimalEnclosedCircleChinese"/>
          </w:footnotePr>
          <w:type w:val="nextPage"/>
          <w:pgSz w:w="11907" w:h="16839"/>
          <w:pgMar w:top="1440" w:right="1080" w:bottom="1440" w:left="1080" w:header="720" w:footer="720" w:gutter="0"/>
          <w:pgNumType w:start="5"/>
          <w:cols w:num="1" w:space="720"/>
          <w:titlePg w:val="0"/>
        </w:sectPr>
      </w:pPr>
      <w:r>
        <w:rPr>
          <w:rFonts w:ascii="Times New Roman" w:eastAsia="宋体" w:hAnsi="Times New Roman" w:cs="Times New Roman" w:hint="default"/>
          <w:sz w:val="24"/>
          <w:szCs w:val="24"/>
        </w:rPr>
        <w:t>B.中央集权呈弱化的趋势</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C.政府重视商业税收收入</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D.农业领域雇佣关系普遍</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5.(2022山东济南月考)北宋前期的役,一开始是实行差役法,应役的主要是乡村富户;后来实行募役法,应役的主要是乡村客户、无产下户和乡村富户。这一变化</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A.有利于商品经济的发展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B.严重阻碍了农业发展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C.提升了农民的社会地位</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D.促进了赋税制度改革</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6.(2022安徽月考)下图为元朝纸钞与白银、黄金比价变化趋势图,由图可知元朝</w:t>
      </w:r>
      <w:r>
        <w:ptab w:relativeTo="margin" w:alignment="right" w:leader="none"/>
      </w:r>
      <w:r>
        <w:rPr>
          <w:rFonts w:ascii="Times New Roman" w:eastAsia="宋体" w:hAnsi="Times New Roman" w:cs="Times New Roman" w:hint="default"/>
          <w:sz w:val="24"/>
          <w:szCs w:val="24"/>
        </w:rPr>
        <w:t>(　　)</w:t>
      </w:r>
    </w:p>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drawing>
          <wp:inline distT="0" distB="0" distL="0" distR="0">
            <wp:extent cx="2807970" cy="1511935"/>
            <wp:effectExtent l="0" t="0" r="0" b="0"/>
            <wp:docPr id="58"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6.jpeg"/>
                    <pic:cNvPicPr>
                      <a:picLocks noChangeAspect="1"/>
                    </pic:cNvPicPr>
                  </pic:nvPicPr>
                  <pic:blipFill>
                    <a:blip xmlns:r="http://schemas.openxmlformats.org/officeDocument/2006/relationships" r:embed="rId18"/>
                    <a:stretch>
                      <a:fillRect/>
                    </a:stretch>
                  </pic:blipFill>
                  <pic:spPr>
                    <a:xfrm>
                      <a:off x="0" y="0"/>
                      <a:ext cx="2808000" cy="1512000"/>
                    </a:xfrm>
                    <a:prstGeom prst="rect">
                      <a:avLst/>
                    </a:prstGeom>
                  </pic:spPr>
                </pic:pic>
              </a:graphicData>
            </a:graphic>
          </wp:inline>
        </w:drawing>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A.一直在增加纸币发行量</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B.对经济的控制迅速加强</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C.通货膨胀速度不断加快</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D.后期面临严重财政危机</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7.(2023山东淄博摸底)下表是宋明两代政府收入银、钱数额对照表。导致这一变化的主要原因是</w:t>
      </w:r>
      <w:r>
        <w:ptab w:relativeTo="margin" w:alignment="right" w:leader="none"/>
      </w:r>
      <w:r>
        <w:rPr>
          <w:rFonts w:ascii="Times New Roman" w:eastAsia="宋体" w:hAnsi="Times New Roman" w:cs="Times New Roman" w:hint="default"/>
          <w:sz w:val="24"/>
          <w:szCs w:val="24"/>
        </w:rPr>
        <w:t>(　　)</w:t>
      </w:r>
    </w:p>
    <w:tbl>
      <w:tblPr>
        <w:tblStyle w:val="TableNormal"/>
        <w:tblW w:w="5000" w:type="pct"/>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
      <w:tblGrid>
        <w:gridCol w:w="4977"/>
        <w:gridCol w:w="2346"/>
        <w:gridCol w:w="2470"/>
      </w:tblGrid>
      <w:tr>
        <w:tblPrEx>
          <w:tblW w:w="5000" w:type="pct"/>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Ex>
        <w:trPr>
          <w:trHeight w:val="313"/>
          <w:jc w:val="center"/>
        </w:trPr>
        <w:tc>
          <w:tcPr>
            <w:tcW w:w="25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时间</w:t>
            </w:r>
          </w:p>
        </w:tc>
        <w:tc>
          <w:tcPr>
            <w:tcW w:w="119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钱数(贯)</w:t>
            </w:r>
          </w:p>
        </w:tc>
        <w:tc>
          <w:tcPr>
            <w:tcW w:w="126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银数(两)</w:t>
            </w:r>
          </w:p>
        </w:tc>
      </w:tr>
      <w:tr>
        <w:tblPrEx>
          <w:tblW w:w="5000" w:type="pct"/>
          <w:jc w:val="center"/>
          <w:tblCellMar>
            <w:top w:w="0" w:type="dxa"/>
            <w:left w:w="108" w:type="dxa"/>
            <w:bottom w:w="0" w:type="dxa"/>
            <w:right w:w="108" w:type="dxa"/>
          </w:tblCellMar>
        </w:tblPrEx>
        <w:trPr>
          <w:trHeight w:val="313"/>
          <w:jc w:val="center"/>
        </w:trPr>
        <w:tc>
          <w:tcPr>
            <w:tcW w:w="25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北宋元祐元年(1086年)</w:t>
            </w:r>
          </w:p>
        </w:tc>
        <w:tc>
          <w:tcPr>
            <w:tcW w:w="119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48 480 000</w:t>
            </w:r>
          </w:p>
        </w:tc>
        <w:tc>
          <w:tcPr>
            <w:tcW w:w="126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57 000</w:t>
            </w:r>
          </w:p>
        </w:tc>
      </w:tr>
      <w:tr>
        <w:tblPrEx>
          <w:tblW w:w="5000" w:type="pct"/>
          <w:jc w:val="center"/>
          <w:tblCellMar>
            <w:top w:w="0" w:type="dxa"/>
            <w:left w:w="108" w:type="dxa"/>
            <w:bottom w:w="0" w:type="dxa"/>
            <w:right w:w="108" w:type="dxa"/>
          </w:tblCellMar>
        </w:tblPrEx>
        <w:trPr>
          <w:trHeight w:val="313"/>
          <w:jc w:val="center"/>
        </w:trPr>
        <w:tc>
          <w:tcPr>
            <w:tcW w:w="25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明代万历九年(1581年)</w:t>
            </w:r>
          </w:p>
        </w:tc>
        <w:tc>
          <w:tcPr>
            <w:tcW w:w="119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21 765.4</w:t>
            </w:r>
          </w:p>
        </w:tc>
        <w:tc>
          <w:tcPr>
            <w:tcW w:w="126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3 704 281.6</w:t>
            </w:r>
          </w:p>
        </w:tc>
      </w:tr>
    </w:tbl>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A.赋税政策的调整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B.经济结构的变动</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C.社会秩序的稳定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D.土地制度的改革</w:t>
      </w:r>
    </w:p>
    <w:p>
      <w:pPr>
        <w:spacing w:line="360" w:lineRule="auto"/>
        <w:rPr>
          <w:rFonts w:ascii="Times New Roman" w:eastAsia="宋体" w:hAnsi="Times New Roman" w:cs="Times New Roman" w:hint="default"/>
          <w:sz w:val="24"/>
          <w:szCs w:val="24"/>
        </w:rPr>
        <w:sectPr>
          <w:headerReference w:type="default" r:id="rId19"/>
          <w:footerReference w:type="default" r:id="rId20"/>
          <w:footnotePr>
            <w:numFmt w:val="decimalEnclosedCircleChinese"/>
          </w:footnotePr>
          <w:type w:val="nextPage"/>
          <w:pgSz w:w="11907" w:h="16839"/>
          <w:pgMar w:top="1440" w:right="1080" w:bottom="1440" w:left="1080" w:header="720" w:footer="720" w:gutter="0"/>
          <w:pgNumType w:start="6"/>
          <w:cols w:num="1" w:space="720"/>
          <w:titlePg w:val="0"/>
        </w:sectPr>
      </w:pPr>
      <w:r>
        <w:rPr>
          <w:rFonts w:ascii="Times New Roman" w:eastAsia="宋体" w:hAnsi="Times New Roman" w:cs="Times New Roman" w:hint="default"/>
          <w:sz w:val="24"/>
          <w:szCs w:val="24"/>
        </w:rPr>
        <w:t>题组二　关税与个人所得税</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8.(2023湖南师大附中月考)《辛丑条约》规定清政府向各国赔款4.5亿两白银,分39年还清,年息4厘,以海关税、常关税、厘金和盐税作担保。同时,各国均同意清政府把现行平均关税由实际的3.18%提高到5%,对原本免税的商品开始征税。各国的这种主张</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A.旨在促进晚清近代化进程</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B.彻底剥夺清政府财税主权</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C.掀起了瓜分中国的新狂潮</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D.维系共同支配中国的局面</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9.(2023吉林联考)下表所示为1928年和1934年南京国民政府部分商品的进口税率。由此可知,当时的关税改革</w:t>
      </w:r>
      <w:r>
        <w:ptab w:relativeTo="margin" w:alignment="right" w:leader="none"/>
      </w:r>
      <w:r>
        <w:rPr>
          <w:rFonts w:ascii="Times New Roman" w:eastAsia="宋体" w:hAnsi="Times New Roman" w:cs="Times New Roman" w:hint="default"/>
          <w:sz w:val="24"/>
          <w:szCs w:val="24"/>
        </w:rPr>
        <w:t>(　　)</w:t>
      </w:r>
    </w:p>
    <w:tbl>
      <w:tblPr>
        <w:tblStyle w:val="TableNormal"/>
        <w:tblW w:w="5000" w:type="pct"/>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
      <w:tblGrid>
        <w:gridCol w:w="1393"/>
        <w:gridCol w:w="3265"/>
        <w:gridCol w:w="5135"/>
      </w:tblGrid>
      <w:tr>
        <w:tblPrEx>
          <w:tblW w:w="5000" w:type="pct"/>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Ex>
        <w:trPr>
          <w:trHeight w:val="618"/>
          <w:jc w:val="center"/>
        </w:trPr>
        <w:tc>
          <w:tcPr>
            <w:tcW w:w="71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年份</w:t>
            </w:r>
          </w:p>
        </w:tc>
        <w:tc>
          <w:tcPr>
            <w:tcW w:w="166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竞争性进口商品总税率</w:t>
            </w:r>
          </w:p>
        </w:tc>
        <w:tc>
          <w:tcPr>
            <w:tcW w:w="2623"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工业原料和机器设备进口平均税率</w:t>
            </w:r>
          </w:p>
        </w:tc>
      </w:tr>
      <w:tr>
        <w:tblPrEx>
          <w:tblW w:w="5000" w:type="pct"/>
          <w:jc w:val="center"/>
          <w:tblCellMar>
            <w:top w:w="0" w:type="dxa"/>
            <w:left w:w="108" w:type="dxa"/>
            <w:bottom w:w="0" w:type="dxa"/>
            <w:right w:w="108" w:type="dxa"/>
          </w:tblCellMar>
        </w:tblPrEx>
        <w:trPr>
          <w:trHeight w:val="313"/>
          <w:jc w:val="center"/>
        </w:trPr>
        <w:tc>
          <w:tcPr>
            <w:tcW w:w="71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1928</w:t>
            </w:r>
          </w:p>
        </w:tc>
        <w:tc>
          <w:tcPr>
            <w:tcW w:w="166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4.1%</w:t>
            </w:r>
          </w:p>
        </w:tc>
        <w:tc>
          <w:tcPr>
            <w:tcW w:w="2623"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5.5%</w:t>
            </w:r>
          </w:p>
        </w:tc>
      </w:tr>
      <w:tr>
        <w:tblPrEx>
          <w:tblW w:w="5000" w:type="pct"/>
          <w:jc w:val="center"/>
          <w:tblCellMar>
            <w:top w:w="0" w:type="dxa"/>
            <w:left w:w="108" w:type="dxa"/>
            <w:bottom w:w="0" w:type="dxa"/>
            <w:right w:w="108" w:type="dxa"/>
          </w:tblCellMar>
        </w:tblPrEx>
        <w:trPr>
          <w:trHeight w:val="313"/>
          <w:jc w:val="center"/>
        </w:trPr>
        <w:tc>
          <w:tcPr>
            <w:tcW w:w="71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1934</w:t>
            </w:r>
          </w:p>
        </w:tc>
        <w:tc>
          <w:tcPr>
            <w:tcW w:w="166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28.9%</w:t>
            </w:r>
          </w:p>
        </w:tc>
        <w:tc>
          <w:tcPr>
            <w:tcW w:w="2623"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15.7%</w:t>
            </w:r>
          </w:p>
        </w:tc>
      </w:tr>
    </w:tbl>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A.缘于民众反帝爱国运动的压力</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B.降低了民族工业发展的成本</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C.为官僚资本的膨胀提供了便利</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D.体现了政府在关税自主权上取得进展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10.(2022辽宁丹东期中)我国在1980年开征个人所得税时提出“我国因为实行低工资制度,居民收入不高,以往没有开征个人所得税。但随着经济的发展,收入高的居民将会逐渐增多,他们应当对国家多作些贡献”。由此可知,征收个人所得税</w:t>
      </w:r>
      <w:r>
        <w:ptab w:relativeTo="margin" w:alignment="right" w:leader="none"/>
      </w:r>
      <w:r>
        <w:rPr>
          <w:rFonts w:ascii="Times New Roman" w:eastAsia="宋体" w:hAnsi="Times New Roman" w:cs="Times New Roman" w:hint="default"/>
          <w:sz w:val="24"/>
          <w:szCs w:val="24"/>
        </w:rPr>
        <w:t>(　　)</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A.有效解决了贫富差距问题</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B.大幅提升了国家的财政收入</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C.促进了个人收入实际增长</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D.顺应了改革开放的时代需要</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题组三　思维训练</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11.发散性思维(2022北京海淀期末)清代是中国人口数量的飞跃时期。阅读材料,完成下列要求。</w:t>
      </w:r>
    </w:p>
    <w:p>
      <w:pPr>
        <w:spacing w:line="360" w:lineRule="auto"/>
        <w:rPr>
          <w:rFonts w:ascii="Times New Roman" w:eastAsia="宋体" w:hAnsi="Times New Roman" w:cs="Times New Roman" w:hint="default"/>
          <w:sz w:val="24"/>
          <w:szCs w:val="24"/>
        </w:rPr>
        <w:sectPr>
          <w:headerReference w:type="default" r:id="rId21"/>
          <w:footerReference w:type="default" r:id="rId22"/>
          <w:footnotePr>
            <w:numFmt w:val="decimalEnclosedCircleChinese"/>
          </w:footnotePr>
          <w:type w:val="nextPage"/>
          <w:pgSz w:w="11907" w:h="16839"/>
          <w:pgMar w:top="1440" w:right="1080" w:bottom="1440" w:left="1080" w:header="720" w:footer="720" w:gutter="0"/>
          <w:pgNumType w:start="7"/>
          <w:cols w:num="1" w:space="720"/>
          <w:titlePg w:val="0"/>
        </w:sectPr>
      </w:pPr>
      <w:r>
        <w:rPr>
          <w:rFonts w:ascii="Times New Roman" w:eastAsia="宋体" w:hAnsi="Times New Roman" w:cs="Times New Roman" w:hint="default"/>
          <w:sz w:val="24"/>
          <w:szCs w:val="24"/>
        </w:rPr>
        <w:t>　　材料一　清朝人口统计表(单位:万人)</w:t>
      </w:r>
    </w:p>
    <w:p>
      <w:pPr>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drawing>
          <wp:inline distT="0" distB="0" distL="0" distR="0">
            <wp:extent cx="2771775" cy="1835785"/>
            <wp:effectExtent l="0" t="0" r="0" b="0"/>
            <wp:docPr id="59"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7.jpeg"/>
                    <pic:cNvPicPr>
                      <a:picLocks noChangeAspect="1"/>
                    </pic:cNvPicPr>
                  </pic:nvPicPr>
                  <pic:blipFill>
                    <a:blip xmlns:r="http://schemas.openxmlformats.org/officeDocument/2006/relationships" r:embed="rId23"/>
                    <a:stretch>
                      <a:fillRect/>
                    </a:stretch>
                  </pic:blipFill>
                  <pic:spPr>
                    <a:xfrm>
                      <a:off x="0" y="0"/>
                      <a:ext cx="2772000" cy="1836000"/>
                    </a:xfrm>
                    <a:prstGeom prst="rect">
                      <a:avLst/>
                    </a:prstGeom>
                  </pic:spPr>
                </pic:pic>
              </a:graphicData>
            </a:graphic>
          </wp:inline>
        </w:drawing>
      </w:r>
    </w:p>
    <w:p>
      <w:pPr>
        <w:spacing w:line="360" w:lineRule="auto"/>
        <w:jc w:val="right"/>
        <w:rPr>
          <w:rFonts w:ascii="Times New Roman" w:eastAsia="宋体" w:hAnsi="Times New Roman" w:cs="Times New Roman" w:hint="default"/>
          <w:sz w:val="24"/>
          <w:szCs w:val="24"/>
        </w:rPr>
      </w:pPr>
      <w:r>
        <w:rPr>
          <w:rFonts w:ascii="Times New Roman" w:eastAsia="宋体" w:hAnsi="Times New Roman" w:cs="Times New Roman" w:hint="default"/>
          <w:sz w:val="24"/>
          <w:szCs w:val="24"/>
        </w:rPr>
        <w:t>——数据引自《清实录》</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　　材料二　清朝初期,清查人丁时不仅百姓多方隐匿,地方官也担心增丁赋重,不便办纳,有意少报数字,因此实际的人丁数量应当大大多于统计数字。康熙五十一年,宣布以前一年丁银作为定额,新滋生人丁,一律“永不加赋”。随后雍正又实行“摊丁入亩”,使清查人丁的工作完全失去了意义,长期未再进行。</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　　在清政府重农政策的引导下,土地开发范围更广,利用亦更为精密。番薯、玉米一类高产作物的引进和广泛种植,客观上有可能养活更多的人。在社会局面相对稳定的前提下,人口增长趋势形成并持续较长时间。</w:t>
      </w:r>
    </w:p>
    <w:p>
      <w:pPr>
        <w:spacing w:line="360" w:lineRule="auto"/>
        <w:jc w:val="right"/>
        <w:rPr>
          <w:rFonts w:ascii="Times New Roman" w:eastAsia="宋体" w:hAnsi="Times New Roman" w:cs="Times New Roman" w:hint="default"/>
          <w:sz w:val="24"/>
          <w:szCs w:val="24"/>
        </w:rPr>
      </w:pPr>
      <w:r>
        <w:rPr>
          <w:rFonts w:ascii="Times New Roman" w:eastAsia="宋体" w:hAnsi="Times New Roman" w:cs="Times New Roman" w:hint="default"/>
          <w:sz w:val="24"/>
          <w:szCs w:val="24"/>
        </w:rPr>
        <w:t>——摘编自张帆《中国古代简史》</w:t>
      </w:r>
    </w:p>
    <w:p>
      <w:pPr>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分别指出材料一中不同阶段的清朝人口统计数据变化,依据材料并结合所学,分析变化原因。</w:t>
      </w:r>
    </w:p>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答案与分层梯度式解析</w:t>
      </w:r>
    </w:p>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第16课　中国赋税制度的演变</w:t>
      </w:r>
    </w:p>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基础过关练</w:t>
      </w:r>
    </w:p>
    <w:tbl>
      <w:tblPr>
        <w:tblStyle w:val="TableNormal"/>
        <w:tblW w:w="5000" w:type="pct"/>
        <w:jc w:val="center"/>
        <w:tblCellMar>
          <w:top w:w="0" w:type="dxa"/>
          <w:left w:w="108" w:type="dxa"/>
          <w:bottom w:w="0" w:type="dxa"/>
          <w:right w:w="108" w:type="dxa"/>
        </w:tblCellMar>
      </w:tblPr>
      <w:tblGrid>
        <w:gridCol w:w="1155"/>
        <w:gridCol w:w="1155"/>
        <w:gridCol w:w="1520"/>
        <w:gridCol w:w="1520"/>
        <w:gridCol w:w="1481"/>
        <w:gridCol w:w="1481"/>
        <w:gridCol w:w="1481"/>
      </w:tblGrid>
      <w:tr>
        <w:tblPrEx>
          <w:tblW w:w="5000" w:type="pct"/>
          <w:jc w:val="center"/>
          <w:tblCellMar>
            <w:top w:w="0" w:type="dxa"/>
            <w:left w:w="108" w:type="dxa"/>
            <w:bottom w:w="0" w:type="dxa"/>
            <w:right w:w="108" w:type="dxa"/>
          </w:tblCellMar>
        </w:tblPrEx>
        <w:trPr>
          <w:trHeight w:val="393"/>
          <w:jc w:val="center"/>
        </w:trPr>
        <w:tc>
          <w:tcPr>
            <w:tcW w:w="59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1.B</w:t>
            </w:r>
          </w:p>
        </w:tc>
        <w:tc>
          <w:tcPr>
            <w:tcW w:w="59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2.C</w:t>
            </w:r>
          </w:p>
        </w:tc>
        <w:tc>
          <w:tcPr>
            <w:tcW w:w="77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3.D</w:t>
            </w:r>
          </w:p>
        </w:tc>
        <w:tc>
          <w:tcPr>
            <w:tcW w:w="77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4.D</w:t>
            </w:r>
          </w:p>
        </w:tc>
        <w:tc>
          <w:tcPr>
            <w:tcW w:w="75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5.D</w:t>
            </w:r>
          </w:p>
        </w:tc>
        <w:tc>
          <w:tcPr>
            <w:tcW w:w="75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6.A</w:t>
            </w:r>
          </w:p>
        </w:tc>
        <w:tc>
          <w:tcPr>
            <w:tcW w:w="75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7.C</w:t>
            </w:r>
          </w:p>
        </w:tc>
      </w:tr>
      <w:tr>
        <w:tblPrEx>
          <w:tblW w:w="5000" w:type="pct"/>
          <w:jc w:val="center"/>
          <w:tblCellMar>
            <w:top w:w="0" w:type="dxa"/>
            <w:left w:w="108" w:type="dxa"/>
            <w:bottom w:w="0" w:type="dxa"/>
            <w:right w:w="108" w:type="dxa"/>
          </w:tblCellMar>
        </w:tblPrEx>
        <w:trPr>
          <w:trHeight w:val="393"/>
          <w:jc w:val="center"/>
        </w:trPr>
        <w:tc>
          <w:tcPr>
            <w:tcW w:w="59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8.A</w:t>
            </w:r>
          </w:p>
        </w:tc>
        <w:tc>
          <w:tcPr>
            <w:tcW w:w="59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9.D</w:t>
            </w:r>
          </w:p>
        </w:tc>
        <w:tc>
          <w:tcPr>
            <w:tcW w:w="77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10.D</w:t>
            </w:r>
          </w:p>
        </w:tc>
        <w:tc>
          <w:tcPr>
            <w:tcW w:w="77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11.D</w:t>
            </w:r>
          </w:p>
        </w:tc>
        <w:tc>
          <w:tcPr>
            <w:tcW w:w="75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12.C</w:t>
            </w:r>
          </w:p>
        </w:tc>
        <w:tc>
          <w:tcPr>
            <w:tcW w:w="75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13.B</w:t>
            </w:r>
          </w:p>
        </w:tc>
        <w:tc>
          <w:tcPr>
            <w:tcW w:w="756"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14.B</w:t>
            </w:r>
          </w:p>
        </w:tc>
      </w:tr>
    </w:tbl>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1.B　根据材料“推断秦劳动者20岁或23岁开始服役”“睡虎地秦简……秦人17周岁开始为国家服役”可知,考古实物史料丰富补充了原有的历史研究,故选B项;A、C两项表述过于绝对,均排除;求真的过程中包含着不断演进的历史推断,历史推断没有违背求真理念,排除D项。</w:t>
      </w:r>
    </w:p>
    <w:p>
      <w:pPr>
        <w:pStyle w:val="Normalwrd"/>
        <w:spacing w:line="360" w:lineRule="auto"/>
        <w:rPr>
          <w:rFonts w:ascii="Times New Roman" w:eastAsia="宋体" w:hAnsi="Times New Roman" w:cs="Times New Roman" w:hint="default"/>
          <w:sz w:val="24"/>
          <w:szCs w:val="24"/>
        </w:rPr>
        <w:sectPr>
          <w:headerReference w:type="default" r:id="rId24"/>
          <w:footerReference w:type="default" r:id="rId25"/>
          <w:footnotePr>
            <w:numFmt w:val="decimalEnclosedCircleChinese"/>
          </w:footnotePr>
          <w:type w:val="nextPage"/>
          <w:pgSz w:w="11907" w:h="16839"/>
          <w:pgMar w:top="1440" w:right="1080" w:bottom="1440" w:left="1080" w:header="720" w:footer="720" w:gutter="0"/>
          <w:pgNumType w:start="8"/>
          <w:cols w:num="1" w:space="720"/>
          <w:titlePg w:val="0"/>
        </w:sectPr>
      </w:pPr>
      <w:r>
        <w:rPr>
          <w:rFonts w:ascii="Times New Roman" w:eastAsia="宋体" w:hAnsi="Times New Roman" w:cs="Times New Roman" w:hint="default"/>
          <w:sz w:val="24"/>
          <w:szCs w:val="24"/>
        </w:rPr>
        <w:t>2.C　根据材料“女子年十五以上至三十不嫁,五算”可知,汉初通过加征人头税的方式来鼓励生育,体现了汉初统治者希望通过增殖人口来促进经济恢复的目的,故选C项;加征人头税的做法会加重人民的负担,与休养生息、轻徭薄赋的原则不符,排除A项;材料无法体现男尊女卑观念的盛行,排除B项;材料未体现汉代人头税的负担较轻,排除D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3.D　根据“如不愿服役,可纳钱二千文,由政府雇人代役”可知,以钱代役的做法有利于政府财政收入增加,D项正确。</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4.D　据材料并结合所学可知,租庸调制是在均田制的基础上实行的赋税制度,男子不去服役可纳绢或布代役,这种做法可以保证农业生产时间,促进农业发展,有利于社会秩序的稳定,故D项正确。</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5.D　根据材料“将名目繁多之税目简化,且两税之外不得别征,实为德政”可知,两税法的实行,起到了减少税目和简化手续的作用,D项正确;A项“解决了”的说法过于绝对,排除;材料体现出两税法规范了赋税制度,但没有体现其增加了政府财政收入,排除B项;材料没有反映两税法促进了“赋税的货币化”,排除C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6.A　根据材料并结合所学可知,代役人的普及保证了农民的生产时间,促进了商品经济的发展,故选A项;基层治理指的是国家对县以下的乡、里的治理,而材料强调的是雇人替自己服役的现象常态化,二者主体不同,排除B项;宋朝时期门第观念淡化,社会成员身份趋于平等,代役人的出现和被国家认可不会加剧社会阶层对立,排除C项;中国古代大部分农民被束缚在土地上,故加速人口向城市流动的说法不准确,排除D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7.C　据材料“通府州县……一条总征之”可知,这是明代的一条鞭法,赋役合并、一概折银,在一定程度上促进了地租的货币化和农产品的商品化,推动了商品经济的发展,故选C项;一条鞭法是明代的赋役制度,排除A项;两税法改变了战国以来以人丁为主的征税标准,减轻了政府对农民的人身控制,排除B项;雍正时期推行的“摊丁入亩”彻底废除长期存在的人头税,国家对百姓的人身束缚进一步减弱,排除D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8.A　隋唐以前国家以人丁作为征税标准,国家注重对人口的控制,明清主要将土地作为征税标准,所以政府注重清丈土地,故选A项;土地兼并现象严重不是导致这一变化的主要原因,排除B项;明清时期政府厉行重农抑商政策,排除C项;材料中的现象反映的是赋税制度的变化,与重农抑商无直接关系,排除D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9.D　根据材料并结合所学知识可知,我国古代赋役制度由丁税为主逐渐演变为地税为主,随着商品经济的发展政府越发重视财产税,故选D项;户籍制度在不断发展完善,其中既有继承又有创新,排除A项;元朝时期以地税为主,“完全”一词表述过于绝对,排除B项;我国古代赋役制度由以丁税为主逐渐演变为以地税为主,说明户籍和赋税之间的联系日趋松弛,排除C项。</w:t>
      </w:r>
    </w:p>
    <w:p>
      <w:pPr>
        <w:pStyle w:val="Normalwrd"/>
        <w:spacing w:line="360" w:lineRule="auto"/>
        <w:rPr>
          <w:rFonts w:ascii="Times New Roman" w:eastAsia="宋体" w:hAnsi="Times New Roman" w:cs="Times New Roman" w:hint="default"/>
          <w:sz w:val="24"/>
          <w:szCs w:val="24"/>
        </w:rPr>
        <w:sectPr>
          <w:headerReference w:type="default" r:id="rId26"/>
          <w:footerReference w:type="default" r:id="rId27"/>
          <w:footnotePr>
            <w:numFmt w:val="decimalEnclosedCircleChinese"/>
          </w:footnotePr>
          <w:type w:val="nextPage"/>
          <w:pgSz w:w="11907" w:h="16839"/>
          <w:pgMar w:top="1440" w:right="1080" w:bottom="1440" w:left="1080" w:header="720" w:footer="720" w:gutter="0"/>
          <w:pgNumType w:start="9"/>
          <w:cols w:num="1" w:space="720"/>
          <w:titlePg w:val="0"/>
        </w:sectPr>
      </w:pPr>
      <w:r>
        <w:rPr>
          <w:rFonts w:ascii="Times New Roman" w:eastAsia="宋体" w:hAnsi="Times New Roman" w:cs="Times New Roman" w:hint="default"/>
          <w:sz w:val="24"/>
          <w:szCs w:val="24"/>
        </w:rPr>
        <w:t>10.D　材料“对本国主权有所损害,主张政府应借修约机会修改税则”表明,当时的有识之士认识到关税自主的重要性,故D项正确。</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11.D　据材料可知,南京国民政府成立后宣告关税自主,并和多个国家签署新的关税条约,表明中国在关税自主权方面取得了一定进展,故选D项;材料强调中国逐步收回关税自主权,而非逐步丧失,排除A项;“迅速发展”说法错误,排除B项;此时中国仍然是半殖民地半封建社会,仍受帝国主义侵略,排除C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12.C　根据材料并结合所学可知,关税保管权的变更使国民政府获得了对关税的支配权,一定程度上有利于国内的经济建设,为民族工业的发展提供了空间,C项正确;由于当时的国情,中国无法改变对外贸易逆差的局面,排除A项;“全面接轨”表述过于绝对,排除B项;D项与材料主旨不符,排除。</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13.B　根据材料“进一步扩大了征税范围,新增了综合所得税,并调整了税率与级距,提高了免征额等”可知,个人所得税具有调节收入分配的功能,提高免征额和实施累进税率有助于调节收入分配,B项正确。</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14.B　随着经济的发展,个人所得税起征点不断调整,并进行各种专项附加扣除,这说明个税征收制度更加完善,有助于实现社会公平,缓和社会矛盾,故选B项;“每月1 600元、2 000元、3 500元、5 000元”说明个税起征点呈上升的趋势,排除A项;国民生产总值是最重要的宏观经济指标,但根据材料看不出国民生产总值的极大增长,排除C项;贫富差距仍然存在,“基本消除”说法错误,排除D项。</w:t>
      </w:r>
    </w:p>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能力提升练</w:t>
      </w:r>
    </w:p>
    <w:tbl>
      <w:tblPr>
        <w:tblStyle w:val="TableNormal"/>
        <w:tblW w:w="5000" w:type="pct"/>
        <w:jc w:val="center"/>
        <w:tblCellMar>
          <w:top w:w="0" w:type="dxa"/>
          <w:left w:w="108" w:type="dxa"/>
          <w:bottom w:w="0" w:type="dxa"/>
          <w:right w:w="108" w:type="dxa"/>
        </w:tblCellMar>
      </w:tblPr>
      <w:tblGrid>
        <w:gridCol w:w="1843"/>
        <w:gridCol w:w="1843"/>
        <w:gridCol w:w="1843"/>
        <w:gridCol w:w="1843"/>
        <w:gridCol w:w="2421"/>
      </w:tblGrid>
      <w:tr>
        <w:tblPrEx>
          <w:tblW w:w="5000" w:type="pct"/>
          <w:jc w:val="center"/>
          <w:tblCellMar>
            <w:top w:w="0" w:type="dxa"/>
            <w:left w:w="108" w:type="dxa"/>
            <w:bottom w:w="0" w:type="dxa"/>
            <w:right w:w="108" w:type="dxa"/>
          </w:tblCellMar>
        </w:tblPrEx>
        <w:trPr>
          <w:trHeight w:val="393"/>
          <w:jc w:val="center"/>
        </w:trPr>
        <w:tc>
          <w:tcPr>
            <w:tcW w:w="9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1.B</w:t>
            </w:r>
          </w:p>
        </w:tc>
        <w:tc>
          <w:tcPr>
            <w:tcW w:w="9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2.A</w:t>
            </w:r>
          </w:p>
        </w:tc>
        <w:tc>
          <w:tcPr>
            <w:tcW w:w="9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3.D</w:t>
            </w:r>
          </w:p>
        </w:tc>
        <w:tc>
          <w:tcPr>
            <w:tcW w:w="9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4.A</w:t>
            </w:r>
          </w:p>
        </w:tc>
        <w:tc>
          <w:tcPr>
            <w:tcW w:w="123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5.A</w:t>
            </w:r>
          </w:p>
        </w:tc>
      </w:tr>
      <w:tr>
        <w:tblPrEx>
          <w:tblW w:w="5000" w:type="pct"/>
          <w:jc w:val="center"/>
          <w:tblCellMar>
            <w:top w:w="0" w:type="dxa"/>
            <w:left w:w="108" w:type="dxa"/>
            <w:bottom w:w="0" w:type="dxa"/>
            <w:right w:w="108" w:type="dxa"/>
          </w:tblCellMar>
        </w:tblPrEx>
        <w:trPr>
          <w:trHeight w:val="393"/>
          <w:jc w:val="center"/>
        </w:trPr>
        <w:tc>
          <w:tcPr>
            <w:tcW w:w="9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6.D</w:t>
            </w:r>
          </w:p>
        </w:tc>
        <w:tc>
          <w:tcPr>
            <w:tcW w:w="9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7.A</w:t>
            </w:r>
          </w:p>
        </w:tc>
        <w:tc>
          <w:tcPr>
            <w:tcW w:w="9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8.D</w:t>
            </w:r>
          </w:p>
        </w:tc>
        <w:tc>
          <w:tcPr>
            <w:tcW w:w="94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9.D</w:t>
            </w:r>
          </w:p>
        </w:tc>
        <w:tc>
          <w:tcPr>
            <w:tcW w:w="123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pStyle w:val="Normalwrd"/>
              <w:spacing w:line="360" w:lineRule="auto"/>
              <w:jc w:val="center"/>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10.D</w:t>
            </w:r>
          </w:p>
        </w:tc>
      </w:tr>
    </w:tbl>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1.B　据材料可知,先秦时期齐、鲁、楚三国以土地或土地产出的多少为依据征收赋税,这实际上承认了土地私有的合法性,有利于激发土地所有者的生产积极性,故选B项;春秋战国时期形成的小农经济规模小,难以抵御干旱、暴雨等自然灾害,排除A项;“普及”的表述不符合史实,排除C项;材料中的举措不能缓解土地兼并现象,排除D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2.A　材料反映了《史记》记载秦朝徭役误期,要处以死刑,而云梦睡虎地秦简记载秦朝徭役误期只罚财物或责备,二者存在出入,这说明多重史料互证可以丰富历史认知,故选A。《史记》虽然是私人修史,带有主观色彩,但具有较高的可信度和史料价值,故排除B。《秦律》可以再现部分秦朝历史,但再现秦朝历史全貌需要多重史料互证,故排除D。</w:t>
      </w:r>
    </w:p>
    <w:p>
      <w:pPr>
        <w:pStyle w:val="Normalwrd"/>
        <w:spacing w:line="360" w:lineRule="auto"/>
        <w:rPr>
          <w:rFonts w:ascii="Times New Roman" w:eastAsia="宋体" w:hAnsi="Times New Roman" w:cs="Times New Roman" w:hint="default"/>
          <w:sz w:val="24"/>
          <w:szCs w:val="24"/>
        </w:rPr>
        <w:sectPr>
          <w:headerReference w:type="default" r:id="rId28"/>
          <w:footerReference w:type="default" r:id="rId29"/>
          <w:footnotePr>
            <w:numFmt w:val="decimalEnclosedCircleChinese"/>
          </w:footnotePr>
          <w:type w:val="nextPage"/>
          <w:pgSz w:w="11907" w:h="16839"/>
          <w:pgMar w:top="1440" w:right="1080" w:bottom="1440" w:left="1080" w:header="720" w:footer="720" w:gutter="0"/>
          <w:pgNumType w:start="10"/>
          <w:cols w:num="1" w:space="720"/>
          <w:titlePg w:val="0"/>
        </w:sectPr>
      </w:pPr>
      <w:r>
        <w:rPr>
          <w:rFonts w:ascii="Times New Roman" w:eastAsia="宋体" w:hAnsi="Times New Roman" w:cs="Times New Roman" w:hint="default"/>
          <w:sz w:val="24"/>
          <w:szCs w:val="24"/>
        </w:rPr>
        <w:t>3.D　根据表格内容可知,汉代民众缴纳的人头税钱数远高于财产税,这说明汉代赋税征收标准以人丁为主,故选D。</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4.A　根据材料可知,宋代私雇代役现象广泛存在,政府不能禁绝,最终合法化。私雇代役现象广泛存在是由于当时商品经济发展,一方面一些地主、商人和手工业者不愿服役或因为经营产业无法服役,另一方面一些没有土地和固定职业的人靠出卖劳动力、受雇于他人为生,于是一些富户雇人代服劳役,A项正确;材料主要讲述宋代私雇代役现象,没有体现“中央集权呈弱化的趋势”,排除B项;材料没有提及“商业税收收入”,排除C项;农业领域的雇佣关系主要指大地主雇佣无地、少地农民从事农业生产,材料没有体现,排除D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5.A　由于募役法的实行,农民对国家的人身依附关系减弱,客观上有利于社会劳动力流动和工商业发展,A项正确;募役法在一定程度上可以保证农业生产,有利于农业的发展,故排除B项;募役法改变了应役的方式,有利于农业发展,但没有提升农民的社会地位,故C项错误;D项与材料主旨不符,故排除。</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6.D　比价数值越高,意味着纸币越发贬值。根据材料并结合所学可知,元朝后期滥发纸币导致其迅速贬值,表明当时元朝面临比较严重的财政危机,D正确。</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7.A　据材料数据可知,宋代政府收入中钱多银少,而明代银多钱少,结合所学可知,明代张居正改革推行赋役合并、一概折银的赋税政策导致政府收入银两较多,故选A项;据所学可知,中国经济结构的大变动发生在近代,而非明代,排除B项;北宋元祐元年和明代万历九年社会秩序都相对稳定,并非导致钱银比例变化的主要原因,排除C项;明代一条鞭法改变的是税收制度,而非土地制度,排除D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8.D　据材料“各国均同意清政府把现行平均关税由实际的3.18%提高到5%,对原本免税的商品开始征税”并结合所学知识可知,各国的这种主张有助于维系共同支配中国的局面,故选D项。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9.D　据表格数据可知,1934年竞争性进口商品总税率提高,对国内同类产业起了一定的保护作用,有利于增加政府财政收入,体现了政府在关税自主权上取得进展,故选D项;民众反帝爱国运动的压力只是关税改革的一个原因,且材料并未体现,排除A项;工业原料和机器设备进口平均税率的提高,增加了民族工业发展的成本,排除B项;关税改革与官僚资本的膨胀无直接联系,排除C项。</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10.D　个人所得税的征收符合当时社会发展的状况,顺应了改革开放的时代需要,D项正确。</w:t>
      </w:r>
    </w:p>
    <w:p>
      <w:pPr>
        <w:pStyle w:val="Normalwrd"/>
        <w:spacing w:line="360" w:lineRule="auto"/>
        <w:rPr>
          <w:rFonts w:ascii="Times New Roman" w:eastAsia="宋体" w:hAnsi="Times New Roman" w:cs="Times New Roman" w:hint="default"/>
          <w:sz w:val="24"/>
          <w:szCs w:val="24"/>
        </w:rPr>
        <w:sectPr>
          <w:headerReference w:type="default" r:id="rId30"/>
          <w:footerReference w:type="default" r:id="rId31"/>
          <w:footnotePr>
            <w:numFmt w:val="decimalEnclosedCircleChinese"/>
          </w:footnotePr>
          <w:type w:val="nextPage"/>
          <w:pgSz w:w="11907" w:h="16839"/>
          <w:pgMar w:top="1440" w:right="1080" w:bottom="1440" w:left="1080" w:header="720" w:footer="720" w:gutter="0"/>
          <w:pgNumType w:start="11"/>
          <w:cols w:num="1" w:space="720"/>
          <w:titlePg w:val="0"/>
        </w:sectPr>
      </w:pPr>
      <w:r>
        <w:rPr>
          <w:rFonts w:ascii="Times New Roman" w:eastAsia="宋体" w:hAnsi="Times New Roman" w:cs="Times New Roman" w:hint="default"/>
          <w:sz w:val="24"/>
          <w:szCs w:val="24"/>
        </w:rPr>
        <w:t>11.答案　清前期,人丁数量增长幅度不大。原因:为逃避赋役,百姓隐匿人口数目;地方官为减轻征收赋役压力,有意少报人口数目。清中后期,人口数量迅速上升。原因:康熙后期“永不加赋”,雍正时期“摊丁入亩”,废除了长久以来的人头税,刺激了人口增长,同时减少了隐匿不报的情况;这一时期政局稳定,经济繁荣;玉米、番薯等高产作物在清朝中后期得到大规模推广和精耕细作农业技术的深化,为人口增长提供了物质条件。</w:t>
      </w:r>
    </w:p>
    <w:p>
      <w:pPr>
        <w:pStyle w:val="Normalwrd"/>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解析　解答历史主观题时要拥有发散性思维,全面考虑政治、经济、思想文化、民族、外交、军事等因素,从多方面组织答案。影响古代人口数量的因素有很多,如赋税制度、经济发展、高产作物的传入等。据材料一“第一阶段:人丁数目统计结果”可知,1661—1731年,即清前期,人丁数量增长幅度不大;据材料二“清查人丁时不仅百姓多方隐匿,地方官也担心增丁赋重,不便办纳,有意少报数字”并结合所学得出为逃避赋役,百姓隐匿人口数目,地方官为减轻征收赋役压力,有意少报人口数目。据材料一“第二阶段:全部人口统计结果”可知,1741—1791年,即清中后期,人口数量迅速上升;据材料二并结合所学得出康熙后期“永不加赋”,雍正时期“摊丁入亩”,废除了长久以来的人头税,刺激了人口增长,同时减少了隐匿不报的情况;结合所学得出这一时期政局稳定,经济繁荣;据材料二“土地开发范围更广……高产作物的引进和广泛种植,客观上有可能养活更多的人”并结合所学得出玉米、番薯等高产作物在清朝中后期得到大规模推广和精耕细作农业技术的深化,为人口增长提供了物质条件。</w:t>
      </w:r>
      <w:r>
        <w:rPr>
          <w:rFonts w:ascii="Times New Roman" w:eastAsia="宋体" w:hAnsi="Times New Roman" w:cs="Times New Roman" w:hint="default"/>
          <w:sz w:val="24"/>
          <w:szCs w:val="24"/>
        </w:rPr>
        <w:br/>
      </w:r>
      <w:r>
        <w:rPr>
          <w:rFonts w:ascii="Times New Roman" w:eastAsia="宋体" w:hAnsi="Times New Roman" w:cs="Times New Roman" w:hint="default"/>
          <w:sz w:val="24"/>
          <w:szCs w:val="2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2" w:history="1">
        <w:r>
          <w:rPr>
            <w:rFonts w:ascii="SimSun" w:eastAsia="SimSun" w:hAnsi="SimSun" w:cs="SimSun"/>
            <w:b/>
            <w:bCs/>
            <w:color w:val="0000EE"/>
            <w:sz w:val="30"/>
            <w:szCs w:val="30"/>
            <w:u w:val="single" w:color="0000EE"/>
          </w:rPr>
          <w:t>https://d.book118.com/088104032074006041</w:t>
        </w:r>
      </w:hyperlink>
    </w:p>
    <w:p>
      <w:pPr>
        <w:pStyle w:val="Normalwrd"/>
        <w:spacing w:line="360" w:lineRule="auto"/>
        <w:rPr>
          <w:rFonts w:ascii="Times New Roman" w:eastAsia="宋体" w:hAnsi="Times New Roman" w:cs="Times New Roman" w:hint="default"/>
          <w:sz w:val="24"/>
          <w:szCs w:val="24"/>
        </w:rPr>
      </w:pPr>
    </w:p>
    <w:sectPr>
      <w:headerReference w:type="default" r:id="rId33"/>
      <w:footerReference w:type="default" r:id="rId34"/>
      <w:footnotePr>
        <w:numFmt w:val="decimalEnclosedCircleChinese"/>
      </w:footnotePr>
      <w:type w:val="nextPage"/>
      <w:pgSz w:w="11907" w:h="16839"/>
      <w:pgMar w:top="1440" w:right="1080" w:bottom="1440" w:left="1080" w:header="720" w:footer="720" w:gutter="0"/>
      <w:pgNumType w:start="12"/>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EU-BZ">
    <w:altName w:val="宋体"/>
    <w:panose1 w:val="02010600010101010101"/>
    <w:charset w:val="86"/>
    <w:family w:val="auto"/>
    <w:pitch w:val="default"/>
    <w:sig w:usb0="00000000" w:usb1="00000000" w:usb2="05000016" w:usb3="00000000" w:csb0="00040001" w:csb1="00000000"/>
  </w:font>
  <w:font w:name="Tahoma">
    <w:panose1 w:val="020B0604030504040204"/>
    <w:charset w:val="00"/>
    <w:family w:val="swiss"/>
    <w:pitch w:val="default"/>
    <w:sig w:usb0="E1002EFF" w:usb1="C000605B" w:usb2="00000029" w:usb3="00000000" w:csb0="200101FF" w:csb1="20280000"/>
  </w:font>
  <w:font w:name="方正书宋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defaultTabStop w:val="720"/>
  <w:drawingGridHorizontalSpacing w:val="110"/>
  <w:displayHorizontalDrawingGridEvery w:val="2"/>
  <w:characterSpacingControl w:val="doNotCompress"/>
  <w:footnotePr>
    <w:numFmt w:val="decimalEnclosedCircleChinese"/>
  </w:footnotePr>
  <w:compat>
    <w:ulTrailSpac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C3"/>
    <w:rsid w:val="000120E3"/>
    <w:rsid w:val="00043C97"/>
    <w:rsid w:val="00051636"/>
    <w:rsid w:val="0006373F"/>
    <w:rsid w:val="00075369"/>
    <w:rsid w:val="000B623B"/>
    <w:rsid w:val="000E4F05"/>
    <w:rsid w:val="001142AA"/>
    <w:rsid w:val="001302C8"/>
    <w:rsid w:val="0013235C"/>
    <w:rsid w:val="00152ED9"/>
    <w:rsid w:val="001C5ADF"/>
    <w:rsid w:val="001F65CC"/>
    <w:rsid w:val="002068E6"/>
    <w:rsid w:val="00292EDB"/>
    <w:rsid w:val="002D3284"/>
    <w:rsid w:val="00310FF2"/>
    <w:rsid w:val="00326389"/>
    <w:rsid w:val="00327CDE"/>
    <w:rsid w:val="00391EE7"/>
    <w:rsid w:val="003B1CD3"/>
    <w:rsid w:val="003D4DB3"/>
    <w:rsid w:val="00405CA5"/>
    <w:rsid w:val="00451408"/>
    <w:rsid w:val="00486645"/>
    <w:rsid w:val="0049669A"/>
    <w:rsid w:val="004A2F49"/>
    <w:rsid w:val="004A3019"/>
    <w:rsid w:val="004B7CAB"/>
    <w:rsid w:val="00510EA2"/>
    <w:rsid w:val="005156A7"/>
    <w:rsid w:val="005243A2"/>
    <w:rsid w:val="00535272"/>
    <w:rsid w:val="005518C6"/>
    <w:rsid w:val="00573677"/>
    <w:rsid w:val="0058578F"/>
    <w:rsid w:val="005A47B7"/>
    <w:rsid w:val="005B0CFB"/>
    <w:rsid w:val="005F127C"/>
    <w:rsid w:val="0064664D"/>
    <w:rsid w:val="006A7927"/>
    <w:rsid w:val="006C537E"/>
    <w:rsid w:val="006E28A5"/>
    <w:rsid w:val="00720332"/>
    <w:rsid w:val="0075005D"/>
    <w:rsid w:val="0081363D"/>
    <w:rsid w:val="00843D10"/>
    <w:rsid w:val="008B3DDC"/>
    <w:rsid w:val="009217BC"/>
    <w:rsid w:val="009555DA"/>
    <w:rsid w:val="00960619"/>
    <w:rsid w:val="00971BFB"/>
    <w:rsid w:val="009D7281"/>
    <w:rsid w:val="009F4C47"/>
    <w:rsid w:val="00A33F40"/>
    <w:rsid w:val="00AB315B"/>
    <w:rsid w:val="00B308B8"/>
    <w:rsid w:val="00B82B68"/>
    <w:rsid w:val="00BA1E36"/>
    <w:rsid w:val="00BF17CB"/>
    <w:rsid w:val="00C44E2D"/>
    <w:rsid w:val="00C47140"/>
    <w:rsid w:val="00C6302E"/>
    <w:rsid w:val="00C82289"/>
    <w:rsid w:val="00C93E3A"/>
    <w:rsid w:val="00CB1D13"/>
    <w:rsid w:val="00CC0F4B"/>
    <w:rsid w:val="00CD5261"/>
    <w:rsid w:val="00D01BC0"/>
    <w:rsid w:val="00D3685C"/>
    <w:rsid w:val="00D81827"/>
    <w:rsid w:val="00D940E1"/>
    <w:rsid w:val="00DB13CD"/>
    <w:rsid w:val="00E05032"/>
    <w:rsid w:val="00E336E3"/>
    <w:rsid w:val="00E5427A"/>
    <w:rsid w:val="00E629AC"/>
    <w:rsid w:val="00E93DC0"/>
    <w:rsid w:val="00EB4538"/>
    <w:rsid w:val="00F043AD"/>
    <w:rsid w:val="00F2499B"/>
    <w:rsid w:val="00F81A0E"/>
    <w:rsid w:val="00FA57C3"/>
    <w:rsid w:val="00FC4922"/>
    <w:rsid w:val="07EE0AAB"/>
    <w:rsid w:val="1AF11596"/>
    <w:rsid w:val="76E90935"/>
  </w:rsids>
  <w:docVars>
    <w:docVar w:name="commondata" w:val="eyJoZGlkIjoiODViY2JkMjU3NGYzZTEwMzZmMGFkZWViYmNkYWU3ND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Ansi="NEU-BZ" w:asciiTheme="minorHAnsi" w:eastAsiaTheme="minorEastAsia" w:cstheme="minorBidi"/>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qFormat="1"/>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rPr>
      <w:rFonts w:hAnsi="NEU-BZ" w:asciiTheme="minorHAnsi" w:eastAsiaTheme="minorEastAsia" w:cstheme="minorBidi"/>
      <w:sz w:val="28"/>
      <w:szCs w:val="28"/>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Style3"/>
    <w:link w:val="Char1"/>
    <w:uiPriority w:val="99"/>
    <w:semiHidden/>
    <w:unhideWhenUsed/>
    <w:qFormat/>
    <w:rPr>
      <w:rFonts w:ascii="Tahoma" w:hAnsi="Tahoma" w:cs="Tahoma"/>
      <w:sz w:val="16"/>
      <w:szCs w:val="16"/>
    </w:rPr>
  </w:style>
  <w:style w:type="paragraph" w:customStyle="1" w:styleId="Style3">
    <w:name w:val="_Style 3"/>
    <w:qFormat/>
    <w:rPr>
      <w:rFonts w:hAnsi="NEU-BZ" w:asciiTheme="minorHAnsi" w:eastAsiaTheme="minorEastAsia" w:cstheme="minorBidi"/>
      <w:sz w:val="22"/>
      <w:szCs w:val="22"/>
      <w:lang w:val="en-US" w:eastAsia="zh-CN" w:bidi="ar-SA"/>
    </w:rPr>
  </w:style>
  <w:style w:type="paragraph" w:styleId="Footer">
    <w:name w:val="footer"/>
    <w:basedOn w:val="Style3"/>
    <w:link w:val="Char0"/>
    <w:uiPriority w:val="99"/>
    <w:unhideWhenUsed/>
    <w:qFormat/>
    <w:pPr>
      <w:tabs>
        <w:tab w:val="center" w:pos="4513"/>
        <w:tab w:val="right" w:pos="9026"/>
      </w:tabs>
    </w:pPr>
  </w:style>
  <w:style w:type="paragraph" w:styleId="Header">
    <w:name w:val="header"/>
    <w:basedOn w:val="Style3"/>
    <w:link w:val="Char"/>
    <w:unhideWhenUsed/>
    <w:qFormat/>
    <w:pPr>
      <w:tabs>
        <w:tab w:val="center" w:pos="4513"/>
        <w:tab w:val="right" w:pos="9026"/>
      </w:tabs>
    </w:pPr>
  </w:style>
  <w:style w:type="paragraph" w:styleId="FootnoteText">
    <w:name w:val="footnote text"/>
    <w:basedOn w:val="Style3"/>
    <w:link w:val="Char3"/>
    <w:uiPriority w:val="99"/>
    <w:semiHidden/>
    <w:unhideWhenUsed/>
    <w:qFormat/>
    <w:pPr>
      <w:snapToGrid w:val="0"/>
    </w:pPr>
    <w:rPr>
      <w:sz w:val="18"/>
      <w:szCs w:val="18"/>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ShadingAccent3">
    <w:name w:val="Light Shading Accent 3"/>
    <w:basedOn w:val="TableNormal"/>
    <w:uiPriority w:val="60"/>
    <w:qFormat/>
    <w:rPr>
      <w:color w:val="76923C" w:themeColor="accent3" w:themeShade="BF"/>
    </w:rPr>
    <w:tblPr>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FootnoteReference">
    <w:name w:val="footnote reference"/>
    <w:basedOn w:val="DefaultParagraphFont"/>
    <w:uiPriority w:val="99"/>
    <w:semiHidden/>
    <w:unhideWhenUsed/>
    <w:qFormat/>
    <w:rPr>
      <w:vertAlign w:val="superscript"/>
    </w:rPr>
  </w:style>
  <w:style w:type="character" w:customStyle="1" w:styleId="Char">
    <w:name w:val="页眉 Char"/>
    <w:basedOn w:val="DefaultParagraphFont"/>
    <w:link w:val="Header"/>
    <w:qFormat/>
  </w:style>
  <w:style w:type="character" w:customStyle="1" w:styleId="Char0">
    <w:name w:val="页脚 Char"/>
    <w:basedOn w:val="DefaultParagraphFont"/>
    <w:link w:val="Footer"/>
    <w:uiPriority w:val="99"/>
    <w:qFormat/>
  </w:style>
  <w:style w:type="paragraph" w:styleId="ListParagraph">
    <w:name w:val="List Paragraph"/>
    <w:basedOn w:val="Style3"/>
    <w:uiPriority w:val="34"/>
    <w:qFormat/>
    <w:pPr>
      <w:ind w:left="720"/>
      <w:contextualSpacing/>
    </w:pPr>
  </w:style>
  <w:style w:type="character" w:customStyle="1" w:styleId="Char1">
    <w:name w:val="批注框文本 Char"/>
    <w:basedOn w:val="DefaultParagraphFont"/>
    <w:link w:val="BalloonText"/>
    <w:uiPriority w:val="99"/>
    <w:semiHidden/>
    <w:rPr>
      <w:rFonts w:ascii="Tahoma" w:hAnsi="Tahoma" w:cs="Tahoma"/>
      <w:sz w:val="16"/>
      <w:szCs w:val="16"/>
    </w:rPr>
  </w:style>
  <w:style w:type="paragraph" w:styleId="Quote">
    <w:name w:val="Quote"/>
    <w:basedOn w:val="Style3"/>
    <w:next w:val="Style3"/>
    <w:link w:val="Char2"/>
    <w:uiPriority w:val="29"/>
    <w:qFormat/>
    <w:rPr>
      <w:i/>
      <w:iCs/>
      <w:color w:val="000000" w:themeColor="text1"/>
    </w:rPr>
  </w:style>
  <w:style w:type="character" w:customStyle="1" w:styleId="Char2">
    <w:name w:val="引用 Char"/>
    <w:basedOn w:val="DefaultParagraphFont"/>
    <w:link w:val="Quote"/>
    <w:uiPriority w:val="29"/>
    <w:qFormat/>
    <w:rPr>
      <w:i/>
      <w:iCs/>
      <w:color w:val="000000" w:themeColor="text1"/>
    </w:rPr>
  </w:style>
  <w:style w:type="paragraph" w:customStyle="1" w:styleId="MTDisplayEquation">
    <w:name w:val="MTDisplayEquation"/>
    <w:basedOn w:val="Style3"/>
    <w:next w:val="Style3"/>
    <w:link w:val="MTDisplayEquationChar"/>
    <w:pPr>
      <w:tabs>
        <w:tab w:val="center" w:pos="4160"/>
        <w:tab w:val="right" w:pos="8300"/>
      </w:tabs>
    </w:pPr>
  </w:style>
  <w:style w:type="character" w:customStyle="1" w:styleId="MTDisplayEquationChar">
    <w:name w:val="MTDisplayEquation Char"/>
    <w:basedOn w:val="DefaultParagraphFont"/>
    <w:link w:val="MTDisplayEquation"/>
    <w:qFormat/>
  </w:style>
  <w:style w:type="character" w:customStyle="1" w:styleId="Char3">
    <w:name w:val="脚注文本 Char"/>
    <w:basedOn w:val="DefaultParagraphFont"/>
    <w:link w:val="FootnoteText"/>
    <w:uiPriority w:val="99"/>
    <w:semiHidden/>
    <w:qFormat/>
    <w:rPr>
      <w:sz w:val="18"/>
      <w:szCs w:val="18"/>
    </w:rPr>
  </w:style>
  <w:style w:type="paragraph" w:customStyle="1" w:styleId="a">
    <w:name w:val="[基本段落]"/>
    <w:basedOn w:val="a0"/>
    <w:qFormat/>
  </w:style>
  <w:style w:type="paragraph" w:customStyle="1" w:styleId="a0">
    <w:name w:val="[系统文字]"/>
    <w:pPr>
      <w:jc w:val="both"/>
    </w:pPr>
    <w:rPr>
      <w:rFonts w:ascii="NEU-BZ" w:eastAsia="方正书宋_GBK" w:hAnsi="NEU-BZ" w:cstheme="minorBidi"/>
      <w:color w:val="000000"/>
      <w:sz w:val="21"/>
      <w:szCs w:val="21"/>
      <w:lang w:val="en-US" w:eastAsia="zh-CN" w:bidi="ar-SA"/>
    </w:rPr>
  </w:style>
  <w:style w:type="paragraph" w:customStyle="1" w:styleId="Normalwrd">
    <w:name w:val="Normal_wrd"/>
    <w:basedOn w:val="Normal"/>
    <w:qFormat/>
    <w:pPr>
      <w:jc w:val="both"/>
    </w:pPr>
    <w:rPr>
      <w:rFonts w:ascii="NEU-BZ" w:eastAsia="方正书宋_GBK"/>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tif"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2.tif"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3.tif"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yperlink" Target="https://d.book118.com/088104032074006041" TargetMode="Externa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item1.xml><?xml version="1.0" encoding="utf-8"?>
<dp:LabelRoot xmlns:dp="http://www.founder.com/2010/digitalPublish/labelTree" tagType="contentCtrl">
</dp:LabelRoot>
</file>

<file path=customXml/item2.xml><?xml version="1.0" encoding="utf-8"?>
<cxp:PackageInfo xmlns:cxp="http://www.founder.com/2010/customXmlParts">
  <LabelTrees>
    <LabelTree customXmlPartId="{4B3307D3-B2C9-4FF8-8CBB-8B9570B3AA04}"/>
  </LabelTrees>
</cxp:PackageInfo>
</file>

<file path=customXml/item3.xml><?xml version="1.0" encoding="utf-8"?>
<CoverPageProperties xmlns="http://schemas.microsoft.com/office/2006/coverPageProps">
  <PublishDate>2009-03-09T00:00:00</PublishDate>
  <Abstract/>
  <CompanyAddress/>
  <CompanyPhone/>
  <CompanyFax/>
  <CompanyEmail/>
</CoverPageProperties>
</file>

<file path=customXml/itemProps1.xml><?xml version="1.0" encoding="utf-8"?>
<ds:datastoreItem xmlns:ds="http://schemas.openxmlformats.org/officeDocument/2006/customXml" ds:itemID="{4B3307D3-B2C9-4FF8-8CBB-8B9570B3AA04}">
  <ds:schemaRefs/>
</ds:datastoreItem>
</file>

<file path=customXml/itemProps2.xml><?xml version="1.0" encoding="utf-8"?>
<ds:datastoreItem xmlns:ds="http://schemas.openxmlformats.org/officeDocument/2006/customXml" ds:itemID="{A6139CF6-5931-4AE5-A712-2A5998365C5A}">
  <ds:schemaRefs/>
</ds:datastoreItem>
</file>

<file path=customXml/itemProps3.xml><?xml version="1.0" encoding="utf-8"?>
<ds:datastoreItem xmlns:ds="http://schemas.openxmlformats.org/officeDocument/2006/customXml" ds:itemID="{F8788689-C533-4448-945B-12F4B397B55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17770</Words>
  <Characters>18801</Characters>
  <Application>Microsoft Office Word</Application>
  <DocSecurity>0</DocSecurity>
  <Lines>139</Lines>
  <Paragraphs>39</Paragraphs>
  <ScaleCrop>false</ScaleCrop>
  <Company>Intergen Ltd</Company>
  <LinksUpToDate>false</LinksUpToDate>
  <CharactersWithSpaces>19083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A0许都汇（盛亚锋)</cp:lastModifiedBy>
  <cp:revision>37</cp:revision>
  <dcterms:created xsi:type="dcterms:W3CDTF">2009-03-05T00:31:00Z</dcterms:created>
  <dcterms:modified xsi:type="dcterms:W3CDTF">2023-11-15T05:40:57Z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5E4364BB3FC74932A5797AC6EBFD14A7_12</vt:lpwstr>
  </property>
  <property fmtid="{D5CDD505-2E9C-101B-9397-08002B2CF9AE}" pid="3" name="KSOProductBuildVer">
    <vt:lpwstr>2052-12.1.0.15712</vt:lpwstr>
  </property>
</Properties>
</file>