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6"/>
        <w:rPr>
          <w:rFonts w:ascii="Times New Roman"/>
          <w:sz w:val="25"/>
        </w:rPr>
      </w:pPr>
    </w:p>
    <w:p>
      <w:pPr>
        <w:pStyle w:val="Title"/>
      </w:pPr>
      <w:r>
        <w:t>中国国有企业改革的回顾与展望</w:t>
      </w:r>
    </w:p>
    <w:p>
      <w:pPr>
        <w:tabs>
          <w:tab w:val="left" w:pos="4622"/>
        </w:tabs>
        <w:spacing w:before="423"/>
        <w:ind w:left="0" w:right="1134" w:firstLine="0"/>
        <w:jc w:val="center"/>
        <w:rPr>
          <w:rFonts w:ascii="黑体" w:eastAsia="黑体" w:hint="eastAsia"/>
          <w:sz w:val="42"/>
        </w:rPr>
      </w:pPr>
      <w:r>
        <w:rPr>
          <w:rFonts w:ascii="黑体" w:eastAsia="黑体" w:hint="eastAsia"/>
          <w:sz w:val="42"/>
        </w:rPr>
        <w:t>摘</w:t>
        <w:tab/>
        <w:t>要</w:t>
      </w:r>
    </w:p>
    <w:p>
      <w:pPr>
        <w:pStyle w:val="BodyText"/>
        <w:spacing w:before="327" w:line="283" w:lineRule="auto"/>
        <w:ind w:left="397" w:right="1328" w:firstLine="809"/>
      </w:pPr>
      <w:r>
        <w:rPr>
          <w:spacing w:val="-13"/>
        </w:rPr>
        <w:t xml:space="preserve">传统体制中的国有企业，是国家在资本相对稀缺、劳动力相对丰富的要素禀赋结构下， </w:t>
      </w:r>
      <w:r>
        <w:rPr>
          <w:spacing w:val="-21"/>
        </w:rPr>
        <w:t>优先发展资本密集的重工业而内生形成的。一方面，中国国有企业具有不同于其他企业的特 有性质：背负着两方面的政策性负担，即战略性政策负担和社会性政策负担；另一方面，中</w:t>
      </w:r>
      <w:r>
        <w:rPr>
          <w:spacing w:val="-10"/>
        </w:rPr>
        <w:t>国国有企业与其他现代企业一样，都存在委托－代理问题。这就决定了简单的私有化并不能 解决中国国有企业改革所面临的问题。</w:t>
      </w:r>
    </w:p>
    <w:p>
      <w:pPr>
        <w:pStyle w:val="BodyText"/>
        <w:tabs>
          <w:tab w:val="left" w:pos="11296"/>
        </w:tabs>
        <w:spacing w:line="283" w:lineRule="auto"/>
        <w:ind w:left="397" w:right="1328" w:firstLine="809"/>
      </w:pPr>
      <w:r>
        <w:t>现代市场经济的中坚力量，早已不是业主制企业，取而代之的是现代的大中型企业。 现代的大中型企业所有权和经营权分离</w:t>
      </w:r>
      <w:r>
        <w:rPr>
          <w:spacing w:val="-162"/>
        </w:rPr>
        <w:t>，</w:t>
      </w:r>
      <w:r>
        <w:t>内生地导致了所有者和经营者之间的委托－代理问 题。具体包括三个方面：信息不对称、激励不相容、责任不对等。企业治理</w:t>
        <w:tab/>
        <w:t>(Corporate Governance)的任务就在于解决委托－代理问题。而解决委托－代理问题的切入点，在于克 服信息不对称难题</w:t>
      </w:r>
      <w:r>
        <w:rPr>
          <w:spacing w:val="-58"/>
        </w:rPr>
        <w:t>。</w:t>
      </w:r>
      <w:r>
        <w:t>因为激励不相容</w:t>
      </w:r>
      <w:r>
        <w:rPr>
          <w:spacing w:val="-61"/>
        </w:rPr>
        <w:t>、</w:t>
      </w:r>
      <w:r>
        <w:t>责任不对等问题的严重程度</w:t>
      </w:r>
      <w:r>
        <w:rPr>
          <w:spacing w:val="-68"/>
        </w:rPr>
        <w:t>，</w:t>
      </w:r>
      <w:r>
        <w:t>取决于信息不对称问题 的严重程度。而克服信息不对称难题，又要求企业能以公平、对等的条件，在充分竞争的</w:t>
      </w:r>
      <w:r>
        <w:rPr>
          <w:spacing w:val="-18"/>
        </w:rPr>
        <w:t>产</w:t>
      </w:r>
      <w:r>
        <w:t>品和要素市场中运作。</w:t>
      </w:r>
    </w:p>
    <w:p>
      <w:pPr>
        <w:pStyle w:val="BodyText"/>
        <w:spacing w:line="283" w:lineRule="auto"/>
        <w:ind w:left="397" w:right="1328" w:firstLine="809"/>
      </w:pPr>
      <w:r>
        <w:t xml:space="preserve">改革以来，国有企业背负着政策性负担的特征没有彻底根除，国有企业处于不利的竞 </w:t>
      </w:r>
      <w:r>
        <w:rPr>
          <w:spacing w:val="-14"/>
        </w:rPr>
        <w:t xml:space="preserve">争地位；为保护国有企业的生存，宏观政策环境无法彻底理顺，公平竞争的市场体系建立不 </w:t>
      </w:r>
      <w:r>
        <w:rPr>
          <w:spacing w:val="-15"/>
        </w:rPr>
        <w:t xml:space="preserve">起来。这种状况之下，国有企业的信息不对称问题无法解决。国有企业经营绩效低下在多大 </w:t>
      </w:r>
      <w:r>
        <w:rPr>
          <w:spacing w:val="-19"/>
        </w:rPr>
        <w:t>程度上是由于经营不力造成的，在多大程度上是由于政策性负担造成的，国家无从识别。</w:t>
      </w:r>
      <w:r>
        <w:t xml:space="preserve">20  </w:t>
      </w:r>
      <w:r>
        <w:rPr>
          <w:spacing w:val="-1"/>
        </w:rPr>
        <w:t>多年来的“渐进式”改革中，国民经济和非国有企业迅速发展，而国有企业改革效果则始终</w:t>
      </w:r>
      <w:r>
        <w:rPr>
          <w:spacing w:val="-14"/>
        </w:rPr>
        <w:t>不能令人满意，其原因就在于此。迄今为止的国有企业改革是在没有解决信息不对称问题的 条件下，单单着力于解决激励不相容和责任不对等问题，所以没有达到预期的效果。</w:t>
      </w:r>
    </w:p>
    <w:p>
      <w:pPr>
        <w:pStyle w:val="BodyText"/>
        <w:spacing w:line="283" w:lineRule="auto"/>
        <w:ind w:left="397" w:right="1328" w:firstLine="809"/>
      </w:pPr>
      <w:r>
        <w:rPr>
          <w:spacing w:val="16"/>
        </w:rPr>
        <w:t xml:space="preserve">中国即将加入 </w:t>
      </w:r>
      <w:r>
        <w:t>WTO，国有企业将面临更加激烈的国际竞争，不利的竞争地位将更加严</w:t>
      </w:r>
      <w:r>
        <w:rPr>
          <w:spacing w:val="-12"/>
        </w:rPr>
        <w:t xml:space="preserve">重地影响其生存；另一方面，加入 </w:t>
      </w:r>
      <w:r>
        <w:t>WTO</w:t>
      </w:r>
      <w:r>
        <w:rPr>
          <w:spacing w:val="-7"/>
        </w:rPr>
        <w:t xml:space="preserve"> 也将促进竞争性市场体系的发育，为国有企业改革深化</w:t>
      </w:r>
      <w:r>
        <w:rPr>
          <w:spacing w:val="-16"/>
        </w:rPr>
        <w:t xml:space="preserve">带来外部的推动力量。在新旧世纪、新旧千年纪元交替之际，中国应当抓住加入 </w:t>
      </w:r>
      <w:r>
        <w:t>WTO 的契机，</w:t>
      </w:r>
      <w:r>
        <w:rPr>
          <w:spacing w:val="-2"/>
        </w:rPr>
        <w:t>以自身的比较优势参与全球经济一体化进程，进而从根本上提高国有企业的自生能力； 同时</w:t>
      </w:r>
      <w:r>
        <w:rPr>
          <w:spacing w:val="-13"/>
        </w:rPr>
        <w:t>剥离国有企业的政策性负担，建立公平竞争的市场，使国家与企业经营者之间的信息趋 于对</w:t>
      </w:r>
      <w:r>
        <w:rPr>
          <w:spacing w:val="-14"/>
        </w:rPr>
        <w:t>称，最终解决委托－代理问题,完成国有企业改革。</w:t>
      </w:r>
    </w:p>
    <w:p>
      <w:pPr>
        <w:pStyle w:val="Heading1"/>
        <w:tabs>
          <w:tab w:val="left" w:pos="4320"/>
        </w:tabs>
        <w:spacing w:line="381" w:lineRule="exact"/>
        <w:ind w:left="0" w:right="1137"/>
        <w:jc w:val="center"/>
      </w:pPr>
      <w:r>
        <w:t>目</w:t>
        <w:tab/>
        <w:t>录</w:t>
      </w:r>
    </w:p>
    <w:p>
      <w:pPr>
        <w:pStyle w:val="BodyText"/>
        <w:spacing w:before="2"/>
        <w:rPr>
          <w:rFonts w:ascii="黑体"/>
          <w:sz w:val="36"/>
        </w:rPr>
      </w:pPr>
    </w:p>
    <w:p>
      <w:pPr>
        <w:spacing w:before="0"/>
        <w:ind w:left="397" w:right="0" w:firstLine="0"/>
        <w:jc w:val="left"/>
        <w:rPr>
          <w:rFonts w:ascii="黑体" w:eastAsia="黑体" w:hint="eastAsia"/>
          <w:sz w:val="36"/>
        </w:rPr>
      </w:pPr>
      <w:r>
        <w:rPr>
          <w:rFonts w:ascii="黑体" w:eastAsia="黑体" w:hint="eastAsia"/>
          <w:sz w:val="36"/>
        </w:rPr>
        <w:t>一、前言：国有企业改革的战略性意义</w:t>
      </w:r>
    </w:p>
    <w:p>
      <w:pPr>
        <w:pStyle w:val="BodyText"/>
        <w:tabs>
          <w:tab w:val="left" w:pos="12227"/>
        </w:tabs>
        <w:spacing w:before="4" w:line="478" w:lineRule="exact"/>
        <w:ind w:left="1206"/>
        <w:rPr>
          <w:rFonts w:ascii="黑体" w:eastAsia="黑体" w:hAnsi="黑体" w:hint="eastAsia"/>
        </w:rPr>
      </w:pPr>
      <w:r>
        <w:rPr>
          <w:rFonts w:ascii="黑体" w:eastAsia="黑体" w:hAnsi="黑体" w:hint="eastAsia"/>
          <w:spacing w:val="3"/>
          <w:position w:val="4"/>
          <w:sz w:val="36"/>
        </w:rPr>
        <w:t>1</w:t>
      </w:r>
      <w:r>
        <w:rPr>
          <w:rFonts w:ascii="黑体" w:eastAsia="黑体" w:hAnsi="黑体" w:hint="eastAsia"/>
          <w:spacing w:val="-177"/>
          <w:position w:val="4"/>
          <w:sz w:val="36"/>
        </w:rPr>
        <w:t>、</w:t>
      </w:r>
      <w:r>
        <w:rPr>
          <w:rFonts w:ascii="黑体" w:eastAsia="黑体" w:hAnsi="黑体" w:hint="eastAsia"/>
        </w:rPr>
        <w:t>“渐进式”改革取得的成就</w:t>
      </w:r>
      <w:r>
        <w:rPr>
          <w:rFonts w:ascii="黑体" w:eastAsia="黑体" w:hAnsi="黑体" w:hint="eastAsia"/>
          <w:u w:val="single"/>
        </w:rPr>
        <w:t xml:space="preserve"> </w:t>
        <w:tab/>
      </w:r>
      <w:r>
        <w:rPr>
          <w:rFonts w:ascii="黑体" w:eastAsia="黑体" w:hAnsi="黑体" w:hint="eastAsia"/>
        </w:rPr>
        <w:t>(1)</w:t>
      </w:r>
    </w:p>
    <w:p>
      <w:pPr>
        <w:pStyle w:val="BodyText"/>
        <w:tabs>
          <w:tab w:val="left" w:pos="12360"/>
        </w:tabs>
        <w:spacing w:line="468" w:lineRule="exact"/>
        <w:ind w:left="1206"/>
        <w:rPr>
          <w:rFonts w:ascii="黑体" w:eastAsia="黑体" w:hint="eastAsia"/>
        </w:rPr>
      </w:pPr>
      <w:r>
        <w:rPr>
          <w:rFonts w:ascii="黑体" w:eastAsia="黑体" w:hint="eastAsia"/>
          <w:position w:val="4"/>
          <w:sz w:val="36"/>
        </w:rPr>
        <w:t>2、</w:t>
      </w:r>
      <w:r>
        <w:rPr>
          <w:rFonts w:ascii="黑体" w:eastAsia="黑体" w:hint="eastAsia"/>
        </w:rPr>
        <w:t>当前国有企业存在的问题</w:t>
      </w:r>
      <w:r>
        <w:rPr>
          <w:rFonts w:ascii="黑体" w:eastAsia="黑体" w:hint="eastAsia"/>
          <w:u w:val="single"/>
        </w:rPr>
        <w:t xml:space="preserve"> </w:t>
        <w:tab/>
      </w:r>
      <w:r>
        <w:rPr>
          <w:rFonts w:ascii="黑体" w:eastAsia="黑体" w:hint="eastAsia"/>
        </w:rPr>
        <w:t>(1)</w:t>
      </w:r>
    </w:p>
    <w:p>
      <w:pPr>
        <w:pStyle w:val="BodyText"/>
        <w:tabs>
          <w:tab w:val="left" w:pos="12252"/>
        </w:tabs>
        <w:spacing w:line="478" w:lineRule="exact"/>
        <w:ind w:left="1206"/>
        <w:rPr>
          <w:rFonts w:ascii="黑体" w:eastAsia="黑体" w:hint="eastAsia"/>
        </w:rPr>
      </w:pPr>
      <w:r>
        <w:rPr>
          <w:rFonts w:ascii="黑体" w:eastAsia="黑体" w:hint="eastAsia"/>
          <w:spacing w:val="3"/>
          <w:position w:val="4"/>
          <w:sz w:val="36"/>
        </w:rPr>
        <w:t>3、</w:t>
      </w:r>
      <w:r>
        <w:rPr>
          <w:rFonts w:ascii="黑体" w:eastAsia="黑体" w:hint="eastAsia"/>
        </w:rPr>
        <w:t>推进国有企业改革的战略性意</w:t>
      </w:r>
      <w:r>
        <w:rPr>
          <w:rFonts w:ascii="黑体" w:eastAsia="黑体" w:hint="eastAsia"/>
          <w:spacing w:val="44"/>
        </w:rPr>
        <w:t>义</w:t>
      </w:r>
      <w:r>
        <w:rPr>
          <w:rFonts w:ascii="黑体" w:eastAsia="黑体" w:hint="eastAsia"/>
          <w:spacing w:val="44"/>
          <w:u w:val="single"/>
        </w:rPr>
        <w:t xml:space="preserve"> </w:t>
        <w:tab/>
      </w:r>
      <w:r>
        <w:rPr>
          <w:rFonts w:ascii="黑体" w:eastAsia="黑体" w:hint="eastAsia"/>
        </w:rPr>
        <w:t>(2)</w:t>
      </w:r>
    </w:p>
    <w:p>
      <w:pPr>
        <w:pStyle w:val="BodyText"/>
        <w:spacing w:before="4"/>
        <w:rPr>
          <w:rFonts w:ascii="黑体"/>
          <w:sz w:val="35"/>
        </w:rPr>
      </w:pPr>
    </w:p>
    <w:p>
      <w:pPr>
        <w:pStyle w:val="Heading1"/>
      </w:pPr>
      <w:r>
        <w:t>二、国有企业改革取得的成就和面临的问题</w:t>
      </w:r>
    </w:p>
    <w:p>
      <w:pPr>
        <w:pStyle w:val="BodyText"/>
        <w:tabs>
          <w:tab w:val="left" w:pos="12331"/>
        </w:tabs>
        <w:spacing w:before="3" w:line="478" w:lineRule="exact"/>
        <w:ind w:left="1206"/>
        <w:rPr>
          <w:rFonts w:ascii="黑体" w:eastAsia="黑体" w:hint="eastAsia"/>
        </w:rPr>
      </w:pPr>
      <w:r>
        <w:rPr>
          <w:rFonts w:ascii="黑体" w:eastAsia="黑体" w:hint="eastAsia"/>
          <w:spacing w:val="3"/>
          <w:position w:val="4"/>
          <w:sz w:val="36"/>
        </w:rPr>
        <w:t>1</w:t>
      </w:r>
      <w:r>
        <w:rPr>
          <w:rFonts w:ascii="黑体" w:eastAsia="黑体" w:hint="eastAsia"/>
        </w:rPr>
        <w:t>、国有企业改革历程的简要回</w:t>
      </w:r>
      <w:r>
        <w:rPr>
          <w:rFonts w:ascii="黑体" w:eastAsia="黑体" w:hint="eastAsia"/>
          <w:spacing w:val="11"/>
        </w:rPr>
        <w:t>顾</w:t>
      </w:r>
      <w:r>
        <w:rPr>
          <w:rFonts w:ascii="黑体" w:eastAsia="黑体" w:hint="eastAsia"/>
          <w:spacing w:val="11"/>
          <w:u w:val="single"/>
        </w:rPr>
        <w:t xml:space="preserve"> </w:t>
        <w:tab/>
      </w:r>
      <w:r>
        <w:rPr>
          <w:rFonts w:ascii="黑体" w:eastAsia="黑体" w:hint="eastAsia"/>
        </w:rPr>
        <w:t>(2)</w:t>
      </w:r>
    </w:p>
    <w:p>
      <w:pPr>
        <w:pStyle w:val="BodyText"/>
        <w:tabs>
          <w:tab w:val="left" w:pos="12282"/>
        </w:tabs>
        <w:spacing w:line="468" w:lineRule="exact"/>
        <w:ind w:left="1206"/>
        <w:rPr>
          <w:rFonts w:ascii="黑体" w:eastAsia="黑体" w:hint="eastAsia"/>
        </w:rPr>
      </w:pPr>
      <w:r>
        <w:rPr>
          <w:rFonts w:ascii="黑体" w:eastAsia="黑体" w:hint="eastAsia"/>
          <w:spacing w:val="3"/>
          <w:position w:val="4"/>
          <w:sz w:val="36"/>
        </w:rPr>
        <w:t>2、</w:t>
      </w:r>
      <w:r>
        <w:rPr>
          <w:rFonts w:ascii="黑体" w:eastAsia="黑体" w:hint="eastAsia"/>
        </w:rPr>
        <w:t>国有企业改革取得的成就：全要素生产率的提高</w:t>
      </w:r>
      <w:r>
        <w:rPr>
          <w:rFonts w:ascii="黑体" w:eastAsia="黑体" w:hint="eastAsia"/>
          <w:u w:val="single"/>
        </w:rPr>
        <w:t xml:space="preserve"> </w:t>
        <w:tab/>
      </w:r>
      <w:r>
        <w:rPr>
          <w:rFonts w:ascii="黑体" w:eastAsia="黑体" w:hint="eastAsia"/>
        </w:rPr>
        <w:t>(3)</w:t>
      </w:r>
    </w:p>
    <w:p>
      <w:pPr>
        <w:pStyle w:val="BodyText"/>
        <w:tabs>
          <w:tab w:val="left" w:pos="12241"/>
        </w:tabs>
        <w:spacing w:line="468" w:lineRule="exact"/>
        <w:ind w:left="1206"/>
        <w:rPr>
          <w:rFonts w:ascii="黑体" w:eastAsia="黑体" w:hint="eastAsia"/>
        </w:rPr>
      </w:pPr>
      <w:r>
        <w:rPr>
          <w:rFonts w:ascii="黑体" w:eastAsia="黑体" w:hint="eastAsia"/>
          <w:spacing w:val="3"/>
          <w:position w:val="4"/>
          <w:sz w:val="36"/>
        </w:rPr>
        <w:t>3、</w:t>
      </w:r>
      <w:r>
        <w:rPr>
          <w:rFonts w:ascii="黑体" w:eastAsia="黑体" w:hint="eastAsia"/>
        </w:rPr>
        <w:t>国有企业当前存在的问</w:t>
      </w:r>
      <w:r>
        <w:rPr>
          <w:rFonts w:ascii="黑体" w:eastAsia="黑体" w:hint="eastAsia"/>
          <w:spacing w:val="33"/>
        </w:rPr>
        <w:t>题</w:t>
      </w:r>
      <w:r>
        <w:rPr>
          <w:rFonts w:ascii="黑体" w:eastAsia="黑体" w:hint="eastAsia"/>
          <w:spacing w:val="33"/>
          <w:u w:val="single"/>
        </w:rPr>
        <w:t xml:space="preserve"> </w:t>
        <w:tab/>
      </w:r>
      <w:r>
        <w:rPr>
          <w:rFonts w:ascii="黑体" w:eastAsia="黑体" w:hint="eastAsia"/>
        </w:rPr>
        <w:t>(4)</w:t>
      </w:r>
    </w:p>
    <w:p>
      <w:pPr>
        <w:pStyle w:val="ListParagraph"/>
        <w:numPr>
          <w:ilvl w:val="1"/>
          <w:numId w:val="23"/>
        </w:numPr>
        <w:tabs>
          <w:tab w:val="left" w:pos="2475"/>
          <w:tab w:val="left" w:pos="12454"/>
        </w:tabs>
        <w:spacing w:before="0" w:after="0" w:line="468" w:lineRule="exact"/>
        <w:ind w:left="2474" w:right="0" w:hanging="728"/>
        <w:jc w:val="left"/>
        <w:rPr>
          <w:rFonts w:ascii="Arial" w:eastAsia="Arial"/>
          <w:sz w:val="31"/>
        </w:rPr>
      </w:pPr>
      <w:r>
        <w:rPr>
          <w:sz w:val="31"/>
        </w:rPr>
        <w:t>国有工业企业赢利能力下降</w:t>
      </w:r>
      <w:r>
        <w:rPr>
          <w:sz w:val="31"/>
          <w:u w:val="single"/>
        </w:rPr>
        <w:t xml:space="preserve"> </w:t>
        <w:tab/>
      </w:r>
      <w:r>
        <w:rPr>
          <w:rFonts w:ascii="Arial" w:eastAsia="Arial"/>
          <w:sz w:val="31"/>
        </w:rPr>
        <w:t>(4)</w:t>
      </w:r>
    </w:p>
    <w:p>
      <w:pPr>
        <w:pStyle w:val="ListParagraph"/>
        <w:numPr>
          <w:ilvl w:val="1"/>
          <w:numId w:val="23"/>
        </w:numPr>
        <w:tabs>
          <w:tab w:val="left" w:pos="2475"/>
          <w:tab w:val="left" w:pos="12461"/>
        </w:tabs>
        <w:spacing w:before="0" w:after="0" w:line="478" w:lineRule="exact"/>
        <w:ind w:left="2474" w:right="0" w:hanging="728"/>
        <w:jc w:val="left"/>
        <w:rPr>
          <w:rFonts w:ascii="Arial" w:eastAsia="Arial"/>
          <w:sz w:val="31"/>
        </w:rPr>
      </w:pPr>
      <w:r>
        <w:rPr>
          <w:sz w:val="31"/>
        </w:rPr>
        <w:t>国有经济对国家财政的贡献趋于下</w:t>
      </w:r>
      <w:r>
        <w:rPr>
          <w:spacing w:val="8"/>
          <w:sz w:val="31"/>
        </w:rPr>
        <w:t>降</w:t>
      </w:r>
      <w:r>
        <w:rPr>
          <w:spacing w:val="8"/>
          <w:sz w:val="31"/>
          <w:u w:val="single"/>
        </w:rPr>
        <w:t xml:space="preserve"> </w:t>
        <w:tab/>
      </w:r>
      <w:r>
        <w:rPr>
          <w:rFonts w:ascii="Arial" w:eastAsia="Arial"/>
          <w:sz w:val="31"/>
        </w:rPr>
        <w:t>(5)</w:t>
      </w:r>
    </w:p>
    <w:p>
      <w:pPr>
        <w:spacing w:after="0" w:line="478" w:lineRule="exact"/>
        <w:jc w:val="left"/>
        <w:rPr>
          <w:rFonts w:ascii="Arial" w:eastAsia="Arial"/>
          <w:sz w:val="31"/>
        </w:rPr>
        <w:sectPr>
          <w:type w:val="continuous"/>
          <w:pgSz w:w="17860" w:h="25260"/>
          <w:pgMar w:top="2420" w:right="1160" w:bottom="280" w:left="2300" w:header="708" w:footer="708"/>
          <w:cols w:space="708"/>
        </w:sectPr>
      </w:pPr>
    </w:p>
    <w:p>
      <w:pPr>
        <w:pStyle w:val="Heading1"/>
        <w:spacing w:before="21"/>
      </w:pPr>
      <w:r>
        <w:t>三、国有企业面临问题的根源</w:t>
      </w:r>
    </w:p>
    <w:p>
      <w:pPr>
        <w:pStyle w:val="BodyText"/>
        <w:tabs>
          <w:tab w:val="left" w:pos="12343"/>
        </w:tabs>
        <w:spacing w:before="4" w:line="478" w:lineRule="exact"/>
        <w:ind w:left="1206"/>
        <w:rPr>
          <w:rFonts w:ascii="Arial" w:eastAsia="Arial"/>
        </w:rPr>
      </w:pPr>
      <w:r>
        <w:rPr>
          <w:rFonts w:ascii="黑体" w:eastAsia="黑体" w:hint="eastAsia"/>
          <w:spacing w:val="7"/>
          <w:position w:val="4"/>
          <w:sz w:val="36"/>
        </w:rPr>
        <w:t>1、</w:t>
      </w:r>
      <w:r>
        <w:rPr>
          <w:rFonts w:ascii="黑体" w:eastAsia="黑体" w:hint="eastAsia"/>
        </w:rPr>
        <w:t>现代企业委托－代理问题的解决及相应的治理机制</w:t>
      </w:r>
      <w:r>
        <w:rPr>
          <w:rFonts w:ascii="黑体" w:eastAsia="黑体" w:hint="eastAsia"/>
          <w:u w:val="single"/>
        </w:rPr>
        <w:t xml:space="preserve"> </w:t>
        <w:tab/>
      </w:r>
      <w:r>
        <w:rPr>
          <w:rFonts w:ascii="Arial" w:eastAsia="Arial"/>
        </w:rPr>
        <w:t>(6)</w:t>
      </w:r>
    </w:p>
    <w:p>
      <w:pPr>
        <w:pStyle w:val="ListParagraph"/>
        <w:numPr>
          <w:ilvl w:val="1"/>
          <w:numId w:val="24"/>
        </w:numPr>
        <w:tabs>
          <w:tab w:val="left" w:pos="2475"/>
          <w:tab w:val="left" w:pos="12454"/>
        </w:tabs>
        <w:spacing w:before="0" w:after="0" w:line="468" w:lineRule="exact"/>
        <w:ind w:left="2474" w:right="0" w:hanging="728"/>
        <w:jc w:val="left"/>
        <w:rPr>
          <w:rFonts w:ascii="Arial" w:eastAsia="Arial"/>
          <w:sz w:val="31"/>
        </w:rPr>
      </w:pPr>
      <w:r>
        <w:rPr>
          <w:sz w:val="31"/>
        </w:rPr>
        <w:t>企业一般的委托－代理问题</w:t>
      </w:r>
      <w:r>
        <w:rPr>
          <w:sz w:val="31"/>
          <w:u w:val="single"/>
        </w:rPr>
        <w:t xml:space="preserve"> </w:t>
        <w:tab/>
      </w:r>
      <w:r>
        <w:rPr>
          <w:rFonts w:ascii="Arial" w:eastAsia="Arial"/>
          <w:sz w:val="31"/>
        </w:rPr>
        <w:t>(6)</w:t>
      </w:r>
    </w:p>
    <w:p>
      <w:pPr>
        <w:pStyle w:val="ListParagraph"/>
        <w:numPr>
          <w:ilvl w:val="1"/>
          <w:numId w:val="24"/>
        </w:numPr>
        <w:tabs>
          <w:tab w:val="left" w:pos="2478"/>
          <w:tab w:val="left" w:pos="12469"/>
        </w:tabs>
        <w:spacing w:before="0" w:after="0" w:line="468" w:lineRule="exact"/>
        <w:ind w:left="2477" w:right="0" w:hanging="731"/>
        <w:jc w:val="left"/>
        <w:rPr>
          <w:rFonts w:ascii="Arial" w:eastAsia="Arial"/>
          <w:sz w:val="31"/>
        </w:rPr>
      </w:pPr>
      <w:r>
        <w:rPr>
          <w:sz w:val="31"/>
        </w:rPr>
        <w:t>解决现代企业委托－代理问题的外部治理机</w:t>
      </w:r>
      <w:r>
        <w:rPr>
          <w:spacing w:val="12"/>
          <w:sz w:val="31"/>
        </w:rPr>
        <w:t>制</w:t>
      </w:r>
      <w:r>
        <w:rPr>
          <w:spacing w:val="12"/>
          <w:sz w:val="31"/>
          <w:u w:val="single"/>
        </w:rPr>
        <w:t xml:space="preserve"> </w:t>
        <w:tab/>
      </w:r>
      <w:r>
        <w:rPr>
          <w:rFonts w:ascii="Arial" w:eastAsia="Arial"/>
          <w:sz w:val="31"/>
        </w:rPr>
        <w:t>(6)</w:t>
      </w:r>
    </w:p>
    <w:p>
      <w:pPr>
        <w:pStyle w:val="ListParagraph"/>
        <w:numPr>
          <w:ilvl w:val="1"/>
          <w:numId w:val="24"/>
        </w:numPr>
        <w:tabs>
          <w:tab w:val="left" w:pos="2475"/>
          <w:tab w:val="left" w:pos="12461"/>
        </w:tabs>
        <w:spacing w:before="0" w:after="0" w:line="468" w:lineRule="exact"/>
        <w:ind w:left="2474" w:right="0" w:hanging="728"/>
        <w:jc w:val="left"/>
        <w:rPr>
          <w:rFonts w:ascii="Arial" w:eastAsia="Arial"/>
          <w:sz w:val="31"/>
        </w:rPr>
      </w:pPr>
      <w:r>
        <w:rPr>
          <w:sz w:val="31"/>
        </w:rPr>
        <w:t>基于外部治理机制的内部治理结</w:t>
      </w:r>
      <w:r>
        <w:rPr>
          <w:spacing w:val="8"/>
          <w:sz w:val="31"/>
        </w:rPr>
        <w:t>构</w:t>
      </w:r>
      <w:r>
        <w:rPr>
          <w:spacing w:val="8"/>
          <w:sz w:val="31"/>
          <w:u w:val="single"/>
        </w:rPr>
        <w:t xml:space="preserve"> </w:t>
        <w:tab/>
      </w:r>
      <w:r>
        <w:rPr>
          <w:rFonts w:ascii="Arial" w:eastAsia="Arial"/>
          <w:sz w:val="31"/>
        </w:rPr>
        <w:t>(7)</w:t>
      </w:r>
    </w:p>
    <w:p>
      <w:pPr>
        <w:pStyle w:val="ListParagraph"/>
        <w:numPr>
          <w:ilvl w:val="1"/>
          <w:numId w:val="24"/>
        </w:numPr>
        <w:tabs>
          <w:tab w:val="left" w:pos="2475"/>
          <w:tab w:val="left" w:pos="12461"/>
        </w:tabs>
        <w:spacing w:before="0" w:after="0" w:line="468" w:lineRule="exact"/>
        <w:ind w:left="2474" w:right="0" w:hanging="728"/>
        <w:jc w:val="left"/>
        <w:rPr>
          <w:rFonts w:ascii="Arial" w:eastAsia="Arial"/>
          <w:sz w:val="31"/>
        </w:rPr>
      </w:pPr>
      <w:r>
        <w:rPr>
          <w:sz w:val="31"/>
        </w:rPr>
        <w:t>内部治理机制的内生性和多样</w:t>
      </w:r>
      <w:r>
        <w:rPr>
          <w:spacing w:val="8"/>
          <w:sz w:val="31"/>
        </w:rPr>
        <w:t>性</w:t>
      </w:r>
      <w:r>
        <w:rPr>
          <w:spacing w:val="8"/>
          <w:sz w:val="31"/>
          <w:u w:val="single"/>
        </w:rPr>
        <w:t xml:space="preserve"> </w:t>
        <w:tab/>
      </w:r>
      <w:r>
        <w:rPr>
          <w:rFonts w:ascii="Arial" w:eastAsia="Arial"/>
          <w:sz w:val="31"/>
        </w:rPr>
        <w:t>(7)</w:t>
      </w:r>
    </w:p>
    <w:p>
      <w:pPr>
        <w:pStyle w:val="BodyText"/>
        <w:tabs>
          <w:tab w:val="left" w:pos="12400"/>
        </w:tabs>
        <w:spacing w:line="468" w:lineRule="exact"/>
        <w:ind w:left="1206"/>
        <w:rPr>
          <w:rFonts w:ascii="Arial" w:eastAsia="Arial"/>
        </w:rPr>
      </w:pPr>
      <w:r>
        <w:rPr>
          <w:rFonts w:ascii="黑体" w:eastAsia="黑体" w:hint="eastAsia"/>
          <w:spacing w:val="7"/>
          <w:position w:val="4"/>
          <w:sz w:val="36"/>
        </w:rPr>
        <w:t>2、</w:t>
      </w:r>
      <w:r>
        <w:rPr>
          <w:rFonts w:ascii="黑体" w:eastAsia="黑体" w:hint="eastAsia"/>
        </w:rPr>
        <w:t>传统体制下国有企业委托－代理问题的解决及相应的治理机制</w:t>
      </w:r>
      <w:r>
        <w:rPr>
          <w:rFonts w:ascii="黑体" w:eastAsia="黑体" w:hint="eastAsia"/>
          <w:u w:val="single"/>
        </w:rPr>
        <w:t xml:space="preserve"> </w:t>
        <w:tab/>
      </w:r>
      <w:r>
        <w:rPr>
          <w:rFonts w:ascii="Arial" w:eastAsia="Arial"/>
        </w:rPr>
        <w:t>(7)</w:t>
      </w:r>
    </w:p>
    <w:p>
      <w:pPr>
        <w:pStyle w:val="ListParagraph"/>
        <w:numPr>
          <w:ilvl w:val="1"/>
          <w:numId w:val="21"/>
        </w:numPr>
        <w:tabs>
          <w:tab w:val="left" w:pos="2475"/>
          <w:tab w:val="left" w:pos="12454"/>
        </w:tabs>
        <w:spacing w:before="0" w:after="0" w:line="468" w:lineRule="exact"/>
        <w:ind w:left="2474" w:right="0" w:hanging="728"/>
        <w:jc w:val="left"/>
        <w:rPr>
          <w:rFonts w:ascii="Arial" w:eastAsia="Arial"/>
          <w:sz w:val="31"/>
        </w:rPr>
      </w:pPr>
      <w:r>
        <w:rPr>
          <w:sz w:val="31"/>
        </w:rPr>
        <w:t>传统体制下国有企业的形成</w:t>
      </w:r>
      <w:r>
        <w:rPr>
          <w:sz w:val="31"/>
          <w:u w:val="single"/>
        </w:rPr>
        <w:t xml:space="preserve"> </w:t>
        <w:tab/>
      </w:r>
      <w:r>
        <w:rPr>
          <w:rFonts w:ascii="Arial" w:eastAsia="Arial"/>
          <w:sz w:val="31"/>
        </w:rPr>
        <w:t>(7)</w:t>
      </w:r>
    </w:p>
    <w:p>
      <w:pPr>
        <w:pStyle w:val="ListParagraph"/>
        <w:numPr>
          <w:ilvl w:val="1"/>
          <w:numId w:val="21"/>
        </w:numPr>
        <w:tabs>
          <w:tab w:val="left" w:pos="2475"/>
          <w:tab w:val="left" w:pos="12461"/>
        </w:tabs>
        <w:spacing w:before="0" w:after="0" w:line="468" w:lineRule="exact"/>
        <w:ind w:left="2474" w:right="0" w:hanging="728"/>
        <w:jc w:val="left"/>
        <w:rPr>
          <w:rFonts w:ascii="Arial" w:eastAsia="Arial"/>
          <w:sz w:val="31"/>
        </w:rPr>
      </w:pPr>
      <w:r>
        <w:rPr>
          <w:sz w:val="31"/>
        </w:rPr>
        <w:t>传统体制下国有企业特有的特</w:t>
      </w:r>
      <w:r>
        <w:rPr>
          <w:spacing w:val="8"/>
          <w:sz w:val="31"/>
        </w:rPr>
        <w:t>征</w:t>
      </w:r>
      <w:r>
        <w:rPr>
          <w:spacing w:val="8"/>
          <w:sz w:val="31"/>
          <w:u w:val="single"/>
        </w:rPr>
        <w:t xml:space="preserve"> </w:t>
        <w:tab/>
      </w:r>
      <w:r>
        <w:rPr>
          <w:rFonts w:ascii="Arial" w:eastAsia="Arial"/>
          <w:sz w:val="31"/>
        </w:rPr>
        <w:t>(7)</w:t>
      </w:r>
    </w:p>
    <w:p>
      <w:pPr>
        <w:pStyle w:val="ListParagraph"/>
        <w:numPr>
          <w:ilvl w:val="1"/>
          <w:numId w:val="21"/>
        </w:numPr>
        <w:tabs>
          <w:tab w:val="left" w:pos="2478"/>
          <w:tab w:val="left" w:pos="12480"/>
        </w:tabs>
        <w:spacing w:before="0" w:after="0" w:line="468" w:lineRule="exact"/>
        <w:ind w:left="2477" w:right="0" w:hanging="731"/>
        <w:jc w:val="left"/>
        <w:rPr>
          <w:rFonts w:ascii="Arial" w:eastAsia="Arial"/>
          <w:sz w:val="31"/>
        </w:rPr>
      </w:pPr>
      <w:r>
        <w:rPr>
          <w:sz w:val="31"/>
        </w:rPr>
        <w:t>传统体制下国有企业委托－代理问题的解决及相应的治理机</w:t>
      </w:r>
      <w:r>
        <w:rPr>
          <w:spacing w:val="24"/>
          <w:sz w:val="31"/>
        </w:rPr>
        <w:t>制</w:t>
      </w:r>
      <w:r>
        <w:rPr>
          <w:spacing w:val="24"/>
          <w:sz w:val="31"/>
          <w:u w:val="single"/>
        </w:rPr>
        <w:t xml:space="preserve"> </w:t>
        <w:tab/>
      </w:r>
      <w:r>
        <w:rPr>
          <w:rFonts w:ascii="Arial" w:eastAsia="Arial"/>
          <w:sz w:val="31"/>
        </w:rPr>
        <w:t>(8)</w:t>
      </w:r>
    </w:p>
    <w:p>
      <w:pPr>
        <w:pStyle w:val="BodyText"/>
        <w:tabs>
          <w:tab w:val="left" w:pos="12400"/>
        </w:tabs>
        <w:spacing w:line="469" w:lineRule="exact"/>
        <w:ind w:left="1206"/>
        <w:rPr>
          <w:rFonts w:ascii="Arial" w:eastAsia="Arial"/>
        </w:rPr>
      </w:pPr>
      <w:r>
        <w:rPr>
          <w:rFonts w:ascii="黑体" w:eastAsia="黑体" w:hint="eastAsia"/>
          <w:spacing w:val="3"/>
          <w:position w:val="4"/>
          <w:sz w:val="36"/>
        </w:rPr>
        <w:t>3、</w:t>
      </w:r>
      <w:r>
        <w:rPr>
          <w:rFonts w:ascii="黑体" w:eastAsia="黑体" w:hint="eastAsia"/>
        </w:rPr>
        <w:t>已有改革的着力点：企业的内部治</w:t>
      </w:r>
      <w:r>
        <w:rPr>
          <w:rFonts w:ascii="黑体" w:eastAsia="黑体" w:hint="eastAsia"/>
          <w:spacing w:val="33"/>
        </w:rPr>
        <w:t>理</w:t>
      </w:r>
      <w:r>
        <w:rPr>
          <w:rFonts w:ascii="黑体" w:eastAsia="黑体" w:hint="eastAsia"/>
          <w:spacing w:val="33"/>
          <w:u w:val="single"/>
        </w:rPr>
        <w:t xml:space="preserve"> </w:t>
        <w:tab/>
      </w:r>
      <w:r>
        <w:rPr>
          <w:rFonts w:ascii="Arial" w:eastAsia="Arial"/>
        </w:rPr>
        <w:t>(8)</w:t>
      </w:r>
    </w:p>
    <w:p>
      <w:pPr>
        <w:pStyle w:val="ListParagraph"/>
        <w:numPr>
          <w:ilvl w:val="1"/>
          <w:numId w:val="20"/>
        </w:numPr>
        <w:tabs>
          <w:tab w:val="left" w:pos="2475"/>
          <w:tab w:val="left" w:pos="12454"/>
        </w:tabs>
        <w:spacing w:before="0" w:after="0" w:line="468" w:lineRule="exact"/>
        <w:ind w:left="2474" w:right="0" w:hanging="728"/>
        <w:jc w:val="left"/>
        <w:rPr>
          <w:rFonts w:ascii="Arial" w:eastAsia="Arial"/>
          <w:sz w:val="31"/>
        </w:rPr>
      </w:pPr>
      <w:r>
        <w:rPr>
          <w:sz w:val="31"/>
        </w:rPr>
        <w:t>放权让利和承包制的着力点</w:t>
      </w:r>
      <w:r>
        <w:rPr>
          <w:sz w:val="31"/>
          <w:u w:val="single"/>
        </w:rPr>
        <w:t xml:space="preserve"> </w:t>
        <w:tab/>
      </w:r>
      <w:r>
        <w:rPr>
          <w:rFonts w:ascii="Arial" w:eastAsia="Arial"/>
          <w:sz w:val="31"/>
        </w:rPr>
        <w:t>(8)</w:t>
      </w:r>
    </w:p>
    <w:p>
      <w:pPr>
        <w:pStyle w:val="ListParagraph"/>
        <w:numPr>
          <w:ilvl w:val="1"/>
          <w:numId w:val="20"/>
        </w:numPr>
        <w:tabs>
          <w:tab w:val="left" w:pos="2475"/>
          <w:tab w:val="left" w:pos="12220"/>
          <w:tab w:val="left" w:pos="12375"/>
          <w:tab w:val="left" w:pos="12454"/>
        </w:tabs>
        <w:spacing w:before="0" w:after="0" w:line="249" w:lineRule="auto"/>
        <w:ind w:left="1206" w:right="1574" w:firstLine="540"/>
        <w:jc w:val="both"/>
        <w:rPr>
          <w:rFonts w:ascii="黑体" w:eastAsia="黑体" w:hint="eastAsia"/>
          <w:sz w:val="31"/>
        </w:rPr>
      </w:pPr>
      <w:r>
        <w:rPr>
          <w:sz w:val="31"/>
        </w:rPr>
        <w:t>现代企业制度改革的着力点</w:t>
      </w:r>
      <w:r>
        <w:rPr>
          <w:sz w:val="31"/>
          <w:u w:val="single"/>
        </w:rPr>
        <w:t xml:space="preserve"> </w:t>
        <w:tab/>
        <w:tab/>
        <w:tab/>
      </w:r>
      <w:r>
        <w:rPr>
          <w:rFonts w:ascii="Arial" w:eastAsia="Arial"/>
          <w:spacing w:val="-6"/>
          <w:sz w:val="31"/>
        </w:rPr>
        <w:t>(8)</w:t>
      </w:r>
      <w:r>
        <w:rPr>
          <w:rFonts w:ascii="Arial" w:eastAsia="Arial"/>
          <w:spacing w:val="-6"/>
          <w:position w:val="4"/>
          <w:sz w:val="31"/>
        </w:rPr>
        <w:t xml:space="preserve"> </w:t>
      </w:r>
      <w:r>
        <w:rPr>
          <w:rFonts w:ascii="黑体" w:eastAsia="黑体" w:hint="eastAsia"/>
          <w:spacing w:val="7"/>
          <w:position w:val="4"/>
          <w:sz w:val="36"/>
        </w:rPr>
        <w:t>4、</w:t>
      </w:r>
      <w:r>
        <w:rPr>
          <w:rFonts w:ascii="黑体" w:eastAsia="黑体" w:hint="eastAsia"/>
          <w:sz w:val="31"/>
        </w:rPr>
        <w:t>国有企业当前问题的根源：政策性负担造成的软预算约束</w:t>
      </w:r>
      <w:r>
        <w:rPr>
          <w:rFonts w:ascii="黑体" w:eastAsia="黑体" w:hint="eastAsia"/>
          <w:sz w:val="31"/>
          <w:u w:val="single"/>
        </w:rPr>
        <w:t xml:space="preserve"> </w:t>
        <w:tab/>
        <w:tab/>
      </w:r>
      <w:r>
        <w:rPr>
          <w:rFonts w:ascii="Arial" w:eastAsia="Arial"/>
          <w:sz w:val="31"/>
        </w:rPr>
        <w:t xml:space="preserve">(9) </w:t>
      </w:r>
      <w:r>
        <w:rPr>
          <w:rFonts w:ascii="黑体" w:eastAsia="黑体" w:hint="eastAsia"/>
          <w:spacing w:val="7"/>
          <w:sz w:val="31"/>
        </w:rPr>
        <w:t>5</w:t>
      </w:r>
      <w:r>
        <w:rPr>
          <w:rFonts w:ascii="黑体" w:eastAsia="黑体" w:hint="eastAsia"/>
          <w:sz w:val="31"/>
        </w:rPr>
        <w:t>、私有化并不一定能解决软预算约束问题</w:t>
      </w:r>
      <w:r>
        <w:rPr>
          <w:rFonts w:ascii="黑体" w:eastAsia="黑体" w:hint="eastAsia"/>
          <w:sz w:val="31"/>
          <w:u w:val="single"/>
        </w:rPr>
        <w:t xml:space="preserve"> </w:t>
        <w:tab/>
      </w:r>
      <w:r>
        <w:rPr>
          <w:rFonts w:ascii="黑体" w:eastAsia="黑体" w:hint="eastAsia"/>
          <w:sz w:val="31"/>
        </w:rPr>
        <w:t>(9)</w:t>
      </w:r>
    </w:p>
    <w:p>
      <w:pPr>
        <w:pStyle w:val="BodyText"/>
        <w:spacing w:before="5"/>
        <w:rPr>
          <w:rFonts w:ascii="黑体"/>
          <w:sz w:val="34"/>
        </w:rPr>
      </w:pPr>
    </w:p>
    <w:p>
      <w:pPr>
        <w:pStyle w:val="Heading1"/>
      </w:pPr>
      <w:r>
        <w:t>四、中国加入 WTO 给国有企业改革带来的挑战和机遇</w:t>
      </w:r>
    </w:p>
    <w:p>
      <w:pPr>
        <w:pStyle w:val="BodyText"/>
        <w:tabs>
          <w:tab w:val="left" w:pos="12166"/>
        </w:tabs>
        <w:spacing w:before="4" w:line="478" w:lineRule="exact"/>
        <w:ind w:left="1206"/>
        <w:rPr>
          <w:rFonts w:ascii="Arial" w:eastAsia="Arial"/>
        </w:rPr>
      </w:pPr>
      <w:r>
        <w:rPr>
          <w:rFonts w:ascii="黑体" w:eastAsia="黑体" w:hint="eastAsia"/>
          <w:spacing w:val="7"/>
          <w:position w:val="4"/>
          <w:sz w:val="36"/>
        </w:rPr>
        <w:t>1、</w:t>
      </w:r>
      <w:r>
        <w:rPr>
          <w:rFonts w:ascii="黑体" w:eastAsia="黑体" w:hint="eastAsia"/>
        </w:rPr>
        <w:t>加入</w:t>
      </w:r>
      <w:r>
        <w:rPr>
          <w:rFonts w:ascii="黑体" w:eastAsia="黑体" w:hint="eastAsia"/>
          <w:spacing w:val="49"/>
        </w:rPr>
        <w:t xml:space="preserve"> </w:t>
      </w:r>
      <w:r>
        <w:rPr>
          <w:rFonts w:ascii="黑体" w:eastAsia="黑体" w:hint="eastAsia"/>
        </w:rPr>
        <w:t>WTO</w:t>
      </w:r>
      <w:r>
        <w:rPr>
          <w:rFonts w:ascii="黑体" w:eastAsia="黑体" w:hint="eastAsia"/>
          <w:spacing w:val="58"/>
        </w:rPr>
        <w:t xml:space="preserve"> </w:t>
      </w:r>
      <w:r>
        <w:rPr>
          <w:rFonts w:ascii="黑体" w:eastAsia="黑体" w:hint="eastAsia"/>
        </w:rPr>
        <w:t>给国有企业改革带来的挑战和压力</w:t>
      </w:r>
      <w:r>
        <w:rPr>
          <w:rFonts w:ascii="黑体" w:eastAsia="黑体" w:hint="eastAsia"/>
          <w:u w:val="single"/>
        </w:rPr>
        <w:t xml:space="preserve"> </w:t>
        <w:tab/>
      </w:r>
      <w:r>
        <w:rPr>
          <w:rFonts w:ascii="Arial" w:eastAsia="Arial"/>
        </w:rPr>
        <w:t>(10)</w:t>
      </w:r>
    </w:p>
    <w:p>
      <w:pPr>
        <w:pStyle w:val="ListParagraph"/>
        <w:numPr>
          <w:ilvl w:val="1"/>
          <w:numId w:val="19"/>
        </w:numPr>
        <w:tabs>
          <w:tab w:val="left" w:pos="2493"/>
          <w:tab w:val="left" w:pos="12253"/>
        </w:tabs>
        <w:spacing w:before="0" w:after="0" w:line="468" w:lineRule="exact"/>
        <w:ind w:left="2492" w:right="0" w:hanging="746"/>
        <w:jc w:val="left"/>
        <w:rPr>
          <w:rFonts w:ascii="Arial" w:eastAsia="Arial"/>
          <w:sz w:val="31"/>
        </w:rPr>
      </w:pPr>
      <w:r>
        <w:rPr>
          <w:sz w:val="31"/>
        </w:rPr>
        <w:t>结构性因素使得国有企业在国际竞争中处于不利地位</w:t>
      </w:r>
      <w:r>
        <w:rPr>
          <w:sz w:val="31"/>
          <w:u w:val="single"/>
        </w:rPr>
        <w:t xml:space="preserve"> </w:t>
        <w:tab/>
      </w:r>
      <w:r>
        <w:rPr>
          <w:rFonts w:ascii="Arial" w:eastAsia="Arial"/>
          <w:sz w:val="31"/>
        </w:rPr>
        <w:t>(10)</w:t>
      </w:r>
    </w:p>
    <w:p>
      <w:pPr>
        <w:pStyle w:val="ListParagraph"/>
        <w:numPr>
          <w:ilvl w:val="1"/>
          <w:numId w:val="19"/>
        </w:numPr>
        <w:tabs>
          <w:tab w:val="left" w:pos="2493"/>
          <w:tab w:val="left" w:pos="12246"/>
        </w:tabs>
        <w:spacing w:before="0" w:after="0" w:line="468" w:lineRule="exact"/>
        <w:ind w:left="2492" w:right="0" w:hanging="746"/>
        <w:jc w:val="left"/>
        <w:rPr>
          <w:rFonts w:ascii="Arial" w:eastAsia="Arial"/>
          <w:sz w:val="31"/>
        </w:rPr>
      </w:pPr>
      <w:r>
        <w:rPr>
          <w:sz w:val="31"/>
        </w:rPr>
        <w:t>按规范的贸易规则进行政策调整带来的减利因素</w:t>
      </w:r>
      <w:r>
        <w:rPr>
          <w:sz w:val="31"/>
          <w:u w:val="single"/>
        </w:rPr>
        <w:t xml:space="preserve"> </w:t>
        <w:tab/>
      </w:r>
      <w:r>
        <w:rPr>
          <w:rFonts w:ascii="Arial" w:eastAsia="Arial"/>
          <w:sz w:val="31"/>
        </w:rPr>
        <w:t>(11)</w:t>
      </w:r>
    </w:p>
    <w:p>
      <w:pPr>
        <w:pStyle w:val="BodyText"/>
        <w:tabs>
          <w:tab w:val="left" w:pos="12170"/>
        </w:tabs>
        <w:spacing w:line="468" w:lineRule="exact"/>
        <w:ind w:left="1206"/>
        <w:rPr>
          <w:rFonts w:ascii="Arial" w:eastAsia="Arial"/>
        </w:rPr>
      </w:pPr>
      <w:r>
        <w:rPr>
          <w:rFonts w:ascii="黑体" w:eastAsia="黑体" w:hint="eastAsia"/>
          <w:spacing w:val="7"/>
          <w:position w:val="4"/>
          <w:sz w:val="36"/>
        </w:rPr>
        <w:t>2、</w:t>
      </w:r>
      <w:r>
        <w:rPr>
          <w:rFonts w:ascii="黑体" w:eastAsia="黑体" w:hint="eastAsia"/>
        </w:rPr>
        <w:t>加入</w:t>
      </w:r>
      <w:r>
        <w:rPr>
          <w:rFonts w:ascii="黑体" w:eastAsia="黑体" w:hint="eastAsia"/>
          <w:spacing w:val="52"/>
        </w:rPr>
        <w:t xml:space="preserve"> </w:t>
      </w:r>
      <w:r>
        <w:rPr>
          <w:rFonts w:ascii="黑体" w:eastAsia="黑体" w:hint="eastAsia"/>
        </w:rPr>
        <w:t>WTO</w:t>
      </w:r>
      <w:r>
        <w:rPr>
          <w:rFonts w:ascii="黑体" w:eastAsia="黑体" w:hint="eastAsia"/>
          <w:spacing w:val="53"/>
        </w:rPr>
        <w:t xml:space="preserve"> </w:t>
      </w:r>
      <w:r>
        <w:rPr>
          <w:rFonts w:ascii="黑体" w:eastAsia="黑体" w:hint="eastAsia"/>
        </w:rPr>
        <w:t>给国有企业改革带来的机遇和动力</w:t>
      </w:r>
      <w:r>
        <w:rPr>
          <w:rFonts w:ascii="黑体" w:eastAsia="黑体" w:hint="eastAsia"/>
          <w:u w:val="single"/>
        </w:rPr>
        <w:t xml:space="preserve"> </w:t>
        <w:tab/>
      </w:r>
      <w:r>
        <w:rPr>
          <w:rFonts w:ascii="Arial" w:eastAsia="Arial"/>
        </w:rPr>
        <w:t>(11)</w:t>
      </w:r>
    </w:p>
    <w:p>
      <w:pPr>
        <w:pStyle w:val="ListParagraph"/>
        <w:numPr>
          <w:ilvl w:val="1"/>
          <w:numId w:val="18"/>
        </w:numPr>
        <w:tabs>
          <w:tab w:val="left" w:pos="2489"/>
          <w:tab w:val="left" w:pos="12227"/>
        </w:tabs>
        <w:spacing w:before="0" w:after="0" w:line="468" w:lineRule="exact"/>
        <w:ind w:left="2488" w:right="0" w:hanging="742"/>
        <w:jc w:val="left"/>
        <w:rPr>
          <w:rFonts w:ascii="Arial" w:eastAsia="Arial"/>
          <w:sz w:val="31"/>
        </w:rPr>
      </w:pPr>
      <w:r>
        <w:rPr>
          <w:sz w:val="31"/>
        </w:rPr>
        <w:t>有利于国有企业走上按比较优势发展的道路</w:t>
      </w:r>
      <w:r>
        <w:rPr>
          <w:sz w:val="31"/>
          <w:u w:val="single"/>
        </w:rPr>
        <w:t xml:space="preserve"> </w:t>
        <w:tab/>
      </w:r>
      <w:r>
        <w:rPr>
          <w:rFonts w:ascii="Arial" w:eastAsia="Arial"/>
          <w:sz w:val="31"/>
        </w:rPr>
        <w:t>(11)</w:t>
      </w:r>
    </w:p>
    <w:p>
      <w:pPr>
        <w:pStyle w:val="ListParagraph"/>
        <w:numPr>
          <w:ilvl w:val="1"/>
          <w:numId w:val="18"/>
        </w:numPr>
        <w:tabs>
          <w:tab w:val="left" w:pos="2485"/>
          <w:tab w:val="left" w:pos="12210"/>
        </w:tabs>
        <w:spacing w:before="0" w:after="0" w:line="478" w:lineRule="exact"/>
        <w:ind w:left="2485" w:right="0" w:hanging="738"/>
        <w:jc w:val="left"/>
        <w:rPr>
          <w:rFonts w:ascii="Arial" w:eastAsia="Arial"/>
          <w:sz w:val="31"/>
        </w:rPr>
      </w:pPr>
      <w:r>
        <w:rPr>
          <w:sz w:val="31"/>
        </w:rPr>
        <w:t>为国有企业改革带来了外部的推动力</w:t>
      </w:r>
      <w:r>
        <w:rPr>
          <w:sz w:val="31"/>
          <w:u w:val="single"/>
        </w:rPr>
        <w:t xml:space="preserve"> </w:t>
        <w:tab/>
      </w:r>
      <w:r>
        <w:rPr>
          <w:rFonts w:ascii="Arial" w:eastAsia="Arial"/>
          <w:sz w:val="31"/>
        </w:rPr>
        <w:t>(11)</w:t>
      </w:r>
    </w:p>
    <w:p>
      <w:pPr>
        <w:pStyle w:val="BodyText"/>
        <w:spacing w:before="4"/>
        <w:rPr>
          <w:rFonts w:ascii="Arial"/>
          <w:sz w:val="39"/>
        </w:rPr>
      </w:pPr>
    </w:p>
    <w:p>
      <w:pPr>
        <w:pStyle w:val="Heading1"/>
      </w:pPr>
      <w:r>
        <w:t xml:space="preserve">五、对策建议：以加入 </w:t>
      </w:r>
      <w:r>
        <w:rPr>
          <w:rFonts w:ascii="Arial" w:eastAsia="Arial"/>
        </w:rPr>
        <w:t xml:space="preserve">WTO </w:t>
      </w:r>
      <w:r>
        <w:t>为契机，把握机遇，完成国有企业改革</w:t>
      </w:r>
    </w:p>
    <w:p>
      <w:pPr>
        <w:pStyle w:val="BodyText"/>
        <w:tabs>
          <w:tab w:val="left" w:pos="12004"/>
        </w:tabs>
        <w:spacing w:before="4"/>
        <w:ind w:left="1206"/>
        <w:rPr>
          <w:rFonts w:ascii="Arial" w:eastAsia="Arial"/>
        </w:rPr>
      </w:pPr>
      <w:r>
        <w:rPr>
          <w:rFonts w:ascii="黑体" w:eastAsia="黑体" w:hint="eastAsia"/>
          <w:spacing w:val="10"/>
          <w:position w:val="4"/>
          <w:sz w:val="36"/>
        </w:rPr>
        <w:t>1</w:t>
      </w:r>
      <w:r>
        <w:rPr>
          <w:rFonts w:ascii="黑体" w:eastAsia="黑体" w:hint="eastAsia"/>
          <w:spacing w:val="7"/>
          <w:position w:val="4"/>
          <w:sz w:val="36"/>
        </w:rPr>
        <w:t>、</w:t>
      </w:r>
      <w:r>
        <w:rPr>
          <w:rFonts w:ascii="黑体" w:eastAsia="黑体" w:hint="eastAsia"/>
        </w:rPr>
        <w:t>未来国有企业改革的正确方向</w:t>
      </w:r>
      <w:r>
        <w:rPr>
          <w:rFonts w:ascii="黑体" w:eastAsia="黑体" w:hint="eastAsia"/>
          <w:u w:val="single"/>
        </w:rPr>
        <w:t xml:space="preserve"> </w:t>
        <w:tab/>
      </w:r>
      <w:r>
        <w:rPr>
          <w:rFonts w:ascii="Arial" w:eastAsia="Arial"/>
        </w:rPr>
        <w:t>(13)</w:t>
      </w:r>
    </w:p>
    <w:p>
      <w:pPr>
        <w:pStyle w:val="BodyText"/>
        <w:tabs>
          <w:tab w:val="left" w:pos="11138"/>
          <w:tab w:val="left" w:pos="12246"/>
        </w:tabs>
        <w:spacing w:before="60" w:line="393" w:lineRule="exact"/>
        <w:ind w:left="1206"/>
        <w:rPr>
          <w:rFonts w:ascii="Arial" w:eastAsia="Arial"/>
        </w:rPr>
      </w:pPr>
      <w:r>
        <w:rPr>
          <w:rFonts w:ascii="黑体" w:eastAsia="黑体" w:hint="eastAsia"/>
          <w:spacing w:val="10"/>
        </w:rPr>
        <w:t>2</w:t>
      </w:r>
      <w:r>
        <w:rPr>
          <w:rFonts w:ascii="黑体" w:eastAsia="黑体" w:hint="eastAsia"/>
        </w:rPr>
        <w:t>、消除国有企业的战略性政策负担，从根本上提高国有企业自生能力</w:t>
        <w:tab/>
      </w:r>
      <w:r>
        <w:rPr>
          <w:rFonts w:ascii="黑体" w:eastAsia="黑体" w:hint="eastAsia"/>
          <w:u w:val="single"/>
        </w:rPr>
        <w:t xml:space="preserve"> </w:t>
        <w:tab/>
      </w:r>
      <w:r>
        <w:rPr>
          <w:rFonts w:ascii="Arial" w:eastAsia="Arial"/>
        </w:rPr>
        <w:t>(13)</w:t>
      </w:r>
    </w:p>
    <w:p>
      <w:pPr>
        <w:pStyle w:val="ListParagraph"/>
        <w:numPr>
          <w:ilvl w:val="1"/>
          <w:numId w:val="17"/>
        </w:numPr>
        <w:tabs>
          <w:tab w:val="left" w:pos="2496"/>
          <w:tab w:val="left" w:pos="12040"/>
        </w:tabs>
        <w:spacing w:before="0" w:after="0" w:line="473" w:lineRule="exact"/>
        <w:ind w:left="2495" w:right="0" w:hanging="749"/>
        <w:jc w:val="left"/>
        <w:rPr>
          <w:rFonts w:ascii="Arial" w:eastAsia="Arial"/>
          <w:sz w:val="31"/>
        </w:rPr>
      </w:pPr>
      <w:r>
        <w:rPr>
          <w:sz w:val="31"/>
        </w:rPr>
        <w:t>需要转变的观</w:t>
      </w:r>
      <w:r>
        <w:rPr>
          <w:spacing w:val="40"/>
          <w:sz w:val="31"/>
        </w:rPr>
        <w:t>念</w:t>
      </w:r>
      <w:r>
        <w:rPr>
          <w:spacing w:val="40"/>
          <w:sz w:val="31"/>
          <w:u w:val="single"/>
        </w:rPr>
        <w:t xml:space="preserve"> </w:t>
        <w:tab/>
      </w:r>
      <w:r>
        <w:rPr>
          <w:rFonts w:ascii="Arial" w:eastAsia="Arial"/>
          <w:sz w:val="31"/>
        </w:rPr>
        <w:t>(13)</w:t>
      </w:r>
    </w:p>
    <w:p>
      <w:pPr>
        <w:pStyle w:val="ListParagraph"/>
        <w:numPr>
          <w:ilvl w:val="1"/>
          <w:numId w:val="17"/>
        </w:numPr>
        <w:tabs>
          <w:tab w:val="left" w:pos="2467"/>
        </w:tabs>
        <w:spacing w:before="0" w:after="0" w:line="478" w:lineRule="exact"/>
        <w:ind w:left="2467" w:right="0" w:hanging="720"/>
        <w:jc w:val="left"/>
        <w:rPr>
          <w:sz w:val="31"/>
        </w:rPr>
      </w:pPr>
      <w:r>
        <w:rPr>
          <w:sz w:val="31"/>
        </w:rPr>
        <w:t>按比较优势调整原则对国有企业资产存量进行转产、转制</w:t>
      </w:r>
    </w:p>
    <w:p>
      <w:pPr>
        <w:pStyle w:val="BodyText"/>
        <w:tabs>
          <w:tab w:val="left" w:pos="11989"/>
        </w:tabs>
        <w:spacing w:before="60" w:line="393" w:lineRule="exact"/>
        <w:ind w:left="2445"/>
        <w:rPr>
          <w:rFonts w:ascii="Arial" w:eastAsia="Arial"/>
        </w:rPr>
      </w:pPr>
      <w:r>
        <w:t>和地区间重</w:t>
      </w:r>
      <w:r>
        <w:rPr>
          <w:spacing w:val="40"/>
        </w:rPr>
        <w:t>组</w:t>
      </w:r>
      <w:r>
        <w:rPr>
          <w:spacing w:val="40"/>
          <w:u w:val="single"/>
        </w:rPr>
        <w:t xml:space="preserve"> </w:t>
        <w:tab/>
      </w:r>
      <w:r>
        <w:rPr>
          <w:rFonts w:ascii="Arial" w:eastAsia="Arial"/>
        </w:rPr>
        <w:t>(13)</w:t>
      </w:r>
    </w:p>
    <w:p>
      <w:pPr>
        <w:pStyle w:val="ListParagraph"/>
        <w:numPr>
          <w:ilvl w:val="1"/>
          <w:numId w:val="17"/>
        </w:numPr>
        <w:tabs>
          <w:tab w:val="left" w:pos="2650"/>
          <w:tab w:val="left" w:pos="2651"/>
          <w:tab w:val="left" w:pos="12227"/>
        </w:tabs>
        <w:spacing w:before="0" w:after="0" w:line="475" w:lineRule="exact"/>
        <w:ind w:left="2650" w:right="0" w:hanging="904"/>
        <w:jc w:val="left"/>
        <w:rPr>
          <w:rFonts w:ascii="Arial" w:eastAsia="Arial"/>
          <w:sz w:val="31"/>
        </w:rPr>
      </w:pPr>
      <w:r>
        <w:rPr>
          <w:position w:val="1"/>
          <w:sz w:val="33"/>
        </w:rPr>
        <w:t>大力发展中小型劳动密集企</w:t>
      </w:r>
      <w:r>
        <w:rPr>
          <w:spacing w:val="44"/>
          <w:position w:val="1"/>
          <w:sz w:val="33"/>
        </w:rPr>
        <w:t>业</w:t>
      </w:r>
      <w:r>
        <w:rPr>
          <w:spacing w:val="44"/>
          <w:position w:val="1"/>
          <w:sz w:val="33"/>
          <w:u w:val="single"/>
        </w:rPr>
        <w:t xml:space="preserve"> </w:t>
        <w:tab/>
      </w:r>
      <w:r>
        <w:rPr>
          <w:rFonts w:ascii="Arial" w:eastAsia="Arial"/>
          <w:sz w:val="31"/>
        </w:rPr>
        <w:t>(13)</w:t>
      </w:r>
    </w:p>
    <w:p>
      <w:pPr>
        <w:pStyle w:val="Heading2"/>
        <w:numPr>
          <w:ilvl w:val="1"/>
          <w:numId w:val="17"/>
        </w:numPr>
        <w:tabs>
          <w:tab w:val="left" w:pos="2500"/>
          <w:tab w:val="left" w:pos="11746"/>
          <w:tab w:val="left" w:pos="12243"/>
        </w:tabs>
        <w:spacing w:before="0" w:after="0" w:line="469" w:lineRule="exact"/>
        <w:ind w:left="2499" w:right="0" w:hanging="753"/>
        <w:jc w:val="left"/>
        <w:rPr>
          <w:rFonts w:ascii="Arial" w:eastAsia="Arial"/>
        </w:rPr>
      </w:pPr>
      <w:r>
        <w:rPr>
          <w:rFonts w:ascii="宋体" w:eastAsia="宋体" w:hint="eastAsia"/>
        </w:rPr>
        <w:t>改革金融体系，发展中小银行，促进劳动密集的中小企业发展</w:t>
        <w:tab/>
      </w:r>
      <w:r>
        <w:rPr>
          <w:rFonts w:ascii="宋体" w:eastAsia="宋体" w:hint="eastAsia"/>
          <w:u w:val="single"/>
        </w:rPr>
        <w:t xml:space="preserve"> </w:t>
        <w:tab/>
      </w:r>
      <w:r>
        <w:rPr>
          <w:rFonts w:ascii="Arial" w:eastAsia="Arial"/>
        </w:rPr>
        <w:t>(14)</w:t>
      </w:r>
    </w:p>
    <w:p>
      <w:pPr>
        <w:pStyle w:val="BodyText"/>
        <w:tabs>
          <w:tab w:val="left" w:pos="12044"/>
        </w:tabs>
        <w:spacing w:before="67" w:line="393" w:lineRule="exact"/>
        <w:ind w:left="1206"/>
        <w:rPr>
          <w:rFonts w:ascii="Arial" w:eastAsia="Arial"/>
        </w:rPr>
      </w:pPr>
      <w:r>
        <w:rPr>
          <w:rFonts w:ascii="黑体" w:eastAsia="黑体" w:hint="eastAsia"/>
          <w:spacing w:val="10"/>
        </w:rPr>
        <w:t>3</w:t>
      </w:r>
      <w:r>
        <w:rPr>
          <w:rFonts w:ascii="黑体" w:eastAsia="黑体" w:hint="eastAsia"/>
        </w:rPr>
        <w:t>、完善配套改革，剥离国有企业社会性政策负担</w:t>
      </w:r>
      <w:r>
        <w:rPr>
          <w:rFonts w:ascii="黑体" w:eastAsia="黑体" w:hint="eastAsia"/>
          <w:u w:val="single"/>
        </w:rPr>
        <w:t xml:space="preserve"> </w:t>
        <w:tab/>
      </w:r>
      <w:r>
        <w:rPr>
          <w:rFonts w:ascii="Arial" w:eastAsia="Arial"/>
        </w:rPr>
        <w:t>(14)</w:t>
      </w:r>
    </w:p>
    <w:p>
      <w:pPr>
        <w:pStyle w:val="ListParagraph"/>
        <w:numPr>
          <w:ilvl w:val="1"/>
          <w:numId w:val="16"/>
        </w:numPr>
        <w:tabs>
          <w:tab w:val="left" w:pos="2478"/>
          <w:tab w:val="left" w:pos="12109"/>
        </w:tabs>
        <w:spacing w:before="0" w:after="0" w:line="474" w:lineRule="exact"/>
        <w:ind w:left="2477" w:right="0" w:hanging="731"/>
        <w:jc w:val="left"/>
        <w:rPr>
          <w:rFonts w:ascii="Arial" w:eastAsia="Arial"/>
          <w:sz w:val="31"/>
        </w:rPr>
      </w:pPr>
      <w:r>
        <w:rPr>
          <w:sz w:val="31"/>
        </w:rPr>
        <w:t>实物工资货币化和剥离社会性政策负担</w:t>
      </w:r>
      <w:r>
        <w:rPr>
          <w:sz w:val="31"/>
          <w:u w:val="single"/>
        </w:rPr>
        <w:t xml:space="preserve"> </w:t>
        <w:tab/>
      </w:r>
      <w:r>
        <w:rPr>
          <w:rFonts w:ascii="Arial" w:eastAsia="Arial"/>
          <w:sz w:val="31"/>
        </w:rPr>
        <w:t>(14)</w:t>
      </w:r>
    </w:p>
    <w:p>
      <w:pPr>
        <w:pStyle w:val="ListParagraph"/>
        <w:numPr>
          <w:ilvl w:val="1"/>
          <w:numId w:val="16"/>
        </w:numPr>
        <w:tabs>
          <w:tab w:val="left" w:pos="2475"/>
          <w:tab w:val="left" w:pos="12061"/>
        </w:tabs>
        <w:spacing w:before="0" w:after="0" w:line="468" w:lineRule="exact"/>
        <w:ind w:left="2474" w:right="0" w:hanging="728"/>
        <w:jc w:val="left"/>
        <w:rPr>
          <w:rFonts w:ascii="Arial" w:eastAsia="Arial"/>
          <w:sz w:val="31"/>
        </w:rPr>
      </w:pPr>
      <w:r>
        <w:rPr>
          <w:sz w:val="31"/>
        </w:rPr>
        <w:t>扩大社会保障制度的覆盖面</w:t>
      </w:r>
      <w:r>
        <w:rPr>
          <w:sz w:val="31"/>
          <w:u w:val="single"/>
        </w:rPr>
        <w:t xml:space="preserve"> </w:t>
        <w:tab/>
      </w:r>
      <w:r>
        <w:rPr>
          <w:rFonts w:ascii="Arial" w:eastAsia="Arial"/>
          <w:sz w:val="31"/>
        </w:rPr>
        <w:t>(15)</w:t>
      </w:r>
    </w:p>
    <w:p>
      <w:pPr>
        <w:pStyle w:val="ListParagraph"/>
        <w:numPr>
          <w:ilvl w:val="1"/>
          <w:numId w:val="16"/>
        </w:numPr>
        <w:tabs>
          <w:tab w:val="left" w:pos="2446"/>
        </w:tabs>
        <w:spacing w:before="0" w:after="0" w:line="478" w:lineRule="exact"/>
        <w:ind w:left="2445" w:right="0" w:hanging="699"/>
        <w:jc w:val="left"/>
        <w:rPr>
          <w:sz w:val="31"/>
        </w:rPr>
      </w:pPr>
      <w:r>
        <w:rPr>
          <w:sz w:val="31"/>
        </w:rPr>
        <w:t>以一部分国有企业资产变现的收入弥补社会保障基金的历史欠账，</w:t>
      </w:r>
    </w:p>
    <w:p>
      <w:pPr>
        <w:pStyle w:val="BodyText"/>
        <w:tabs>
          <w:tab w:val="left" w:pos="11734"/>
        </w:tabs>
        <w:spacing w:before="60"/>
        <w:ind w:left="2287"/>
        <w:rPr>
          <w:rFonts w:ascii="Arial" w:eastAsia="Arial"/>
        </w:rPr>
      </w:pPr>
      <w:r>
        <w:t>健全社会保障制度</w:t>
      </w:r>
      <w:r>
        <w:rPr>
          <w:u w:val="single"/>
        </w:rPr>
        <w:t xml:space="preserve"> </w:t>
        <w:tab/>
      </w:r>
      <w:r>
        <w:rPr>
          <w:rFonts w:ascii="Arial" w:eastAsia="Arial"/>
        </w:rPr>
        <w:t>(15)</w:t>
      </w:r>
    </w:p>
    <w:p>
      <w:pPr>
        <w:pStyle w:val="BodyText"/>
        <w:tabs>
          <w:tab w:val="left" w:pos="10197"/>
          <w:tab w:val="left" w:pos="12098"/>
        </w:tabs>
        <w:spacing w:before="71" w:line="393" w:lineRule="exact"/>
        <w:ind w:left="1206"/>
        <w:rPr>
          <w:rFonts w:ascii="Arial" w:eastAsia="Arial"/>
        </w:rPr>
      </w:pPr>
      <w:r>
        <w:rPr>
          <w:rFonts w:ascii="黑体" w:eastAsia="黑体" w:hint="eastAsia"/>
          <w:spacing w:val="18"/>
        </w:rPr>
        <w:t>4</w:t>
      </w:r>
      <w:r>
        <w:rPr>
          <w:rFonts w:ascii="黑体" w:eastAsia="黑体" w:hint="eastAsia"/>
        </w:rPr>
        <w:t>、</w:t>
      </w:r>
      <w:r>
        <w:rPr>
          <w:rFonts w:ascii="黑体" w:eastAsia="黑体" w:hint="eastAsia"/>
          <w:spacing w:val="120"/>
        </w:rPr>
        <w:t xml:space="preserve"> </w:t>
      </w:r>
      <w:r>
        <w:rPr>
          <w:rFonts w:ascii="黑体" w:eastAsia="黑体" w:hint="eastAsia"/>
        </w:rPr>
        <w:t>稳妥地推进债转股改革，为国有企业转产、转制赢得时间</w:t>
        <w:tab/>
      </w:r>
      <w:r>
        <w:rPr>
          <w:rFonts w:ascii="黑体" w:eastAsia="黑体" w:hint="eastAsia"/>
          <w:u w:val="single"/>
        </w:rPr>
        <w:t xml:space="preserve"> </w:t>
        <w:tab/>
      </w:r>
      <w:r>
        <w:rPr>
          <w:rFonts w:ascii="Arial" w:eastAsia="Arial"/>
        </w:rPr>
        <w:t>(15)</w:t>
      </w:r>
    </w:p>
    <w:p>
      <w:pPr>
        <w:pStyle w:val="ListParagraph"/>
        <w:numPr>
          <w:ilvl w:val="1"/>
          <w:numId w:val="15"/>
        </w:numPr>
        <w:tabs>
          <w:tab w:val="left" w:pos="2485"/>
          <w:tab w:val="left" w:pos="11961"/>
        </w:tabs>
        <w:spacing w:before="0" w:after="0" w:line="473" w:lineRule="exact"/>
        <w:ind w:left="2485" w:right="0" w:hanging="738"/>
        <w:jc w:val="left"/>
        <w:rPr>
          <w:sz w:val="31"/>
        </w:rPr>
      </w:pPr>
      <w:r>
        <w:rPr>
          <w:sz w:val="31"/>
        </w:rPr>
        <w:t>国有企业高负债率的直接和间接原因</w:t>
      </w:r>
      <w:r>
        <w:rPr>
          <w:sz w:val="31"/>
          <w:u w:val="single"/>
        </w:rPr>
        <w:t xml:space="preserve"> </w:t>
        <w:tab/>
      </w:r>
      <w:r>
        <w:rPr>
          <w:sz w:val="31"/>
        </w:rPr>
        <w:t>(15)</w:t>
      </w:r>
    </w:p>
    <w:p>
      <w:pPr>
        <w:pStyle w:val="ListParagraph"/>
        <w:numPr>
          <w:ilvl w:val="1"/>
          <w:numId w:val="15"/>
        </w:numPr>
        <w:tabs>
          <w:tab w:val="left" w:pos="2489"/>
          <w:tab w:val="left" w:pos="12029"/>
        </w:tabs>
        <w:spacing w:before="0" w:after="0" w:line="468" w:lineRule="exact"/>
        <w:ind w:left="2488" w:right="0" w:hanging="742"/>
        <w:jc w:val="left"/>
        <w:rPr>
          <w:sz w:val="31"/>
        </w:rPr>
      </w:pPr>
      <w:r>
        <w:rPr>
          <w:sz w:val="31"/>
        </w:rPr>
        <w:t>债务融资和股份融资的比较：债转股的政策定位</w:t>
      </w:r>
      <w:r>
        <w:rPr>
          <w:sz w:val="31"/>
          <w:u w:val="single"/>
        </w:rPr>
        <w:t xml:space="preserve"> </w:t>
        <w:tab/>
      </w:r>
      <w:r>
        <w:rPr>
          <w:sz w:val="31"/>
        </w:rPr>
        <w:t>(15)</w:t>
      </w:r>
    </w:p>
    <w:p>
      <w:pPr>
        <w:pStyle w:val="ListParagraph"/>
        <w:numPr>
          <w:ilvl w:val="1"/>
          <w:numId w:val="15"/>
        </w:numPr>
        <w:tabs>
          <w:tab w:val="left" w:pos="2511"/>
          <w:tab w:val="left" w:pos="11022"/>
          <w:tab w:val="left" w:pos="12131"/>
        </w:tabs>
        <w:spacing w:before="0" w:after="0" w:line="478" w:lineRule="exact"/>
        <w:ind w:left="2510" w:right="0" w:hanging="764"/>
        <w:jc w:val="left"/>
        <w:rPr>
          <w:sz w:val="31"/>
        </w:rPr>
      </w:pPr>
      <w:r>
        <w:rPr>
          <w:sz w:val="31"/>
        </w:rPr>
        <w:t>实施“债转股”的国有企业的转产转制与社会性负担的剥离</w:t>
        <w:tab/>
      </w:r>
      <w:r>
        <w:rPr>
          <w:sz w:val="31"/>
          <w:u w:val="single"/>
        </w:rPr>
        <w:t xml:space="preserve"> </w:t>
        <w:tab/>
      </w:r>
      <w:r>
        <w:rPr>
          <w:sz w:val="31"/>
        </w:rPr>
        <w:t>(16)</w:t>
      </w:r>
    </w:p>
    <w:p>
      <w:pPr>
        <w:pStyle w:val="BodyText"/>
        <w:spacing w:before="2"/>
        <w:rPr>
          <w:sz w:val="41"/>
        </w:rPr>
      </w:pPr>
    </w:p>
    <w:p>
      <w:pPr>
        <w:pStyle w:val="BodyText"/>
        <w:tabs>
          <w:tab w:val="left" w:pos="11682"/>
        </w:tabs>
        <w:ind w:left="397"/>
        <w:rPr>
          <w:rFonts w:ascii="Arial" w:eastAsia="Arial"/>
        </w:rPr>
      </w:pPr>
      <w:r>
        <w:rPr>
          <w:rFonts w:ascii="黑体" w:eastAsia="黑体" w:hint="eastAsia"/>
        </w:rPr>
        <w:t>统计附</w:t>
      </w:r>
      <w:r>
        <w:rPr>
          <w:rFonts w:ascii="黑体" w:eastAsia="黑体" w:hint="eastAsia"/>
          <w:spacing w:val="39"/>
        </w:rPr>
        <w:t>录</w:t>
      </w:r>
      <w:r>
        <w:rPr>
          <w:rFonts w:ascii="黑体" w:eastAsia="黑体" w:hint="eastAsia"/>
          <w:spacing w:val="39"/>
          <w:u w:val="single"/>
        </w:rPr>
        <w:t xml:space="preserve"> </w:t>
        <w:tab/>
      </w:r>
      <w:r>
        <w:rPr>
          <w:rFonts w:ascii="Arial" w:eastAsia="Arial"/>
        </w:rPr>
        <w:t>(17)</w:t>
      </w:r>
    </w:p>
    <w:p>
      <w:pPr>
        <w:spacing w:after="0"/>
        <w:rPr>
          <w:rFonts w:ascii="Arial" w:eastAsia="Arial"/>
        </w:rPr>
        <w:sectPr>
          <w:pgSz w:w="17860" w:h="25260"/>
          <w:pgMar w:top="2280" w:right="1160" w:bottom="280" w:left="2300" w:header="708" w:footer="708"/>
          <w:pgNumType w:start="2"/>
          <w:cols w:space="708"/>
        </w:sectPr>
      </w:pPr>
    </w:p>
    <w:p>
      <w:pPr>
        <w:pStyle w:val="BodyText"/>
        <w:tabs>
          <w:tab w:val="left" w:pos="11682"/>
        </w:tabs>
        <w:spacing w:before="49" w:line="395" w:lineRule="exact"/>
        <w:ind w:left="397"/>
        <w:rPr>
          <w:rFonts w:ascii="Arial" w:eastAsia="Arial"/>
        </w:rPr>
      </w:pPr>
      <w:r>
        <w:rPr>
          <w:rFonts w:ascii="黑体" w:eastAsia="黑体" w:hint="eastAsia"/>
        </w:rPr>
        <w:t>参考文</w:t>
      </w:r>
      <w:r>
        <w:rPr>
          <w:rFonts w:ascii="黑体" w:eastAsia="黑体" w:hint="eastAsia"/>
          <w:spacing w:val="39"/>
        </w:rPr>
        <w:t>献</w:t>
      </w:r>
      <w:r>
        <w:rPr>
          <w:rFonts w:ascii="黑体" w:eastAsia="黑体" w:hint="eastAsia"/>
          <w:spacing w:val="39"/>
          <w:u w:val="single"/>
        </w:rPr>
        <w:t xml:space="preserve"> </w:t>
        <w:tab/>
      </w:r>
      <w:r>
        <w:rPr>
          <w:rFonts w:ascii="Arial" w:eastAsia="Arial"/>
        </w:rPr>
        <w:t>(19)</w:t>
      </w:r>
    </w:p>
    <w:p>
      <w:pPr>
        <w:pStyle w:val="Heading1"/>
        <w:spacing w:line="459" w:lineRule="exact"/>
        <w:ind w:left="0" w:right="1138"/>
        <w:jc w:val="center"/>
      </w:pPr>
      <w:r>
        <w:t>专栏、图表目录</w:t>
      </w:r>
    </w:p>
    <w:p>
      <w:pPr>
        <w:pStyle w:val="BodyText"/>
        <w:rPr>
          <w:rFonts w:ascii="黑体"/>
          <w:sz w:val="43"/>
        </w:rPr>
      </w:pPr>
    </w:p>
    <w:p>
      <w:pPr>
        <w:pStyle w:val="BodyText"/>
        <w:tabs>
          <w:tab w:val="left" w:pos="11680"/>
        </w:tabs>
        <w:ind w:left="397"/>
        <w:rPr>
          <w:rFonts w:ascii="Arial" w:eastAsia="Arial"/>
        </w:rPr>
      </w:pPr>
      <w:r>
        <w:rPr>
          <w:rFonts w:ascii="黑体" w:eastAsia="黑体" w:hint="eastAsia"/>
        </w:rPr>
        <w:t>专栏：中国加入世贸组织的影响</w:t>
      </w:r>
      <w:r>
        <w:rPr>
          <w:rFonts w:ascii="黑体" w:eastAsia="黑体" w:hint="eastAsia"/>
          <w:u w:val="single"/>
        </w:rPr>
        <w:t xml:space="preserve"> </w:t>
        <w:tab/>
      </w:r>
      <w:r>
        <w:rPr>
          <w:rFonts w:ascii="Arial" w:eastAsia="Arial"/>
        </w:rPr>
        <w:t>(12)</w:t>
      </w:r>
    </w:p>
    <w:p>
      <w:pPr>
        <w:pStyle w:val="BodyText"/>
        <w:spacing w:before="10"/>
        <w:rPr>
          <w:rFonts w:ascii="Arial"/>
          <w:sz w:val="46"/>
        </w:rPr>
      </w:pPr>
    </w:p>
    <w:p>
      <w:pPr>
        <w:pStyle w:val="BodyText"/>
        <w:tabs>
          <w:tab w:val="left" w:pos="11838"/>
        </w:tabs>
        <w:spacing w:line="283" w:lineRule="auto"/>
        <w:ind w:left="397" w:right="2171"/>
        <w:jc w:val="both"/>
        <w:rPr>
          <w:rFonts w:ascii="Arial" w:eastAsia="Arial"/>
        </w:rPr>
      </w:pPr>
      <w:r>
        <w:rPr>
          <w:rFonts w:ascii="黑体" w:eastAsia="黑体" w:hint="eastAsia"/>
        </w:rPr>
        <w:t>图</w:t>
      </w:r>
      <w:r>
        <w:rPr>
          <w:rFonts w:ascii="黑体" w:eastAsia="黑体" w:hint="eastAsia"/>
          <w:spacing w:val="61"/>
        </w:rPr>
        <w:t xml:space="preserve"> </w:t>
      </w:r>
      <w:r>
        <w:rPr>
          <w:rFonts w:ascii="黑体" w:eastAsia="黑体" w:hint="eastAsia"/>
          <w:spacing w:val="7"/>
        </w:rPr>
        <w:t>1：</w:t>
      </w:r>
      <w:r>
        <w:rPr>
          <w:rFonts w:ascii="黑体" w:eastAsia="黑体" w:hint="eastAsia"/>
        </w:rPr>
        <w:t>亏损国有工业企业的亏损额</w:t>
      </w:r>
      <w:r>
        <w:rPr>
          <w:rFonts w:ascii="黑体" w:eastAsia="黑体" w:hint="eastAsia"/>
          <w:u w:val="single"/>
        </w:rPr>
        <w:t xml:space="preserve"> </w:t>
        <w:tab/>
      </w:r>
      <w:r>
        <w:rPr>
          <w:rFonts w:ascii="Arial" w:eastAsia="Arial"/>
          <w:spacing w:val="-6"/>
        </w:rPr>
        <w:t xml:space="preserve">(4) </w:t>
      </w:r>
      <w:r>
        <w:rPr>
          <w:rFonts w:ascii="黑体" w:eastAsia="黑体" w:hint="eastAsia"/>
        </w:rPr>
        <w:t>图</w:t>
      </w:r>
      <w:r>
        <w:rPr>
          <w:rFonts w:ascii="黑体" w:eastAsia="黑体" w:hint="eastAsia"/>
          <w:spacing w:val="58"/>
        </w:rPr>
        <w:t xml:space="preserve"> </w:t>
      </w:r>
      <w:r>
        <w:rPr>
          <w:rFonts w:ascii="黑体" w:eastAsia="黑体" w:hint="eastAsia"/>
          <w:spacing w:val="7"/>
        </w:rPr>
        <w:t>2：</w:t>
      </w:r>
      <w:r>
        <w:rPr>
          <w:rFonts w:ascii="黑体" w:eastAsia="黑体" w:hint="eastAsia"/>
        </w:rPr>
        <w:t>国有工业企业的经济效益</w:t>
      </w:r>
      <w:r>
        <w:rPr>
          <w:rFonts w:ascii="黑体" w:eastAsia="黑体" w:hint="eastAsia"/>
          <w:u w:val="single"/>
        </w:rPr>
        <w:t xml:space="preserve"> </w:t>
        <w:tab/>
      </w:r>
      <w:r>
        <w:rPr>
          <w:rFonts w:ascii="Arial" w:eastAsia="Arial"/>
        </w:rPr>
        <w:t xml:space="preserve">(5) </w:t>
      </w:r>
      <w:r>
        <w:rPr>
          <w:rFonts w:ascii="黑体" w:eastAsia="黑体" w:hint="eastAsia"/>
        </w:rPr>
        <w:t>图</w:t>
      </w:r>
      <w:r>
        <w:rPr>
          <w:rFonts w:ascii="黑体" w:eastAsia="黑体" w:hint="eastAsia"/>
          <w:spacing w:val="61"/>
        </w:rPr>
        <w:t xml:space="preserve"> </w:t>
      </w:r>
      <w:r>
        <w:rPr>
          <w:rFonts w:ascii="黑体" w:eastAsia="黑体" w:hint="eastAsia"/>
          <w:spacing w:val="7"/>
        </w:rPr>
        <w:t>3：</w:t>
      </w:r>
      <w:r>
        <w:rPr>
          <w:rFonts w:ascii="黑体" w:eastAsia="黑体" w:hint="eastAsia"/>
        </w:rPr>
        <w:t>国有经济对国家财政的贡献</w:t>
      </w:r>
      <w:r>
        <w:rPr>
          <w:rFonts w:ascii="黑体" w:eastAsia="黑体" w:hint="eastAsia"/>
          <w:u w:val="single"/>
        </w:rPr>
        <w:t xml:space="preserve"> </w:t>
        <w:tab/>
      </w:r>
      <w:r>
        <w:rPr>
          <w:rFonts w:ascii="Arial" w:eastAsia="Arial"/>
          <w:spacing w:val="-6"/>
        </w:rPr>
        <w:t>(5)</w:t>
      </w:r>
    </w:p>
    <w:p>
      <w:pPr>
        <w:pStyle w:val="BodyText"/>
        <w:spacing w:before="6"/>
        <w:rPr>
          <w:rFonts w:ascii="Arial"/>
          <w:sz w:val="40"/>
        </w:rPr>
      </w:pPr>
    </w:p>
    <w:p>
      <w:pPr>
        <w:pStyle w:val="BodyText"/>
        <w:tabs>
          <w:tab w:val="left" w:pos="7126"/>
          <w:tab w:val="left" w:pos="11878"/>
        </w:tabs>
        <w:ind w:left="397"/>
        <w:rPr>
          <w:rFonts w:ascii="Arial" w:eastAsia="Arial"/>
        </w:rPr>
      </w:pPr>
      <w:r>
        <w:rPr>
          <w:rFonts w:ascii="黑体" w:eastAsia="黑体" w:hint="eastAsia"/>
        </w:rPr>
        <w:t>表</w:t>
      </w:r>
      <w:r>
        <w:rPr>
          <w:rFonts w:ascii="黑体" w:eastAsia="黑体" w:hint="eastAsia"/>
          <w:spacing w:val="79"/>
        </w:rPr>
        <w:t xml:space="preserve"> </w:t>
      </w:r>
      <w:r>
        <w:rPr>
          <w:rFonts w:ascii="黑体" w:eastAsia="黑体" w:hint="eastAsia"/>
        </w:rPr>
        <w:t>1</w:t>
      </w:r>
      <w:r>
        <w:rPr>
          <w:rFonts w:ascii="黑体" w:eastAsia="黑体" w:hint="eastAsia"/>
          <w:spacing w:val="-107"/>
        </w:rPr>
        <w:t xml:space="preserve"> </w:t>
      </w:r>
      <w:r>
        <w:rPr>
          <w:rFonts w:ascii="黑体" w:eastAsia="黑体" w:hint="eastAsia"/>
        </w:rPr>
        <w:t>：关于国有企业全要素生产率的几种估计</w:t>
        <w:tab/>
      </w:r>
      <w:r>
        <w:rPr>
          <w:rFonts w:ascii="黑体" w:eastAsia="黑体" w:hint="eastAsia"/>
          <w:u w:val="single"/>
        </w:rPr>
        <w:t xml:space="preserve"> </w:t>
        <w:tab/>
      </w:r>
      <w:r>
        <w:rPr>
          <w:rFonts w:ascii="Arial" w:eastAsia="Arial"/>
        </w:rPr>
        <w:t>(4)</w:t>
      </w:r>
    </w:p>
    <w:p>
      <w:pPr>
        <w:pStyle w:val="BodyText"/>
        <w:tabs>
          <w:tab w:val="left" w:pos="5761"/>
          <w:tab w:val="left" w:pos="11780"/>
        </w:tabs>
        <w:spacing w:before="71"/>
        <w:ind w:left="397"/>
        <w:rPr>
          <w:rFonts w:ascii="Arial" w:eastAsia="Arial"/>
        </w:rPr>
      </w:pPr>
      <w:r>
        <w:rPr>
          <w:rFonts w:ascii="黑体" w:eastAsia="黑体" w:hint="eastAsia"/>
        </w:rPr>
        <w:t>表</w:t>
      </w:r>
      <w:r>
        <w:rPr>
          <w:rFonts w:ascii="黑体" w:eastAsia="黑体" w:hint="eastAsia"/>
          <w:spacing w:val="64"/>
        </w:rPr>
        <w:t xml:space="preserve"> </w:t>
      </w:r>
      <w:r>
        <w:rPr>
          <w:rFonts w:ascii="黑体" w:eastAsia="黑体" w:hint="eastAsia"/>
        </w:rPr>
        <w:t>2</w:t>
      </w:r>
      <w:r>
        <w:rPr>
          <w:rFonts w:ascii="黑体" w:eastAsia="黑体" w:hint="eastAsia"/>
          <w:spacing w:val="-110"/>
        </w:rPr>
        <w:t xml:space="preserve"> </w:t>
      </w:r>
      <w:r>
        <w:rPr>
          <w:rFonts w:ascii="黑体" w:eastAsia="黑体" w:hint="eastAsia"/>
        </w:rPr>
        <w:t>：财政负担的企业亏损补贴情况</w:t>
        <w:tab/>
      </w:r>
      <w:r>
        <w:rPr>
          <w:rFonts w:ascii="黑体" w:eastAsia="黑体" w:hint="eastAsia"/>
          <w:u w:val="single"/>
        </w:rPr>
        <w:t xml:space="preserve"> </w:t>
        <w:tab/>
      </w:r>
      <w:r>
        <w:rPr>
          <w:rFonts w:ascii="Arial" w:eastAsia="Arial"/>
        </w:rPr>
        <w:t>(6)</w:t>
      </w:r>
    </w:p>
    <w:p>
      <w:pPr>
        <w:pStyle w:val="BodyText"/>
        <w:tabs>
          <w:tab w:val="left" w:pos="4519"/>
          <w:tab w:val="left" w:pos="7097"/>
          <w:tab w:val="left" w:pos="9506"/>
          <w:tab w:val="left" w:pos="9733"/>
          <w:tab w:val="left" w:pos="11914"/>
          <w:tab w:val="left" w:pos="12076"/>
          <w:tab w:val="left" w:pos="12225"/>
        </w:tabs>
        <w:spacing w:before="71" w:line="273" w:lineRule="auto"/>
        <w:ind w:left="397" w:right="1644"/>
        <w:rPr>
          <w:rFonts w:ascii="Arial" w:eastAsia="Arial" w:hAnsi="Arial"/>
        </w:rPr>
      </w:pPr>
      <w:r>
        <w:rPr>
          <w:rFonts w:ascii="黑体" w:eastAsia="黑体" w:hAnsi="黑体" w:hint="eastAsia"/>
          <w:w w:val="102"/>
        </w:rPr>
        <w:t>表</w:t>
      </w:r>
      <w:r>
        <w:rPr>
          <w:rFonts w:ascii="黑体" w:eastAsia="黑体" w:hAnsi="黑体" w:hint="eastAsia"/>
          <w:spacing w:val="21"/>
        </w:rPr>
        <w:t xml:space="preserve"> </w:t>
      </w:r>
      <w:r>
        <w:rPr>
          <w:rFonts w:ascii="黑体" w:eastAsia="黑体" w:hAnsi="黑体" w:hint="eastAsia"/>
          <w:w w:val="102"/>
        </w:rPr>
        <w:t>3</w:t>
      </w:r>
      <w:r>
        <w:rPr>
          <w:rFonts w:ascii="黑体" w:eastAsia="黑体" w:hAnsi="黑体" w:hint="eastAsia"/>
          <w:spacing w:val="-119"/>
        </w:rPr>
        <w:t xml:space="preserve"> </w:t>
      </w:r>
      <w:r>
        <w:rPr>
          <w:rFonts w:ascii="黑体" w:eastAsia="黑体" w:hAnsi="黑体" w:hint="eastAsia"/>
          <w:w w:val="102"/>
        </w:rPr>
        <w:t>：中国工业产品的“显示性比较优势指数</w:t>
      </w:r>
      <w:r>
        <w:rPr>
          <w:rFonts w:ascii="黑体" w:eastAsia="黑体" w:hAnsi="黑体" w:hint="eastAsia"/>
        </w:rPr>
        <w:tab/>
      </w:r>
      <w:r>
        <w:rPr>
          <w:rFonts w:ascii="黑体" w:eastAsia="黑体" w:hAnsi="黑体" w:hint="eastAsia"/>
          <w:spacing w:val="20"/>
          <w:position w:val="-3"/>
          <w:sz w:val="27"/>
        </w:rPr>
        <w:t>*</w:t>
      </w:r>
      <w:r>
        <w:rPr>
          <w:rFonts w:ascii="黑体" w:eastAsia="黑体" w:hAnsi="黑体" w:hint="eastAsia"/>
          <w:spacing w:val="-144"/>
          <w:w w:val="102"/>
        </w:rPr>
        <w:t>”</w:t>
      </w:r>
      <w:r>
        <w:rPr>
          <w:rFonts w:ascii="黑体" w:eastAsia="黑体" w:hAnsi="黑体" w:hint="eastAsia"/>
          <w:spacing w:val="18"/>
          <w:w w:val="102"/>
        </w:rPr>
        <w:t>（</w:t>
      </w:r>
      <w:r>
        <w:rPr>
          <w:rFonts w:ascii="黑体" w:eastAsia="黑体" w:hAnsi="黑体" w:hint="eastAsia"/>
          <w:w w:val="102"/>
        </w:rPr>
        <w:t>1982-1992</w:t>
      </w:r>
      <w:r>
        <w:rPr>
          <w:rFonts w:ascii="黑体" w:eastAsia="黑体" w:hAnsi="黑体" w:hint="eastAsia"/>
        </w:rPr>
        <w:tab/>
      </w:r>
      <w:r>
        <w:rPr>
          <w:rFonts w:ascii="黑体" w:eastAsia="黑体" w:hAnsi="黑体" w:hint="eastAsia"/>
          <w:w w:val="102"/>
        </w:rPr>
        <w:t>年）</w:t>
      </w:r>
      <w:r>
        <w:rPr>
          <w:rFonts w:ascii="黑体" w:eastAsia="黑体" w:hAnsi="黑体" w:hint="eastAsia"/>
          <w:spacing w:val="-120"/>
        </w:rPr>
        <w:t xml:space="preserve"> </w:t>
      </w:r>
      <w:r>
        <w:rPr>
          <w:rFonts w:ascii="Times New Roman" w:eastAsia="Times New Roman" w:hAnsi="Times New Roman"/>
          <w:w w:val="102"/>
          <w:u w:val="single"/>
        </w:rPr>
        <w:t xml:space="preserve"> </w:t>
      </w:r>
      <w:r>
        <w:rPr>
          <w:rFonts w:ascii="Times New Roman" w:eastAsia="Times New Roman" w:hAnsi="Times New Roman"/>
          <w:u w:val="single"/>
        </w:rPr>
        <w:tab/>
        <w:tab/>
      </w:r>
      <w:r>
        <w:rPr>
          <w:rFonts w:ascii="Arial" w:eastAsia="Arial" w:hAnsi="Arial"/>
          <w:w w:val="95"/>
        </w:rPr>
        <w:t>(10)</w:t>
      </w:r>
      <w:r>
        <w:rPr>
          <w:rFonts w:ascii="黑体" w:eastAsia="黑体" w:hAnsi="黑体" w:hint="eastAsia"/>
        </w:rPr>
        <w:t>表</w:t>
      </w:r>
      <w:r>
        <w:rPr>
          <w:rFonts w:ascii="黑体" w:eastAsia="黑体" w:hAnsi="黑体" w:hint="eastAsia"/>
          <w:spacing w:val="94"/>
        </w:rPr>
        <w:t xml:space="preserve"> </w:t>
      </w:r>
      <w:r>
        <w:rPr>
          <w:rFonts w:ascii="黑体" w:eastAsia="黑体" w:hAnsi="黑体" w:hint="eastAsia"/>
        </w:rPr>
        <w:t>4</w:t>
      </w:r>
      <w:r>
        <w:rPr>
          <w:rFonts w:ascii="黑体" w:eastAsia="黑体" w:hAnsi="黑体" w:hint="eastAsia"/>
          <w:spacing w:val="-93"/>
        </w:rPr>
        <w:t xml:space="preserve"> </w:t>
      </w:r>
      <w:r>
        <w:rPr>
          <w:rFonts w:ascii="黑体" w:eastAsia="黑体" w:hAnsi="黑体" w:hint="eastAsia"/>
        </w:rPr>
        <w:t>：</w:t>
      </w:r>
      <w:r>
        <w:rPr>
          <w:rFonts w:ascii="黑体" w:eastAsia="黑体" w:hAnsi="黑体" w:hint="eastAsia"/>
          <w:spacing w:val="109"/>
        </w:rPr>
        <w:t xml:space="preserve"> </w:t>
      </w:r>
      <w:r>
        <w:rPr>
          <w:rFonts w:ascii="黑体" w:eastAsia="黑体" w:hAnsi="黑体" w:hint="eastAsia"/>
        </w:rPr>
        <w:t>国有大、中型工业企业非生产、经营用固定资产的比例</w:t>
        <w:tab/>
        <w:tab/>
      </w:r>
      <w:r>
        <w:rPr>
          <w:rFonts w:ascii="黑体" w:eastAsia="黑体" w:hAnsi="黑体" w:hint="eastAsia"/>
          <w:spacing w:val="3"/>
        </w:rPr>
        <w:t>（1996</w:t>
      </w:r>
      <w:r>
        <w:rPr>
          <w:rFonts w:ascii="黑体" w:eastAsia="黑体" w:hAnsi="黑体" w:hint="eastAsia"/>
          <w:spacing w:val="-83"/>
        </w:rPr>
        <w:t xml:space="preserve"> </w:t>
      </w:r>
      <w:r>
        <w:rPr>
          <w:rFonts w:ascii="黑体" w:eastAsia="黑体" w:hAnsi="黑体" w:hint="eastAsia"/>
        </w:rPr>
        <w:t>年）</w:t>
      </w:r>
      <w:r>
        <w:rPr>
          <w:rFonts w:ascii="黑体" w:eastAsia="黑体" w:hAnsi="黑体" w:hint="eastAsia"/>
          <w:u w:val="single"/>
        </w:rPr>
        <w:t xml:space="preserve"> </w:t>
        <w:tab/>
        <w:tab/>
        <w:tab/>
      </w:r>
      <w:r>
        <w:rPr>
          <w:rFonts w:ascii="Arial" w:eastAsia="Arial" w:hAnsi="Arial"/>
          <w:spacing w:val="-5"/>
          <w:w w:val="95"/>
        </w:rPr>
        <w:t xml:space="preserve">(11) </w:t>
      </w:r>
      <w:r>
        <w:rPr>
          <w:rFonts w:ascii="黑体" w:eastAsia="黑体" w:hAnsi="黑体" w:hint="eastAsia"/>
        </w:rPr>
        <w:t>表</w:t>
      </w:r>
      <w:r>
        <w:rPr>
          <w:rFonts w:ascii="黑体" w:eastAsia="黑体" w:hAnsi="黑体" w:hint="eastAsia"/>
          <w:spacing w:val="52"/>
        </w:rPr>
        <w:t xml:space="preserve"> </w:t>
      </w:r>
      <w:r>
        <w:rPr>
          <w:rFonts w:ascii="黑体" w:eastAsia="黑体" w:hAnsi="黑体" w:hint="eastAsia"/>
          <w:spacing w:val="12"/>
        </w:rPr>
        <w:t>5：</w:t>
      </w:r>
      <w:r>
        <w:rPr>
          <w:rFonts w:ascii="黑体" w:eastAsia="黑体" w:hAnsi="黑体" w:hint="eastAsia"/>
        </w:rPr>
        <w:t>国有企业获得补贴占</w:t>
        <w:tab/>
        <w:t>GDP</w:t>
      </w:r>
      <w:r>
        <w:rPr>
          <w:rFonts w:ascii="黑体" w:eastAsia="黑体" w:hAnsi="黑体" w:hint="eastAsia"/>
          <w:spacing w:val="88"/>
        </w:rPr>
        <w:t xml:space="preserve"> </w:t>
      </w:r>
      <w:r>
        <w:rPr>
          <w:rFonts w:ascii="黑体" w:eastAsia="黑体" w:hAnsi="黑体" w:hint="eastAsia"/>
        </w:rPr>
        <w:t>的比例和形式</w:t>
      </w:r>
      <w:r>
        <w:rPr>
          <w:rFonts w:ascii="黑体" w:eastAsia="黑体" w:hAnsi="黑体" w:hint="eastAsia"/>
          <w:u w:val="single"/>
        </w:rPr>
        <w:t xml:space="preserve"> </w:t>
        <w:tab/>
        <w:tab/>
        <w:tab/>
      </w:r>
      <w:r>
        <w:rPr>
          <w:rFonts w:ascii="Arial" w:eastAsia="Arial" w:hAnsi="Arial"/>
        </w:rPr>
        <w:t>(15)</w:t>
      </w:r>
    </w:p>
    <w:p>
      <w:pPr>
        <w:pStyle w:val="BodyText"/>
        <w:spacing w:before="2"/>
        <w:rPr>
          <w:rFonts w:ascii="Arial"/>
          <w:sz w:val="42"/>
        </w:rPr>
      </w:pPr>
    </w:p>
    <w:p>
      <w:pPr>
        <w:pStyle w:val="BodyText"/>
        <w:tabs>
          <w:tab w:val="left" w:pos="11755"/>
        </w:tabs>
        <w:ind w:left="397"/>
        <w:rPr>
          <w:rFonts w:ascii="Arial" w:eastAsia="Arial"/>
        </w:rPr>
      </w:pPr>
      <w:r>
        <w:rPr>
          <w:rFonts w:ascii="黑体" w:eastAsia="黑体" w:hint="eastAsia"/>
        </w:rPr>
        <w:t>附表</w:t>
      </w:r>
      <w:r>
        <w:rPr>
          <w:rFonts w:ascii="黑体" w:eastAsia="黑体" w:hint="eastAsia"/>
          <w:spacing w:val="88"/>
        </w:rPr>
        <w:t xml:space="preserve"> </w:t>
      </w:r>
      <w:r>
        <w:rPr>
          <w:rFonts w:ascii="黑体" w:eastAsia="黑体" w:hint="eastAsia"/>
          <w:spacing w:val="9"/>
        </w:rPr>
        <w:t>1：</w:t>
      </w:r>
      <w:r>
        <w:rPr>
          <w:rFonts w:ascii="黑体" w:eastAsia="黑体" w:hint="eastAsia"/>
        </w:rPr>
        <w:t>国有独立核算工业企业财务指标</w:t>
      </w:r>
      <w:r>
        <w:rPr>
          <w:rFonts w:ascii="黑体" w:eastAsia="黑体" w:hint="eastAsia"/>
          <w:u w:val="single"/>
        </w:rPr>
        <w:t xml:space="preserve"> </w:t>
        <w:tab/>
      </w:r>
      <w:r>
        <w:rPr>
          <w:rFonts w:ascii="Arial" w:eastAsia="Arial"/>
        </w:rPr>
        <w:t>(17)</w:t>
      </w:r>
    </w:p>
    <w:p>
      <w:pPr>
        <w:pStyle w:val="BodyText"/>
        <w:tabs>
          <w:tab w:val="left" w:pos="11500"/>
        </w:tabs>
        <w:spacing w:before="71"/>
        <w:ind w:left="397"/>
        <w:rPr>
          <w:rFonts w:ascii="Arial" w:eastAsia="Arial"/>
        </w:rPr>
      </w:pPr>
      <w:r>
        <w:rPr>
          <w:rFonts w:ascii="黑体" w:eastAsia="黑体" w:hint="eastAsia"/>
        </w:rPr>
        <w:t>附</w:t>
      </w:r>
      <w:r>
        <w:rPr>
          <w:rFonts w:ascii="黑体" w:eastAsia="黑体" w:hint="eastAsia"/>
          <w:spacing w:val="32"/>
        </w:rPr>
        <w:t>表</w:t>
      </w:r>
      <w:r>
        <w:rPr>
          <w:rFonts w:ascii="黑体" w:eastAsia="黑体" w:hint="eastAsia"/>
          <w:spacing w:val="9"/>
        </w:rPr>
        <w:t>2：</w:t>
      </w:r>
      <w:r>
        <w:rPr>
          <w:rFonts w:ascii="黑体" w:eastAsia="黑体" w:hint="eastAsia"/>
        </w:rPr>
        <w:t>财政收入的来源</w:t>
      </w:r>
      <w:r>
        <w:rPr>
          <w:rFonts w:ascii="黑体" w:eastAsia="黑体" w:hint="eastAsia"/>
          <w:u w:val="single"/>
        </w:rPr>
        <w:t xml:space="preserve"> </w:t>
        <w:tab/>
      </w:r>
      <w:r>
        <w:rPr>
          <w:rFonts w:ascii="Arial" w:eastAsia="Arial"/>
        </w:rPr>
        <w:t>(17)</w:t>
      </w:r>
    </w:p>
    <w:p>
      <w:pPr>
        <w:pStyle w:val="Heading2"/>
        <w:tabs>
          <w:tab w:val="left" w:pos="11710"/>
          <w:tab w:val="left" w:pos="12275"/>
        </w:tabs>
        <w:spacing w:before="45"/>
        <w:rPr>
          <w:rFonts w:ascii="Arial" w:eastAsia="Arial"/>
          <w:sz w:val="31"/>
        </w:rPr>
      </w:pPr>
      <w:r>
        <w:rPr>
          <w:position w:val="1"/>
        </w:rPr>
        <w:t>附表</w:t>
      </w:r>
      <w:r>
        <w:rPr>
          <w:spacing w:val="61"/>
          <w:position w:val="1"/>
        </w:rPr>
        <w:t xml:space="preserve"> </w:t>
      </w:r>
      <w:r>
        <w:rPr>
          <w:spacing w:val="10"/>
          <w:position w:val="1"/>
        </w:rPr>
        <w:t>3：</w:t>
      </w:r>
      <w:r>
        <w:rPr>
          <w:position w:val="1"/>
        </w:rPr>
        <w:t>全部国有企业实现利润和税金以及国家财政用于企业的部分支出</w:t>
        <w:tab/>
      </w:r>
      <w:r>
        <w:rPr>
          <w:position w:val="1"/>
          <w:u w:val="single"/>
        </w:rPr>
        <w:t xml:space="preserve"> </w:t>
        <w:tab/>
      </w:r>
      <w:r>
        <w:rPr>
          <w:rFonts w:ascii="Arial" w:eastAsia="Arial"/>
          <w:sz w:val="31"/>
        </w:rPr>
        <w:t>(18)</w:t>
      </w:r>
    </w:p>
    <w:p>
      <w:pPr>
        <w:pStyle w:val="BodyText"/>
        <w:spacing w:before="71" w:line="283" w:lineRule="auto"/>
        <w:ind w:left="397" w:right="1328" w:firstLine="629"/>
      </w:pPr>
      <w:r>
        <w:rPr>
          <w:spacing w:val="1"/>
        </w:rPr>
        <w:t xml:space="preserve">自从 </w:t>
      </w:r>
      <w:r>
        <w:t>1978</w:t>
      </w:r>
      <w:r>
        <w:rPr>
          <w:spacing w:val="-1"/>
        </w:rPr>
        <w:t xml:space="preserve"> 年中国进行改革开放以来，中国的工业化和市场化进程，令世人瞩目。中国</w:t>
      </w:r>
      <w:r>
        <w:rPr>
          <w:spacing w:val="-10"/>
        </w:rPr>
        <w:t xml:space="preserve">经济增长和发展取得了堪称奇迹的成就；整个经济的制度结构上，也进行了广泛而深刻的变 </w:t>
      </w:r>
      <w:r>
        <w:rPr>
          <w:spacing w:val="-11"/>
        </w:rPr>
        <w:t>革。但是在新旧世纪、新旧千年纪元交替之际，中国的经济还面临着许多亟待解决的问题。</w:t>
      </w:r>
      <w:r>
        <w:rPr>
          <w:spacing w:val="-1"/>
        </w:rPr>
        <w:t>这些问题相互交织在一起，如解决得不好，就会影响中国进一步的改革和长远的经济发展。而这些问题的总根源，在于国有企业改革还未取得最终的成功。中国即将加入</w:t>
      </w:r>
      <w:r>
        <w:t>WTO，这对于 中国的改革开放和经济发展，特别是对于国有企业的改革，带来了机遇和挑战。</w:t>
      </w:r>
    </w:p>
    <w:p>
      <w:pPr>
        <w:pStyle w:val="BodyText"/>
        <w:spacing w:line="283" w:lineRule="auto"/>
        <w:ind w:left="397" w:right="1328" w:firstLine="629"/>
      </w:pPr>
      <w:r>
        <w:rPr>
          <w:spacing w:val="-11"/>
        </w:rPr>
        <w:t xml:space="preserve">本研究报告的目的在于：分析当前国有企业面临问题的内在原因，并在此基础上考察中 </w:t>
      </w:r>
      <w:r>
        <w:rPr>
          <w:spacing w:val="17"/>
        </w:rPr>
        <w:t>国加入</w:t>
      </w:r>
      <w:r>
        <w:t xml:space="preserve">WTO 对于国有企业改革带来的机遇和挑战，最后阐明未来国有企业改革的正确方向， </w:t>
      </w:r>
      <w:r>
        <w:rPr>
          <w:spacing w:val="-12"/>
        </w:rPr>
        <w:t xml:space="preserve">提出相应的对策建议。本报告的结构如下：第一部分，阐明国有企业改革在中国未来整个改 </w:t>
      </w:r>
      <w:r>
        <w:rPr>
          <w:spacing w:val="-13"/>
        </w:rPr>
        <w:t>革和发展进程中的战略性意义；第二部分，概要评论国有企业改革的历程，和取得的成就、</w:t>
      </w:r>
      <w:r>
        <w:rPr>
          <w:spacing w:val="-4"/>
        </w:rPr>
        <w:t>存在的问题；第三部分：分析国有企业所存在问题的根源；第四部分，分析加入</w:t>
      </w:r>
      <w:r>
        <w:t>WTO</w:t>
      </w:r>
      <w:r>
        <w:rPr>
          <w:spacing w:val="14"/>
        </w:rPr>
        <w:t xml:space="preserve"> 给国有企</w:t>
      </w:r>
      <w:r>
        <w:rPr>
          <w:spacing w:val="13"/>
        </w:rPr>
        <w:t>业改革带来的机遇和挑战；第五部分，阐明国有企业改革的正确方向，并提出对策建议。</w:t>
      </w:r>
    </w:p>
    <w:p>
      <w:pPr>
        <w:pStyle w:val="BodyText"/>
        <w:rPr>
          <w:sz w:val="30"/>
        </w:rPr>
      </w:pPr>
    </w:p>
    <w:p>
      <w:pPr>
        <w:pStyle w:val="Heading1"/>
        <w:ind w:left="0" w:right="1134"/>
        <w:jc w:val="center"/>
        <w:rPr>
          <w:sz w:val="18"/>
        </w:rPr>
      </w:pPr>
      <w:r>
        <w:t>一、前言：国有企业改革的战略性意义</w:t>
      </w:r>
      <w:r>
        <w:rPr>
          <w:position w:val="3"/>
          <w:sz w:val="18"/>
        </w:rPr>
        <w:t>1</w:t>
      </w:r>
    </w:p>
    <w:p>
      <w:pPr>
        <w:pStyle w:val="BodyText"/>
        <w:rPr>
          <w:rFonts w:ascii="黑体"/>
          <w:sz w:val="43"/>
        </w:rPr>
      </w:pPr>
    </w:p>
    <w:p>
      <w:pPr>
        <w:pStyle w:val="BodyText"/>
        <w:ind w:left="1026"/>
        <w:rPr>
          <w:rFonts w:ascii="黑体" w:eastAsia="黑体" w:hAnsi="黑体" w:hint="eastAsia"/>
        </w:rPr>
      </w:pPr>
      <w:r>
        <w:rPr>
          <w:rFonts w:ascii="黑体" w:eastAsia="黑体" w:hAnsi="黑体" w:hint="eastAsia"/>
        </w:rPr>
        <w:t>1、“渐进式”改革取得的成就</w:t>
      </w:r>
    </w:p>
    <w:p>
      <w:pPr>
        <w:pStyle w:val="BodyText"/>
        <w:spacing w:before="71" w:line="283" w:lineRule="auto"/>
        <w:ind w:left="397" w:right="1332" w:firstLine="629"/>
      </w:pPr>
      <w:r>
        <w:rPr>
          <w:spacing w:val="-1"/>
        </w:rPr>
        <w:t>中国迄今为止的“渐进式”改革所取得的成就可以概括为三个方面：高速的经济增长、</w:t>
      </w:r>
      <w:r>
        <w:rPr>
          <w:spacing w:val="-3"/>
        </w:rPr>
        <w:t>人民生活的改善和综合国力的提高。</w:t>
      </w:r>
      <w:r>
        <w:t>1979－1999</w:t>
      </w:r>
      <w:r>
        <w:rPr>
          <w:spacing w:val="2"/>
        </w:rPr>
        <w:t xml:space="preserve"> 年间，实际</w:t>
      </w:r>
      <w:r>
        <w:t>GDP</w:t>
      </w:r>
      <w:r>
        <w:rPr>
          <w:spacing w:val="-13"/>
        </w:rPr>
        <w:t xml:space="preserve"> 年均增长 </w:t>
      </w:r>
      <w:r>
        <w:t>9.71</w:t>
      </w:r>
      <w:r>
        <w:rPr>
          <w:spacing w:val="14"/>
        </w:rPr>
        <w:t>%，人均</w:t>
      </w:r>
      <w:r>
        <w:t xml:space="preserve">GDP </w:t>
      </w:r>
      <w:r>
        <w:rPr>
          <w:spacing w:val="-6"/>
        </w:rPr>
        <w:t xml:space="preserve">年均增长 </w:t>
      </w:r>
      <w:r>
        <w:t>8.3</w:t>
      </w:r>
      <w:r>
        <w:rPr>
          <w:spacing w:val="-4"/>
        </w:rPr>
        <w:t xml:space="preserve">%；对外贸易年均增长 </w:t>
      </w:r>
      <w:r>
        <w:t>14.15</w:t>
      </w:r>
      <w:r>
        <w:rPr>
          <w:spacing w:val="4"/>
        </w:rPr>
        <w:t>%，进口和出口的增长都快于</w:t>
      </w:r>
      <w:r>
        <w:t>GNP</w:t>
      </w:r>
      <w:r>
        <w:rPr>
          <w:spacing w:val="-5"/>
        </w:rPr>
        <w:t xml:space="preserve"> 的增长率。对外</w:t>
      </w:r>
      <w:r>
        <w:rPr>
          <w:spacing w:val="21"/>
          <w:w w:val="102"/>
        </w:rPr>
        <w:t>贸易占</w:t>
      </w:r>
      <w:r>
        <w:rPr>
          <w:w w:val="102"/>
        </w:rPr>
        <w:t>GDP</w:t>
      </w:r>
      <w:r>
        <w:rPr>
          <w:spacing w:val="-80"/>
        </w:rPr>
        <w:t xml:space="preserve"> </w:t>
      </w:r>
      <w:r>
        <w:rPr>
          <w:w w:val="102"/>
        </w:rPr>
        <w:t>的比率由</w:t>
      </w:r>
      <w:r>
        <w:rPr>
          <w:spacing w:val="-83"/>
        </w:rPr>
        <w:t xml:space="preserve"> </w:t>
      </w:r>
      <w:r>
        <w:rPr>
          <w:w w:val="102"/>
        </w:rPr>
        <w:t>1978</w:t>
      </w:r>
      <w:r>
        <w:rPr>
          <w:spacing w:val="-82"/>
        </w:rPr>
        <w:t xml:space="preserve"> </w:t>
      </w:r>
      <w:r>
        <w:rPr>
          <w:w w:val="102"/>
        </w:rPr>
        <w:t>年的</w:t>
      </w:r>
      <w:r>
        <w:rPr>
          <w:spacing w:val="-76"/>
        </w:rPr>
        <w:t xml:space="preserve"> </w:t>
      </w:r>
      <w:r>
        <w:rPr>
          <w:w w:val="102"/>
        </w:rPr>
        <w:t>9.8</w:t>
      </w:r>
      <w:r>
        <w:rPr>
          <w:spacing w:val="-3"/>
          <w:w w:val="102"/>
        </w:rPr>
        <w:t>%提高到</w:t>
      </w:r>
      <w:r>
        <w:rPr>
          <w:spacing w:val="-80"/>
        </w:rPr>
        <w:t xml:space="preserve"> </w:t>
      </w:r>
      <w:r>
        <w:rPr>
          <w:w w:val="102"/>
        </w:rPr>
        <w:t>1999</w:t>
      </w:r>
      <w:r>
        <w:rPr>
          <w:spacing w:val="-80"/>
        </w:rPr>
        <w:t xml:space="preserve"> </w:t>
      </w:r>
      <w:r>
        <w:rPr>
          <w:w w:val="102"/>
        </w:rPr>
        <w:t>年的</w:t>
      </w:r>
      <w:r>
        <w:rPr>
          <w:spacing w:val="-79"/>
        </w:rPr>
        <w:t xml:space="preserve"> </w:t>
      </w:r>
      <w:r>
        <w:rPr>
          <w:w w:val="102"/>
        </w:rPr>
        <w:t>36.4</w:t>
      </w:r>
      <w:r>
        <w:rPr>
          <w:spacing w:val="-13"/>
          <w:w w:val="102"/>
        </w:rPr>
        <w:t>%，中国已成为世界上人口过亿的</w:t>
      </w:r>
      <w:r>
        <w:rPr>
          <w:spacing w:val="-13"/>
        </w:rPr>
        <w:t>大国中最为开放的国家。</w:t>
      </w:r>
    </w:p>
    <w:p>
      <w:pPr>
        <w:pStyle w:val="BodyText"/>
        <w:spacing w:line="283" w:lineRule="auto"/>
        <w:ind w:left="397" w:right="1518" w:firstLine="629"/>
      </w:pPr>
      <w:r>
        <w:rPr>
          <w:spacing w:val="1"/>
        </w:rPr>
        <w:t>在经济快速增长的同时，人民生活水平也有了很大的提高。农村居民纯收入由</w:t>
      </w:r>
      <w:r>
        <w:t>1978</w:t>
      </w:r>
      <w:r>
        <w:rPr>
          <w:spacing w:val="62"/>
        </w:rPr>
        <w:t xml:space="preserve"> 年</w:t>
      </w:r>
      <w:r>
        <w:rPr>
          <w:spacing w:val="-23"/>
        </w:rPr>
        <w:t xml:space="preserve">的 </w:t>
      </w:r>
      <w:r>
        <w:t>133.6</w:t>
      </w:r>
      <w:r>
        <w:rPr>
          <w:spacing w:val="-23"/>
        </w:rPr>
        <w:t xml:space="preserve"> 提高到 </w:t>
      </w:r>
      <w:r>
        <w:t>1999</w:t>
      </w:r>
      <w:r>
        <w:rPr>
          <w:spacing w:val="-25"/>
        </w:rPr>
        <w:t xml:space="preserve"> 年的 </w:t>
      </w:r>
      <w:r>
        <w:t>2210</w:t>
      </w:r>
      <w:r>
        <w:rPr>
          <w:spacing w:val="-13"/>
        </w:rPr>
        <w:t xml:space="preserve"> 元，城镇居民人均可支配收入由 </w:t>
      </w:r>
      <w:r>
        <w:t>1978</w:t>
      </w:r>
      <w:r>
        <w:rPr>
          <w:spacing w:val="-25"/>
        </w:rPr>
        <w:t xml:space="preserve"> 年的 </w:t>
      </w:r>
      <w:r>
        <w:t>343.5</w:t>
      </w:r>
      <w:r>
        <w:rPr>
          <w:spacing w:val="-15"/>
        </w:rPr>
        <w:t xml:space="preserve"> 元提高到</w:t>
      </w:r>
    </w:p>
    <w:p>
      <w:pPr>
        <w:pStyle w:val="BodyText"/>
        <w:rPr>
          <w:sz w:val="20"/>
        </w:rPr>
      </w:pPr>
    </w:p>
    <w:p>
      <w:pPr>
        <w:pStyle w:val="BodyText"/>
        <w:spacing w:before="9"/>
        <w:rPr>
          <w:sz w:val="12"/>
        </w:rPr>
      </w:pPr>
      <w:r>
        <w:pict>
          <v:shape id="_x0000_s1025" style="width:218pt;height:0.1pt;margin-top:11.1pt;margin-left:134pt;mso-position-horizontal-relative:page;mso-wrap-distance-left:0;mso-wrap-distance-right:0;position:absolute;z-index:-251658240" coordorigin="2680,222" coordsize="4360,0" path="m2680,222l7040,222e" filled="f" stroked="t" strokecolor="black" strokeweight="2pt">
            <v:stroke dashstyle="solid"/>
            <v:path arrowok="t"/>
            <w10:wrap type="topAndBottom"/>
          </v:shape>
        </w:pict>
      </w:r>
    </w:p>
    <w:p>
      <w:pPr>
        <w:spacing w:before="168"/>
        <w:ind w:left="397" w:right="0" w:firstLine="0"/>
        <w:jc w:val="left"/>
        <w:rPr>
          <w:sz w:val="27"/>
        </w:rPr>
      </w:pPr>
      <w:r>
        <w:rPr>
          <w:rFonts w:ascii="Arial" w:eastAsia="Arial"/>
          <w:w w:val="95"/>
          <w:position w:val="4"/>
          <w:sz w:val="18"/>
        </w:rPr>
        <w:t>1</w:t>
      </w:r>
      <w:r>
        <w:rPr>
          <w:spacing w:val="-4"/>
          <w:w w:val="95"/>
          <w:sz w:val="27"/>
        </w:rPr>
        <w:t>本部分所引用数据，如无特殊说明，均根据《中国统计年鉴》有关各期资料</w:t>
      </w:r>
      <w:r>
        <w:rPr>
          <w:rFonts w:ascii="Arial" w:eastAsia="Arial"/>
          <w:w w:val="95"/>
          <w:sz w:val="27"/>
        </w:rPr>
        <w:t>,</w:t>
      </w:r>
      <w:r>
        <w:rPr>
          <w:w w:val="95"/>
          <w:sz w:val="27"/>
        </w:rPr>
        <w:t>以及曾培炎在九届全国人大三</w:t>
      </w:r>
    </w:p>
    <w:p>
      <w:pPr>
        <w:spacing w:before="3" w:line="244" w:lineRule="auto"/>
        <w:ind w:left="397" w:right="1521" w:firstLine="0"/>
        <w:jc w:val="left"/>
        <w:rPr>
          <w:sz w:val="27"/>
        </w:rPr>
      </w:pPr>
      <w:r>
        <w:rPr>
          <w:spacing w:val="-10"/>
          <w:sz w:val="27"/>
        </w:rPr>
        <w:t xml:space="preserve">次会议所做的《关于 </w:t>
      </w:r>
      <w:r>
        <w:rPr>
          <w:rFonts w:ascii="Arial" w:eastAsia="Arial"/>
          <w:sz w:val="27"/>
        </w:rPr>
        <w:t xml:space="preserve">1999 </w:t>
      </w:r>
      <w:r>
        <w:rPr>
          <w:spacing w:val="-6"/>
          <w:sz w:val="27"/>
        </w:rPr>
        <w:t xml:space="preserve">年国民经济和社会发展计划执行情况与 </w:t>
      </w:r>
      <w:r>
        <w:rPr>
          <w:rFonts w:ascii="Arial" w:eastAsia="Arial"/>
          <w:sz w:val="27"/>
        </w:rPr>
        <w:t xml:space="preserve">2000 </w:t>
      </w:r>
      <w:r>
        <w:rPr>
          <w:spacing w:val="-2"/>
          <w:sz w:val="27"/>
        </w:rPr>
        <w:t>年国民经济和社会发展计划草案的</w:t>
      </w:r>
      <w:r>
        <w:rPr>
          <w:sz w:val="27"/>
        </w:rPr>
        <w:t>报告》计算而得。</w:t>
      </w:r>
    </w:p>
    <w:p>
      <w:pPr>
        <w:spacing w:after="0" w:line="244" w:lineRule="auto"/>
        <w:jc w:val="left"/>
        <w:rPr>
          <w:sz w:val="27"/>
        </w:rPr>
        <w:sectPr>
          <w:pgSz w:w="17860" w:h="25260"/>
          <w:pgMar w:top="1860" w:right="1160" w:bottom="280" w:left="2300" w:header="708" w:footer="708"/>
          <w:pgNumType w:start="3"/>
          <w:cols w:space="708"/>
        </w:sectPr>
      </w:pPr>
    </w:p>
    <w:p>
      <w:pPr>
        <w:pStyle w:val="BodyText"/>
        <w:spacing w:before="49" w:line="283" w:lineRule="auto"/>
        <w:ind w:left="397" w:right="1330"/>
      </w:pPr>
      <w:r>
        <w:t>1999</w:t>
      </w:r>
      <w:r>
        <w:rPr>
          <w:spacing w:val="-10"/>
        </w:rPr>
        <w:t xml:space="preserve"> 年的 </w:t>
      </w:r>
      <w:r>
        <w:t>5854</w:t>
      </w:r>
      <w:r>
        <w:rPr>
          <w:spacing w:val="-5"/>
        </w:rPr>
        <w:t xml:space="preserve"> 元，扣除物价上涨因素，年均增长</w:t>
      </w:r>
      <w:r>
        <w:t>7.7</w:t>
      </w:r>
      <w:r>
        <w:rPr>
          <w:spacing w:val="-5"/>
        </w:rPr>
        <w:t xml:space="preserve">%和 </w:t>
      </w:r>
      <w:r>
        <w:t>6.3</w:t>
      </w:r>
      <w:r>
        <w:rPr>
          <w:spacing w:val="-2"/>
        </w:rPr>
        <w:t xml:space="preserve">%。伴随人民收入水平的提高， </w:t>
      </w:r>
      <w:r>
        <w:t>人民的生活质量也明显改善</w:t>
      </w:r>
      <w:r>
        <w:rPr>
          <w:spacing w:val="-15"/>
        </w:rPr>
        <w:t>。城市和乡村居民的恩格尔系数</w:t>
      </w:r>
      <w:r>
        <w:rPr>
          <w:spacing w:val="-37"/>
        </w:rPr>
        <w:t>，分别由</w:t>
      </w:r>
      <w:r>
        <w:t>1978</w:t>
      </w:r>
      <w:r>
        <w:rPr>
          <w:spacing w:val="27"/>
        </w:rPr>
        <w:t xml:space="preserve"> 年的</w:t>
      </w:r>
      <w:r>
        <w:t>57.5</w:t>
      </w:r>
      <w:r>
        <w:rPr>
          <w:spacing w:val="23"/>
        </w:rPr>
        <w:t>%和</w:t>
      </w:r>
      <w:r>
        <w:t xml:space="preserve">67.7% </w:t>
      </w:r>
      <w:r>
        <w:rPr>
          <w:spacing w:val="-20"/>
        </w:rPr>
        <w:t xml:space="preserve">下降到 </w:t>
      </w:r>
      <w:r>
        <w:t>1998</w:t>
      </w:r>
      <w:r>
        <w:rPr>
          <w:spacing w:val="-40"/>
        </w:rPr>
        <w:t xml:space="preserve"> 年的 </w:t>
      </w:r>
      <w:r>
        <w:t>44.48</w:t>
      </w:r>
      <w:r>
        <w:rPr>
          <w:spacing w:val="-25"/>
        </w:rPr>
        <w:t xml:space="preserve">%和 </w:t>
      </w:r>
      <w:r>
        <w:t>53.43%。</w:t>
      </w:r>
    </w:p>
    <w:p>
      <w:pPr>
        <w:pStyle w:val="BodyText"/>
        <w:spacing w:line="283" w:lineRule="auto"/>
        <w:ind w:left="397" w:right="1328" w:firstLine="629"/>
        <w:rPr>
          <w:sz w:val="16"/>
        </w:rPr>
      </w:pPr>
      <w:r>
        <w:t>持续快速的经济增长使中国综合国力和经济规模迅速跃升</w:t>
      </w:r>
      <w:r>
        <w:rPr>
          <w:spacing w:val="-172"/>
        </w:rPr>
        <w:t>。</w:t>
      </w:r>
      <w:r>
        <w:t>1999</w:t>
      </w:r>
      <w:r>
        <w:rPr>
          <w:spacing w:val="8"/>
        </w:rPr>
        <w:t xml:space="preserve"> 年中国</w:t>
      </w:r>
      <w:r>
        <w:t>GDP</w:t>
      </w:r>
      <w:r>
        <w:rPr>
          <w:spacing w:val="-16"/>
        </w:rPr>
        <w:t xml:space="preserve"> 总值 </w:t>
      </w:r>
      <w:r>
        <w:t xml:space="preserve">82054 </w:t>
      </w:r>
      <w:r>
        <w:rPr>
          <w:spacing w:val="-3"/>
        </w:rPr>
        <w:t xml:space="preserve">亿元，按当年人民币对美圆的平均汇率计算，为 </w:t>
      </w:r>
      <w:r>
        <w:t>9913 亿美圆，位居美国、日本、德国、法国</w:t>
      </w:r>
      <w:r>
        <w:rPr>
          <w:spacing w:val="-1"/>
        </w:rPr>
        <w:t>、英国和意大利之后，为世界第七位。但国际上通常认为，官方汇率低估了中国的经济规模</w:t>
      </w:r>
      <w:r>
        <w:rPr>
          <w:spacing w:val="-2"/>
        </w:rPr>
        <w:t>。按广为接受的购买力平价法计算的中国实际经济规模，是按官方汇率计算结果的</w:t>
      </w:r>
      <w:r>
        <w:t>2.8－  8</w:t>
      </w:r>
      <w:r>
        <w:rPr>
          <w:spacing w:val="-76"/>
        </w:rPr>
        <w:t xml:space="preserve"> </w:t>
      </w:r>
      <w:r>
        <w:rPr>
          <w:spacing w:val="-2"/>
        </w:rPr>
        <w:t>倍。</w:t>
      </w:r>
      <w:r>
        <w:rPr>
          <w:position w:val="4"/>
          <w:sz w:val="16"/>
        </w:rPr>
        <w:t>2</w:t>
      </w:r>
    </w:p>
    <w:p>
      <w:pPr>
        <w:pStyle w:val="BodyText"/>
        <w:spacing w:line="394" w:lineRule="exact"/>
        <w:ind w:left="1026"/>
        <w:rPr>
          <w:rFonts w:ascii="黑体" w:eastAsia="黑体" w:hint="eastAsia"/>
        </w:rPr>
      </w:pPr>
      <w:r>
        <w:rPr>
          <w:rFonts w:ascii="黑体" w:eastAsia="黑体" w:hint="eastAsia"/>
        </w:rPr>
        <w:t>2、当前国有企业存在的问题</w:t>
      </w:r>
    </w:p>
    <w:p>
      <w:pPr>
        <w:pStyle w:val="BodyText"/>
        <w:spacing w:before="69" w:line="283" w:lineRule="auto"/>
        <w:ind w:left="397" w:right="1508" w:firstLine="629"/>
        <w:jc w:val="both"/>
      </w:pPr>
      <w:r>
        <w:rPr>
          <w:spacing w:val="-14"/>
        </w:rPr>
        <w:t>改革以来，国有企业的生产效率有了提高。但尽管如此，与整个国民经济的发展以及充</w:t>
      </w:r>
      <w:r>
        <w:rPr>
          <w:spacing w:val="-11"/>
        </w:rPr>
        <w:t>满活力的非国有企业相比，国有企业改革以来总的态势则相形见绌、令人堪忧。国有企业当前存在的问题集中体现在三个方面：亏损加剧、国有资产流失、负债率过高。</w:t>
      </w:r>
    </w:p>
    <w:p>
      <w:pPr>
        <w:pStyle w:val="BodyText"/>
        <w:spacing w:line="283" w:lineRule="auto"/>
        <w:ind w:left="397" w:right="1328" w:firstLine="629"/>
      </w:pPr>
      <w:r>
        <w:rPr>
          <w:spacing w:val="-13"/>
        </w:rPr>
        <w:t xml:space="preserve">改革以前，国有企业是整个经济的最主要力量，初级工业化所需的大部分剩余，来自国 </w:t>
      </w:r>
      <w:r>
        <w:rPr>
          <w:spacing w:val="-14"/>
        </w:rPr>
        <w:t>有企业的利润。财政收入的绝大部分也来自国有企业。但改革以来，这种状况发生了逆转。</w:t>
      </w:r>
      <w:r>
        <w:t>1978</w:t>
      </w:r>
      <w:r>
        <w:rPr>
          <w:spacing w:val="-20"/>
        </w:rPr>
        <w:t xml:space="preserve"> 年，全部国有企业中，亏损企业造成的亏损额为</w:t>
      </w:r>
      <w:r>
        <w:t>115.3</w:t>
      </w:r>
      <w:r>
        <w:rPr>
          <w:spacing w:val="-28"/>
        </w:rPr>
        <w:t xml:space="preserve"> 亿元，到了</w:t>
      </w:r>
      <w:r>
        <w:t>1997</w:t>
      </w:r>
      <w:r>
        <w:rPr>
          <w:spacing w:val="-26"/>
        </w:rPr>
        <w:t xml:space="preserve"> 年，已升至</w:t>
      </w:r>
      <w:r>
        <w:t xml:space="preserve">1420.9 </w:t>
      </w:r>
      <w:r>
        <w:rPr>
          <w:spacing w:val="-50"/>
        </w:rPr>
        <w:t>亿元。</w:t>
      </w:r>
      <w:r>
        <w:t>1978</w:t>
      </w:r>
      <w:r>
        <w:rPr>
          <w:spacing w:val="-12"/>
        </w:rPr>
        <w:t xml:space="preserve"> 年国有工业生产企业的亏损面为 </w:t>
      </w:r>
      <w:r>
        <w:t>23.9%</w:t>
      </w:r>
      <w:r>
        <w:rPr>
          <w:spacing w:val="-10"/>
        </w:rPr>
        <w:t xml:space="preserve">,到了 </w:t>
      </w:r>
      <w:r>
        <w:t>1997</w:t>
      </w:r>
      <w:r>
        <w:rPr>
          <w:spacing w:val="-13"/>
        </w:rPr>
        <w:t xml:space="preserve"> 年,该比例上升为 </w:t>
      </w:r>
      <w:r>
        <w:t>43.9</w:t>
      </w:r>
      <w:r>
        <w:rPr>
          <w:spacing w:val="-76"/>
        </w:rPr>
        <w:t>%。</w:t>
      </w:r>
      <w:r>
        <w:rPr>
          <w:position w:val="4"/>
          <w:sz w:val="16"/>
        </w:rPr>
        <w:t>3</w:t>
      </w:r>
      <w:r>
        <w:t>1997 年底，全国国有及国有控股大中型企业中亏损户为6599</w:t>
      </w:r>
      <w:r>
        <w:rPr>
          <w:spacing w:val="14"/>
        </w:rPr>
        <w:t xml:space="preserve"> 户</w:t>
      </w:r>
      <w:r>
        <w:rPr>
          <w:position w:val="4"/>
          <w:sz w:val="16"/>
        </w:rPr>
        <w:t>4</w:t>
      </w:r>
      <w:r>
        <w:t>。国有经济对于国家财政的贡献份</w:t>
      </w:r>
      <w:r>
        <w:rPr>
          <w:spacing w:val="-11"/>
        </w:rPr>
        <w:t xml:space="preserve">额，也由 </w:t>
      </w:r>
      <w:r>
        <w:t>1978</w:t>
      </w:r>
      <w:r>
        <w:rPr>
          <w:spacing w:val="-23"/>
        </w:rPr>
        <w:t xml:space="preserve"> 年的 </w:t>
      </w:r>
      <w:r>
        <w:t>86.98</w:t>
      </w:r>
      <w:r>
        <w:rPr>
          <w:spacing w:val="-8"/>
        </w:rPr>
        <w:t xml:space="preserve">%，下降到了 </w:t>
      </w:r>
      <w:r>
        <w:t>1997</w:t>
      </w:r>
      <w:r>
        <w:rPr>
          <w:spacing w:val="-25"/>
        </w:rPr>
        <w:t xml:space="preserve"> 年的 </w:t>
      </w:r>
      <w:r>
        <w:t>71.14%。当然，中国经济发展的本来意义</w:t>
      </w:r>
      <w:r>
        <w:rPr>
          <w:spacing w:val="-14"/>
        </w:rPr>
        <w:t>之一，就是多种经济成分的共同成长。如果从这个意义上说国有经济对国家财政贡献下降 还属正常的话，那么，1980</w:t>
      </w:r>
      <w:r>
        <w:t xml:space="preserve"> 年代中期以来财政为国有企业支付的亏损补贴居高不下，则说明了</w:t>
      </w:r>
      <w:r>
        <w:rPr>
          <w:spacing w:val="-4"/>
        </w:rPr>
        <w:t>国有企业财务状况的恶化。</w:t>
      </w:r>
      <w:r>
        <w:t>1985</w:t>
      </w:r>
      <w:r>
        <w:rPr>
          <w:spacing w:val="-1"/>
        </w:rPr>
        <w:t xml:space="preserve"> 年国家财政负担的企业亏损补贴为</w:t>
      </w:r>
      <w:r>
        <w:t>507.02</w:t>
      </w:r>
      <w:r>
        <w:rPr>
          <w:spacing w:val="-5"/>
        </w:rPr>
        <w:t xml:space="preserve"> 亿元，到了1997</w:t>
      </w:r>
      <w:r>
        <w:rPr>
          <w:spacing w:val="-17"/>
        </w:rPr>
        <w:t xml:space="preserve">，仍然维持在 </w:t>
      </w:r>
      <w:r>
        <w:t>368.49</w:t>
      </w:r>
      <w:r>
        <w:rPr>
          <w:spacing w:val="-12"/>
        </w:rPr>
        <w:t xml:space="preserve"> 亿元的高位上。</w:t>
      </w:r>
    </w:p>
    <w:p>
      <w:pPr>
        <w:pStyle w:val="BodyText"/>
        <w:spacing w:line="283" w:lineRule="auto"/>
        <w:ind w:left="397" w:right="1492" w:firstLine="629"/>
        <w:jc w:val="both"/>
        <w:rPr>
          <w:sz w:val="16"/>
        </w:rPr>
      </w:pPr>
      <w:r>
        <w:t xml:space="preserve">由于国有企业赢利状况恶化和其他原因，国有资产的流失状况也十分严重。根据 1994 </w:t>
      </w:r>
      <w:r>
        <w:rPr>
          <w:spacing w:val="5"/>
        </w:rPr>
        <w:t xml:space="preserve">年财政部对 </w:t>
      </w:r>
      <w:r>
        <w:t>12.4</w:t>
      </w:r>
      <w:r>
        <w:rPr>
          <w:spacing w:val="-1"/>
        </w:rPr>
        <w:t xml:space="preserve"> 万家企业清产核资的资料计算，</w:t>
      </w:r>
      <w:r>
        <w:rPr>
          <w:spacing w:val="-12"/>
        </w:rPr>
        <w:t>8</w:t>
      </w:r>
      <w:r>
        <w:t xml:space="preserve"> 万多家小企业中，国有权益损失（</w:t>
      </w:r>
      <w:r>
        <w:rPr>
          <w:spacing w:val="-7"/>
        </w:rPr>
        <w:t>包括</w:t>
      </w:r>
      <w:r>
        <w:t>资产净损失、经营性亏损和潜亏挂账等）</w:t>
      </w:r>
      <w:r>
        <w:rPr>
          <w:spacing w:val="-1"/>
        </w:rPr>
        <w:t>占国有净资产的比重高达</w:t>
      </w:r>
      <w:r>
        <w:t>82.8</w:t>
      </w:r>
      <w:r>
        <w:rPr>
          <w:spacing w:val="-2"/>
        </w:rPr>
        <w:t>%，中型企业的这一</w:t>
      </w:r>
      <w:r>
        <w:rPr>
          <w:spacing w:val="-20"/>
        </w:rPr>
        <w:t xml:space="preserve">比重为 </w:t>
      </w:r>
      <w:r>
        <w:t>59.4</w:t>
      </w:r>
      <w:r>
        <w:rPr>
          <w:spacing w:val="-9"/>
        </w:rPr>
        <w:t xml:space="preserve">%，大型特大型企业为 </w:t>
      </w:r>
      <w:r>
        <w:t>15.2</w:t>
      </w:r>
      <w:r>
        <w:rPr>
          <w:spacing w:val="-2"/>
        </w:rPr>
        <w:t>%。</w:t>
      </w:r>
      <w:r>
        <w:rPr>
          <w:position w:val="4"/>
          <w:sz w:val="16"/>
        </w:rPr>
        <w:t>5</w:t>
      </w:r>
    </w:p>
    <w:p>
      <w:pPr>
        <w:pStyle w:val="BodyText"/>
        <w:spacing w:line="283" w:lineRule="auto"/>
        <w:ind w:left="397" w:right="1439" w:firstLine="629"/>
        <w:jc w:val="both"/>
        <w:rPr>
          <w:sz w:val="16"/>
        </w:rPr>
      </w:pPr>
      <w:r>
        <w:rPr>
          <w:spacing w:val="-11"/>
        </w:rPr>
        <w:t xml:space="preserve">国有企业过高的负债率，也是其当前面临的最为棘手的问题之一。由于体制上内生的原 </w:t>
      </w:r>
      <w:r>
        <w:rPr>
          <w:spacing w:val="-13"/>
        </w:rPr>
        <w:t>因和政策上的原因，国有企业的负债率一路攀升。</w:t>
      </w:r>
      <w:r>
        <w:t>1980</w:t>
      </w:r>
      <w:r>
        <w:rPr>
          <w:spacing w:val="-10"/>
        </w:rPr>
        <w:t xml:space="preserve"> 年为 </w:t>
      </w:r>
      <w:r>
        <w:t>30%，1985</w:t>
      </w:r>
      <w:r>
        <w:rPr>
          <w:spacing w:val="-10"/>
        </w:rPr>
        <w:t xml:space="preserve"> 年为 </w:t>
      </w:r>
      <w:r>
        <w:t>40%，1990</w:t>
      </w:r>
      <w:r>
        <w:rPr>
          <w:spacing w:val="-10"/>
        </w:rPr>
        <w:t xml:space="preserve"> 年</w:t>
      </w:r>
      <w:r>
        <w:t xml:space="preserve">为 </w:t>
      </w:r>
      <w:r>
        <w:rPr>
          <w:spacing w:val="-3"/>
        </w:rPr>
        <w:t>60%，1994</w:t>
      </w:r>
      <w:r>
        <w:rPr>
          <w:spacing w:val="-2"/>
        </w:rPr>
        <w:t xml:space="preserve"> 年更是高达 </w:t>
      </w:r>
      <w:r>
        <w:t>75</w:t>
      </w:r>
      <w:r>
        <w:rPr>
          <w:spacing w:val="-1"/>
        </w:rPr>
        <w:t>%。之后基本上维持在这么高的水平上，没有什么改善。有些行</w:t>
      </w:r>
      <w:r>
        <w:rPr>
          <w:spacing w:val="-7"/>
        </w:rPr>
        <w:t xml:space="preserve">业的国有企业资产负债率在 </w:t>
      </w:r>
      <w:r>
        <w:t>80</w:t>
      </w:r>
      <w:r>
        <w:rPr>
          <w:spacing w:val="-7"/>
        </w:rPr>
        <w:t xml:space="preserve">%以上，有些企业甚至超过了 </w:t>
      </w:r>
      <w:r>
        <w:t>100</w:t>
      </w:r>
      <w:r>
        <w:rPr>
          <w:spacing w:val="-2"/>
        </w:rPr>
        <w:t>%。</w:t>
      </w:r>
      <w:r>
        <w:rPr>
          <w:position w:val="4"/>
          <w:sz w:val="16"/>
        </w:rPr>
        <w:t>6</w:t>
      </w:r>
    </w:p>
    <w:p>
      <w:pPr>
        <w:pStyle w:val="BodyText"/>
        <w:spacing w:line="394" w:lineRule="exact"/>
        <w:ind w:left="1026"/>
        <w:rPr>
          <w:rFonts w:ascii="黑体" w:eastAsia="黑体" w:hint="eastAsia"/>
        </w:rPr>
      </w:pPr>
      <w:r>
        <w:rPr>
          <w:rFonts w:ascii="黑体" w:eastAsia="黑体" w:hint="eastAsia"/>
        </w:rPr>
        <w:t>3、推进国有企业改革的战略性意义</w:t>
      </w:r>
    </w:p>
    <w:p>
      <w:pPr>
        <w:pStyle w:val="BodyText"/>
        <w:spacing w:before="61" w:line="283" w:lineRule="auto"/>
        <w:ind w:left="397" w:right="1328" w:firstLine="629"/>
        <w:jc w:val="both"/>
      </w:pPr>
      <w:r>
        <w:rPr>
          <w:spacing w:val="-9"/>
        </w:rPr>
        <w:t xml:space="preserve">国有企业改革始终是改革的中心环节。但国有企业改革远未达到预期目的。在新旧世纪 </w:t>
      </w:r>
      <w:r>
        <w:rPr>
          <w:spacing w:val="-16"/>
        </w:rPr>
        <w:t xml:space="preserve">交替之际，推进国有企业改革显得更加急迫。国有企业改革的战略性意义，不仅体现在国有  </w:t>
      </w:r>
      <w:r>
        <w:rPr>
          <w:spacing w:val="-17"/>
        </w:rPr>
        <w:t>企业本身的重要性上，还体现在其对于整个经济改革和发展面临的其他问题的决定作用上。</w:t>
      </w:r>
    </w:p>
    <w:p>
      <w:pPr>
        <w:pStyle w:val="BodyText"/>
        <w:spacing w:line="283" w:lineRule="auto"/>
        <w:ind w:left="397" w:right="1495" w:firstLine="629"/>
        <w:jc w:val="both"/>
      </w:pPr>
      <w:r>
        <w:t>就国有企业本身来看，国有企业仍然是国民经济的举足轻重的力量。1998 年国有及国有控股的工业企业占有的总资产为全部工业企业的 68.84%，国有工业企业创造的增加值占全部工业企业的 57.03%。1998 年国有经济部门雇佣的就业量占全部工业企业的60.61%，国有经济部门的投资量，占社会投资量的54.1%。</w:t>
      </w:r>
    </w:p>
    <w:p>
      <w:pPr>
        <w:pStyle w:val="BodyText"/>
        <w:spacing w:line="395" w:lineRule="exact"/>
        <w:ind w:left="1026"/>
      </w:pPr>
      <w:r>
        <w:t>就国有企业问题与改革和发展面临的其他问题的关系而言，前者又是后者的根本性决定</w:t>
      </w:r>
    </w:p>
    <w:p>
      <w:pPr>
        <w:pStyle w:val="BodyText"/>
        <w:spacing w:before="9"/>
        <w:rPr>
          <w:sz w:val="28"/>
        </w:rPr>
      </w:pPr>
      <w:r>
        <w:pict>
          <v:shape id="_x0000_s1026" style="width:218pt;height:0.1pt;margin-top:21.37pt;margin-left:134pt;mso-position-horizontal-relative:page;mso-wrap-distance-left:0;mso-wrap-distance-right:0;position:absolute;z-index:-251657216" coordorigin="2680,427" coordsize="4360,0" path="m2680,427l7040,427e" filled="f" stroked="t" strokecolor="black" strokeweight="2pt">
            <v:stroke dashstyle="longDash"/>
            <v:path arrowok="t"/>
            <w10:wrap type="topAndBottom"/>
          </v:shape>
        </w:pict>
      </w:r>
    </w:p>
    <w:p>
      <w:pPr>
        <w:pStyle w:val="ListParagraph"/>
        <w:numPr>
          <w:ilvl w:val="0"/>
          <w:numId w:val="25"/>
        </w:numPr>
        <w:tabs>
          <w:tab w:val="left" w:pos="624"/>
          <w:tab w:val="left" w:pos="1210"/>
          <w:tab w:val="left" w:pos="3598"/>
        </w:tabs>
        <w:spacing w:before="177" w:after="0" w:line="244" w:lineRule="auto"/>
        <w:ind w:left="667" w:right="1619" w:hanging="270"/>
        <w:jc w:val="left"/>
        <w:rPr>
          <w:sz w:val="27"/>
        </w:rPr>
      </w:pPr>
      <w:r>
        <w:rPr>
          <w:sz w:val="27"/>
        </w:rPr>
        <w:t>林毅夫、蔡昉、李周：</w:t>
        <w:tab/>
        <w:t>《中国的奇迹：发展战略和经济改革》增订版，上海三联书店、上海人民出</w:t>
      </w:r>
      <w:r>
        <w:rPr>
          <w:spacing w:val="-18"/>
          <w:sz w:val="27"/>
        </w:rPr>
        <w:t>版</w:t>
      </w:r>
      <w:r>
        <w:rPr>
          <w:sz w:val="27"/>
        </w:rPr>
        <w:t>社</w:t>
        <w:tab/>
        <w:t>，</w:t>
      </w:r>
      <w:r>
        <w:rPr>
          <w:rFonts w:ascii="Arial" w:eastAsia="Arial"/>
          <w:sz w:val="27"/>
        </w:rPr>
        <w:t>1999</w:t>
      </w:r>
      <w:r>
        <w:rPr>
          <w:rFonts w:ascii="Arial" w:eastAsia="Arial"/>
          <w:spacing w:val="-8"/>
          <w:sz w:val="27"/>
        </w:rPr>
        <w:t xml:space="preserve"> </w:t>
      </w:r>
      <w:r>
        <w:rPr>
          <w:sz w:val="27"/>
        </w:rPr>
        <w:t>年版，第</w:t>
      </w:r>
      <w:r>
        <w:rPr>
          <w:spacing w:val="-72"/>
          <w:sz w:val="27"/>
        </w:rPr>
        <w:t xml:space="preserve"> </w:t>
      </w:r>
      <w:r>
        <w:rPr>
          <w:rFonts w:ascii="Arial" w:eastAsia="Arial"/>
          <w:sz w:val="27"/>
        </w:rPr>
        <w:t>13</w:t>
      </w:r>
      <w:r>
        <w:rPr>
          <w:rFonts w:ascii="Arial" w:eastAsia="Arial"/>
          <w:spacing w:val="-7"/>
          <w:sz w:val="27"/>
        </w:rPr>
        <w:t xml:space="preserve"> </w:t>
      </w:r>
      <w:r>
        <w:rPr>
          <w:sz w:val="27"/>
        </w:rPr>
        <w:t>页。</w:t>
      </w:r>
    </w:p>
    <w:p>
      <w:pPr>
        <w:pStyle w:val="ListParagraph"/>
        <w:numPr>
          <w:ilvl w:val="0"/>
          <w:numId w:val="25"/>
        </w:numPr>
        <w:tabs>
          <w:tab w:val="left" w:pos="624"/>
        </w:tabs>
        <w:spacing w:before="0" w:after="0" w:line="342" w:lineRule="exact"/>
        <w:ind w:left="624" w:right="0" w:hanging="227"/>
        <w:jc w:val="left"/>
        <w:rPr>
          <w:sz w:val="27"/>
        </w:rPr>
      </w:pPr>
      <w:r>
        <w:rPr>
          <w:spacing w:val="-9"/>
          <w:sz w:val="27"/>
        </w:rPr>
        <w:t xml:space="preserve">《中国财政年鉴 </w:t>
      </w:r>
      <w:r>
        <w:rPr>
          <w:rFonts w:ascii="Arial" w:eastAsia="Arial"/>
          <w:sz w:val="27"/>
        </w:rPr>
        <w:t>1998</w:t>
      </w:r>
      <w:r>
        <w:rPr>
          <w:spacing w:val="-23"/>
          <w:sz w:val="27"/>
        </w:rPr>
        <w:t xml:space="preserve">》第 </w:t>
      </w:r>
      <w:r>
        <w:rPr>
          <w:rFonts w:ascii="Arial" w:eastAsia="Arial"/>
          <w:sz w:val="27"/>
        </w:rPr>
        <w:t>482</w:t>
      </w:r>
      <w:r>
        <w:rPr>
          <w:rFonts w:ascii="Arial" w:eastAsia="Arial"/>
          <w:spacing w:val="-11"/>
          <w:sz w:val="27"/>
        </w:rPr>
        <w:t xml:space="preserve"> </w:t>
      </w:r>
      <w:r>
        <w:rPr>
          <w:sz w:val="27"/>
        </w:rPr>
        <w:t>页，中国财政杂志出版社，</w:t>
      </w:r>
      <w:r>
        <w:rPr>
          <w:rFonts w:ascii="Arial" w:eastAsia="Arial"/>
          <w:sz w:val="27"/>
        </w:rPr>
        <w:t>1998</w:t>
      </w:r>
      <w:r>
        <w:rPr>
          <w:rFonts w:ascii="Arial" w:eastAsia="Arial"/>
          <w:spacing w:val="-9"/>
          <w:sz w:val="27"/>
        </w:rPr>
        <w:t xml:space="preserve"> </w:t>
      </w:r>
      <w:r>
        <w:rPr>
          <w:sz w:val="27"/>
        </w:rPr>
        <w:t>年</w:t>
      </w:r>
    </w:p>
    <w:p>
      <w:pPr>
        <w:pStyle w:val="ListParagraph"/>
        <w:numPr>
          <w:ilvl w:val="0"/>
          <w:numId w:val="25"/>
        </w:numPr>
        <w:tabs>
          <w:tab w:val="left" w:pos="624"/>
        </w:tabs>
        <w:spacing w:before="3" w:after="0" w:line="240" w:lineRule="auto"/>
        <w:ind w:left="624" w:right="0" w:hanging="227"/>
        <w:jc w:val="left"/>
        <w:rPr>
          <w:sz w:val="27"/>
        </w:rPr>
      </w:pPr>
      <w:r>
        <w:rPr>
          <w:spacing w:val="-28"/>
          <w:sz w:val="27"/>
        </w:rPr>
        <w:t>王彦田：“决战在今年”，《人民日报》</w:t>
      </w:r>
      <w:r>
        <w:rPr>
          <w:rFonts w:ascii="Arial" w:eastAsia="Arial" w:hAnsi="Arial"/>
          <w:w w:val="89"/>
          <w:sz w:val="27"/>
        </w:rPr>
        <w:t>2000</w:t>
      </w:r>
      <w:r>
        <w:rPr>
          <w:rFonts w:ascii="Arial" w:eastAsia="Arial" w:hAnsi="Arial"/>
          <w:spacing w:val="-4"/>
          <w:sz w:val="27"/>
        </w:rPr>
        <w:t xml:space="preserve"> </w:t>
      </w:r>
      <w:r>
        <w:rPr>
          <w:spacing w:val="-36"/>
          <w:sz w:val="27"/>
        </w:rPr>
        <w:t xml:space="preserve">年 </w:t>
      </w:r>
      <w:r>
        <w:rPr>
          <w:rFonts w:ascii="Arial" w:eastAsia="Arial" w:hAnsi="Arial"/>
          <w:w w:val="89"/>
          <w:sz w:val="27"/>
        </w:rPr>
        <w:t>2</w:t>
      </w:r>
      <w:r>
        <w:rPr>
          <w:rFonts w:ascii="Arial" w:eastAsia="Arial" w:hAnsi="Arial"/>
          <w:spacing w:val="-5"/>
          <w:sz w:val="27"/>
        </w:rPr>
        <w:t xml:space="preserve"> </w:t>
      </w:r>
      <w:r>
        <w:rPr>
          <w:spacing w:val="-36"/>
          <w:sz w:val="27"/>
        </w:rPr>
        <w:t xml:space="preserve">月 </w:t>
      </w:r>
      <w:r>
        <w:rPr>
          <w:rFonts w:ascii="Arial" w:eastAsia="Arial" w:hAnsi="Arial"/>
          <w:w w:val="89"/>
          <w:sz w:val="27"/>
        </w:rPr>
        <w:t>19</w:t>
      </w:r>
      <w:r>
        <w:rPr>
          <w:rFonts w:ascii="Arial" w:eastAsia="Arial" w:hAnsi="Arial"/>
          <w:spacing w:val="-7"/>
          <w:sz w:val="27"/>
        </w:rPr>
        <w:t xml:space="preserve"> </w:t>
      </w:r>
      <w:r>
        <w:rPr>
          <w:spacing w:val="-24"/>
          <w:sz w:val="27"/>
        </w:rPr>
        <w:t xml:space="preserve">日第 </w:t>
      </w:r>
      <w:r>
        <w:rPr>
          <w:rFonts w:ascii="Arial" w:eastAsia="Arial" w:hAnsi="Arial"/>
          <w:w w:val="89"/>
          <w:sz w:val="27"/>
        </w:rPr>
        <w:t>1</w:t>
      </w:r>
      <w:r>
        <w:rPr>
          <w:rFonts w:ascii="Arial" w:eastAsia="Arial" w:hAnsi="Arial"/>
          <w:spacing w:val="-5"/>
          <w:sz w:val="27"/>
        </w:rPr>
        <w:t xml:space="preserve"> </w:t>
      </w:r>
      <w:r>
        <w:rPr>
          <w:sz w:val="27"/>
        </w:rPr>
        <w:t>版。</w:t>
      </w:r>
    </w:p>
    <w:p>
      <w:pPr>
        <w:pStyle w:val="ListParagraph"/>
        <w:numPr>
          <w:ilvl w:val="0"/>
          <w:numId w:val="25"/>
        </w:numPr>
        <w:tabs>
          <w:tab w:val="left" w:pos="624"/>
        </w:tabs>
        <w:spacing w:before="3" w:after="0" w:line="240" w:lineRule="auto"/>
        <w:ind w:left="624" w:right="0" w:hanging="227"/>
        <w:jc w:val="left"/>
        <w:rPr>
          <w:sz w:val="27"/>
        </w:rPr>
      </w:pPr>
      <w:r>
        <w:rPr>
          <w:spacing w:val="-27"/>
          <w:sz w:val="27"/>
        </w:rPr>
        <w:t>卢中原：《积极推进国有小企业改革》，《中国工业经济》，</w:t>
      </w:r>
      <w:r>
        <w:rPr>
          <w:rFonts w:ascii="Arial" w:eastAsia="Arial" w:hAnsi="Arial"/>
          <w:sz w:val="27"/>
        </w:rPr>
        <w:t>1996</w:t>
      </w:r>
      <w:r>
        <w:rPr>
          <w:rFonts w:ascii="Arial" w:eastAsia="Arial" w:hAnsi="Arial"/>
          <w:spacing w:val="-3"/>
          <w:sz w:val="27"/>
        </w:rPr>
        <w:t xml:space="preserve"> </w:t>
      </w:r>
      <w:r>
        <w:rPr>
          <w:spacing w:val="-11"/>
          <w:sz w:val="27"/>
        </w:rPr>
        <w:t xml:space="preserve">年第四期，第 </w:t>
      </w:r>
      <w:r>
        <w:rPr>
          <w:rFonts w:ascii="Arial" w:eastAsia="Arial" w:hAnsi="Arial"/>
          <w:sz w:val="27"/>
        </w:rPr>
        <w:t>30</w:t>
      </w:r>
      <w:r>
        <w:rPr>
          <w:sz w:val="27"/>
        </w:rPr>
        <w:t>—</w:t>
      </w:r>
      <w:r>
        <w:rPr>
          <w:rFonts w:ascii="Arial" w:eastAsia="Arial" w:hAnsi="Arial"/>
          <w:sz w:val="27"/>
        </w:rPr>
        <w:t>32</w:t>
      </w:r>
      <w:r>
        <w:rPr>
          <w:rFonts w:ascii="Arial" w:eastAsia="Arial" w:hAnsi="Arial"/>
          <w:spacing w:val="-10"/>
          <w:sz w:val="27"/>
        </w:rPr>
        <w:t xml:space="preserve"> </w:t>
      </w:r>
      <w:r>
        <w:rPr>
          <w:sz w:val="27"/>
        </w:rPr>
        <w:t>页。</w:t>
      </w:r>
    </w:p>
    <w:p>
      <w:pPr>
        <w:pStyle w:val="ListParagraph"/>
        <w:numPr>
          <w:ilvl w:val="0"/>
          <w:numId w:val="25"/>
        </w:numPr>
        <w:tabs>
          <w:tab w:val="left" w:pos="624"/>
        </w:tabs>
        <w:spacing w:before="7" w:after="0" w:line="240" w:lineRule="auto"/>
        <w:ind w:left="624" w:right="0" w:hanging="227"/>
        <w:jc w:val="left"/>
        <w:rPr>
          <w:sz w:val="27"/>
        </w:rPr>
      </w:pPr>
      <w:r>
        <w:rPr>
          <w:sz w:val="27"/>
        </w:rPr>
        <w:t>林毅夫、蔡昉、李周：</w:t>
      </w:r>
      <w:r>
        <w:rPr>
          <w:rFonts w:ascii="Arial" w:eastAsia="Arial"/>
          <w:sz w:val="27"/>
        </w:rPr>
        <w:t>1997</w:t>
      </w:r>
      <w:r>
        <w:rPr>
          <w:spacing w:val="-13"/>
          <w:sz w:val="27"/>
        </w:rPr>
        <w:t xml:space="preserve">《充分信息与国有企业改革》，上海三联书店、上海人民出版社，第 </w:t>
      </w:r>
      <w:r>
        <w:rPr>
          <w:rFonts w:ascii="Arial" w:eastAsia="Arial"/>
          <w:sz w:val="27"/>
        </w:rPr>
        <w:t>107</w:t>
      </w:r>
      <w:r>
        <w:rPr>
          <w:rFonts w:ascii="Arial" w:eastAsia="Arial"/>
          <w:spacing w:val="-10"/>
          <w:sz w:val="27"/>
        </w:rPr>
        <w:t xml:space="preserve"> </w:t>
      </w:r>
      <w:r>
        <w:rPr>
          <w:sz w:val="27"/>
        </w:rPr>
        <w:t>页。</w:t>
      </w:r>
    </w:p>
    <w:p>
      <w:pPr>
        <w:spacing w:after="0" w:line="240" w:lineRule="auto"/>
        <w:jc w:val="left"/>
        <w:rPr>
          <w:sz w:val="27"/>
        </w:rPr>
        <w:sectPr>
          <w:pgSz w:w="17860" w:h="25260"/>
          <w:pgMar w:top="1860" w:right="1160" w:bottom="280" w:left="2300" w:header="708" w:footer="708"/>
          <w:pgNumType w:start="4"/>
          <w:cols w:space="708"/>
        </w:sectPr>
      </w:pPr>
    </w:p>
    <w:p>
      <w:pPr>
        <w:pStyle w:val="BodyText"/>
        <w:spacing w:before="49" w:line="283" w:lineRule="auto"/>
        <w:ind w:left="397" w:right="1328"/>
      </w:pPr>
      <w:r>
        <w:t xml:space="preserve">因素。在 20 多年的经济改革过程中，中国面临着几方面的问题。除了国有企业问题之外， </w:t>
      </w:r>
      <w:r>
        <w:rPr>
          <w:spacing w:val="-1"/>
        </w:rPr>
        <w:t>还包括：经济的周期波动、金融体系的弊端、贪污腐化的孳生、地区差距的扩大和粮食供给</w:t>
      </w:r>
      <w:r>
        <w:rPr>
          <w:spacing w:val="-11"/>
        </w:rPr>
        <w:t>的潜力等五个方面的问题。这些问题中的任何一个恶化了，都将造成社会的不稳定，更何况  这些问题有可能交织在一起总爆发。这些问题的存在都和国有企业的改革未取得成功有关</w:t>
      </w:r>
    </w:p>
    <w:p>
      <w:pPr>
        <w:pStyle w:val="BodyText"/>
        <w:spacing w:line="283" w:lineRule="auto"/>
        <w:ind w:left="397" w:right="1328"/>
      </w:pPr>
      <w:r>
        <w:rPr>
          <w:w w:val="102"/>
        </w:rPr>
        <w:t>（</w:t>
      </w:r>
      <w:r>
        <w:rPr>
          <w:spacing w:val="-9"/>
          <w:w w:val="102"/>
        </w:rPr>
        <w:t>林毅夫，</w:t>
      </w:r>
      <w:r>
        <w:rPr>
          <w:w w:val="102"/>
        </w:rPr>
        <w:t>1999</w:t>
      </w:r>
      <w:r>
        <w:rPr>
          <w:spacing w:val="-4"/>
          <w:w w:val="102"/>
        </w:rPr>
        <w:t>a</w:t>
      </w:r>
      <w:r>
        <w:rPr>
          <w:spacing w:val="-162"/>
          <w:w w:val="102"/>
        </w:rPr>
        <w:t>）</w:t>
      </w:r>
      <w:r>
        <w:rPr>
          <w:w w:val="102"/>
        </w:rPr>
        <w:t>。如果国有企业改革最终取得成功，那么这些问题会迎刃而解；否则，这</w:t>
      </w:r>
      <w:r>
        <w:rPr>
          <w:spacing w:val="-1"/>
        </w:rPr>
        <w:t>些问题就难以从根本上解决。例如：经济的周期波动，和利率受政府控制、不能按市场上资</w:t>
      </w:r>
      <w:r>
        <w:rPr>
          <w:spacing w:val="-11"/>
        </w:rPr>
        <w:t xml:space="preserve">金供需状况来决定有关。每当出现高通货膨胀预期，从而实际利率下降时，投资和当前消费  </w:t>
      </w:r>
      <w:r>
        <w:rPr>
          <w:spacing w:val="-12"/>
        </w:rPr>
        <w:t>的机会成本下降，投资、消费增加，经济就过热；每当出现低通货膨胀预期时，相反的机制</w:t>
      </w:r>
      <w:r>
        <w:rPr>
          <w:spacing w:val="-13"/>
        </w:rPr>
        <w:t xml:space="preserve">导致了经济低迷。利率不能市场化的原因，则是国有企业的生存依赖于银行的低息贷款。而  </w:t>
      </w:r>
      <w:r>
        <w:rPr>
          <w:spacing w:val="3"/>
        </w:rPr>
        <w:t xml:space="preserve">且，银行的贷款 </w:t>
      </w:r>
      <w:r>
        <w:t>70－80％贷给国有企业。国有企业经营状况不好，偿债能力低下。这就不可</w:t>
      </w:r>
      <w:r>
        <w:rPr>
          <w:spacing w:val="-9"/>
        </w:rPr>
        <w:t>避免地导致了金融体系资产质量的低下，金融风险加大。为维持国有企业的生存而实行的 低</w:t>
      </w:r>
      <w:r>
        <w:rPr>
          <w:spacing w:val="-17"/>
        </w:rPr>
        <w:t>利率和某些产品的低价格政策，造成了官定价格和市场价格之间的差距，进而为腐败行为 提供</w:t>
      </w:r>
      <w:r>
        <w:rPr>
          <w:spacing w:val="-19"/>
        </w:rPr>
        <w:t>了条件。同样是为了维持国有企业的生存，改革以来在放开其他产品价格的同时，主要  农、</w:t>
      </w:r>
      <w:r>
        <w:rPr>
          <w:spacing w:val="-16"/>
        </w:rPr>
        <w:t>矿产品价格人为压低。中国东部地区的比较优势在于制造业，中西部在于初级农矿产业。这样</w:t>
      </w:r>
      <w:r>
        <w:rPr>
          <w:spacing w:val="-15"/>
        </w:rPr>
        <w:t>，东部地区经济越发展，就要从中西部地区拿走越来越多的低价农矿产品。这等价于不  富裕</w:t>
      </w:r>
      <w:r>
        <w:rPr>
          <w:spacing w:val="-20"/>
        </w:rPr>
        <w:t>的中西部对于富裕的东部变相补贴，从而拉大了地区差距。此外，农产品价格的人为控 制，还抑制了农产品供给潜力的发挥。</w:t>
      </w:r>
    </w:p>
    <w:p>
      <w:pPr>
        <w:pStyle w:val="BodyText"/>
        <w:spacing w:line="283" w:lineRule="auto"/>
        <w:ind w:left="397" w:right="1524" w:firstLine="1259"/>
      </w:pPr>
      <w:r>
        <w:t xml:space="preserve">概而言之，上述这些问题存在且难于解决的原因在于国有企业改革还没有最终成 </w:t>
      </w:r>
      <w:r>
        <w:rPr>
          <w:spacing w:val="-14"/>
        </w:rPr>
        <w:t>功，宏观政策环境和资源配置制度中的一些扭曲，是维持国有企业生存所必须的条件。只有</w:t>
      </w:r>
      <w:r>
        <w:t>在国有企业改革成功以后，中国从计划经济向社会主义市场经济的过渡才会最终完成。</w:t>
      </w:r>
    </w:p>
    <w:p>
      <w:pPr>
        <w:pStyle w:val="BodyText"/>
        <w:spacing w:before="8"/>
        <w:rPr>
          <w:sz w:val="29"/>
        </w:rPr>
      </w:pPr>
    </w:p>
    <w:p>
      <w:pPr>
        <w:pStyle w:val="Heading1"/>
        <w:ind w:left="3208"/>
      </w:pPr>
      <w:r>
        <w:t>二、国有企业改革取得的成就和面临的问题</w:t>
      </w:r>
    </w:p>
    <w:p>
      <w:pPr>
        <w:pStyle w:val="BodyText"/>
        <w:rPr>
          <w:rFonts w:ascii="黑体"/>
          <w:sz w:val="43"/>
        </w:rPr>
      </w:pPr>
    </w:p>
    <w:p>
      <w:pPr>
        <w:pStyle w:val="BodyText"/>
        <w:spacing w:line="283" w:lineRule="auto"/>
        <w:ind w:left="397" w:right="1470" w:firstLine="539"/>
        <w:jc w:val="both"/>
      </w:pPr>
      <w:r>
        <w:rPr>
          <w:spacing w:val="49"/>
        </w:rPr>
        <w:t xml:space="preserve">从 </w:t>
      </w:r>
      <w:r>
        <w:t>1978</w:t>
      </w:r>
      <w:r>
        <w:rPr>
          <w:spacing w:val="-1"/>
        </w:rPr>
        <w:t xml:space="preserve"> 年开始国有企业一直是我国经济体制改革的核心部分。迄今为止大致可以分为</w:t>
      </w:r>
      <w:r>
        <w:rPr>
          <w:spacing w:val="-37"/>
          <w:w w:val="102"/>
        </w:rPr>
        <w:t>几个阶段：</w:t>
      </w:r>
      <w:r>
        <w:rPr>
          <w:spacing w:val="-1"/>
          <w:w w:val="102"/>
        </w:rPr>
        <w:t>（</w:t>
      </w:r>
      <w:r>
        <w:rPr>
          <w:spacing w:val="-4"/>
          <w:w w:val="102"/>
        </w:rPr>
        <w:t>1</w:t>
      </w:r>
      <w:r>
        <w:rPr>
          <w:spacing w:val="-18"/>
          <w:w w:val="102"/>
        </w:rPr>
        <w:t>）</w:t>
      </w:r>
      <w:r>
        <w:rPr>
          <w:w w:val="102"/>
        </w:rPr>
        <w:t>1978</w:t>
      </w:r>
      <w:r>
        <w:rPr>
          <w:spacing w:val="-83"/>
        </w:rPr>
        <w:t xml:space="preserve"> </w:t>
      </w:r>
      <w:r>
        <w:rPr>
          <w:w w:val="102"/>
        </w:rPr>
        <w:t>年－1982</w:t>
      </w:r>
      <w:r>
        <w:rPr>
          <w:spacing w:val="-80"/>
        </w:rPr>
        <w:t xml:space="preserve"> </w:t>
      </w:r>
      <w:r>
        <w:rPr>
          <w:w w:val="102"/>
        </w:rPr>
        <w:t>年，简单的放权让利阶段</w:t>
      </w:r>
      <w:r>
        <w:rPr>
          <w:spacing w:val="-216"/>
          <w:w w:val="102"/>
        </w:rPr>
        <w:t>；</w:t>
      </w:r>
      <w:r>
        <w:rPr>
          <w:spacing w:val="-4"/>
          <w:w w:val="102"/>
        </w:rPr>
        <w:t>（</w:t>
      </w:r>
      <w:r>
        <w:rPr>
          <w:spacing w:val="-1"/>
          <w:w w:val="102"/>
        </w:rPr>
        <w:t>2</w:t>
      </w:r>
      <w:r>
        <w:rPr>
          <w:spacing w:val="-22"/>
          <w:w w:val="102"/>
        </w:rPr>
        <w:t>）</w:t>
      </w:r>
      <w:r>
        <w:rPr>
          <w:w w:val="102"/>
        </w:rPr>
        <w:t>1983</w:t>
      </w:r>
      <w:r>
        <w:rPr>
          <w:spacing w:val="-80"/>
        </w:rPr>
        <w:t xml:space="preserve"> </w:t>
      </w:r>
      <w:r>
        <w:rPr>
          <w:spacing w:val="-2"/>
          <w:w w:val="102"/>
        </w:rPr>
        <w:t>年－</w:t>
      </w:r>
      <w:r>
        <w:rPr>
          <w:w w:val="102"/>
        </w:rPr>
        <w:t>1986</w:t>
      </w:r>
      <w:r>
        <w:rPr>
          <w:spacing w:val="-79"/>
        </w:rPr>
        <w:t xml:space="preserve"> </w:t>
      </w:r>
      <w:r>
        <w:rPr>
          <w:w w:val="102"/>
        </w:rPr>
        <w:t>年，实行“利改税”和增强企业活力阶段</w:t>
      </w:r>
      <w:r>
        <w:rPr>
          <w:spacing w:val="-176"/>
          <w:w w:val="102"/>
        </w:rPr>
        <w:t>；</w:t>
      </w:r>
      <w:r>
        <w:rPr>
          <w:w w:val="102"/>
        </w:rPr>
        <w:t>（</w:t>
      </w:r>
      <w:r>
        <w:rPr>
          <w:spacing w:val="-4"/>
          <w:w w:val="102"/>
        </w:rPr>
        <w:t>3</w:t>
      </w:r>
      <w:r>
        <w:rPr>
          <w:spacing w:val="-1"/>
          <w:w w:val="102"/>
        </w:rPr>
        <w:t>）</w:t>
      </w:r>
      <w:r>
        <w:rPr>
          <w:w w:val="102"/>
        </w:rPr>
        <w:t>1987</w:t>
      </w:r>
      <w:r>
        <w:rPr>
          <w:spacing w:val="-69"/>
        </w:rPr>
        <w:t xml:space="preserve"> </w:t>
      </w:r>
      <w:r>
        <w:rPr>
          <w:spacing w:val="-2"/>
          <w:w w:val="102"/>
        </w:rPr>
        <w:t>年－</w:t>
      </w:r>
      <w:r>
        <w:rPr>
          <w:w w:val="102"/>
        </w:rPr>
        <w:t>1992</w:t>
      </w:r>
      <w:r>
        <w:rPr>
          <w:spacing w:val="-68"/>
        </w:rPr>
        <w:t xml:space="preserve"> </w:t>
      </w:r>
      <w:r>
        <w:rPr>
          <w:w w:val="102"/>
        </w:rPr>
        <w:t>年，全面推行承包经营责任制阶段</w:t>
      </w:r>
      <w:r>
        <w:rPr>
          <w:spacing w:val="-183"/>
          <w:w w:val="102"/>
        </w:rPr>
        <w:t>；</w:t>
      </w:r>
      <w:r>
        <w:rPr>
          <w:w w:val="102"/>
        </w:rPr>
        <w:t>（</w:t>
      </w:r>
      <w:r>
        <w:rPr>
          <w:spacing w:val="-4"/>
          <w:w w:val="102"/>
        </w:rPr>
        <w:t>4</w:t>
      </w:r>
      <w:r>
        <w:rPr>
          <w:w w:val="102"/>
        </w:rPr>
        <w:t>） 199</w:t>
      </w:r>
      <w:r>
        <w:rPr>
          <w:spacing w:val="-1"/>
          <w:w w:val="102"/>
        </w:rPr>
        <w:t>2</w:t>
      </w:r>
      <w:r>
        <w:rPr>
          <w:spacing w:val="-4"/>
          <w:w w:val="102"/>
        </w:rPr>
        <w:t>－</w:t>
      </w:r>
      <w:r>
        <w:rPr>
          <w:w w:val="102"/>
        </w:rPr>
        <w:t>1997</w:t>
      </w:r>
      <w:r>
        <w:rPr>
          <w:spacing w:val="-80"/>
        </w:rPr>
        <w:t xml:space="preserve"> </w:t>
      </w:r>
      <w:r>
        <w:rPr>
          <w:w w:val="102"/>
        </w:rPr>
        <w:t>年，建立现代企业制度的试验和“抓大放小</w:t>
      </w:r>
      <w:r>
        <w:rPr>
          <w:spacing w:val="-30"/>
          <w:w w:val="102"/>
        </w:rPr>
        <w:t>”、国有经济战略性重组阶段；</w:t>
      </w:r>
      <w:r>
        <w:rPr>
          <w:w w:val="102"/>
        </w:rPr>
        <w:t>（</w:t>
      </w:r>
      <w:r>
        <w:rPr>
          <w:spacing w:val="-4"/>
          <w:w w:val="102"/>
        </w:rPr>
        <w:t>5</w:t>
      </w:r>
      <w:r>
        <w:rPr>
          <w:w w:val="102"/>
        </w:rPr>
        <w:t>）</w:t>
      </w:r>
      <w:r>
        <w:t>最近的债转股政策。国有企业改革取得了相当的成就，但是也存在着问题。</w:t>
      </w:r>
    </w:p>
    <w:p>
      <w:pPr>
        <w:pStyle w:val="BodyText"/>
        <w:spacing w:line="394" w:lineRule="exact"/>
        <w:ind w:left="936"/>
        <w:rPr>
          <w:rFonts w:ascii="黑体" w:eastAsia="黑体" w:hint="eastAsia"/>
        </w:rPr>
      </w:pPr>
      <w:r>
        <w:rPr>
          <w:rFonts w:ascii="黑体" w:eastAsia="黑体" w:hint="eastAsia"/>
        </w:rPr>
        <w:t>1、国有企业改革历程的简要回顾</w:t>
      </w:r>
    </w:p>
    <w:p>
      <w:pPr>
        <w:pStyle w:val="BodyText"/>
        <w:spacing w:before="71" w:line="283" w:lineRule="auto"/>
        <w:ind w:left="397" w:right="1328" w:firstLine="539"/>
      </w:pPr>
      <w:r>
        <w:rPr>
          <w:spacing w:val="-8"/>
        </w:rPr>
        <w:t xml:space="preserve">国有企业改革启动环节是“放权让利”。改革之初，国家通过一系列的政策、法规赋予  </w:t>
      </w:r>
      <w:r>
        <w:rPr>
          <w:spacing w:val="-16"/>
        </w:rPr>
        <w:t>企业一定的自主权，并允许企业保持一定的留利。但由于资源配置机制、宏观政策环境改革  不配套</w:t>
      </w:r>
      <w:r>
        <w:rPr>
          <w:rFonts w:ascii="Arial" w:eastAsia="Arial" w:hAnsi="Arial"/>
          <w:spacing w:val="-16"/>
        </w:rPr>
        <w:t>,</w:t>
      </w:r>
      <w:r>
        <w:rPr>
          <w:spacing w:val="-17"/>
        </w:rPr>
        <w:t>特别是，由于不存在竞争性市场，从而没有单一、充分地反映企业经营的信息指标</w:t>
      </w:r>
      <w:r>
        <w:rPr>
          <w:rFonts w:ascii="Arial" w:eastAsia="Arial" w:hAnsi="Arial"/>
        </w:rPr>
        <w:t xml:space="preserve">,  </w:t>
      </w:r>
      <w:r>
        <w:rPr>
          <w:spacing w:val="-1"/>
        </w:rPr>
        <w:t xml:space="preserve">一旦企业获得了一定的生产经营决策权，企业就有动机和可能侵占国家应得的利润。于是， </w:t>
      </w:r>
      <w:r>
        <w:rPr>
          <w:spacing w:val="-8"/>
        </w:rPr>
        <w:t xml:space="preserve">放权让利改革的实际结果就有悖于国家改革的初衷。国家的改革目标是，在给予企业自主权 </w:t>
      </w:r>
      <w:r>
        <w:rPr>
          <w:spacing w:val="-16"/>
        </w:rPr>
        <w:t>和独立利益的同时，能够不断提高国有资产的收益以及财政收入，但由于国家与企业之间的 信息不对称，却出现了“工资侵蚀利润”的现象。</w:t>
      </w:r>
    </w:p>
    <w:p>
      <w:pPr>
        <w:pStyle w:val="BodyText"/>
        <w:spacing w:line="283" w:lineRule="auto"/>
        <w:ind w:left="397" w:right="1328" w:firstLine="539"/>
      </w:pPr>
      <w:r>
        <w:t xml:space="preserve">为确保国家的财政收入，划清政府财政收入和企业可支配收入的界限，形成国家财政收 </w:t>
      </w:r>
      <w:r>
        <w:rPr>
          <w:spacing w:val="1"/>
        </w:rPr>
        <w:t>入与税收挂钩，企业收入与利润挂钩的机制，明确政企关系和企业的地位，政府于</w:t>
      </w:r>
      <w:r>
        <w:rPr>
          <w:rFonts w:ascii="Arial" w:eastAsia="Arial" w:hAnsi="Arial"/>
        </w:rPr>
        <w:t>1983</w:t>
      </w:r>
      <w:r>
        <w:rPr>
          <w:rFonts w:ascii="Arial" w:eastAsia="Arial" w:hAnsi="Arial"/>
          <w:spacing w:val="81"/>
        </w:rPr>
        <w:t xml:space="preserve"> </w:t>
      </w:r>
      <w:r>
        <w:t>年和</w:t>
      </w:r>
      <w:r>
        <w:rPr>
          <w:spacing w:val="-11"/>
        </w:rPr>
        <w:t xml:space="preserve"> </w:t>
      </w:r>
      <w:r>
        <w:rPr>
          <w:rFonts w:ascii="Arial" w:eastAsia="Arial" w:hAnsi="Arial"/>
        </w:rPr>
        <w:t>1984</w:t>
      </w:r>
      <w:r>
        <w:rPr>
          <w:rFonts w:ascii="Arial" w:eastAsia="Arial" w:hAnsi="Arial"/>
          <w:spacing w:val="48"/>
        </w:rPr>
        <w:t xml:space="preserve"> </w:t>
      </w:r>
      <w:r>
        <w:t>年实行了两步“利改税</w:t>
      </w:r>
      <w:r>
        <w:rPr>
          <w:spacing w:val="-88"/>
        </w:rPr>
        <w:t>”。</w:t>
      </w:r>
      <w:r>
        <w:rPr>
          <w:rFonts w:ascii="Arial" w:eastAsia="Arial" w:hAnsi="Arial"/>
        </w:rPr>
        <w:t>1985</w:t>
      </w:r>
      <w:r>
        <w:rPr>
          <w:rFonts w:ascii="Arial" w:eastAsia="Arial" w:hAnsi="Arial"/>
          <w:spacing w:val="49"/>
        </w:rPr>
        <w:t xml:space="preserve"> </w:t>
      </w:r>
      <w:r>
        <w:t>年，为加强企业的经济责任，促使企业在投资以及</w:t>
      </w:r>
      <w:r>
        <w:rPr>
          <w:w w:val="102"/>
        </w:rPr>
        <w:t>资金使用上树立经济核算意识，国家对国有企业实行“拨改贷</w:t>
      </w:r>
      <w:r>
        <w:rPr>
          <w:spacing w:val="-18"/>
          <w:w w:val="102"/>
        </w:rPr>
        <w:t>”，将企业所需的投资国家财</w:t>
      </w:r>
      <w:r>
        <w:t>政计划内的无偿预算拨款，改为企业向银行贷款</w:t>
      </w:r>
      <w:r>
        <w:rPr>
          <w:spacing w:val="-14"/>
        </w:rPr>
        <w:t>。“利改税”的基本思路是建立公平和稳定 的税</w:t>
      </w:r>
      <w:r>
        <w:rPr>
          <w:spacing w:val="-17"/>
        </w:rPr>
        <w:t>收制度，使企业能够在平等的地位上竞争，从而准确地评价企业的经营业绩，实行自主  经营</w:t>
      </w:r>
      <w:r>
        <w:rPr>
          <w:spacing w:val="-18"/>
        </w:rPr>
        <w:t>、自负盈亏。但是问题在于，价格改革滞后，企业的初始条件不同，而且经济核算和审</w:t>
      </w:r>
      <w:r>
        <w:rPr>
          <w:w w:val="102"/>
        </w:rPr>
        <w:t>计制</w:t>
      </w:r>
      <w:r>
        <w:rPr>
          <w:spacing w:val="-1"/>
          <w:w w:val="102"/>
        </w:rPr>
        <w:t>度不健全。这些制约因素使“利改税”无法绕开一户一率的调节税和“鞭打快牛</w:t>
      </w:r>
      <w:r>
        <w:rPr>
          <w:spacing w:val="-253"/>
          <w:w w:val="102"/>
        </w:rPr>
        <w:t>、”</w:t>
      </w:r>
      <w:r>
        <w:rPr>
          <w:w w:val="102"/>
        </w:rPr>
        <w:t>“苦</w:t>
      </w:r>
    </w:p>
    <w:p>
      <w:pPr>
        <w:spacing w:after="0" w:line="283" w:lineRule="auto"/>
        <w:sectPr>
          <w:pgSz w:w="17860" w:h="25260"/>
          <w:pgMar w:top="1860" w:right="1160" w:bottom="280" w:left="2300" w:header="708" w:footer="708"/>
          <w:pgNumType w:start="5"/>
          <w:cols w:space="708"/>
        </w:sectPr>
      </w:pPr>
    </w:p>
    <w:p>
      <w:pPr>
        <w:pStyle w:val="BodyText"/>
        <w:spacing w:before="49" w:line="283" w:lineRule="auto"/>
        <w:ind w:left="397" w:right="1270"/>
      </w:pPr>
      <w:r>
        <w:t>乐不均”现象，而且企业往往采取各种各样的变通手法来增加自己的所得，规避税负。结果政府的税收并未象设想得那样稳定地增加。</w:t>
      </w:r>
    </w:p>
    <w:p>
      <w:pPr>
        <w:pStyle w:val="BodyText"/>
        <w:spacing w:line="283" w:lineRule="auto"/>
        <w:ind w:left="397" w:right="1325" w:firstLine="539"/>
      </w:pPr>
      <w:r>
        <w:rPr>
          <w:spacing w:val="-17"/>
        </w:rPr>
        <w:t>放权让利式的改革改进了微观层次的企业激励，但是，放权让利过程中一再出现所谓“权  力截留”现象，即中央政府规定应下放给企业的权力，被地方政府或主管部门所掌握。与不</w:t>
      </w:r>
      <w:r>
        <w:rPr>
          <w:spacing w:val="-11"/>
        </w:rPr>
        <w:t xml:space="preserve">断扩大的非国有企业相比，国有企业表面上自主权始终不充分。因此，对国有企业进行放权 </w:t>
      </w:r>
      <w:r>
        <w:rPr>
          <w:spacing w:val="-19"/>
        </w:rPr>
        <w:t xml:space="preserve">的改革逻辑具有不可逆转的特征。而另一方面，伴随着放权让利改革的进行，整个经济的市 </w:t>
      </w:r>
      <w:r>
        <w:rPr>
          <w:spacing w:val="-24"/>
        </w:rPr>
        <w:t xml:space="preserve">场化进程滞后于微观企业激励机制的改革，计划机制仍广泛发挥作用，国民经济的价格体系 </w:t>
      </w:r>
      <w:r>
        <w:rPr>
          <w:spacing w:val="-21"/>
        </w:rPr>
        <w:t>扭曲，价格“双轨制”广泛存在。这种情况下国有企业的利润水平并不反映企业的经营状况。</w:t>
      </w:r>
      <w:r>
        <w:t>于是国家就无法准确评价国有企业的实际绩效</w:t>
      </w:r>
      <w:r>
        <w:rPr>
          <w:spacing w:val="-14"/>
        </w:rPr>
        <w:t xml:space="preserve">，进而国家从放权让利改革中所得的份额日渐 </w:t>
      </w:r>
      <w:r>
        <w:rPr>
          <w:spacing w:val="-15"/>
        </w:rPr>
        <w:t xml:space="preserve">下降。为了在进一步改进对企业激励的同时，保证国家权益不被过分侵蚀，承包经营责任制  </w:t>
      </w:r>
      <w:r>
        <w:rPr>
          <w:spacing w:val="-19"/>
        </w:rPr>
        <w:t xml:space="preserve">取代了简单的放权让利。应当说，承包经营责任制是宏观市场环境发育不全条件下推进改革 </w:t>
      </w:r>
      <w:r>
        <w:rPr>
          <w:spacing w:val="-38"/>
        </w:rPr>
        <w:t xml:space="preserve">的一个“次优选择”。在 </w:t>
      </w:r>
      <w:r>
        <w:rPr>
          <w:rFonts w:ascii="Arial" w:eastAsia="Arial" w:hAnsi="Arial"/>
        </w:rPr>
        <w:t>1987</w:t>
      </w:r>
      <w:r>
        <w:t>－</w:t>
      </w:r>
      <w:r>
        <w:rPr>
          <w:rFonts w:ascii="Arial" w:eastAsia="Arial" w:hAnsi="Arial"/>
        </w:rPr>
        <w:t xml:space="preserve">1992 </w:t>
      </w:r>
      <w:r>
        <w:rPr>
          <w:spacing w:val="-11"/>
        </w:rPr>
        <w:t>年间，承包经营责任制构成了国有企业改革的主要内容。</w:t>
      </w:r>
      <w:r>
        <w:rPr>
          <w:spacing w:val="-12"/>
        </w:rPr>
        <w:t xml:space="preserve">承包经营责任制又有多种形式，主要形式是两保一挂承包制。具体内容是，一保上缴税利， </w:t>
      </w:r>
      <w:r>
        <w:t>二保企业的技术改造，实行职工工资总额与企业经济效益挂钩。</w:t>
      </w:r>
    </w:p>
    <w:p>
      <w:pPr>
        <w:pStyle w:val="BodyText"/>
        <w:spacing w:line="283" w:lineRule="auto"/>
        <w:ind w:left="397" w:right="1328" w:firstLine="539"/>
      </w:pPr>
      <w:r>
        <w:t xml:space="preserve">承包制的推行是为了保证国家财政收入的增长。但是，承包制要真正达到政府的政策意 </w:t>
      </w:r>
      <w:r>
        <w:rPr>
          <w:spacing w:val="-20"/>
        </w:rPr>
        <w:t xml:space="preserve">图，有赖于一个良好的政策环境。承包制合同的确定是企业与主管部门的“一对一”的谈判。 </w:t>
      </w:r>
      <w:r>
        <w:rPr>
          <w:spacing w:val="-22"/>
        </w:rPr>
        <w:t xml:space="preserve">这种“一对一”的谈判中，国有企业拥有优势信息，这必然导致企业在与国家的讨价还价中， </w:t>
      </w:r>
      <w:r>
        <w:rPr>
          <w:spacing w:val="-23"/>
        </w:rPr>
        <w:t xml:space="preserve">争取有利于企业的条件。承包合同的履行过程中，出现了两方面的问题。一是承包期内的短  </w:t>
      </w:r>
      <w:r>
        <w:rPr>
          <w:spacing w:val="-17"/>
        </w:rPr>
        <w:t xml:space="preserve">期行为，二是负盈不负亏。承包制决定了经营者的收益只与其承包期内的企业绩效相关，这  </w:t>
      </w:r>
      <w:r>
        <w:rPr>
          <w:spacing w:val="-18"/>
        </w:rPr>
        <w:t>样，现实中不少企业为了完成上缴任务，往往采用拼设备的办法，掠夺性地利用资源。实际</w:t>
      </w:r>
      <w:r>
        <w:t>承包合同的兑现时也往往是负盈不负亏。</w:t>
      </w:r>
    </w:p>
    <w:p>
      <w:pPr>
        <w:pStyle w:val="BodyText"/>
        <w:spacing w:line="283" w:lineRule="auto"/>
        <w:ind w:left="397" w:right="1422" w:firstLine="539"/>
      </w:pPr>
      <w:r>
        <w:t>面对承包制出现的问题，中国共产党第十四届三中全会作出的《中共中央关于建立社会主义市场经济体制若干问题的决定》，把国有企业改革的目标设定为建立现代企业制度。该</w:t>
      </w:r>
    </w:p>
    <w:p>
      <w:pPr>
        <w:pStyle w:val="BodyText"/>
        <w:spacing w:line="283" w:lineRule="auto"/>
        <w:ind w:left="397" w:right="1328"/>
      </w:pPr>
      <w:r>
        <w:t>《决定》把现代企业制度的特征概括为“产权明晰、权责明确、政企分开、管理科学</w:t>
      </w:r>
      <w:r>
        <w:rPr>
          <w:spacing w:val="-65"/>
        </w:rPr>
        <w:t xml:space="preserve">”。紧  </w:t>
      </w:r>
      <w:r>
        <w:rPr>
          <w:spacing w:val="-49"/>
        </w:rPr>
        <w:t xml:space="preserve">随中共十四届三中全会的《决定》，《中华人民共和国公司法》也于 </w:t>
      </w:r>
      <w:r>
        <w:rPr>
          <w:rFonts w:ascii="Arial" w:eastAsia="Arial" w:hAnsi="Arial"/>
        </w:rPr>
        <w:t xml:space="preserve">1993 </w:t>
      </w:r>
      <w:r>
        <w:rPr>
          <w:spacing w:val="-22"/>
        </w:rPr>
        <w:t xml:space="preserve">年 </w:t>
      </w:r>
      <w:r>
        <w:rPr>
          <w:rFonts w:ascii="Arial" w:eastAsia="Arial" w:hAnsi="Arial"/>
        </w:rPr>
        <w:t xml:space="preserve">2 </w:t>
      </w:r>
      <w:r>
        <w:t>月颁布，并于</w:t>
      </w:r>
      <w:r>
        <w:rPr>
          <w:rFonts w:ascii="Arial" w:eastAsia="Arial" w:hAnsi="Arial"/>
        </w:rPr>
        <w:t xml:space="preserve">1994 </w:t>
      </w:r>
      <w:r>
        <w:rPr>
          <w:spacing w:val="-26"/>
        </w:rPr>
        <w:t xml:space="preserve">年 </w:t>
      </w:r>
      <w:r>
        <w:rPr>
          <w:rFonts w:ascii="Arial" w:eastAsia="Arial" w:hAnsi="Arial"/>
        </w:rPr>
        <w:t>7</w:t>
      </w:r>
      <w:r>
        <w:rPr>
          <w:rFonts w:ascii="Arial" w:eastAsia="Arial" w:hAnsi="Arial"/>
          <w:spacing w:val="13"/>
        </w:rPr>
        <w:t xml:space="preserve"> </w:t>
      </w:r>
      <w:r>
        <w:rPr>
          <w:spacing w:val="-25"/>
        </w:rPr>
        <w:t xml:space="preserve">月 </w:t>
      </w:r>
      <w:r>
        <w:rPr>
          <w:rFonts w:ascii="Arial" w:eastAsia="Arial" w:hAnsi="Arial"/>
        </w:rPr>
        <w:t xml:space="preserve">1 </w:t>
      </w:r>
      <w:r>
        <w:rPr>
          <w:spacing w:val="-14"/>
        </w:rPr>
        <w:t>日起施行。《公司法》中界定了三种类型的公司：国有独资公司、有限责任公</w:t>
      </w:r>
      <w:r>
        <w:rPr>
          <w:spacing w:val="-15"/>
        </w:rPr>
        <w:t>司、股份有限公司。从那个时候起直到现在，建立“现代企业制度”一直是中国国有企业改</w:t>
      </w:r>
      <w:r>
        <w:rPr>
          <w:spacing w:val="-2"/>
        </w:rPr>
        <w:t>革特别是大中型国有企业改革的主体思路。</w:t>
      </w:r>
      <w:r>
        <w:rPr>
          <w:rFonts w:ascii="Arial" w:eastAsia="Arial" w:hAnsi="Arial"/>
        </w:rPr>
        <w:t>1996</w:t>
      </w:r>
      <w:r>
        <w:rPr>
          <w:rFonts w:ascii="Arial" w:eastAsia="Arial" w:hAnsi="Arial"/>
          <w:spacing w:val="58"/>
        </w:rPr>
        <w:t xml:space="preserve"> </w:t>
      </w:r>
      <w:r>
        <w:rPr>
          <w:spacing w:val="-3"/>
        </w:rPr>
        <w:t xml:space="preserve">年 </w:t>
      </w:r>
      <w:r>
        <w:rPr>
          <w:rFonts w:ascii="Arial" w:eastAsia="Arial" w:hAnsi="Arial"/>
        </w:rPr>
        <w:t>3</w:t>
      </w:r>
      <w:r>
        <w:rPr>
          <w:rFonts w:ascii="Arial" w:eastAsia="Arial" w:hAnsi="Arial"/>
          <w:spacing w:val="69"/>
        </w:rPr>
        <w:t xml:space="preserve"> </w:t>
      </w:r>
      <w:r>
        <w:t>月，第八届全国人民代表大会第四次</w:t>
      </w:r>
      <w:r>
        <w:rPr>
          <w:spacing w:val="1"/>
        </w:rPr>
        <w:t>会议批准的《中华人民共和国国民经济和社会发展“九五”计划和</w:t>
      </w:r>
      <w:r>
        <w:rPr>
          <w:rFonts w:ascii="Arial" w:eastAsia="Arial" w:hAnsi="Arial"/>
        </w:rPr>
        <w:t xml:space="preserve">2010 </w:t>
      </w:r>
      <w:r>
        <w:rPr>
          <w:spacing w:val="-20"/>
        </w:rPr>
        <w:t>年远景目标纲要》， 对国有企业改革提出了新的思路。除了继续推进现代企业制度外，还提出了“抓大放小”的</w:t>
      </w:r>
      <w:r>
        <w:rPr>
          <w:spacing w:val="-20"/>
          <w:w w:val="102"/>
        </w:rPr>
        <w:t>改革思路。《纲要》指出</w:t>
      </w:r>
      <w:r>
        <w:rPr>
          <w:spacing w:val="-17"/>
          <w:w w:val="102"/>
        </w:rPr>
        <w:t>，“着眼于搞好整个国有经济，对国有企业实施战略性重组</w:t>
      </w:r>
      <w:r>
        <w:rPr>
          <w:spacing w:val="-84"/>
          <w:w w:val="102"/>
        </w:rPr>
        <w:t>。”“区别</w:t>
      </w:r>
      <w:r>
        <w:rPr>
          <w:spacing w:val="-83"/>
        </w:rPr>
        <w:t>不同情况，采取改组、联合、兼并、股份合作制、租赁、承包经营和出售等形式，加快国有</w:t>
      </w:r>
      <w:r>
        <w:rPr>
          <w:spacing w:val="-14"/>
        </w:rPr>
        <w:t xml:space="preserve">小企业改革步伐。”中小型国有企业，尤其是小型企业的非国有化，无疑是正确的。中小型 </w:t>
      </w:r>
      <w:r>
        <w:rPr>
          <w:spacing w:val="-25"/>
        </w:rPr>
        <w:t>国有企业资本密集度低，战略性和社会性政策负担负担小，而且，对于中小型国有企业而言， 所有者对经营者的直接监督相对容易一些。</w:t>
      </w:r>
    </w:p>
    <w:p>
      <w:pPr>
        <w:pStyle w:val="BodyText"/>
        <w:spacing w:line="283" w:lineRule="auto"/>
        <w:ind w:left="397" w:right="1328" w:firstLine="539"/>
        <w:jc w:val="both"/>
      </w:pPr>
      <w:r>
        <w:t xml:space="preserve">但是，对大中型国有企业而言，承包经营责任制不能解决的问题，现代企业制度也不能 </w:t>
      </w:r>
      <w:r>
        <w:rPr>
          <w:spacing w:val="-1"/>
        </w:rPr>
        <w:t>解决。现代公司治理结构的有效运作，有赖于一个充分竞争的产品、要素、经理、股票等市场体系。中国经济中还缺乏这样一个市场体系，企业的政策性负担仍旧存在，所以，软预算</w:t>
      </w:r>
      <w:r>
        <w:t>约束仍难根除。</w:t>
      </w:r>
    </w:p>
    <w:p>
      <w:pPr>
        <w:pStyle w:val="BodyText"/>
        <w:spacing w:line="283" w:lineRule="auto"/>
        <w:ind w:left="397" w:right="1328" w:firstLine="539"/>
      </w:pPr>
      <w:r>
        <w:rPr>
          <w:rFonts w:ascii="Arial" w:eastAsia="Arial" w:hAnsi="Arial"/>
        </w:rPr>
        <w:t>1997</w:t>
      </w:r>
      <w:r>
        <w:rPr>
          <w:rFonts w:ascii="Arial" w:eastAsia="Arial" w:hAnsi="Arial"/>
          <w:spacing w:val="58"/>
        </w:rPr>
        <w:t xml:space="preserve"> </w:t>
      </w:r>
      <w:r>
        <w:t>年爆发的东南亚金融危机引起了人们对中国金融体系风险的关注</w:t>
      </w:r>
      <w:r>
        <w:rPr>
          <w:spacing w:val="-21"/>
        </w:rPr>
        <w:t>。国有企业的高负债率制约着企业的生存和发展；而国有企业的高负债率和低偿债能力又大大加剧了中国银行 体系的金融风险。出于这些考虑实行了“债转股”改革。四大国有商业银行分别组建了各自的资产管理公司，中央财政为资产管理公司注资，承接各银行的不良债权。与此相应，有选择</w:t>
      </w:r>
      <w:r>
        <w:rPr>
          <w:spacing w:val="-27"/>
        </w:rPr>
        <w:t>地把一些国有企业的银行贷款转化为资产管理公司对企业的股权。通过技术性操作固然能</w:t>
      </w:r>
    </w:p>
    <w:p>
      <w:pPr>
        <w:spacing w:after="0" w:line="283" w:lineRule="auto"/>
        <w:sectPr>
          <w:pgSz w:w="17860" w:h="25260"/>
          <w:pgMar w:top="1860" w:right="1160" w:bottom="280" w:left="2300" w:header="708" w:footer="708"/>
          <w:pgNumType w:start="6"/>
          <w:cols w:space="708"/>
        </w:sectPr>
      </w:pPr>
    </w:p>
    <w:p>
      <w:pPr>
        <w:pStyle w:val="BodyText"/>
        <w:spacing w:before="49" w:line="283" w:lineRule="auto"/>
        <w:ind w:left="397" w:right="1493"/>
      </w:pPr>
      <w:r>
        <w:t>迅速改善国有企业和银行的资产负债表状况</w:t>
      </w:r>
      <w:r>
        <w:rPr>
          <w:spacing w:val="-15"/>
        </w:rPr>
        <w:t>，但改革的成功还有赖于提高国有企业的竞争能</w:t>
      </w:r>
      <w:r>
        <w:t>力，消除不良债务的形成机制。而这又要求消除国有企业的各种政策性负担。</w:t>
      </w:r>
    </w:p>
    <w:p>
      <w:pPr>
        <w:pStyle w:val="BodyText"/>
        <w:spacing w:line="396" w:lineRule="exact"/>
        <w:ind w:left="936"/>
        <w:rPr>
          <w:rFonts w:ascii="黑体" w:eastAsia="黑体" w:hint="eastAsia"/>
        </w:rPr>
      </w:pPr>
      <w:r>
        <w:rPr>
          <w:rFonts w:ascii="黑体" w:eastAsia="黑体" w:hint="eastAsia"/>
        </w:rPr>
        <w:t>2、企业改革取得的成就：全要素生产率的提高</w:t>
      </w:r>
    </w:p>
    <w:p>
      <w:pPr>
        <w:pStyle w:val="BodyText"/>
        <w:spacing w:before="71" w:line="283" w:lineRule="auto"/>
        <w:ind w:left="397" w:right="1328" w:firstLine="539"/>
      </w:pPr>
      <w:r>
        <w:t xml:space="preserve">国有企业改革的成就，集中体现在企业全要素生产率的提高上。全要素生产率提高是企 </w:t>
      </w:r>
      <w:r>
        <w:rPr>
          <w:spacing w:val="-11"/>
        </w:rPr>
        <w:t xml:space="preserve">业微观激励改进的结果。国有企业生产效率提高了，同样的投入能带来更多的产出。从社会  </w:t>
      </w:r>
      <w:r>
        <w:rPr>
          <w:spacing w:val="-12"/>
        </w:rPr>
        <w:t>角度来看，企业全要素生产率的提高标志着资源利用效率改进，生产向其可能性边界靠拢。</w:t>
      </w:r>
      <w:r>
        <w:t>近年来有许多关于中国国有企业全要素生产率变化情况的实证研究</w:t>
      </w:r>
      <w:r>
        <w:rPr>
          <w:spacing w:val="-18"/>
        </w:rPr>
        <w:t xml:space="preserve">。尽管不同的研究之间的 </w:t>
      </w:r>
      <w:r>
        <w:rPr>
          <w:spacing w:val="-19"/>
        </w:rPr>
        <w:t>结论不尽一致，但从总体上看，大多数研究证实，改革以前国有工业企业的全要素生产率是</w:t>
      </w:r>
      <w:r>
        <w:rPr>
          <w:w w:val="102"/>
        </w:rPr>
        <w:t>负的，而改革以来全要素生产率是正的（</w:t>
      </w:r>
      <w:r>
        <w:rPr>
          <w:spacing w:val="23"/>
          <w:w w:val="102"/>
        </w:rPr>
        <w:t>见表</w:t>
      </w:r>
      <w:r>
        <w:rPr>
          <w:w w:val="102"/>
        </w:rPr>
        <w:t>1</w:t>
      </w:r>
      <w:r>
        <w:rPr>
          <w:spacing w:val="-162"/>
          <w:w w:val="102"/>
        </w:rPr>
        <w:t>）</w:t>
      </w:r>
      <w:r>
        <w:rPr>
          <w:w w:val="102"/>
        </w:rPr>
        <w:t>。</w:t>
      </w:r>
    </w:p>
    <w:p>
      <w:pPr>
        <w:pStyle w:val="BodyText"/>
        <w:spacing w:before="2"/>
        <w:rPr>
          <w:sz w:val="36"/>
        </w:rPr>
      </w:pPr>
    </w:p>
    <w:p>
      <w:pPr>
        <w:pStyle w:val="BodyText"/>
        <w:tabs>
          <w:tab w:val="left" w:pos="5988"/>
        </w:tabs>
        <w:spacing w:before="1"/>
        <w:ind w:left="397"/>
        <w:rPr>
          <w:rFonts w:ascii="黑体" w:eastAsia="黑体" w:hint="eastAsia"/>
        </w:rPr>
      </w:pPr>
      <w:r>
        <w:drawing>
          <wp:anchor distT="0" distB="0" distL="0" distR="0" simplePos="0" relativeHeight="251660288" behindDoc="1" locked="0" layoutInCell="1" allowOverlap="1">
            <wp:simplePos x="0" y="0"/>
            <wp:positionH relativeFrom="page">
              <wp:posOffset>1600200</wp:posOffset>
            </wp:positionH>
            <wp:positionV relativeFrom="paragraph">
              <wp:posOffset>567308</wp:posOffset>
            </wp:positionV>
            <wp:extent cx="8120348" cy="3800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120348" cy="38004"/>
                    </a:xfrm>
                    <a:prstGeom prst="rect">
                      <a:avLst/>
                    </a:prstGeom>
                  </pic:spPr>
                </pic:pic>
              </a:graphicData>
            </a:graphic>
          </wp:anchor>
        </w:drawing>
      </w:r>
      <w:r>
        <w:rPr>
          <w:rFonts w:ascii="黑体" w:eastAsia="黑体" w:hint="eastAsia"/>
        </w:rPr>
        <w:t>表</w:t>
      </w:r>
      <w:r>
        <w:rPr>
          <w:rFonts w:ascii="黑体" w:eastAsia="黑体" w:hint="eastAsia"/>
          <w:spacing w:val="-72"/>
        </w:rPr>
        <w:t xml:space="preserve"> </w:t>
      </w:r>
      <w:r>
        <w:rPr>
          <w:rFonts w:ascii="黑体" w:eastAsia="黑体" w:hint="eastAsia"/>
        </w:rPr>
        <w:t>1：</w:t>
        <w:tab/>
        <w:t>关于国有企业全要素生产率的几种估计</w:t>
      </w:r>
    </w:p>
    <w:p>
      <w:pPr>
        <w:pStyle w:val="BodyText"/>
        <w:spacing w:line="54" w:lineRule="exact"/>
        <w:ind w:left="220"/>
        <w:rPr>
          <w:rFonts w:ascii="黑体"/>
          <w:sz w:val="5"/>
        </w:rPr>
      </w:pPr>
      <w:r>
        <w:rPr>
          <w:rFonts w:ascii="黑体"/>
          <w:position w:val="0"/>
          <w:sz w:val="5"/>
        </w:rPr>
        <w:drawing>
          <wp:inline distT="0" distB="0" distL="0" distR="0">
            <wp:extent cx="8113221" cy="34861"/>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113221" cy="34861"/>
                    </a:xfrm>
                    <a:prstGeom prst="rect">
                      <a:avLst/>
                    </a:prstGeom>
                  </pic:spPr>
                </pic:pic>
              </a:graphicData>
            </a:graphic>
          </wp:inline>
        </w:drawing>
      </w:r>
    </w:p>
    <w:p>
      <w:pPr>
        <w:pStyle w:val="BodyText"/>
        <w:spacing w:before="2"/>
        <w:rPr>
          <w:rFonts w:ascii="黑体"/>
          <w:sz w:val="12"/>
        </w:rPr>
      </w:pPr>
    </w:p>
    <w:tbl>
      <w:tblPr>
        <w:tblStyle w:val="TableNormal0"/>
        <w:tblW w:w="0" w:type="auto"/>
        <w:jc w:val="left"/>
        <w:tblInd w:w="3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38"/>
        <w:gridCol w:w="2219"/>
        <w:gridCol w:w="2997"/>
        <w:gridCol w:w="2286"/>
        <w:gridCol w:w="2241"/>
      </w:tblGrid>
      <w:tr>
        <w:tblPrEx>
          <w:tblW w:w="0" w:type="auto"/>
          <w:jc w:val="left"/>
          <w:tblInd w:w="3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2"/>
          <w:jc w:val="left"/>
        </w:trPr>
        <w:tc>
          <w:tcPr>
            <w:tcW w:w="2138" w:type="dxa"/>
          </w:tcPr>
          <w:p>
            <w:pPr>
              <w:pStyle w:val="TableParagraph"/>
              <w:spacing w:before="0" w:line="308" w:lineRule="exact"/>
              <w:ind w:left="50"/>
              <w:rPr>
                <w:sz w:val="27"/>
              </w:rPr>
            </w:pPr>
            <w:r>
              <w:rPr>
                <w:sz w:val="27"/>
              </w:rPr>
              <w:t>作者</w:t>
            </w:r>
          </w:p>
        </w:tc>
        <w:tc>
          <w:tcPr>
            <w:tcW w:w="2219" w:type="dxa"/>
          </w:tcPr>
          <w:p>
            <w:pPr>
              <w:pStyle w:val="TableParagraph"/>
              <w:spacing w:before="0" w:line="308" w:lineRule="exact"/>
              <w:ind w:left="467"/>
              <w:rPr>
                <w:sz w:val="27"/>
              </w:rPr>
            </w:pPr>
            <w:r>
              <w:rPr>
                <w:sz w:val="27"/>
              </w:rPr>
              <w:t>时期</w:t>
            </w:r>
          </w:p>
        </w:tc>
        <w:tc>
          <w:tcPr>
            <w:tcW w:w="2997" w:type="dxa"/>
          </w:tcPr>
          <w:p>
            <w:pPr>
              <w:pStyle w:val="TableParagraph"/>
              <w:spacing w:before="0" w:line="308" w:lineRule="exact"/>
              <w:ind w:left="805"/>
              <w:rPr>
                <w:sz w:val="27"/>
              </w:rPr>
            </w:pPr>
            <w:r>
              <w:rPr>
                <w:sz w:val="27"/>
              </w:rPr>
              <w:t>样本</w:t>
            </w:r>
          </w:p>
        </w:tc>
        <w:tc>
          <w:tcPr>
            <w:tcW w:w="2286" w:type="dxa"/>
          </w:tcPr>
          <w:p>
            <w:pPr>
              <w:pStyle w:val="TableParagraph"/>
              <w:spacing w:before="0" w:line="308" w:lineRule="exact"/>
              <w:ind w:left="365"/>
              <w:rPr>
                <w:sz w:val="27"/>
              </w:rPr>
            </w:pPr>
            <w:r>
              <w:rPr>
                <w:sz w:val="27"/>
              </w:rPr>
              <w:t>TFP 增长率</w:t>
            </w:r>
          </w:p>
        </w:tc>
        <w:tc>
          <w:tcPr>
            <w:tcW w:w="2241" w:type="dxa"/>
          </w:tcPr>
          <w:p>
            <w:pPr>
              <w:pStyle w:val="TableParagraph"/>
              <w:spacing w:before="0" w:line="308" w:lineRule="exact"/>
              <w:ind w:left="635"/>
              <w:rPr>
                <w:sz w:val="27"/>
              </w:rPr>
            </w:pPr>
            <w:r>
              <w:rPr>
                <w:sz w:val="27"/>
              </w:rPr>
              <w:t>TFP</w:t>
            </w:r>
            <w:r>
              <w:rPr>
                <w:spacing w:val="-14"/>
                <w:sz w:val="27"/>
              </w:rPr>
              <w:t xml:space="preserve"> 贡献份额</w:t>
            </w:r>
          </w:p>
        </w:tc>
      </w:tr>
      <w:tr>
        <w:tblPrEx>
          <w:tblW w:w="0" w:type="auto"/>
          <w:jc w:val="left"/>
          <w:tblInd w:w="354" w:type="dxa"/>
          <w:tblLayout w:type="fixed"/>
          <w:tblCellMar>
            <w:top w:w="0" w:type="dxa"/>
            <w:left w:w="0" w:type="dxa"/>
            <w:bottom w:w="0" w:type="dxa"/>
            <w:right w:w="0" w:type="dxa"/>
          </w:tblCellMar>
          <w:tblLook w:val="01E0"/>
        </w:tblPrEx>
        <w:trPr>
          <w:trHeight w:val="481"/>
          <w:jc w:val="left"/>
        </w:trPr>
        <w:tc>
          <w:tcPr>
            <w:tcW w:w="2138" w:type="dxa"/>
          </w:tcPr>
          <w:p>
            <w:pPr>
              <w:pStyle w:val="TableParagraph"/>
              <w:spacing w:before="74"/>
              <w:ind w:left="50"/>
              <w:rPr>
                <w:sz w:val="27"/>
              </w:rPr>
            </w:pPr>
            <w:r>
              <w:rPr>
                <w:sz w:val="27"/>
              </w:rPr>
              <w:t>谢千里等</w:t>
            </w:r>
          </w:p>
        </w:tc>
        <w:tc>
          <w:tcPr>
            <w:tcW w:w="2219" w:type="dxa"/>
          </w:tcPr>
          <w:p>
            <w:pPr>
              <w:pStyle w:val="TableParagraph"/>
              <w:spacing w:before="74"/>
              <w:ind w:left="467"/>
              <w:rPr>
                <w:sz w:val="27"/>
              </w:rPr>
            </w:pPr>
            <w:r>
              <w:rPr>
                <w:sz w:val="27"/>
              </w:rPr>
              <w:t>1980-92</w:t>
            </w:r>
          </w:p>
        </w:tc>
        <w:tc>
          <w:tcPr>
            <w:tcW w:w="2997" w:type="dxa"/>
          </w:tcPr>
          <w:p>
            <w:pPr>
              <w:pStyle w:val="TableParagraph"/>
              <w:spacing w:before="74"/>
              <w:ind w:left="805"/>
              <w:rPr>
                <w:sz w:val="27"/>
              </w:rPr>
            </w:pPr>
            <w:r>
              <w:rPr>
                <w:sz w:val="27"/>
              </w:rPr>
              <w:t>总和数据</w:t>
            </w:r>
          </w:p>
        </w:tc>
        <w:tc>
          <w:tcPr>
            <w:tcW w:w="2286" w:type="dxa"/>
          </w:tcPr>
          <w:p>
            <w:pPr>
              <w:pStyle w:val="TableParagraph"/>
              <w:spacing w:before="74"/>
              <w:ind w:left="365"/>
              <w:rPr>
                <w:sz w:val="27"/>
              </w:rPr>
            </w:pPr>
            <w:r>
              <w:rPr>
                <w:sz w:val="27"/>
              </w:rPr>
              <w:t>2.5%</w:t>
            </w:r>
          </w:p>
        </w:tc>
        <w:tc>
          <w:tcPr>
            <w:tcW w:w="2241" w:type="dxa"/>
          </w:tcPr>
          <w:p>
            <w:pPr>
              <w:pStyle w:val="TableParagraph"/>
              <w:spacing w:before="74"/>
              <w:ind w:left="635"/>
              <w:rPr>
                <w:sz w:val="27"/>
              </w:rPr>
            </w:pPr>
            <w:r>
              <w:rPr>
                <w:sz w:val="27"/>
              </w:rPr>
              <w:t>36.2%</w:t>
            </w:r>
          </w:p>
        </w:tc>
      </w:tr>
      <w:tr>
        <w:tblPrEx>
          <w:tblW w:w="0" w:type="auto"/>
          <w:jc w:val="left"/>
          <w:tblInd w:w="354" w:type="dxa"/>
          <w:tblLayout w:type="fixed"/>
          <w:tblCellMar>
            <w:top w:w="0" w:type="dxa"/>
            <w:left w:w="0" w:type="dxa"/>
            <w:bottom w:w="0" w:type="dxa"/>
            <w:right w:w="0" w:type="dxa"/>
          </w:tblCellMar>
          <w:tblLook w:val="01E0"/>
        </w:tblPrEx>
        <w:trPr>
          <w:trHeight w:val="467"/>
          <w:jc w:val="left"/>
        </w:trPr>
        <w:tc>
          <w:tcPr>
            <w:tcW w:w="2138" w:type="dxa"/>
          </w:tcPr>
          <w:p>
            <w:pPr>
              <w:pStyle w:val="TableParagraph"/>
              <w:ind w:left="50"/>
              <w:rPr>
                <w:sz w:val="27"/>
              </w:rPr>
            </w:pPr>
            <w:r>
              <w:rPr>
                <w:sz w:val="27"/>
              </w:rPr>
              <w:t>胡永泰等</w:t>
            </w:r>
          </w:p>
        </w:tc>
        <w:tc>
          <w:tcPr>
            <w:tcW w:w="2219" w:type="dxa"/>
          </w:tcPr>
          <w:p>
            <w:pPr>
              <w:pStyle w:val="TableParagraph"/>
              <w:ind w:left="467"/>
              <w:rPr>
                <w:sz w:val="27"/>
              </w:rPr>
            </w:pPr>
            <w:r>
              <w:rPr>
                <w:sz w:val="27"/>
              </w:rPr>
              <w:t>1984-88</w:t>
            </w:r>
          </w:p>
        </w:tc>
        <w:tc>
          <w:tcPr>
            <w:tcW w:w="2997" w:type="dxa"/>
          </w:tcPr>
          <w:p>
            <w:pPr>
              <w:pStyle w:val="TableParagraph"/>
              <w:ind w:left="805"/>
              <w:rPr>
                <w:sz w:val="27"/>
              </w:rPr>
            </w:pPr>
            <w:r>
              <w:rPr>
                <w:sz w:val="27"/>
              </w:rPr>
              <w:t>300 家国有企业</w:t>
            </w:r>
          </w:p>
        </w:tc>
        <w:tc>
          <w:tcPr>
            <w:tcW w:w="2286" w:type="dxa"/>
          </w:tcPr>
          <w:p>
            <w:pPr>
              <w:pStyle w:val="TableParagraph"/>
              <w:ind w:left="365"/>
              <w:rPr>
                <w:sz w:val="27"/>
              </w:rPr>
            </w:pPr>
            <w:r>
              <w:rPr>
                <w:sz w:val="27"/>
              </w:rPr>
              <w:t>≤0</w:t>
            </w:r>
          </w:p>
        </w:tc>
        <w:tc>
          <w:tcPr>
            <w:tcW w:w="2241" w:type="dxa"/>
          </w:tcPr>
          <w:p>
            <w:pPr>
              <w:pStyle w:val="TableParagraph"/>
              <w:ind w:left="635"/>
              <w:rPr>
                <w:sz w:val="27"/>
              </w:rPr>
            </w:pPr>
            <w:r>
              <w:rPr>
                <w:sz w:val="27"/>
              </w:rPr>
              <w:t>≤0</w:t>
            </w:r>
          </w:p>
        </w:tc>
      </w:tr>
      <w:tr>
        <w:tblPrEx>
          <w:tblW w:w="0" w:type="auto"/>
          <w:jc w:val="left"/>
          <w:tblInd w:w="354" w:type="dxa"/>
          <w:tblLayout w:type="fixed"/>
          <w:tblCellMar>
            <w:top w:w="0" w:type="dxa"/>
            <w:left w:w="0" w:type="dxa"/>
            <w:bottom w:w="0" w:type="dxa"/>
            <w:right w:w="0" w:type="dxa"/>
          </w:tblCellMar>
          <w:tblLook w:val="01E0"/>
        </w:tblPrEx>
        <w:trPr>
          <w:trHeight w:val="468"/>
          <w:jc w:val="left"/>
        </w:trPr>
        <w:tc>
          <w:tcPr>
            <w:tcW w:w="2138" w:type="dxa"/>
          </w:tcPr>
          <w:p>
            <w:pPr>
              <w:pStyle w:val="TableParagraph"/>
              <w:ind w:left="50"/>
              <w:rPr>
                <w:sz w:val="27"/>
              </w:rPr>
            </w:pPr>
            <w:r>
              <w:rPr>
                <w:sz w:val="27"/>
              </w:rPr>
              <w:t>Perkins</w:t>
            </w:r>
          </w:p>
        </w:tc>
        <w:tc>
          <w:tcPr>
            <w:tcW w:w="2219" w:type="dxa"/>
          </w:tcPr>
          <w:p>
            <w:pPr>
              <w:pStyle w:val="TableParagraph"/>
              <w:ind w:left="467"/>
              <w:rPr>
                <w:sz w:val="27"/>
              </w:rPr>
            </w:pPr>
            <w:r>
              <w:rPr>
                <w:sz w:val="27"/>
              </w:rPr>
              <w:t>1980-92</w:t>
            </w:r>
          </w:p>
        </w:tc>
        <w:tc>
          <w:tcPr>
            <w:tcW w:w="2997" w:type="dxa"/>
          </w:tcPr>
          <w:p>
            <w:pPr>
              <w:pStyle w:val="TableParagraph"/>
              <w:ind w:left="805"/>
              <w:rPr>
                <w:sz w:val="27"/>
              </w:rPr>
            </w:pPr>
            <w:r>
              <w:rPr>
                <w:sz w:val="27"/>
              </w:rPr>
              <w:t>300 家企业</w:t>
            </w:r>
          </w:p>
        </w:tc>
        <w:tc>
          <w:tcPr>
            <w:tcW w:w="2286" w:type="dxa"/>
          </w:tcPr>
          <w:p>
            <w:pPr>
              <w:pStyle w:val="TableParagraph"/>
              <w:ind w:left="365"/>
              <w:rPr>
                <w:sz w:val="27"/>
              </w:rPr>
            </w:pPr>
            <w:r>
              <w:rPr>
                <w:sz w:val="27"/>
              </w:rPr>
              <w:t>2.7%</w:t>
            </w:r>
          </w:p>
        </w:tc>
        <w:tc>
          <w:tcPr>
            <w:tcW w:w="2241" w:type="dxa"/>
          </w:tcPr>
          <w:p>
            <w:pPr>
              <w:pStyle w:val="TableParagraph"/>
              <w:spacing w:before="0"/>
              <w:rPr>
                <w:rFonts w:ascii="Times New Roman"/>
                <w:sz w:val="28"/>
              </w:rPr>
            </w:pPr>
          </w:p>
        </w:tc>
      </w:tr>
      <w:tr>
        <w:tblPrEx>
          <w:tblW w:w="0" w:type="auto"/>
          <w:jc w:val="left"/>
          <w:tblInd w:w="354" w:type="dxa"/>
          <w:tblLayout w:type="fixed"/>
          <w:tblCellMar>
            <w:top w:w="0" w:type="dxa"/>
            <w:left w:w="0" w:type="dxa"/>
            <w:bottom w:w="0" w:type="dxa"/>
            <w:right w:w="0" w:type="dxa"/>
          </w:tblCellMar>
          <w:tblLook w:val="01E0"/>
        </w:tblPrEx>
        <w:trPr>
          <w:trHeight w:val="467"/>
          <w:jc w:val="left"/>
        </w:trPr>
        <w:tc>
          <w:tcPr>
            <w:tcW w:w="2138" w:type="dxa"/>
          </w:tcPr>
          <w:p>
            <w:pPr>
              <w:pStyle w:val="TableParagraph"/>
              <w:ind w:left="50"/>
              <w:rPr>
                <w:sz w:val="27"/>
              </w:rPr>
            </w:pPr>
            <w:r>
              <w:rPr>
                <w:sz w:val="27"/>
              </w:rPr>
              <w:t>Li Wei</w:t>
            </w:r>
          </w:p>
        </w:tc>
        <w:tc>
          <w:tcPr>
            <w:tcW w:w="2219" w:type="dxa"/>
          </w:tcPr>
          <w:p>
            <w:pPr>
              <w:pStyle w:val="TableParagraph"/>
              <w:ind w:left="467"/>
              <w:rPr>
                <w:sz w:val="27"/>
              </w:rPr>
            </w:pPr>
            <w:r>
              <w:rPr>
                <w:sz w:val="27"/>
              </w:rPr>
              <w:t>1980-89</w:t>
            </w:r>
          </w:p>
        </w:tc>
        <w:tc>
          <w:tcPr>
            <w:tcW w:w="2997" w:type="dxa"/>
          </w:tcPr>
          <w:p>
            <w:pPr>
              <w:pStyle w:val="TableParagraph"/>
              <w:ind w:left="805"/>
              <w:rPr>
                <w:sz w:val="27"/>
              </w:rPr>
            </w:pPr>
            <w:r>
              <w:rPr>
                <w:sz w:val="27"/>
              </w:rPr>
              <w:t>272 家国有企业</w:t>
            </w:r>
          </w:p>
        </w:tc>
        <w:tc>
          <w:tcPr>
            <w:tcW w:w="2286" w:type="dxa"/>
          </w:tcPr>
          <w:p>
            <w:pPr>
              <w:pStyle w:val="TableParagraph"/>
              <w:ind w:left="365"/>
              <w:rPr>
                <w:sz w:val="27"/>
              </w:rPr>
            </w:pPr>
            <w:r>
              <w:rPr>
                <w:sz w:val="27"/>
              </w:rPr>
              <w:t>4.68%</w:t>
            </w:r>
          </w:p>
        </w:tc>
        <w:tc>
          <w:tcPr>
            <w:tcW w:w="2241" w:type="dxa"/>
          </w:tcPr>
          <w:p>
            <w:pPr>
              <w:pStyle w:val="TableParagraph"/>
              <w:spacing w:before="0"/>
              <w:rPr>
                <w:rFonts w:ascii="Times New Roman"/>
                <w:sz w:val="28"/>
              </w:rPr>
            </w:pPr>
          </w:p>
        </w:tc>
      </w:tr>
      <w:tr>
        <w:tblPrEx>
          <w:tblW w:w="0" w:type="auto"/>
          <w:jc w:val="left"/>
          <w:tblInd w:w="354" w:type="dxa"/>
          <w:tblLayout w:type="fixed"/>
          <w:tblCellMar>
            <w:top w:w="0" w:type="dxa"/>
            <w:left w:w="0" w:type="dxa"/>
            <w:bottom w:w="0" w:type="dxa"/>
            <w:right w:w="0" w:type="dxa"/>
          </w:tblCellMar>
          <w:tblLook w:val="01E0"/>
        </w:tblPrEx>
        <w:trPr>
          <w:trHeight w:val="468"/>
          <w:jc w:val="left"/>
        </w:trPr>
        <w:tc>
          <w:tcPr>
            <w:tcW w:w="2138" w:type="dxa"/>
          </w:tcPr>
          <w:p>
            <w:pPr>
              <w:pStyle w:val="TableParagraph"/>
              <w:ind w:left="50"/>
              <w:rPr>
                <w:sz w:val="27"/>
              </w:rPr>
            </w:pPr>
            <w:r>
              <w:rPr>
                <w:sz w:val="27"/>
              </w:rPr>
              <w:t>林青松</w:t>
            </w:r>
          </w:p>
        </w:tc>
        <w:tc>
          <w:tcPr>
            <w:tcW w:w="2219" w:type="dxa"/>
          </w:tcPr>
          <w:p>
            <w:pPr>
              <w:pStyle w:val="TableParagraph"/>
              <w:ind w:left="467"/>
              <w:rPr>
                <w:sz w:val="27"/>
              </w:rPr>
            </w:pPr>
            <w:r>
              <w:rPr>
                <w:sz w:val="27"/>
              </w:rPr>
              <w:t>1980-90</w:t>
            </w:r>
          </w:p>
        </w:tc>
        <w:tc>
          <w:tcPr>
            <w:tcW w:w="2997" w:type="dxa"/>
          </w:tcPr>
          <w:p>
            <w:pPr>
              <w:pStyle w:val="TableParagraph"/>
              <w:ind w:left="805"/>
              <w:rPr>
                <w:sz w:val="27"/>
              </w:rPr>
            </w:pPr>
            <w:r>
              <w:rPr>
                <w:sz w:val="27"/>
              </w:rPr>
              <w:t>961 家国有企业</w:t>
            </w:r>
          </w:p>
        </w:tc>
        <w:tc>
          <w:tcPr>
            <w:tcW w:w="2286" w:type="dxa"/>
          </w:tcPr>
          <w:p>
            <w:pPr>
              <w:pStyle w:val="TableParagraph"/>
              <w:ind w:left="365"/>
              <w:rPr>
                <w:sz w:val="27"/>
              </w:rPr>
            </w:pPr>
            <w:r>
              <w:rPr>
                <w:sz w:val="27"/>
              </w:rPr>
              <w:t>1.5%</w:t>
            </w:r>
          </w:p>
        </w:tc>
        <w:tc>
          <w:tcPr>
            <w:tcW w:w="2241" w:type="dxa"/>
          </w:tcPr>
          <w:p>
            <w:pPr>
              <w:pStyle w:val="TableParagraph"/>
              <w:ind w:left="635"/>
              <w:rPr>
                <w:sz w:val="27"/>
              </w:rPr>
            </w:pPr>
            <w:r>
              <w:rPr>
                <w:sz w:val="27"/>
              </w:rPr>
              <w:t>31.3%</w:t>
            </w:r>
          </w:p>
        </w:tc>
      </w:tr>
      <w:tr>
        <w:tblPrEx>
          <w:tblW w:w="0" w:type="auto"/>
          <w:jc w:val="left"/>
          <w:tblInd w:w="354" w:type="dxa"/>
          <w:tblLayout w:type="fixed"/>
          <w:tblCellMar>
            <w:top w:w="0" w:type="dxa"/>
            <w:left w:w="0" w:type="dxa"/>
            <w:bottom w:w="0" w:type="dxa"/>
            <w:right w:w="0" w:type="dxa"/>
          </w:tblCellMar>
          <w:tblLook w:val="01E0"/>
        </w:tblPrEx>
        <w:trPr>
          <w:trHeight w:val="369"/>
          <w:jc w:val="left"/>
        </w:trPr>
        <w:tc>
          <w:tcPr>
            <w:tcW w:w="2138" w:type="dxa"/>
          </w:tcPr>
          <w:p>
            <w:pPr>
              <w:pStyle w:val="TableParagraph"/>
              <w:spacing w:line="288" w:lineRule="exact"/>
              <w:ind w:left="50"/>
              <w:rPr>
                <w:sz w:val="27"/>
              </w:rPr>
            </w:pPr>
            <w:r>
              <w:rPr>
                <w:sz w:val="27"/>
              </w:rPr>
              <w:t>Groves et al</w:t>
            </w:r>
          </w:p>
        </w:tc>
        <w:tc>
          <w:tcPr>
            <w:tcW w:w="2219" w:type="dxa"/>
          </w:tcPr>
          <w:p>
            <w:pPr>
              <w:pStyle w:val="TableParagraph"/>
              <w:spacing w:line="288" w:lineRule="exact"/>
              <w:ind w:left="467"/>
              <w:rPr>
                <w:sz w:val="27"/>
              </w:rPr>
            </w:pPr>
            <w:r>
              <w:rPr>
                <w:sz w:val="27"/>
              </w:rPr>
              <w:t>1980-89</w:t>
            </w:r>
          </w:p>
        </w:tc>
        <w:tc>
          <w:tcPr>
            <w:tcW w:w="2997" w:type="dxa"/>
          </w:tcPr>
          <w:p>
            <w:pPr>
              <w:pStyle w:val="TableParagraph"/>
              <w:spacing w:line="288" w:lineRule="exact"/>
              <w:ind w:left="805"/>
              <w:rPr>
                <w:sz w:val="27"/>
              </w:rPr>
            </w:pPr>
            <w:r>
              <w:rPr>
                <w:sz w:val="27"/>
              </w:rPr>
              <w:t>769 家国有企业</w:t>
            </w:r>
          </w:p>
        </w:tc>
        <w:tc>
          <w:tcPr>
            <w:tcW w:w="2286" w:type="dxa"/>
          </w:tcPr>
          <w:p>
            <w:pPr>
              <w:pStyle w:val="TableParagraph"/>
              <w:spacing w:line="288" w:lineRule="exact"/>
              <w:ind w:left="365"/>
              <w:rPr>
                <w:sz w:val="27"/>
              </w:rPr>
            </w:pPr>
            <w:r>
              <w:rPr>
                <w:sz w:val="27"/>
              </w:rPr>
              <w:t>4.5%</w:t>
            </w:r>
          </w:p>
        </w:tc>
        <w:tc>
          <w:tcPr>
            <w:tcW w:w="2241" w:type="dxa"/>
          </w:tcPr>
          <w:p>
            <w:pPr>
              <w:pStyle w:val="TableParagraph"/>
              <w:spacing w:before="0"/>
              <w:rPr>
                <w:rFonts w:ascii="Times New Roman"/>
                <w:sz w:val="28"/>
              </w:rPr>
            </w:pPr>
          </w:p>
        </w:tc>
      </w:tr>
    </w:tbl>
    <w:p>
      <w:pPr>
        <w:pStyle w:val="BodyText"/>
        <w:spacing w:line="59" w:lineRule="exact"/>
        <w:ind w:left="200"/>
        <w:rPr>
          <w:rFonts w:ascii="黑体"/>
          <w:sz w:val="5"/>
        </w:rPr>
      </w:pPr>
      <w:r>
        <w:rPr>
          <w:rFonts w:ascii="黑体"/>
          <w:position w:val="0"/>
          <w:sz w:val="5"/>
        </w:rPr>
        <w:drawing>
          <wp:inline distT="0" distB="0" distL="0" distR="0">
            <wp:extent cx="8133016" cy="38004"/>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133016" cy="38004"/>
                    </a:xfrm>
                    <a:prstGeom prst="rect">
                      <a:avLst/>
                    </a:prstGeom>
                  </pic:spPr>
                </pic:pic>
              </a:graphicData>
            </a:graphic>
          </wp:inline>
        </w:drawing>
      </w:r>
    </w:p>
    <w:p>
      <w:pPr>
        <w:spacing w:before="143" w:line="309" w:lineRule="auto"/>
        <w:ind w:left="1747" w:right="1392" w:hanging="1350"/>
        <w:jc w:val="both"/>
        <w:rPr>
          <w:sz w:val="27"/>
        </w:rPr>
      </w:pPr>
      <w:r>
        <w:rPr>
          <w:spacing w:val="-8"/>
          <w:sz w:val="27"/>
        </w:rPr>
        <w:t>资料来源：谢千里等</w:t>
      </w:r>
      <w:r>
        <w:rPr>
          <w:spacing w:val="-20"/>
          <w:sz w:val="27"/>
        </w:rPr>
        <w:t>：〈改革以来中国工业企业生产率变动趋势估计及其可靠性分析〉</w:t>
      </w:r>
      <w:r>
        <w:rPr>
          <w:spacing w:val="-36"/>
          <w:sz w:val="27"/>
        </w:rPr>
        <w:t>，〈经济研究〉</w:t>
      </w:r>
      <w:r>
        <w:rPr>
          <w:sz w:val="27"/>
        </w:rPr>
        <w:t>1995 年</w:t>
      </w:r>
      <w:r>
        <w:rPr>
          <w:spacing w:val="-34"/>
          <w:sz w:val="27"/>
        </w:rPr>
        <w:t xml:space="preserve">第 </w:t>
      </w:r>
      <w:r>
        <w:rPr>
          <w:sz w:val="27"/>
        </w:rPr>
        <w:t>12</w:t>
      </w:r>
      <w:r>
        <w:rPr>
          <w:spacing w:val="-46"/>
          <w:sz w:val="27"/>
        </w:rPr>
        <w:t xml:space="preserve"> 期，</w:t>
      </w:r>
      <w:r>
        <w:rPr>
          <w:sz w:val="27"/>
        </w:rPr>
        <w:t>；Woo et   al</w:t>
      </w:r>
      <w:r>
        <w:rPr>
          <w:spacing w:val="-11"/>
          <w:sz w:val="27"/>
        </w:rPr>
        <w:t>.，</w:t>
      </w:r>
      <w:r>
        <w:rPr>
          <w:w w:val="101"/>
          <w:position w:val="1"/>
          <w:sz w:val="28"/>
        </w:rPr>
        <w:t>How</w:t>
      </w:r>
      <w:r>
        <w:rPr>
          <w:spacing w:val="2"/>
          <w:position w:val="1"/>
          <w:sz w:val="28"/>
        </w:rPr>
        <w:t xml:space="preserve"> </w:t>
      </w:r>
      <w:r>
        <w:rPr>
          <w:w w:val="101"/>
          <w:position w:val="1"/>
          <w:sz w:val="28"/>
        </w:rPr>
        <w:t>Successful</w:t>
      </w:r>
      <w:r>
        <w:rPr>
          <w:spacing w:val="2"/>
          <w:position w:val="1"/>
          <w:sz w:val="28"/>
        </w:rPr>
        <w:t xml:space="preserve"> </w:t>
      </w:r>
      <w:r>
        <w:rPr>
          <w:w w:val="101"/>
          <w:position w:val="1"/>
          <w:sz w:val="28"/>
        </w:rPr>
        <w:t>Has</w:t>
      </w:r>
      <w:r>
        <w:rPr>
          <w:spacing w:val="2"/>
          <w:position w:val="1"/>
          <w:sz w:val="28"/>
        </w:rPr>
        <w:t xml:space="preserve"> </w:t>
      </w:r>
      <w:r>
        <w:rPr>
          <w:w w:val="101"/>
          <w:position w:val="1"/>
          <w:sz w:val="28"/>
        </w:rPr>
        <w:t>Chinese</w:t>
      </w:r>
      <w:r>
        <w:rPr>
          <w:spacing w:val="2"/>
          <w:position w:val="1"/>
          <w:sz w:val="28"/>
        </w:rPr>
        <w:t xml:space="preserve"> </w:t>
      </w:r>
      <w:r>
        <w:rPr>
          <w:w w:val="101"/>
          <w:position w:val="1"/>
          <w:sz w:val="28"/>
        </w:rPr>
        <w:t>Enterprise</w:t>
      </w:r>
      <w:r>
        <w:rPr>
          <w:spacing w:val="2"/>
          <w:position w:val="1"/>
          <w:sz w:val="28"/>
        </w:rPr>
        <w:t xml:space="preserve"> </w:t>
      </w:r>
      <w:r>
        <w:rPr>
          <w:w w:val="101"/>
          <w:position w:val="1"/>
          <w:sz w:val="28"/>
        </w:rPr>
        <w:t>Reform</w:t>
      </w:r>
      <w:r>
        <w:rPr>
          <w:spacing w:val="2"/>
          <w:position w:val="1"/>
          <w:sz w:val="28"/>
        </w:rPr>
        <w:t xml:space="preserve"> </w:t>
      </w:r>
      <w:r>
        <w:rPr>
          <w:spacing w:val="-57"/>
          <w:w w:val="101"/>
          <w:position w:val="1"/>
          <w:sz w:val="28"/>
        </w:rPr>
        <w:t>B</w:t>
      </w:r>
      <w:r>
        <w:rPr>
          <w:spacing w:val="-228"/>
          <w:w w:val="101"/>
          <w:position w:val="1"/>
          <w:sz w:val="28"/>
        </w:rPr>
        <w:t>？</w:t>
      </w:r>
      <w:r>
        <w:rPr>
          <w:w w:val="101"/>
          <w:position w:val="1"/>
          <w:sz w:val="28"/>
        </w:rPr>
        <w:t>e</w:t>
      </w:r>
      <w:r>
        <w:rPr>
          <w:spacing w:val="-76"/>
          <w:w w:val="101"/>
          <w:position w:val="1"/>
          <w:sz w:val="28"/>
        </w:rPr>
        <w:t>e</w:t>
      </w:r>
      <w:r>
        <w:rPr>
          <w:spacing w:val="-68"/>
          <w:w w:val="101"/>
          <w:position w:val="1"/>
          <w:sz w:val="28"/>
        </w:rPr>
        <w:t>P</w:t>
      </w:r>
      <w:r>
        <w:rPr>
          <w:spacing w:val="-76"/>
          <w:w w:val="101"/>
          <w:position w:val="1"/>
          <w:sz w:val="28"/>
        </w:rPr>
        <w:t>n</w:t>
      </w:r>
      <w:r>
        <w:rPr>
          <w:w w:val="101"/>
          <w:position w:val="1"/>
          <w:sz w:val="28"/>
        </w:rPr>
        <w:t>itfalls in</w:t>
      </w:r>
      <w:r>
        <w:rPr>
          <w:spacing w:val="2"/>
          <w:position w:val="1"/>
          <w:sz w:val="28"/>
        </w:rPr>
        <w:t xml:space="preserve"> </w:t>
      </w:r>
      <w:r>
        <w:rPr>
          <w:w w:val="101"/>
          <w:position w:val="1"/>
          <w:sz w:val="28"/>
        </w:rPr>
        <w:t>Opposite</w:t>
      </w:r>
      <w:r>
        <w:rPr>
          <w:spacing w:val="2"/>
          <w:position w:val="1"/>
          <w:sz w:val="28"/>
        </w:rPr>
        <w:t xml:space="preserve"> </w:t>
      </w:r>
      <w:r>
        <w:rPr>
          <w:w w:val="101"/>
          <w:position w:val="1"/>
          <w:sz w:val="28"/>
        </w:rPr>
        <w:t>Biases</w:t>
      </w:r>
      <w:r>
        <w:rPr>
          <w:spacing w:val="2"/>
          <w:position w:val="1"/>
          <w:sz w:val="28"/>
        </w:rPr>
        <w:t xml:space="preserve"> </w:t>
      </w:r>
      <w:r>
        <w:rPr>
          <w:w w:val="101"/>
          <w:position w:val="1"/>
          <w:sz w:val="28"/>
        </w:rPr>
        <w:t>and</w:t>
      </w:r>
      <w:r>
        <w:rPr>
          <w:spacing w:val="2"/>
          <w:position w:val="1"/>
          <w:sz w:val="28"/>
        </w:rPr>
        <w:t xml:space="preserve"> </w:t>
      </w:r>
      <w:r>
        <w:rPr>
          <w:w w:val="101"/>
          <w:position w:val="1"/>
          <w:sz w:val="28"/>
        </w:rPr>
        <w:t>Foc</w:t>
      </w:r>
      <w:r>
        <w:rPr>
          <w:spacing w:val="-109"/>
          <w:w w:val="101"/>
          <w:position w:val="1"/>
          <w:sz w:val="28"/>
        </w:rPr>
        <w:t>u</w:t>
      </w:r>
      <w:r>
        <w:rPr>
          <w:spacing w:val="-177"/>
          <w:w w:val="101"/>
          <w:position w:val="1"/>
          <w:sz w:val="28"/>
        </w:rPr>
        <w:t>，</w:t>
      </w:r>
      <w:r>
        <w:rPr>
          <w:spacing w:val="19"/>
          <w:w w:val="101"/>
          <w:position w:val="1"/>
          <w:sz w:val="28"/>
        </w:rPr>
        <w:t>s</w:t>
      </w:r>
      <w:r>
        <w:rPr>
          <w:w w:val="101"/>
          <w:position w:val="1"/>
          <w:sz w:val="28"/>
        </w:rPr>
        <w:t>Journal</w:t>
      </w:r>
      <w:r>
        <w:rPr>
          <w:spacing w:val="2"/>
          <w:position w:val="1"/>
          <w:sz w:val="28"/>
        </w:rPr>
        <w:t xml:space="preserve"> </w:t>
      </w:r>
      <w:r>
        <w:rPr>
          <w:w w:val="101"/>
          <w:position w:val="1"/>
          <w:sz w:val="28"/>
        </w:rPr>
        <w:t>of</w:t>
      </w:r>
      <w:r>
        <w:rPr>
          <w:spacing w:val="2"/>
          <w:position w:val="1"/>
          <w:sz w:val="28"/>
        </w:rPr>
        <w:t xml:space="preserve"> </w:t>
      </w:r>
      <w:r>
        <w:rPr>
          <w:w w:val="101"/>
          <w:position w:val="1"/>
          <w:sz w:val="28"/>
        </w:rPr>
        <w:t>Comparative</w:t>
      </w:r>
      <w:r>
        <w:rPr>
          <w:spacing w:val="2"/>
          <w:position w:val="1"/>
          <w:sz w:val="28"/>
        </w:rPr>
        <w:t xml:space="preserve"> </w:t>
      </w:r>
      <w:r>
        <w:rPr>
          <w:w w:val="101"/>
          <w:position w:val="1"/>
          <w:sz w:val="28"/>
        </w:rPr>
        <w:t>Economi</w:t>
      </w:r>
      <w:r>
        <w:rPr>
          <w:spacing w:val="-127"/>
          <w:w w:val="101"/>
          <w:position w:val="1"/>
          <w:sz w:val="28"/>
        </w:rPr>
        <w:t>c</w:t>
      </w:r>
      <w:r>
        <w:rPr>
          <w:spacing w:val="-158"/>
          <w:w w:val="101"/>
          <w:position w:val="1"/>
          <w:sz w:val="28"/>
        </w:rPr>
        <w:t>，</w:t>
      </w:r>
      <w:r>
        <w:rPr>
          <w:spacing w:val="1"/>
          <w:w w:val="101"/>
          <w:position w:val="1"/>
          <w:sz w:val="28"/>
        </w:rPr>
        <w:t>s</w:t>
      </w:r>
      <w:r>
        <w:rPr>
          <w:spacing w:val="2"/>
          <w:sz w:val="27"/>
        </w:rPr>
        <w:t>3</w:t>
      </w:r>
      <w:r>
        <w:rPr>
          <w:spacing w:val="-137"/>
          <w:sz w:val="27"/>
        </w:rPr>
        <w:t>：</w:t>
      </w:r>
      <w:r>
        <w:rPr>
          <w:sz w:val="27"/>
        </w:rPr>
        <w:t>，199</w:t>
      </w:r>
      <w:r>
        <w:rPr>
          <w:spacing w:val="1"/>
          <w:sz w:val="27"/>
        </w:rPr>
        <w:t>4</w:t>
      </w:r>
      <w:r>
        <w:rPr>
          <w:sz w:val="27"/>
        </w:rPr>
        <w:t>；Perkins</w:t>
      </w:r>
      <w:r>
        <w:rPr>
          <w:spacing w:val="-8"/>
          <w:sz w:val="27"/>
        </w:rPr>
        <w:t xml:space="preserve"> ，</w:t>
      </w:r>
      <w:r>
        <w:rPr>
          <w:sz w:val="27"/>
        </w:rPr>
        <w:t xml:space="preserve"> F.C</w:t>
      </w:r>
      <w:r>
        <w:rPr>
          <w:spacing w:val="3"/>
          <w:sz w:val="27"/>
        </w:rPr>
        <w:t>.，</w:t>
      </w:r>
      <w:r>
        <w:rPr>
          <w:w w:val="101"/>
          <w:position w:val="1"/>
          <w:sz w:val="28"/>
        </w:rPr>
        <w:t>Productivity</w:t>
      </w:r>
      <w:r>
        <w:rPr>
          <w:spacing w:val="2"/>
          <w:position w:val="1"/>
          <w:sz w:val="28"/>
        </w:rPr>
        <w:t xml:space="preserve">  </w:t>
      </w:r>
      <w:r>
        <w:rPr>
          <w:w w:val="101"/>
          <w:position w:val="1"/>
          <w:sz w:val="28"/>
        </w:rPr>
        <w:t>Performs</w:t>
      </w:r>
      <w:r>
        <w:rPr>
          <w:spacing w:val="2"/>
          <w:position w:val="1"/>
          <w:sz w:val="28"/>
        </w:rPr>
        <w:t xml:space="preserve"> </w:t>
      </w:r>
      <w:r>
        <w:rPr>
          <w:w w:val="101"/>
          <w:position w:val="1"/>
          <w:sz w:val="28"/>
        </w:rPr>
        <w:t>and</w:t>
      </w:r>
      <w:r>
        <w:rPr>
          <w:spacing w:val="2"/>
          <w:position w:val="1"/>
          <w:sz w:val="28"/>
        </w:rPr>
        <w:t xml:space="preserve"> </w:t>
      </w:r>
      <w:r>
        <w:rPr>
          <w:w w:val="101"/>
          <w:position w:val="1"/>
          <w:sz w:val="28"/>
        </w:rPr>
        <w:t>Priorities</w:t>
      </w:r>
      <w:r>
        <w:rPr>
          <w:spacing w:val="2"/>
          <w:position w:val="1"/>
          <w:sz w:val="28"/>
        </w:rPr>
        <w:t xml:space="preserve"> </w:t>
      </w:r>
      <w:r>
        <w:rPr>
          <w:w w:val="101"/>
          <w:position w:val="1"/>
          <w:sz w:val="28"/>
        </w:rPr>
        <w:t>for</w:t>
      </w:r>
      <w:r>
        <w:rPr>
          <w:spacing w:val="2"/>
          <w:position w:val="1"/>
          <w:sz w:val="28"/>
        </w:rPr>
        <w:t xml:space="preserve"> </w:t>
      </w:r>
      <w:r>
        <w:rPr>
          <w:w w:val="101"/>
          <w:position w:val="1"/>
          <w:sz w:val="28"/>
        </w:rPr>
        <w:t>the</w:t>
      </w:r>
      <w:r>
        <w:rPr>
          <w:spacing w:val="2"/>
          <w:position w:val="1"/>
          <w:sz w:val="28"/>
        </w:rPr>
        <w:t xml:space="preserve"> </w:t>
      </w:r>
      <w:r>
        <w:rPr>
          <w:w w:val="101"/>
          <w:position w:val="1"/>
          <w:sz w:val="28"/>
        </w:rPr>
        <w:t>Reform</w:t>
      </w:r>
      <w:r>
        <w:rPr>
          <w:spacing w:val="2"/>
          <w:position w:val="1"/>
          <w:sz w:val="28"/>
        </w:rPr>
        <w:t xml:space="preserve"> </w:t>
      </w:r>
      <w:r>
        <w:rPr>
          <w:w w:val="101"/>
          <w:position w:val="1"/>
          <w:sz w:val="28"/>
        </w:rPr>
        <w:t>of</w:t>
      </w:r>
      <w:r>
        <w:rPr>
          <w:spacing w:val="2"/>
          <w:position w:val="1"/>
          <w:sz w:val="28"/>
        </w:rPr>
        <w:t xml:space="preserve"> </w:t>
      </w:r>
      <w:r>
        <w:rPr>
          <w:w w:val="101"/>
          <w:position w:val="1"/>
          <w:sz w:val="28"/>
        </w:rPr>
        <w:t>Ch</w:t>
      </w:r>
      <w:r>
        <w:rPr>
          <w:spacing w:val="-126"/>
          <w:w w:val="101"/>
          <w:position w:val="1"/>
          <w:sz w:val="28"/>
        </w:rPr>
        <w:t>i</w:t>
      </w:r>
      <w:r>
        <w:rPr>
          <w:spacing w:val="-160"/>
          <w:w w:val="101"/>
          <w:position w:val="1"/>
          <w:sz w:val="28"/>
        </w:rPr>
        <w:t>‘</w:t>
      </w:r>
      <w:r>
        <w:rPr>
          <w:w w:val="101"/>
          <w:position w:val="1"/>
          <w:sz w:val="28"/>
        </w:rPr>
        <w:t>n</w:t>
      </w:r>
      <w:r>
        <w:rPr>
          <w:spacing w:val="-136"/>
          <w:w w:val="101"/>
          <w:position w:val="1"/>
          <w:sz w:val="28"/>
        </w:rPr>
        <w:t>a</w:t>
      </w:r>
      <w:r>
        <w:rPr>
          <w:w w:val="101"/>
          <w:position w:val="1"/>
          <w:sz w:val="28"/>
        </w:rPr>
        <w:t>s</w:t>
      </w:r>
      <w:r>
        <w:rPr>
          <w:spacing w:val="2"/>
          <w:position w:val="1"/>
          <w:sz w:val="28"/>
        </w:rPr>
        <w:t xml:space="preserve"> </w:t>
      </w:r>
      <w:r>
        <w:rPr>
          <w:w w:val="101"/>
          <w:position w:val="1"/>
          <w:sz w:val="28"/>
        </w:rPr>
        <w:t xml:space="preserve">State-Owned </w:t>
      </w:r>
      <w:r>
        <w:rPr>
          <w:spacing w:val="-8"/>
          <w:position w:val="1"/>
          <w:sz w:val="28"/>
        </w:rPr>
        <w:t>Enterprise，The</w:t>
      </w:r>
      <w:r>
        <w:rPr>
          <w:spacing w:val="-84"/>
          <w:position w:val="1"/>
          <w:sz w:val="28"/>
        </w:rPr>
        <w:t xml:space="preserve"> </w:t>
      </w:r>
      <w:r>
        <w:rPr>
          <w:position w:val="1"/>
          <w:sz w:val="28"/>
        </w:rPr>
        <w:t>Journalof</w:t>
      </w:r>
      <w:r>
        <w:rPr>
          <w:spacing w:val="-71"/>
          <w:position w:val="1"/>
          <w:sz w:val="28"/>
        </w:rPr>
        <w:t xml:space="preserve"> </w:t>
      </w:r>
      <w:r>
        <w:rPr>
          <w:position w:val="1"/>
          <w:sz w:val="28"/>
        </w:rPr>
        <w:t>DevelopmentStudies</w:t>
      </w:r>
      <w:r>
        <w:rPr>
          <w:sz w:val="27"/>
        </w:rPr>
        <w:t>Vol.32，no.3，1996；Li，</w:t>
      </w:r>
      <w:r>
        <w:rPr>
          <w:spacing w:val="22"/>
          <w:sz w:val="27"/>
        </w:rPr>
        <w:t xml:space="preserve"> </w:t>
      </w:r>
      <w:r>
        <w:rPr>
          <w:spacing w:val="-3"/>
          <w:sz w:val="27"/>
        </w:rPr>
        <w:t>W.，</w:t>
      </w:r>
      <w:r>
        <w:rPr>
          <w:spacing w:val="-3"/>
          <w:position w:val="1"/>
          <w:sz w:val="28"/>
        </w:rPr>
        <w:t>The</w:t>
      </w:r>
      <w:r>
        <w:rPr>
          <w:spacing w:val="-79"/>
          <w:position w:val="1"/>
          <w:sz w:val="28"/>
        </w:rPr>
        <w:t xml:space="preserve"> </w:t>
      </w:r>
      <w:r>
        <w:rPr>
          <w:position w:val="1"/>
          <w:sz w:val="28"/>
        </w:rPr>
        <w:t xml:space="preserve">Impact </w:t>
      </w:r>
      <w:r>
        <w:rPr>
          <w:w w:val="101"/>
          <w:sz w:val="28"/>
        </w:rPr>
        <w:t>of</w:t>
      </w:r>
      <w:r>
        <w:rPr>
          <w:spacing w:val="2"/>
          <w:sz w:val="28"/>
        </w:rPr>
        <w:t xml:space="preserve"> </w:t>
      </w:r>
      <w:r>
        <w:rPr>
          <w:w w:val="101"/>
          <w:sz w:val="28"/>
        </w:rPr>
        <w:t>Economic</w:t>
      </w:r>
      <w:r>
        <w:rPr>
          <w:spacing w:val="2"/>
          <w:sz w:val="28"/>
        </w:rPr>
        <w:t xml:space="preserve"> </w:t>
      </w:r>
      <w:r>
        <w:rPr>
          <w:w w:val="101"/>
          <w:sz w:val="28"/>
        </w:rPr>
        <w:t>Reform</w:t>
      </w:r>
      <w:r>
        <w:rPr>
          <w:spacing w:val="2"/>
          <w:sz w:val="28"/>
        </w:rPr>
        <w:t xml:space="preserve"> </w:t>
      </w:r>
      <w:r>
        <w:rPr>
          <w:w w:val="101"/>
          <w:sz w:val="28"/>
        </w:rPr>
        <w:t>on</w:t>
      </w:r>
      <w:r>
        <w:rPr>
          <w:spacing w:val="2"/>
          <w:sz w:val="28"/>
        </w:rPr>
        <w:t xml:space="preserve"> </w:t>
      </w:r>
      <w:r>
        <w:rPr>
          <w:w w:val="101"/>
          <w:sz w:val="28"/>
        </w:rPr>
        <w:t>the</w:t>
      </w:r>
      <w:r>
        <w:rPr>
          <w:spacing w:val="2"/>
          <w:sz w:val="28"/>
        </w:rPr>
        <w:t xml:space="preserve"> </w:t>
      </w:r>
      <w:r>
        <w:rPr>
          <w:w w:val="101"/>
          <w:sz w:val="28"/>
        </w:rPr>
        <w:t>Performance</w:t>
      </w:r>
      <w:r>
        <w:rPr>
          <w:spacing w:val="2"/>
          <w:sz w:val="28"/>
        </w:rPr>
        <w:t xml:space="preserve"> </w:t>
      </w:r>
      <w:r>
        <w:rPr>
          <w:w w:val="101"/>
          <w:sz w:val="28"/>
        </w:rPr>
        <w:t>of</w:t>
      </w:r>
      <w:r>
        <w:rPr>
          <w:spacing w:val="2"/>
          <w:sz w:val="28"/>
        </w:rPr>
        <w:t xml:space="preserve"> </w:t>
      </w:r>
      <w:r>
        <w:rPr>
          <w:w w:val="101"/>
          <w:sz w:val="28"/>
        </w:rPr>
        <w:t>Chinese</w:t>
      </w:r>
      <w:r>
        <w:rPr>
          <w:spacing w:val="2"/>
          <w:sz w:val="28"/>
        </w:rPr>
        <w:t xml:space="preserve"> </w:t>
      </w:r>
      <w:r>
        <w:rPr>
          <w:w w:val="101"/>
          <w:sz w:val="28"/>
        </w:rPr>
        <w:t>State</w:t>
      </w:r>
      <w:r>
        <w:rPr>
          <w:spacing w:val="2"/>
          <w:sz w:val="28"/>
        </w:rPr>
        <w:t xml:space="preserve"> </w:t>
      </w:r>
      <w:r>
        <w:rPr>
          <w:w w:val="101"/>
          <w:sz w:val="28"/>
        </w:rPr>
        <w:t>Enterprise</w:t>
      </w:r>
      <w:r>
        <w:rPr>
          <w:spacing w:val="2"/>
          <w:sz w:val="28"/>
        </w:rPr>
        <w:t xml:space="preserve"> </w:t>
      </w:r>
      <w:r>
        <w:rPr>
          <w:w w:val="101"/>
          <w:sz w:val="28"/>
        </w:rPr>
        <w:t>198</w:t>
      </w:r>
      <w:r>
        <w:rPr>
          <w:spacing w:val="-52"/>
          <w:w w:val="101"/>
          <w:sz w:val="28"/>
        </w:rPr>
        <w:t>0</w:t>
      </w:r>
      <w:r>
        <w:rPr>
          <w:spacing w:val="-117"/>
          <w:w w:val="101"/>
          <w:sz w:val="28"/>
        </w:rPr>
        <w:t>，-</w:t>
      </w:r>
      <w:r>
        <w:rPr>
          <w:spacing w:val="-70"/>
          <w:w w:val="101"/>
          <w:sz w:val="28"/>
        </w:rPr>
        <w:t>1</w:t>
      </w:r>
      <w:r>
        <w:rPr>
          <w:spacing w:val="-73"/>
          <w:w w:val="101"/>
          <w:sz w:val="28"/>
        </w:rPr>
        <w:t>J</w:t>
      </w:r>
      <w:r>
        <w:rPr>
          <w:spacing w:val="-70"/>
          <w:w w:val="101"/>
          <w:sz w:val="28"/>
        </w:rPr>
        <w:t>9</w:t>
      </w:r>
      <w:r>
        <w:rPr>
          <w:spacing w:val="-73"/>
          <w:w w:val="101"/>
          <w:sz w:val="28"/>
        </w:rPr>
        <w:t>o</w:t>
      </w:r>
      <w:r>
        <w:rPr>
          <w:spacing w:val="-70"/>
          <w:w w:val="101"/>
          <w:sz w:val="28"/>
        </w:rPr>
        <w:t>8</w:t>
      </w:r>
      <w:r>
        <w:rPr>
          <w:spacing w:val="-73"/>
          <w:w w:val="101"/>
          <w:sz w:val="28"/>
        </w:rPr>
        <w:t>u</w:t>
      </w:r>
      <w:r>
        <w:rPr>
          <w:spacing w:val="-70"/>
          <w:w w:val="101"/>
          <w:sz w:val="28"/>
        </w:rPr>
        <w:t>9</w:t>
      </w:r>
      <w:r>
        <w:rPr>
          <w:w w:val="101"/>
          <w:sz w:val="28"/>
        </w:rPr>
        <w:t xml:space="preserve">rnal </w:t>
      </w:r>
      <w:r>
        <w:rPr>
          <w:position w:val="1"/>
          <w:sz w:val="28"/>
        </w:rPr>
        <w:t>of</w:t>
      </w:r>
      <w:r>
        <w:rPr>
          <w:spacing w:val="-71"/>
          <w:position w:val="1"/>
          <w:sz w:val="28"/>
        </w:rPr>
        <w:t xml:space="preserve"> </w:t>
      </w:r>
      <w:r>
        <w:rPr>
          <w:position w:val="1"/>
          <w:sz w:val="28"/>
        </w:rPr>
        <w:t>PoliticalEconomy，</w:t>
      </w:r>
      <w:r>
        <w:rPr>
          <w:sz w:val="27"/>
        </w:rPr>
        <w:t>vol.105，no.5，1997；Groves，T.</w:t>
      </w:r>
      <w:r>
        <w:rPr>
          <w:spacing w:val="-49"/>
          <w:sz w:val="27"/>
        </w:rPr>
        <w:t xml:space="preserve"> </w:t>
      </w:r>
      <w:r>
        <w:rPr>
          <w:sz w:val="27"/>
        </w:rPr>
        <w:t>et</w:t>
      </w:r>
      <w:r>
        <w:rPr>
          <w:spacing w:val="-48"/>
          <w:sz w:val="27"/>
        </w:rPr>
        <w:t xml:space="preserve"> </w:t>
      </w:r>
      <w:r>
        <w:rPr>
          <w:sz w:val="27"/>
        </w:rPr>
        <w:t>al.，</w:t>
      </w:r>
      <w:r>
        <w:rPr>
          <w:position w:val="1"/>
          <w:sz w:val="28"/>
        </w:rPr>
        <w:t>Autonomyand</w:t>
      </w:r>
      <w:r>
        <w:rPr>
          <w:spacing w:val="-77"/>
          <w:position w:val="1"/>
          <w:sz w:val="28"/>
        </w:rPr>
        <w:t xml:space="preserve"> </w:t>
      </w:r>
      <w:r>
        <w:rPr>
          <w:position w:val="1"/>
          <w:sz w:val="28"/>
        </w:rPr>
        <w:t xml:space="preserve">Incentives </w:t>
      </w:r>
      <w:r>
        <w:rPr>
          <w:w w:val="101"/>
          <w:position w:val="1"/>
          <w:sz w:val="28"/>
        </w:rPr>
        <w:t>in</w:t>
      </w:r>
      <w:r>
        <w:rPr>
          <w:spacing w:val="2"/>
          <w:position w:val="1"/>
          <w:sz w:val="28"/>
        </w:rPr>
        <w:t xml:space="preserve"> </w:t>
      </w:r>
      <w:r>
        <w:rPr>
          <w:w w:val="101"/>
          <w:position w:val="1"/>
          <w:sz w:val="28"/>
        </w:rPr>
        <w:t>Chinese</w:t>
      </w:r>
      <w:r>
        <w:rPr>
          <w:spacing w:val="2"/>
          <w:position w:val="1"/>
          <w:sz w:val="28"/>
        </w:rPr>
        <w:t xml:space="preserve"> </w:t>
      </w:r>
      <w:r>
        <w:rPr>
          <w:w w:val="101"/>
          <w:position w:val="1"/>
          <w:sz w:val="28"/>
        </w:rPr>
        <w:t>State</w:t>
      </w:r>
      <w:r>
        <w:rPr>
          <w:spacing w:val="2"/>
          <w:position w:val="1"/>
          <w:sz w:val="28"/>
        </w:rPr>
        <w:t xml:space="preserve"> </w:t>
      </w:r>
      <w:r>
        <w:rPr>
          <w:w w:val="101"/>
          <w:position w:val="1"/>
          <w:sz w:val="28"/>
        </w:rPr>
        <w:t>Enterprise</w:t>
      </w:r>
      <w:r>
        <w:rPr>
          <w:spacing w:val="-110"/>
          <w:w w:val="101"/>
          <w:position w:val="1"/>
          <w:sz w:val="28"/>
        </w:rPr>
        <w:t>s</w:t>
      </w:r>
      <w:r>
        <w:rPr>
          <w:sz w:val="27"/>
        </w:rPr>
        <w:t>，</w:t>
      </w:r>
      <w:r>
        <w:rPr>
          <w:w w:val="101"/>
          <w:position w:val="1"/>
          <w:sz w:val="28"/>
        </w:rPr>
        <w:t>Quarterly</w:t>
      </w:r>
      <w:r>
        <w:rPr>
          <w:spacing w:val="2"/>
          <w:position w:val="1"/>
          <w:sz w:val="28"/>
        </w:rPr>
        <w:t xml:space="preserve"> </w:t>
      </w:r>
      <w:r>
        <w:rPr>
          <w:w w:val="101"/>
          <w:position w:val="1"/>
          <w:sz w:val="28"/>
        </w:rPr>
        <w:t>Journal</w:t>
      </w:r>
      <w:r>
        <w:rPr>
          <w:spacing w:val="2"/>
          <w:position w:val="1"/>
          <w:sz w:val="28"/>
        </w:rPr>
        <w:t xml:space="preserve"> </w:t>
      </w:r>
      <w:r>
        <w:rPr>
          <w:w w:val="101"/>
          <w:position w:val="1"/>
          <w:sz w:val="28"/>
        </w:rPr>
        <w:t>of</w:t>
      </w:r>
      <w:r>
        <w:rPr>
          <w:spacing w:val="2"/>
          <w:position w:val="1"/>
          <w:sz w:val="28"/>
        </w:rPr>
        <w:t xml:space="preserve"> </w:t>
      </w:r>
      <w:r>
        <w:rPr>
          <w:w w:val="101"/>
          <w:position w:val="1"/>
          <w:sz w:val="28"/>
        </w:rPr>
        <w:t>Economi</w:t>
      </w:r>
      <w:r>
        <w:rPr>
          <w:spacing w:val="-120"/>
          <w:w w:val="101"/>
          <w:position w:val="1"/>
          <w:sz w:val="28"/>
        </w:rPr>
        <w:t>c</w:t>
      </w:r>
      <w:r>
        <w:rPr>
          <w:spacing w:val="-166"/>
          <w:w w:val="101"/>
          <w:position w:val="1"/>
          <w:sz w:val="28"/>
        </w:rPr>
        <w:t>，</w:t>
      </w:r>
      <w:r>
        <w:rPr>
          <w:spacing w:val="4"/>
          <w:w w:val="101"/>
          <w:position w:val="1"/>
          <w:sz w:val="28"/>
        </w:rPr>
        <w:t>s</w:t>
      </w:r>
      <w:r>
        <w:rPr>
          <w:sz w:val="27"/>
        </w:rPr>
        <w:t>vol.10</w:t>
      </w:r>
      <w:r>
        <w:rPr>
          <w:spacing w:val="2"/>
          <w:sz w:val="27"/>
        </w:rPr>
        <w:t>5</w:t>
      </w:r>
      <w:r>
        <w:rPr>
          <w:sz w:val="27"/>
        </w:rPr>
        <w:t>，no.5，1997.</w:t>
      </w:r>
    </w:p>
    <w:p>
      <w:pPr>
        <w:pStyle w:val="BodyText"/>
        <w:spacing w:before="2"/>
        <w:rPr>
          <w:sz w:val="33"/>
        </w:rPr>
      </w:pPr>
    </w:p>
    <w:p>
      <w:pPr>
        <w:pStyle w:val="BodyText"/>
        <w:ind w:left="1095"/>
        <w:rPr>
          <w:rFonts w:ascii="黑体" w:eastAsia="黑体" w:hint="eastAsia"/>
        </w:rPr>
      </w:pPr>
      <w:r>
        <w:rPr>
          <w:rFonts w:ascii="黑体" w:eastAsia="黑体" w:hint="eastAsia"/>
        </w:rPr>
        <w:t>3、国有企业存在的问题</w:t>
      </w:r>
    </w:p>
    <w:p>
      <w:pPr>
        <w:pStyle w:val="BodyText"/>
        <w:spacing w:before="71" w:line="283" w:lineRule="auto"/>
        <w:ind w:left="397" w:right="1328" w:firstLine="539"/>
        <w:jc w:val="both"/>
      </w:pPr>
      <w:r>
        <w:t xml:space="preserve">国有企业微观生产效率的提高，从全社会角度来看改善了资源配置效率。但是这并不意 </w:t>
      </w:r>
      <w:r>
        <w:rPr>
          <w:spacing w:val="-9"/>
        </w:rPr>
        <w:t xml:space="preserve">味着国有企业的经济绩效一定会相应提高。前已述及，当前国有企业存在的问题主要表现在 </w:t>
      </w:r>
      <w:r>
        <w:rPr>
          <w:spacing w:val="-10"/>
        </w:rPr>
        <w:t>三个方面：亏损加剧、赢利能力下降；国有资产流失；资产负债率过高。而后两方面问题的</w:t>
      </w:r>
      <w:r>
        <w:t>根源又在于第一方面的问题。这里着重介绍近年来国有企业的财务状况。</w:t>
      </w:r>
    </w:p>
    <w:p>
      <w:pPr>
        <w:pStyle w:val="ListParagraph"/>
        <w:numPr>
          <w:ilvl w:val="1"/>
          <w:numId w:val="13"/>
        </w:numPr>
        <w:tabs>
          <w:tab w:val="left" w:pos="1571"/>
        </w:tabs>
        <w:spacing w:before="0" w:after="0" w:line="394" w:lineRule="exact"/>
        <w:ind w:left="1570" w:right="0" w:hanging="635"/>
        <w:jc w:val="both"/>
        <w:rPr>
          <w:sz w:val="31"/>
        </w:rPr>
      </w:pPr>
      <w:r>
        <w:rPr>
          <w:sz w:val="31"/>
        </w:rPr>
        <w:t>国有工业企业赢利能力下降</w:t>
      </w:r>
    </w:p>
    <w:p>
      <w:pPr>
        <w:pStyle w:val="BodyText"/>
        <w:spacing w:before="70" w:line="283" w:lineRule="auto"/>
        <w:ind w:left="397" w:right="1425" w:firstLine="539"/>
        <w:jc w:val="both"/>
      </w:pPr>
      <w:r>
        <w:rPr>
          <w:spacing w:val="12"/>
        </w:rPr>
        <w:t xml:space="preserve">由图 </w:t>
      </w:r>
      <w:r>
        <w:t>1</w:t>
      </w:r>
      <w:r>
        <w:rPr>
          <w:spacing w:val="-1"/>
        </w:rPr>
        <w:t xml:space="preserve"> 可见，国有工业企业中的亏损企业所造成的亏损持续上升。国有独立核算工业企</w:t>
      </w:r>
      <w:r>
        <w:rPr>
          <w:w w:val="102"/>
        </w:rPr>
        <w:t>业经济效益呈现了下降的趋势（图</w:t>
      </w:r>
      <w:r>
        <w:rPr>
          <w:spacing w:val="-97"/>
        </w:rPr>
        <w:t xml:space="preserve"> </w:t>
      </w:r>
      <w:r>
        <w:rPr>
          <w:spacing w:val="-4"/>
          <w:w w:val="102"/>
        </w:rPr>
        <w:t>2</w:t>
      </w:r>
      <w:r>
        <w:rPr>
          <w:spacing w:val="-159"/>
          <w:w w:val="102"/>
        </w:rPr>
        <w:t>）</w:t>
      </w:r>
      <w:r>
        <w:rPr>
          <w:w w:val="102"/>
        </w:rPr>
        <w:t>。</w:t>
      </w:r>
    </w:p>
    <w:p>
      <w:pPr>
        <w:pStyle w:val="BodyText"/>
        <w:rPr>
          <w:sz w:val="32"/>
        </w:rPr>
      </w:pPr>
    </w:p>
    <w:p>
      <w:pPr>
        <w:pStyle w:val="BodyText"/>
        <w:spacing w:before="8"/>
        <w:rPr>
          <w:sz w:val="45"/>
        </w:rPr>
      </w:pPr>
    </w:p>
    <w:p>
      <w:pPr>
        <w:spacing w:before="0" w:line="324" w:lineRule="auto"/>
        <w:ind w:left="397" w:right="10754" w:firstLine="0"/>
        <w:jc w:val="left"/>
        <w:rPr>
          <w:sz w:val="27"/>
        </w:rPr>
      </w:pPr>
      <w:r>
        <w:rPr>
          <w:sz w:val="27"/>
        </w:rPr>
        <w:t>资料来源：统计附录表 1。资料来源：统计附录表 1。</w:t>
      </w:r>
    </w:p>
    <w:p>
      <w:pPr>
        <w:pStyle w:val="ListParagraph"/>
        <w:numPr>
          <w:ilvl w:val="1"/>
          <w:numId w:val="13"/>
        </w:numPr>
        <w:tabs>
          <w:tab w:val="left" w:pos="1571"/>
        </w:tabs>
        <w:spacing w:before="0" w:after="0" w:line="341" w:lineRule="exact"/>
        <w:ind w:left="1570" w:right="0" w:hanging="635"/>
        <w:jc w:val="both"/>
        <w:rPr>
          <w:sz w:val="31"/>
        </w:rPr>
      </w:pPr>
      <w:r>
        <w:rPr>
          <w:sz w:val="31"/>
        </w:rPr>
        <w:t>国有经济对国家财政的贡献趋于缩小</w:t>
      </w:r>
    </w:p>
    <w:p>
      <w:pPr>
        <w:spacing w:after="0" w:line="341" w:lineRule="exact"/>
        <w:jc w:val="both"/>
        <w:rPr>
          <w:sz w:val="31"/>
        </w:rPr>
        <w:sectPr>
          <w:pgSz w:w="17860" w:h="25260"/>
          <w:pgMar w:top="1860" w:right="1160" w:bottom="280" w:left="2300" w:header="708" w:footer="708"/>
          <w:pgNumType w:start="7"/>
          <w:cols w:space="708"/>
        </w:sectPr>
      </w:pPr>
    </w:p>
    <w:p>
      <w:pPr>
        <w:pStyle w:val="BodyText"/>
        <w:spacing w:before="49" w:line="283" w:lineRule="auto"/>
        <w:ind w:left="397" w:right="1328" w:firstLine="539"/>
      </w:pPr>
      <w:r>
        <w:rPr>
          <w:spacing w:val="3"/>
          <w:w w:val="102"/>
        </w:rPr>
        <w:t>国有经济对国家财政的贡献由</w:t>
      </w:r>
      <w:r>
        <w:rPr>
          <w:w w:val="102"/>
        </w:rPr>
        <w:t>1978</w:t>
      </w:r>
      <w:r>
        <w:rPr>
          <w:spacing w:val="-98"/>
        </w:rPr>
        <w:t xml:space="preserve"> </w:t>
      </w:r>
      <w:r>
        <w:rPr>
          <w:w w:val="102"/>
        </w:rPr>
        <w:t>年的</w:t>
      </w:r>
      <w:r>
        <w:rPr>
          <w:spacing w:val="-98"/>
        </w:rPr>
        <w:t xml:space="preserve"> </w:t>
      </w:r>
      <w:r>
        <w:rPr>
          <w:w w:val="102"/>
        </w:rPr>
        <w:t>86.98</w:t>
      </w:r>
      <w:r>
        <w:rPr>
          <w:spacing w:val="-34"/>
          <w:w w:val="102"/>
        </w:rPr>
        <w:t>%，下降为</w:t>
      </w:r>
      <w:r>
        <w:rPr>
          <w:spacing w:val="-98"/>
        </w:rPr>
        <w:t xml:space="preserve"> </w:t>
      </w:r>
      <w:r>
        <w:rPr>
          <w:w w:val="102"/>
        </w:rPr>
        <w:t>1995</w:t>
      </w:r>
      <w:r>
        <w:rPr>
          <w:spacing w:val="-98"/>
        </w:rPr>
        <w:t xml:space="preserve"> </w:t>
      </w:r>
      <w:r>
        <w:rPr>
          <w:w w:val="102"/>
        </w:rPr>
        <w:t>年的</w:t>
      </w:r>
      <w:r>
        <w:rPr>
          <w:spacing w:val="-98"/>
        </w:rPr>
        <w:t xml:space="preserve"> </w:t>
      </w:r>
      <w:r>
        <w:rPr>
          <w:w w:val="102"/>
        </w:rPr>
        <w:t>71.14</w:t>
      </w:r>
      <w:r>
        <w:rPr>
          <w:spacing w:val="-34"/>
          <w:w w:val="102"/>
        </w:rPr>
        <w:t>%，下降了</w:t>
      </w:r>
      <w:r>
        <w:rPr>
          <w:spacing w:val="-97"/>
        </w:rPr>
        <w:t xml:space="preserve"> </w:t>
      </w:r>
      <w:r>
        <w:rPr>
          <w:w w:val="102"/>
        </w:rPr>
        <w:t>15.84个百分点（图</w:t>
      </w:r>
      <w:r>
        <w:rPr>
          <w:spacing w:val="-80"/>
        </w:rPr>
        <w:t xml:space="preserve"> </w:t>
      </w:r>
      <w:r>
        <w:rPr>
          <w:w w:val="102"/>
        </w:rPr>
        <w:t>3</w:t>
      </w:r>
      <w:r>
        <w:rPr>
          <w:spacing w:val="-159"/>
          <w:w w:val="102"/>
        </w:rPr>
        <w:t>）</w:t>
      </w:r>
      <w:r>
        <w:rPr>
          <w:w w:val="102"/>
        </w:rPr>
        <w:t>。表</w:t>
      </w:r>
      <w:r>
        <w:rPr>
          <w:spacing w:val="-75"/>
        </w:rPr>
        <w:t xml:space="preserve"> </w:t>
      </w:r>
      <w:r>
        <w:rPr>
          <w:w w:val="102"/>
        </w:rPr>
        <w:t>2</w:t>
      </w:r>
      <w:r>
        <w:rPr>
          <w:spacing w:val="-69"/>
        </w:rPr>
        <w:t xml:space="preserve"> </w:t>
      </w:r>
      <w:r>
        <w:rPr>
          <w:spacing w:val="-2"/>
          <w:w w:val="102"/>
        </w:rPr>
        <w:t>说明，</w:t>
      </w:r>
      <w:r>
        <w:rPr>
          <w:w w:val="102"/>
        </w:rPr>
        <w:t>80</w:t>
      </w:r>
      <w:r>
        <w:rPr>
          <w:spacing w:val="-72"/>
        </w:rPr>
        <w:t xml:space="preserve"> </w:t>
      </w:r>
      <w:r>
        <w:rPr>
          <w:w w:val="102"/>
        </w:rPr>
        <w:t>年代中期以来财政为企业支付的企业亏损补贴（企业应交</w:t>
      </w:r>
      <w:r>
        <w:t>财政而未上缴的部分收入</w:t>
      </w:r>
      <w:r>
        <w:rPr>
          <w:spacing w:val="-61"/>
        </w:rPr>
        <w:t>）</w:t>
      </w:r>
      <w:r>
        <w:rPr>
          <w:spacing w:val="-11"/>
        </w:rPr>
        <w:t xml:space="preserve">居高不下。如果考虑到国家对国有企业的补贴和再投资，那么国  </w:t>
      </w:r>
      <w:r>
        <w:rPr>
          <w:spacing w:val="-16"/>
        </w:rPr>
        <w:t xml:space="preserve">有企业对国家财政的贡献就更小了。从统计附录中的附表 </w:t>
      </w:r>
      <w:r>
        <w:t>3</w:t>
      </w:r>
      <w:r>
        <w:rPr>
          <w:spacing w:val="-11"/>
        </w:rPr>
        <w:t xml:space="preserve"> 可以看出，国家财政每年仅“增拨企业流动资金”与“挖潜改造资金和科技三项费用”两项，就占全部国有企业（</w:t>
      </w:r>
      <w:r>
        <w:rPr>
          <w:spacing w:val="-13"/>
        </w:rPr>
        <w:t>含国有金</w:t>
      </w:r>
      <w:r>
        <w:t>融类企业）</w:t>
      </w:r>
      <w:r>
        <w:rPr>
          <w:spacing w:val="8"/>
        </w:rPr>
        <w:t xml:space="preserve">上缴给国家财政的利税总额的 </w:t>
      </w:r>
      <w:r>
        <w:t>10％甚至更多。如果再扣除财政用于企业基本建设的投资，那么，国有企业对于国家财政的贡献就更小了。</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1"/>
        </w:rPr>
      </w:pPr>
    </w:p>
    <w:p>
      <w:pPr>
        <w:spacing w:after="0"/>
        <w:rPr>
          <w:sz w:val="21"/>
        </w:rPr>
        <w:sectPr>
          <w:pgSz w:w="17860" w:h="25260"/>
          <w:pgMar w:top="1860" w:right="1160" w:bottom="280" w:left="2300" w:header="708" w:footer="708"/>
          <w:pgNumType w:start="8"/>
          <w:cols w:space="708"/>
        </w:sectPr>
      </w:pPr>
    </w:p>
    <w:p>
      <w:pPr>
        <w:spacing w:before="108"/>
        <w:ind w:left="0" w:right="857" w:firstLine="0"/>
        <w:jc w:val="right"/>
        <w:rPr>
          <w:rFonts w:ascii="Arial"/>
          <w:sz w:val="21"/>
        </w:rPr>
      </w:pPr>
      <w:r>
        <w:drawing>
          <wp:anchor distT="0" distB="0" distL="0" distR="0" simplePos="0" relativeHeight="251662336" behindDoc="0" locked="0" layoutInCell="1" allowOverlap="1">
            <wp:simplePos x="0" y="0"/>
            <wp:positionH relativeFrom="page">
              <wp:posOffset>3434715</wp:posOffset>
            </wp:positionH>
            <wp:positionV relativeFrom="paragraph">
              <wp:posOffset>58151</wp:posOffset>
            </wp:positionV>
            <wp:extent cx="4674996" cy="2134235"/>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4674996" cy="2134235"/>
                    </a:xfrm>
                    <a:prstGeom prst="rect">
                      <a:avLst/>
                    </a:prstGeom>
                  </pic:spPr>
                </pic:pic>
              </a:graphicData>
            </a:graphic>
          </wp:anchor>
        </w:drawing>
      </w:r>
      <w:r>
        <w:rPr>
          <w:rFonts w:ascii="Arial"/>
          <w:sz w:val="21"/>
        </w:rPr>
        <w:t>7000</w:t>
      </w:r>
    </w:p>
    <w:p>
      <w:pPr>
        <w:pStyle w:val="BodyText"/>
        <w:spacing w:before="10"/>
        <w:rPr>
          <w:rFonts w:ascii="Arial"/>
          <w:sz w:val="19"/>
        </w:rPr>
      </w:pPr>
    </w:p>
    <w:p>
      <w:pPr>
        <w:spacing w:before="0"/>
        <w:ind w:left="0" w:right="857" w:firstLine="0"/>
        <w:jc w:val="right"/>
        <w:rPr>
          <w:rFonts w:ascii="Arial"/>
          <w:sz w:val="21"/>
        </w:rPr>
      </w:pPr>
      <w:r>
        <w:rPr>
          <w:rFonts w:ascii="Arial"/>
          <w:sz w:val="21"/>
        </w:rPr>
        <w:t>6000</w:t>
      </w:r>
    </w:p>
    <w:p>
      <w:pPr>
        <w:spacing w:before="76" w:line="301" w:lineRule="exact"/>
        <w:ind w:left="1956" w:right="0" w:firstLine="0"/>
        <w:jc w:val="left"/>
        <w:rPr>
          <w:rFonts w:ascii="Arial" w:eastAsia="Arial"/>
          <w:sz w:val="21"/>
        </w:rPr>
      </w:pPr>
      <w:r>
        <w:rPr>
          <w:position w:val="9"/>
          <w:sz w:val="26"/>
        </w:rPr>
        <w:t>）</w:t>
      </w:r>
      <w:r>
        <w:rPr>
          <w:spacing w:val="14"/>
          <w:position w:val="9"/>
          <w:sz w:val="26"/>
        </w:rPr>
        <w:t xml:space="preserve"> </w:t>
      </w:r>
      <w:r>
        <w:rPr>
          <w:rFonts w:ascii="Arial" w:eastAsia="Arial"/>
          <w:sz w:val="21"/>
        </w:rPr>
        <w:t>5000</w:t>
      </w:r>
    </w:p>
    <w:p>
      <w:pPr>
        <w:spacing w:before="0" w:line="184" w:lineRule="exact"/>
        <w:ind w:left="485" w:right="0" w:firstLine="0"/>
        <w:jc w:val="center"/>
        <w:rPr>
          <w:sz w:val="26"/>
        </w:rPr>
      </w:pPr>
      <w:r>
        <w:rPr>
          <w:sz w:val="26"/>
        </w:rPr>
        <w:t>元</w:t>
      </w:r>
    </w:p>
    <w:p>
      <w:pPr>
        <w:spacing w:before="0" w:line="277" w:lineRule="exact"/>
        <w:ind w:left="1956" w:right="0" w:firstLine="0"/>
        <w:jc w:val="left"/>
        <w:rPr>
          <w:rFonts w:ascii="Arial" w:eastAsia="Arial"/>
          <w:sz w:val="21"/>
        </w:rPr>
      </w:pPr>
      <w:r>
        <w:rPr>
          <w:spacing w:val="7"/>
          <w:position w:val="13"/>
          <w:sz w:val="26"/>
        </w:rPr>
        <w:t xml:space="preserve">亿 </w:t>
      </w:r>
      <w:r>
        <w:rPr>
          <w:rFonts w:ascii="Arial" w:eastAsia="Arial"/>
          <w:sz w:val="21"/>
        </w:rPr>
        <w:t>4000</w:t>
      </w:r>
    </w:p>
    <w:p>
      <w:pPr>
        <w:spacing w:before="0" w:line="151" w:lineRule="auto"/>
        <w:ind w:left="1956" w:right="1469" w:firstLine="0"/>
        <w:jc w:val="center"/>
        <w:rPr>
          <w:sz w:val="26"/>
        </w:rPr>
      </w:pPr>
      <w:r>
        <w:rPr>
          <w:sz w:val="26"/>
        </w:rPr>
        <w:t>（入</w:t>
      </w:r>
    </w:p>
    <w:p>
      <w:pPr>
        <w:spacing w:before="0" w:line="192" w:lineRule="exact"/>
        <w:ind w:left="1956" w:right="0" w:firstLine="0"/>
        <w:jc w:val="left"/>
        <w:rPr>
          <w:rFonts w:ascii="Arial" w:eastAsia="Arial"/>
          <w:sz w:val="21"/>
        </w:rPr>
      </w:pPr>
      <w:r>
        <w:rPr>
          <w:spacing w:val="7"/>
          <w:position w:val="-4"/>
          <w:sz w:val="26"/>
        </w:rPr>
        <w:t xml:space="preserve">收 </w:t>
      </w:r>
      <w:r>
        <w:rPr>
          <w:rFonts w:ascii="Arial" w:eastAsia="Arial"/>
          <w:sz w:val="21"/>
        </w:rPr>
        <w:t>3000</w:t>
      </w:r>
    </w:p>
    <w:p>
      <w:pPr>
        <w:spacing w:before="0" w:line="219" w:lineRule="exact"/>
        <w:ind w:left="485" w:right="0" w:firstLine="0"/>
        <w:jc w:val="center"/>
        <w:rPr>
          <w:sz w:val="26"/>
        </w:rPr>
      </w:pPr>
      <w:r>
        <w:rPr>
          <w:sz w:val="26"/>
        </w:rPr>
        <w:t>政</w:t>
      </w:r>
    </w:p>
    <w:p>
      <w:pPr>
        <w:spacing w:before="0" w:line="280" w:lineRule="exact"/>
        <w:ind w:left="1956" w:right="0" w:firstLine="0"/>
        <w:jc w:val="left"/>
        <w:rPr>
          <w:rFonts w:ascii="Arial" w:eastAsia="Arial"/>
          <w:sz w:val="21"/>
        </w:rPr>
      </w:pPr>
      <w:r>
        <w:rPr>
          <w:spacing w:val="7"/>
          <w:sz w:val="26"/>
        </w:rPr>
        <w:t xml:space="preserve">财 </w:t>
      </w:r>
      <w:r>
        <w:rPr>
          <w:rFonts w:ascii="Arial" w:eastAsia="Arial"/>
          <w:position w:val="2"/>
          <w:sz w:val="21"/>
        </w:rPr>
        <w:t>2000</w:t>
      </w:r>
    </w:p>
    <w:p>
      <w:pPr>
        <w:spacing w:before="176"/>
        <w:ind w:left="0" w:right="857" w:firstLine="0"/>
        <w:jc w:val="right"/>
        <w:rPr>
          <w:rFonts w:ascii="Arial"/>
          <w:sz w:val="21"/>
        </w:rPr>
      </w:pPr>
      <w:r>
        <w:rPr>
          <w:rFonts w:ascii="Arial"/>
          <w:sz w:val="21"/>
        </w:rPr>
        <w:t>1000</w:t>
      </w:r>
    </w:p>
    <w:p>
      <w:pPr>
        <w:pStyle w:val="BodyText"/>
        <w:spacing w:before="9"/>
        <w:rPr>
          <w:rFonts w:ascii="Arial"/>
          <w:sz w:val="19"/>
        </w:rPr>
      </w:pPr>
    </w:p>
    <w:p>
      <w:pPr>
        <w:spacing w:before="0"/>
        <w:ind w:left="0" w:right="788" w:firstLine="0"/>
        <w:jc w:val="right"/>
        <w:rPr>
          <w:rFonts w:ascii="Arial"/>
          <w:sz w:val="21"/>
        </w:rPr>
      </w:pPr>
      <w:r>
        <w:rPr>
          <w:rFonts w:ascii="Arial"/>
          <w:w w:val="100"/>
          <w:sz w:val="21"/>
        </w:rPr>
        <w:t>0</w:t>
      </w:r>
    </w:p>
    <w:p>
      <w:pPr>
        <w:tabs>
          <w:tab w:val="left" w:pos="3558"/>
        </w:tabs>
        <w:spacing w:before="80" w:line="141" w:lineRule="auto"/>
        <w:ind w:left="3158" w:right="0" w:firstLine="0"/>
        <w:jc w:val="left"/>
        <w:rPr>
          <w:sz w:val="26"/>
        </w:rPr>
      </w:pPr>
      <w:r>
        <w:pict>
          <v:shapetype id="_x0000_t202" coordsize="21600,21600" o:spt="202" path="m,l,21600r21600,l21600,xe">
            <v:stroke joinstyle="miter"/>
            <v:path gradientshapeok="t" o:connecttype="rect"/>
          </v:shapetype>
          <v:shape id="_x0000_s1027" type="#_x0000_t202" style="width:0.1pt;height:13pt;margin-top:12.28pt;margin-left:272.93pt;mso-position-horizontal-relative:page;position:absolute;z-index:251663360" filled="f" stroked="f">
            <v:textbox inset="0,0,0,0">
              <w:txbxContent>
                <w:p>
                  <w:pPr>
                    <w:spacing w:before="0" w:line="260" w:lineRule="exact"/>
                    <w:ind w:left="0" w:right="0" w:firstLine="0"/>
                    <w:jc w:val="left"/>
                    <w:rPr>
                      <w:sz w:val="26"/>
                    </w:rPr>
                  </w:pPr>
                  <w:r>
                    <w:rPr>
                      <w:spacing w:val="-130"/>
                      <w:sz w:val="26"/>
                    </w:rPr>
                    <w:t>9</w:t>
                  </w:r>
                </w:p>
              </w:txbxContent>
            </v:textbox>
          </v:shape>
        </w:pict>
      </w:r>
      <w:r>
        <w:pict>
          <v:shape id="_x0000_s1028" type="#_x0000_t202" style="width:0.1pt;height:13pt;margin-top:12.28pt;margin-left:292.92pt;mso-position-horizontal-relative:page;position:absolute;z-index:-251645952" filled="f" stroked="f">
            <v:textbox inset="0,0,0,0">
              <w:txbxContent>
                <w:p>
                  <w:pPr>
                    <w:spacing w:before="0" w:line="260" w:lineRule="exact"/>
                    <w:ind w:left="0" w:right="0" w:firstLine="0"/>
                    <w:jc w:val="left"/>
                    <w:rPr>
                      <w:sz w:val="26"/>
                    </w:rPr>
                  </w:pPr>
                  <w:r>
                    <w:rPr>
                      <w:spacing w:val="-130"/>
                      <w:sz w:val="26"/>
                    </w:rPr>
                    <w:t>9</w:t>
                  </w:r>
                </w:p>
              </w:txbxContent>
            </v:textbox>
          </v:shape>
        </w:pict>
      </w:r>
      <w:r>
        <w:rPr>
          <w:spacing w:val="-130"/>
          <w:sz w:val="26"/>
        </w:rPr>
        <w:t>8</w:t>
      </w:r>
      <w:r>
        <w:rPr>
          <w:position w:val="-9"/>
          <w:sz w:val="26"/>
        </w:rPr>
        <w:t>7</w:t>
        <w:tab/>
      </w:r>
      <w:r>
        <w:rPr>
          <w:spacing w:val="-140"/>
          <w:sz w:val="26"/>
        </w:rPr>
        <w:t>9</w:t>
      </w:r>
      <w:r>
        <w:rPr>
          <w:spacing w:val="-10"/>
          <w:position w:val="-9"/>
          <w:sz w:val="26"/>
        </w:rPr>
        <w:t>7</w:t>
      </w:r>
    </w:p>
    <w:p>
      <w:pPr>
        <w:tabs>
          <w:tab w:val="left" w:pos="3558"/>
        </w:tabs>
        <w:spacing w:before="0" w:line="225" w:lineRule="exact"/>
        <w:ind w:left="3158" w:right="0" w:firstLine="0"/>
        <w:jc w:val="left"/>
        <w:rPr>
          <w:sz w:val="26"/>
        </w:rPr>
      </w:pPr>
      <w:r>
        <w:rPr>
          <w:sz w:val="26"/>
        </w:rPr>
        <w:t>1</w:t>
        <w:tab/>
      </w:r>
      <w:r>
        <w:rPr>
          <w:spacing w:val="-20"/>
          <w:sz w:val="26"/>
        </w:rPr>
        <w:t>1</w:t>
      </w:r>
    </w:p>
    <w:p>
      <w:pPr>
        <w:pStyle w:val="BodyText"/>
        <w:rPr>
          <w:sz w:val="36"/>
        </w:rPr>
      </w:pPr>
      <w:r>
        <w:br w:type="column"/>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7"/>
        <w:rPr>
          <w:sz w:val="39"/>
        </w:rPr>
      </w:pPr>
    </w:p>
    <w:p>
      <w:pPr>
        <w:tabs>
          <w:tab w:val="left" w:pos="651"/>
          <w:tab w:val="left" w:pos="1051"/>
          <w:tab w:val="left" w:pos="1451"/>
          <w:tab w:val="left" w:pos="1852"/>
        </w:tabs>
        <w:spacing w:before="0" w:line="141" w:lineRule="auto"/>
        <w:ind w:left="250" w:right="0" w:firstLine="0"/>
        <w:jc w:val="left"/>
        <w:rPr>
          <w:sz w:val="26"/>
        </w:rPr>
      </w:pPr>
      <w:r>
        <w:rPr>
          <w:spacing w:val="-130"/>
          <w:position w:val="-9"/>
          <w:sz w:val="26"/>
        </w:rPr>
        <w:t>8</w:t>
      </w:r>
      <w:r>
        <w:rPr>
          <w:sz w:val="26"/>
        </w:rPr>
        <w:t>0</w:t>
        <w:tab/>
      </w:r>
      <w:r>
        <w:rPr>
          <w:spacing w:val="-130"/>
          <w:sz w:val="26"/>
        </w:rPr>
        <w:t>1</w:t>
      </w:r>
      <w:r>
        <w:rPr>
          <w:position w:val="-9"/>
          <w:sz w:val="26"/>
        </w:rPr>
        <w:t>8</w:t>
        <w:tab/>
      </w:r>
      <w:r>
        <w:rPr>
          <w:spacing w:val="-130"/>
          <w:sz w:val="26"/>
        </w:rPr>
        <w:t>2</w:t>
      </w:r>
      <w:r>
        <w:rPr>
          <w:position w:val="-9"/>
          <w:sz w:val="26"/>
        </w:rPr>
        <w:t>8</w:t>
        <w:tab/>
      </w:r>
      <w:r>
        <w:rPr>
          <w:spacing w:val="-130"/>
          <w:sz w:val="26"/>
        </w:rPr>
        <w:t>3</w:t>
      </w:r>
      <w:r>
        <w:rPr>
          <w:position w:val="-9"/>
          <w:sz w:val="26"/>
        </w:rPr>
        <w:t>8</w:t>
        <w:tab/>
      </w:r>
      <w:r>
        <w:rPr>
          <w:spacing w:val="-140"/>
          <w:sz w:val="26"/>
        </w:rPr>
        <w:t>4</w:t>
      </w:r>
      <w:r>
        <w:rPr>
          <w:spacing w:val="-10"/>
          <w:position w:val="-9"/>
          <w:sz w:val="26"/>
        </w:rPr>
        <w:t>8</w:t>
      </w:r>
    </w:p>
    <w:p>
      <w:pPr>
        <w:tabs>
          <w:tab w:val="left" w:pos="651"/>
          <w:tab w:val="left" w:pos="1051"/>
          <w:tab w:val="left" w:pos="1451"/>
          <w:tab w:val="left" w:pos="1852"/>
        </w:tabs>
        <w:spacing w:before="0" w:line="225" w:lineRule="exact"/>
        <w:ind w:left="250" w:right="0" w:firstLine="0"/>
        <w:jc w:val="left"/>
        <w:rPr>
          <w:sz w:val="26"/>
        </w:rPr>
      </w:pPr>
      <w:r>
        <w:pict>
          <v:shape id="_x0000_s1029" type="#_x0000_t202" style="width:0.1pt;height:13pt;margin-top:-6.55pt;margin-left:313.96pt;mso-position-horizontal-relative:page;position:absolute;z-index:251664384" filled="f" stroked="f">
            <v:textbox inset="0,0,0,0">
              <w:txbxContent>
                <w:p>
                  <w:pPr>
                    <w:spacing w:before="0" w:line="260" w:lineRule="exact"/>
                    <w:ind w:left="0" w:right="0" w:firstLine="0"/>
                    <w:jc w:val="left"/>
                    <w:rPr>
                      <w:sz w:val="26"/>
                    </w:rPr>
                  </w:pPr>
                  <w:r>
                    <w:rPr>
                      <w:spacing w:val="-130"/>
                      <w:sz w:val="26"/>
                    </w:rPr>
                    <w:t>9</w:t>
                  </w:r>
                </w:p>
              </w:txbxContent>
            </v:textbox>
          </v:shape>
        </w:pict>
      </w:r>
      <w:r>
        <w:pict>
          <v:shape id="_x0000_s1030" type="#_x0000_t202" style="width:0.1pt;height:13pt;margin-top:-6.55pt;margin-left:334pt;mso-position-horizontal-relative:page;position:absolute;z-index:-251644928" filled="f" stroked="f">
            <v:textbox inset="0,0,0,0">
              <w:txbxContent>
                <w:p>
                  <w:pPr>
                    <w:spacing w:before="0" w:line="260" w:lineRule="exact"/>
                    <w:ind w:left="0" w:right="0" w:firstLine="0"/>
                    <w:jc w:val="left"/>
                    <w:rPr>
                      <w:sz w:val="26"/>
                    </w:rPr>
                  </w:pPr>
                  <w:r>
                    <w:rPr>
                      <w:spacing w:val="-130"/>
                      <w:sz w:val="26"/>
                    </w:rPr>
                    <w:t>9</w:t>
                  </w:r>
                </w:p>
              </w:txbxContent>
            </v:textbox>
          </v:shape>
        </w:pict>
      </w:r>
      <w:r>
        <w:pict>
          <v:shape id="_x0000_s1031" type="#_x0000_t202" style="width:0.1pt;height:13pt;margin-top:-6.55pt;margin-left:353.99pt;mso-position-horizontal-relative:page;position:absolute;z-index:-251643904" filled="f" stroked="f">
            <v:textbox inset="0,0,0,0">
              <w:txbxContent>
                <w:p>
                  <w:pPr>
                    <w:spacing w:before="0" w:line="260" w:lineRule="exact"/>
                    <w:ind w:left="0" w:right="0" w:firstLine="0"/>
                    <w:jc w:val="left"/>
                    <w:rPr>
                      <w:sz w:val="26"/>
                    </w:rPr>
                  </w:pPr>
                  <w:r>
                    <w:rPr>
                      <w:spacing w:val="-130"/>
                      <w:sz w:val="26"/>
                    </w:rPr>
                    <w:t>9</w:t>
                  </w:r>
                </w:p>
              </w:txbxContent>
            </v:textbox>
          </v:shape>
        </w:pict>
      </w:r>
      <w:r>
        <w:pict>
          <v:shape id="_x0000_s1032" type="#_x0000_t202" style="width:0.1pt;height:13pt;margin-top:-6.55pt;margin-left:374.02pt;mso-position-horizontal-relative:page;position:absolute;z-index:-251642880" filled="f" stroked="f">
            <v:textbox inset="0,0,0,0">
              <w:txbxContent>
                <w:p>
                  <w:pPr>
                    <w:spacing w:before="0" w:line="260" w:lineRule="exact"/>
                    <w:ind w:left="0" w:right="0" w:firstLine="0"/>
                    <w:jc w:val="left"/>
                    <w:rPr>
                      <w:sz w:val="26"/>
                    </w:rPr>
                  </w:pPr>
                  <w:r>
                    <w:rPr>
                      <w:spacing w:val="-130"/>
                      <w:sz w:val="26"/>
                    </w:rPr>
                    <w:t>9</w:t>
                  </w:r>
                </w:p>
              </w:txbxContent>
            </v:textbox>
          </v:shape>
        </w:pict>
      </w:r>
      <w:r>
        <w:pict>
          <v:shape id="_x0000_s1033" type="#_x0000_t202" style="width:0.1pt;height:13pt;margin-top:-6.55pt;margin-left:394.05pt;mso-position-horizontal-relative:page;position:absolute;z-index:-251641856" filled="f" stroked="f">
            <v:textbox inset="0,0,0,0">
              <w:txbxContent>
                <w:p>
                  <w:pPr>
                    <w:spacing w:before="0" w:line="260" w:lineRule="exact"/>
                    <w:ind w:left="0" w:right="0" w:firstLine="0"/>
                    <w:jc w:val="left"/>
                    <w:rPr>
                      <w:sz w:val="26"/>
                    </w:rPr>
                  </w:pPr>
                  <w:r>
                    <w:rPr>
                      <w:spacing w:val="-130"/>
                      <w:sz w:val="26"/>
                    </w:rPr>
                    <w:t>9</w:t>
                  </w:r>
                </w:p>
              </w:txbxContent>
            </v:textbox>
          </v:shape>
        </w:pict>
      </w:r>
      <w:r>
        <w:rPr>
          <w:sz w:val="26"/>
        </w:rPr>
        <w:t>1</w:t>
        <w:tab/>
        <w:t>1</w:t>
        <w:tab/>
        <w:t>1</w:t>
        <w:tab/>
        <w:t>1</w:t>
        <w:tab/>
      </w:r>
      <w:r>
        <w:rPr>
          <w:spacing w:val="-20"/>
          <w:sz w:val="26"/>
        </w:rPr>
        <w:t>1</w:t>
      </w:r>
    </w:p>
    <w:p>
      <w:pPr>
        <w:pStyle w:val="BodyText"/>
        <w:rPr>
          <w:sz w:val="36"/>
        </w:rPr>
      </w:pPr>
      <w:r>
        <w:br w:type="column"/>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7"/>
        <w:rPr>
          <w:sz w:val="39"/>
        </w:rPr>
      </w:pPr>
    </w:p>
    <w:p>
      <w:pPr>
        <w:tabs>
          <w:tab w:val="left" w:pos="650"/>
        </w:tabs>
        <w:spacing w:before="0" w:line="141" w:lineRule="auto"/>
        <w:ind w:left="250" w:right="0" w:firstLine="0"/>
        <w:jc w:val="left"/>
        <w:rPr>
          <w:sz w:val="26"/>
        </w:rPr>
      </w:pPr>
      <w:r>
        <w:rPr>
          <w:spacing w:val="-130"/>
          <w:position w:val="-9"/>
          <w:sz w:val="26"/>
        </w:rPr>
        <w:t>8</w:t>
      </w:r>
      <w:r>
        <w:rPr>
          <w:sz w:val="26"/>
        </w:rPr>
        <w:t>5</w:t>
        <w:tab/>
      </w:r>
      <w:r>
        <w:rPr>
          <w:spacing w:val="-140"/>
          <w:sz w:val="26"/>
        </w:rPr>
        <w:t>6</w:t>
      </w:r>
      <w:r>
        <w:rPr>
          <w:spacing w:val="-10"/>
          <w:position w:val="-9"/>
          <w:sz w:val="26"/>
        </w:rPr>
        <w:t>8</w:t>
      </w:r>
    </w:p>
    <w:p>
      <w:pPr>
        <w:tabs>
          <w:tab w:val="left" w:pos="650"/>
        </w:tabs>
        <w:spacing w:before="0" w:line="225" w:lineRule="exact"/>
        <w:ind w:left="250" w:right="0" w:firstLine="0"/>
        <w:jc w:val="left"/>
        <w:rPr>
          <w:sz w:val="26"/>
        </w:rPr>
      </w:pPr>
      <w:r>
        <w:pict>
          <v:shape id="_x0000_s1034" type="#_x0000_t202" style="width:0.1pt;height:13pt;margin-top:-6.55pt;margin-left:415.07pt;mso-position-horizontal-relative:page;position:absolute;z-index:251665408" filled="f" stroked="f">
            <v:textbox inset="0,0,0,0">
              <w:txbxContent>
                <w:p>
                  <w:pPr>
                    <w:spacing w:before="0" w:line="260" w:lineRule="exact"/>
                    <w:ind w:left="0" w:right="0" w:firstLine="0"/>
                    <w:jc w:val="left"/>
                    <w:rPr>
                      <w:sz w:val="26"/>
                    </w:rPr>
                  </w:pPr>
                  <w:r>
                    <w:rPr>
                      <w:spacing w:val="-130"/>
                      <w:sz w:val="26"/>
                    </w:rPr>
                    <w:t>9</w:t>
                  </w:r>
                </w:p>
              </w:txbxContent>
            </v:textbox>
          </v:shape>
        </w:pict>
      </w:r>
      <w:r>
        <w:pict>
          <v:shape id="_x0000_s1035" type="#_x0000_t202" style="width:0.1pt;height:13pt;margin-top:-6.55pt;margin-left:435.08pt;mso-position-horizontal-relative:page;position:absolute;z-index:-251640832" filled="f" stroked="f">
            <v:textbox inset="0,0,0,0">
              <w:txbxContent>
                <w:p>
                  <w:pPr>
                    <w:spacing w:before="0" w:line="260" w:lineRule="exact"/>
                    <w:ind w:left="0" w:right="0" w:firstLine="0"/>
                    <w:jc w:val="left"/>
                    <w:rPr>
                      <w:sz w:val="26"/>
                    </w:rPr>
                  </w:pPr>
                  <w:r>
                    <w:rPr>
                      <w:spacing w:val="-130"/>
                      <w:sz w:val="26"/>
                    </w:rPr>
                    <w:t>9</w:t>
                  </w:r>
                </w:p>
              </w:txbxContent>
            </v:textbox>
          </v:shape>
        </w:pict>
      </w:r>
      <w:r>
        <w:rPr>
          <w:sz w:val="26"/>
        </w:rPr>
        <w:t>1</w:t>
        <w:tab/>
      </w:r>
      <w:r>
        <w:rPr>
          <w:spacing w:val="-20"/>
          <w:sz w:val="26"/>
        </w:rPr>
        <w:t>1</w:t>
      </w:r>
    </w:p>
    <w:p>
      <w:pPr>
        <w:pStyle w:val="BodyText"/>
        <w:rPr>
          <w:sz w:val="36"/>
        </w:rPr>
      </w:pPr>
      <w:r>
        <w:br w:type="column"/>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6"/>
        <w:rPr>
          <w:sz w:val="34"/>
        </w:rPr>
      </w:pPr>
    </w:p>
    <w:p>
      <w:pPr>
        <w:tabs>
          <w:tab w:val="left" w:pos="631"/>
        </w:tabs>
        <w:spacing w:before="0" w:line="312" w:lineRule="exact"/>
        <w:ind w:left="230" w:right="0" w:firstLine="0"/>
        <w:jc w:val="left"/>
        <w:rPr>
          <w:b/>
          <w:sz w:val="26"/>
        </w:rPr>
      </w:pPr>
      <w:r>
        <w:rPr>
          <w:spacing w:val="-130"/>
          <w:position w:val="-9"/>
          <w:sz w:val="26"/>
        </w:rPr>
        <w:t>8</w:t>
      </w:r>
      <w:r>
        <w:rPr>
          <w:sz w:val="26"/>
        </w:rPr>
        <w:t>7</w:t>
        <w:tab/>
      </w:r>
      <w:r>
        <w:rPr>
          <w:b/>
          <w:spacing w:val="-20"/>
          <w:w w:val="99"/>
          <w:sz w:val="26"/>
        </w:rPr>
        <w:t>8</w:t>
      </w:r>
    </w:p>
    <w:p>
      <w:pPr>
        <w:tabs>
          <w:tab w:val="left" w:pos="631"/>
        </w:tabs>
        <w:spacing w:before="0" w:line="275" w:lineRule="exact"/>
        <w:ind w:left="230" w:right="0" w:firstLine="0"/>
        <w:jc w:val="left"/>
        <w:rPr>
          <w:sz w:val="26"/>
        </w:rPr>
      </w:pPr>
      <w:r>
        <w:pict>
          <v:shape id="_x0000_s1036" type="#_x0000_t202" style="width:0.1pt;height:13pt;margin-top:-4.07pt;margin-left:455.12pt;mso-position-horizontal-relative:page;position:absolute;z-index:251666432" filled="f" stroked="f">
            <v:textbox inset="0,0,0,0">
              <w:txbxContent>
                <w:p>
                  <w:pPr>
                    <w:spacing w:before="0" w:line="260" w:lineRule="exact"/>
                    <w:ind w:left="0" w:right="0" w:firstLine="0"/>
                    <w:jc w:val="left"/>
                    <w:rPr>
                      <w:sz w:val="26"/>
                    </w:rPr>
                  </w:pPr>
                  <w:r>
                    <w:rPr>
                      <w:spacing w:val="-130"/>
                      <w:sz w:val="26"/>
                    </w:rPr>
                    <w:t>9</w:t>
                  </w:r>
                </w:p>
              </w:txbxContent>
            </v:textbox>
          </v:shape>
        </w:pict>
      </w:r>
      <w:r>
        <w:rPr>
          <w:sz w:val="26"/>
        </w:rPr>
        <w:t>1</w:t>
        <w:tab/>
      </w:r>
      <w:r>
        <w:rPr>
          <w:spacing w:val="-140"/>
          <w:position w:val="10"/>
          <w:sz w:val="26"/>
        </w:rPr>
        <w:t>9</w:t>
      </w:r>
      <w:r>
        <w:rPr>
          <w:spacing w:val="-10"/>
          <w:sz w:val="26"/>
        </w:rPr>
        <w:t>1</w:t>
      </w:r>
    </w:p>
    <w:p>
      <w:pPr>
        <w:pStyle w:val="BodyText"/>
        <w:rPr>
          <w:sz w:val="36"/>
        </w:rPr>
      </w:pPr>
      <w:r>
        <w:br w:type="column"/>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7"/>
        <w:rPr>
          <w:sz w:val="39"/>
        </w:rPr>
      </w:pPr>
    </w:p>
    <w:p>
      <w:pPr>
        <w:tabs>
          <w:tab w:val="left" w:pos="650"/>
          <w:tab w:val="left" w:pos="1050"/>
        </w:tabs>
        <w:spacing w:before="0" w:line="141" w:lineRule="auto"/>
        <w:ind w:left="250" w:right="0" w:firstLine="0"/>
        <w:jc w:val="left"/>
        <w:rPr>
          <w:sz w:val="26"/>
        </w:rPr>
      </w:pPr>
      <w:r>
        <w:rPr>
          <w:spacing w:val="-130"/>
          <w:position w:val="-9"/>
          <w:sz w:val="26"/>
        </w:rPr>
        <w:t>8</w:t>
      </w:r>
      <w:r>
        <w:rPr>
          <w:sz w:val="26"/>
        </w:rPr>
        <w:t>9</w:t>
        <w:tab/>
      </w:r>
      <w:r>
        <w:rPr>
          <w:spacing w:val="-130"/>
          <w:sz w:val="26"/>
        </w:rPr>
        <w:t>0</w:t>
      </w:r>
      <w:r>
        <w:rPr>
          <w:position w:val="-9"/>
          <w:sz w:val="26"/>
        </w:rPr>
        <w:t>9</w:t>
        <w:tab/>
      </w:r>
      <w:r>
        <w:rPr>
          <w:spacing w:val="-140"/>
          <w:sz w:val="26"/>
        </w:rPr>
        <w:t>1</w:t>
      </w:r>
      <w:r>
        <w:rPr>
          <w:spacing w:val="-10"/>
          <w:position w:val="-9"/>
          <w:sz w:val="26"/>
        </w:rPr>
        <w:t>9</w:t>
      </w:r>
    </w:p>
    <w:p>
      <w:pPr>
        <w:tabs>
          <w:tab w:val="left" w:pos="650"/>
          <w:tab w:val="left" w:pos="1050"/>
        </w:tabs>
        <w:spacing w:before="0" w:line="225" w:lineRule="exact"/>
        <w:ind w:left="250" w:right="0" w:firstLine="0"/>
        <w:jc w:val="left"/>
        <w:rPr>
          <w:sz w:val="26"/>
        </w:rPr>
      </w:pPr>
      <w:r>
        <w:pict>
          <v:shape id="_x0000_s1037" type="#_x0000_t202" style="width:0.1pt;height:13pt;margin-top:-6.55pt;margin-left:496.16pt;mso-position-horizontal-relative:page;position:absolute;z-index:251667456" filled="f" stroked="f">
            <v:textbox inset="0,0,0,0">
              <w:txbxContent>
                <w:p>
                  <w:pPr>
                    <w:spacing w:before="0" w:line="260" w:lineRule="exact"/>
                    <w:ind w:left="0" w:right="0" w:firstLine="0"/>
                    <w:jc w:val="left"/>
                    <w:rPr>
                      <w:sz w:val="26"/>
                    </w:rPr>
                  </w:pPr>
                  <w:r>
                    <w:rPr>
                      <w:spacing w:val="-130"/>
                      <w:sz w:val="26"/>
                    </w:rPr>
                    <w:t>9</w:t>
                  </w:r>
                </w:p>
              </w:txbxContent>
            </v:textbox>
          </v:shape>
        </w:pict>
      </w:r>
      <w:r>
        <w:pict>
          <v:shape id="_x0000_s1038" type="#_x0000_t202" style="width:0.1pt;height:13pt;margin-top:-6.55pt;margin-left:516.19pt;mso-position-horizontal-relative:page;position:absolute;z-index:-251639808" filled="f" stroked="f">
            <v:textbox inset="0,0,0,0">
              <w:txbxContent>
                <w:p>
                  <w:pPr>
                    <w:spacing w:before="0" w:line="260" w:lineRule="exact"/>
                    <w:ind w:left="0" w:right="0" w:firstLine="0"/>
                    <w:jc w:val="left"/>
                    <w:rPr>
                      <w:sz w:val="26"/>
                    </w:rPr>
                  </w:pPr>
                  <w:r>
                    <w:rPr>
                      <w:spacing w:val="-130"/>
                      <w:sz w:val="26"/>
                    </w:rPr>
                    <w:t>9</w:t>
                  </w:r>
                </w:p>
              </w:txbxContent>
            </v:textbox>
          </v:shape>
        </w:pict>
      </w:r>
      <w:r>
        <w:pict>
          <v:shape id="_x0000_s1039" type="#_x0000_t202" style="width:0.1pt;height:13pt;margin-top:-6.55pt;margin-left:536.18pt;mso-position-horizontal-relative:page;position:absolute;z-index:-251638784" filled="f" stroked="f">
            <v:textbox inset="0,0,0,0">
              <w:txbxContent>
                <w:p>
                  <w:pPr>
                    <w:spacing w:before="0" w:line="260" w:lineRule="exact"/>
                    <w:ind w:left="0" w:right="0" w:firstLine="0"/>
                    <w:jc w:val="left"/>
                    <w:rPr>
                      <w:sz w:val="26"/>
                    </w:rPr>
                  </w:pPr>
                  <w:r>
                    <w:rPr>
                      <w:spacing w:val="-130"/>
                      <w:sz w:val="26"/>
                    </w:rPr>
                    <w:t>9</w:t>
                  </w:r>
                </w:p>
              </w:txbxContent>
            </v:textbox>
          </v:shape>
        </w:pict>
      </w:r>
      <w:r>
        <w:rPr>
          <w:sz w:val="26"/>
        </w:rPr>
        <w:t>1</w:t>
        <w:tab/>
        <w:t>1</w:t>
        <w:tab/>
      </w:r>
      <w:r>
        <w:rPr>
          <w:spacing w:val="-20"/>
          <w:sz w:val="26"/>
        </w:rPr>
        <w:t>1</w:t>
      </w:r>
    </w:p>
    <w:p>
      <w:pPr>
        <w:pStyle w:val="BodyText"/>
        <w:rPr>
          <w:sz w:val="36"/>
        </w:rPr>
      </w:pPr>
      <w:r>
        <w:br w:type="column"/>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7"/>
        <w:rPr>
          <w:sz w:val="39"/>
        </w:rPr>
      </w:pPr>
    </w:p>
    <w:p>
      <w:pPr>
        <w:tabs>
          <w:tab w:val="left" w:pos="631"/>
        </w:tabs>
        <w:spacing w:before="0" w:line="141" w:lineRule="auto"/>
        <w:ind w:left="230" w:right="0" w:firstLine="0"/>
        <w:jc w:val="left"/>
        <w:rPr>
          <w:sz w:val="26"/>
        </w:rPr>
      </w:pPr>
      <w:r>
        <w:rPr>
          <w:spacing w:val="-130"/>
          <w:position w:val="-9"/>
          <w:sz w:val="26"/>
        </w:rPr>
        <w:t>9</w:t>
      </w:r>
      <w:r>
        <w:rPr>
          <w:sz w:val="26"/>
        </w:rPr>
        <w:t>2</w:t>
        <w:tab/>
      </w:r>
      <w:r>
        <w:rPr>
          <w:spacing w:val="-140"/>
          <w:sz w:val="26"/>
        </w:rPr>
        <w:t>3</w:t>
      </w:r>
      <w:r>
        <w:rPr>
          <w:spacing w:val="-10"/>
          <w:position w:val="-9"/>
          <w:sz w:val="26"/>
        </w:rPr>
        <w:t>9</w:t>
      </w:r>
    </w:p>
    <w:p>
      <w:pPr>
        <w:tabs>
          <w:tab w:val="left" w:pos="631"/>
        </w:tabs>
        <w:spacing w:before="0" w:line="225" w:lineRule="exact"/>
        <w:ind w:left="230" w:right="0" w:firstLine="0"/>
        <w:jc w:val="left"/>
        <w:rPr>
          <w:sz w:val="26"/>
        </w:rPr>
      </w:pPr>
      <w:r>
        <w:pict>
          <v:shape id="_x0000_s1040" type="#_x0000_t202" style="width:0.1pt;height:13pt;margin-top:-6.55pt;margin-left:556.21pt;mso-position-horizontal-relative:page;position:absolute;z-index:251668480" filled="f" stroked="f">
            <v:textbox inset="0,0,0,0">
              <w:txbxContent>
                <w:p>
                  <w:pPr>
                    <w:spacing w:before="0" w:line="260" w:lineRule="exact"/>
                    <w:ind w:left="0" w:right="0" w:firstLine="0"/>
                    <w:jc w:val="left"/>
                    <w:rPr>
                      <w:sz w:val="26"/>
                    </w:rPr>
                  </w:pPr>
                  <w:r>
                    <w:rPr>
                      <w:spacing w:val="-130"/>
                      <w:sz w:val="26"/>
                    </w:rPr>
                    <w:t>9</w:t>
                  </w:r>
                </w:p>
              </w:txbxContent>
            </v:textbox>
          </v:shape>
        </w:pict>
      </w:r>
      <w:r>
        <w:pict>
          <v:shape id="_x0000_s1041" type="#_x0000_t202" style="width:0.1pt;height:13pt;margin-top:-6.55pt;margin-left:576.24pt;mso-position-horizontal-relative:page;position:absolute;z-index:-251637760" filled="f" stroked="f">
            <v:textbox inset="0,0,0,0">
              <w:txbxContent>
                <w:p>
                  <w:pPr>
                    <w:spacing w:before="0" w:line="260" w:lineRule="exact"/>
                    <w:ind w:left="0" w:right="0" w:firstLine="0"/>
                    <w:jc w:val="left"/>
                    <w:rPr>
                      <w:sz w:val="26"/>
                    </w:rPr>
                  </w:pPr>
                  <w:r>
                    <w:rPr>
                      <w:spacing w:val="-130"/>
                      <w:sz w:val="26"/>
                    </w:rPr>
                    <w:t>9</w:t>
                  </w:r>
                </w:p>
              </w:txbxContent>
            </v:textbox>
          </v:shape>
        </w:pict>
      </w:r>
      <w:r>
        <w:rPr>
          <w:sz w:val="26"/>
        </w:rPr>
        <w:t>1</w:t>
        <w:tab/>
      </w:r>
      <w:r>
        <w:rPr>
          <w:spacing w:val="-20"/>
          <w:sz w:val="26"/>
        </w:rPr>
        <w:t>1</w:t>
      </w:r>
    </w:p>
    <w:p>
      <w:pPr>
        <w:pStyle w:val="BodyText"/>
        <w:rPr>
          <w:sz w:val="36"/>
        </w:rPr>
      </w:pPr>
      <w:r>
        <w:br w:type="column"/>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7"/>
        <w:rPr>
          <w:sz w:val="39"/>
        </w:rPr>
      </w:pPr>
    </w:p>
    <w:p>
      <w:pPr>
        <w:tabs>
          <w:tab w:val="left" w:pos="650"/>
        </w:tabs>
        <w:spacing w:before="0" w:line="141" w:lineRule="auto"/>
        <w:ind w:left="250" w:right="0" w:firstLine="0"/>
        <w:jc w:val="left"/>
        <w:rPr>
          <w:sz w:val="26"/>
        </w:rPr>
      </w:pPr>
      <w:r>
        <w:rPr>
          <w:spacing w:val="-130"/>
          <w:position w:val="-9"/>
          <w:sz w:val="26"/>
        </w:rPr>
        <w:t>9</w:t>
      </w:r>
      <w:r>
        <w:rPr>
          <w:sz w:val="26"/>
        </w:rPr>
        <w:t>4</w:t>
        <w:tab/>
      </w:r>
      <w:r>
        <w:rPr>
          <w:spacing w:val="-140"/>
          <w:sz w:val="26"/>
        </w:rPr>
        <w:t>5</w:t>
      </w:r>
      <w:r>
        <w:rPr>
          <w:spacing w:val="-10"/>
          <w:position w:val="-9"/>
          <w:sz w:val="26"/>
        </w:rPr>
        <w:t>9</w:t>
      </w:r>
    </w:p>
    <w:p>
      <w:pPr>
        <w:tabs>
          <w:tab w:val="left" w:pos="650"/>
        </w:tabs>
        <w:spacing w:before="0" w:line="225" w:lineRule="exact"/>
        <w:ind w:left="250" w:right="0" w:firstLine="0"/>
        <w:jc w:val="left"/>
        <w:rPr>
          <w:sz w:val="26"/>
        </w:rPr>
      </w:pPr>
      <w:r>
        <w:pict>
          <v:shape id="_x0000_s1042" type="#_x0000_t202" style="width:0.1pt;height:13pt;margin-top:-6.55pt;margin-left:597.26pt;mso-position-horizontal-relative:page;position:absolute;z-index:251669504" filled="f" stroked="f">
            <v:textbox inset="0,0,0,0">
              <w:txbxContent>
                <w:p>
                  <w:pPr>
                    <w:spacing w:before="0" w:line="260" w:lineRule="exact"/>
                    <w:ind w:left="0" w:right="0" w:firstLine="0"/>
                    <w:jc w:val="left"/>
                    <w:rPr>
                      <w:sz w:val="26"/>
                    </w:rPr>
                  </w:pPr>
                  <w:r>
                    <w:rPr>
                      <w:spacing w:val="-130"/>
                      <w:sz w:val="26"/>
                    </w:rPr>
                    <w:t>9</w:t>
                  </w:r>
                </w:p>
              </w:txbxContent>
            </v:textbox>
          </v:shape>
        </w:pict>
      </w:r>
      <w:r>
        <w:pict>
          <v:shape id="_x0000_s1043" type="#_x0000_t202" style="width:0.1pt;height:13pt;margin-top:-6.55pt;margin-left:617.28pt;mso-position-horizontal-relative:page;position:absolute;z-index:-251636736" filled="f" stroked="f">
            <v:textbox inset="0,0,0,0">
              <w:txbxContent>
                <w:p>
                  <w:pPr>
                    <w:spacing w:before="0" w:line="260" w:lineRule="exact"/>
                    <w:ind w:left="0" w:right="0" w:firstLine="0"/>
                    <w:jc w:val="left"/>
                    <w:rPr>
                      <w:sz w:val="26"/>
                    </w:rPr>
                  </w:pPr>
                  <w:r>
                    <w:rPr>
                      <w:spacing w:val="-130"/>
                      <w:sz w:val="26"/>
                    </w:rPr>
                    <w:t>9</w:t>
                  </w:r>
                </w:p>
              </w:txbxContent>
            </v:textbox>
          </v:shape>
        </w:pict>
      </w:r>
      <w:r>
        <w:rPr>
          <w:sz w:val="26"/>
        </w:rPr>
        <w:t>1</w:t>
        <w:tab/>
      </w:r>
      <w:r>
        <w:rPr>
          <w:spacing w:val="-20"/>
          <w:sz w:val="26"/>
        </w:rPr>
        <w:t>1</w:t>
      </w:r>
    </w:p>
    <w:p>
      <w:pPr>
        <w:spacing w:before="108"/>
        <w:ind w:left="393" w:right="0" w:firstLine="0"/>
        <w:jc w:val="left"/>
        <w:rPr>
          <w:rFonts w:ascii="Arial"/>
          <w:sz w:val="21"/>
        </w:rPr>
      </w:pPr>
      <w:r>
        <w:br w:type="column"/>
      </w:r>
      <w:r>
        <w:rPr>
          <w:rFonts w:ascii="Arial"/>
          <w:sz w:val="21"/>
        </w:rPr>
        <w:t>100</w:t>
      </w:r>
    </w:p>
    <w:p>
      <w:pPr>
        <w:spacing w:before="83"/>
        <w:ind w:left="393" w:right="0" w:firstLine="0"/>
        <w:jc w:val="left"/>
        <w:rPr>
          <w:rFonts w:ascii="Arial"/>
          <w:sz w:val="21"/>
        </w:rPr>
      </w:pPr>
      <w:r>
        <w:pict>
          <v:group id="_x0000_s1044" style="width:84pt;height:130pt;margin-top:-4.33pt;margin-left:689pt;mso-position-horizontal-relative:page;position:absolute;z-index:251661312" coordorigin="13780,-87" coordsize="1680,2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width:1680;height:2600;left:13780;position:absolute;top:-87" stroked="f">
              <v:imagedata r:id="rId8" o:title=""/>
            </v:shape>
            <v:shape id="_x0000_s1046" type="#_x0000_t202" style="width:732;height:389;left:14510;position:absolute;top:203" filled="f" stroked="f">
              <v:textbox inset="0,0,0,0">
                <w:txbxContent>
                  <w:p>
                    <w:pPr>
                      <w:spacing w:before="0" w:line="218" w:lineRule="auto"/>
                      <w:ind w:left="0" w:right="6" w:firstLine="0"/>
                      <w:jc w:val="left"/>
                      <w:rPr>
                        <w:sz w:val="18"/>
                      </w:rPr>
                    </w:pPr>
                    <w:r>
                      <w:rPr>
                        <w:sz w:val="18"/>
                      </w:rPr>
                      <w:t>全部财政收入</w:t>
                    </w:r>
                  </w:p>
                </w:txbxContent>
              </v:textbox>
            </v:shape>
            <v:shape id="_x0000_s1047" type="#_x0000_t202" style="width:732;height:390;left:14510;position:absolute;top:1062" filled="f" stroked="f">
              <v:textbox inset="0,0,0,0">
                <w:txbxContent>
                  <w:p>
                    <w:pPr>
                      <w:spacing w:before="0" w:line="194" w:lineRule="exact"/>
                      <w:ind w:left="0" w:right="0" w:firstLine="0"/>
                      <w:jc w:val="left"/>
                      <w:rPr>
                        <w:sz w:val="18"/>
                      </w:rPr>
                    </w:pPr>
                    <w:r>
                      <w:rPr>
                        <w:w w:val="95"/>
                        <w:sz w:val="18"/>
                      </w:rPr>
                      <w:t>国有经济</w:t>
                    </w:r>
                  </w:p>
                  <w:p>
                    <w:pPr>
                      <w:spacing w:before="0" w:line="195" w:lineRule="exact"/>
                      <w:ind w:left="0" w:right="0" w:firstLine="0"/>
                      <w:jc w:val="left"/>
                      <w:rPr>
                        <w:sz w:val="18"/>
                      </w:rPr>
                    </w:pPr>
                    <w:r>
                      <w:rPr>
                        <w:w w:val="95"/>
                        <w:sz w:val="18"/>
                      </w:rPr>
                      <w:t>的贡献额</w:t>
                    </w:r>
                  </w:p>
                </w:txbxContent>
              </v:textbox>
            </v:shape>
            <v:shape id="_x0000_s1048" type="#_x0000_t202" style="width:732;height:600;left:14510;position:absolute;top:1905" filled="f" stroked="f">
              <v:textbox inset="0,0,0,0">
                <w:txbxContent>
                  <w:p>
                    <w:pPr>
                      <w:spacing w:before="0" w:line="218" w:lineRule="auto"/>
                      <w:ind w:left="0" w:right="18" w:firstLine="0"/>
                      <w:jc w:val="both"/>
                      <w:rPr>
                        <w:sz w:val="18"/>
                      </w:rPr>
                    </w:pPr>
                    <w:r>
                      <w:rPr>
                        <w:spacing w:val="-5"/>
                        <w:sz w:val="18"/>
                      </w:rPr>
                      <w:t>国有经济的贡献比</w:t>
                    </w:r>
                    <w:r>
                      <w:rPr>
                        <w:sz w:val="18"/>
                      </w:rPr>
                      <w:t>例</w:t>
                    </w:r>
                  </w:p>
                </w:txbxContent>
              </v:textbox>
            </v:shape>
          </v:group>
        </w:pict>
      </w:r>
      <w:r>
        <w:rPr>
          <w:rFonts w:ascii="Arial"/>
          <w:sz w:val="21"/>
        </w:rPr>
        <w:t>90</w:t>
      </w:r>
    </w:p>
    <w:p>
      <w:pPr>
        <w:spacing w:before="99"/>
        <w:ind w:left="393" w:right="0" w:firstLine="0"/>
        <w:jc w:val="left"/>
        <w:rPr>
          <w:rFonts w:ascii="Arial"/>
          <w:sz w:val="21"/>
        </w:rPr>
      </w:pPr>
      <w:r>
        <w:rPr>
          <w:rFonts w:ascii="Arial"/>
          <w:sz w:val="21"/>
        </w:rPr>
        <w:t>80</w:t>
      </w:r>
    </w:p>
    <w:p>
      <w:pPr>
        <w:tabs>
          <w:tab w:val="left" w:pos="910"/>
        </w:tabs>
        <w:spacing w:before="60" w:line="280" w:lineRule="exact"/>
        <w:ind w:left="393" w:right="0" w:firstLine="0"/>
        <w:jc w:val="left"/>
        <w:rPr>
          <w:sz w:val="26"/>
        </w:rPr>
      </w:pPr>
      <w:r>
        <w:rPr>
          <w:rFonts w:ascii="Arial" w:eastAsia="Arial"/>
          <w:sz w:val="21"/>
        </w:rPr>
        <w:t>70</w:t>
        <w:tab/>
      </w:r>
      <w:r>
        <w:rPr>
          <w:position w:val="-3"/>
          <w:sz w:val="26"/>
        </w:rPr>
        <w:t>）</w:t>
      </w:r>
    </w:p>
    <w:p>
      <w:pPr>
        <w:tabs>
          <w:tab w:val="left" w:pos="950"/>
        </w:tabs>
        <w:spacing w:before="0" w:line="310" w:lineRule="exact"/>
        <w:ind w:left="393" w:right="0" w:firstLine="0"/>
        <w:jc w:val="left"/>
        <w:rPr>
          <w:rFonts w:ascii="Arial"/>
          <w:sz w:val="26"/>
        </w:rPr>
      </w:pPr>
      <w:r>
        <w:pict>
          <v:shape id="_x0000_s1049" type="#_x0000_t202" style="width:13pt;height:13pt;margin-top:6.29pt;margin-left:671.32pt;mso-position-horizontal-relative:page;position:absolute;z-index:-251635712" filled="f" stroked="f">
            <v:textbox inset="0,0,0,0">
              <w:txbxContent>
                <w:p>
                  <w:pPr>
                    <w:spacing w:before="0" w:line="260" w:lineRule="exact"/>
                    <w:ind w:left="0" w:right="0" w:firstLine="0"/>
                    <w:jc w:val="left"/>
                    <w:rPr>
                      <w:sz w:val="26"/>
                    </w:rPr>
                  </w:pPr>
                  <w:r>
                    <w:rPr>
                      <w:sz w:val="26"/>
                    </w:rPr>
                    <w:t>（</w:t>
                  </w:r>
                </w:p>
              </w:txbxContent>
            </v:textbox>
          </v:shape>
        </w:pict>
      </w:r>
      <w:r>
        <w:rPr>
          <w:rFonts w:ascii="Arial"/>
          <w:sz w:val="21"/>
        </w:rPr>
        <w:t>60</w:t>
        <w:tab/>
      </w:r>
      <w:r>
        <w:rPr>
          <w:rFonts w:ascii="Arial"/>
          <w:position w:val="9"/>
          <w:sz w:val="26"/>
        </w:rPr>
        <w:t>%</w:t>
      </w:r>
    </w:p>
    <w:p>
      <w:pPr>
        <w:tabs>
          <w:tab w:val="left" w:pos="910"/>
        </w:tabs>
        <w:spacing w:before="0" w:line="279" w:lineRule="exact"/>
        <w:ind w:left="393" w:right="0" w:firstLine="0"/>
        <w:jc w:val="left"/>
        <w:rPr>
          <w:sz w:val="26"/>
        </w:rPr>
      </w:pPr>
      <w:r>
        <w:rPr>
          <w:rFonts w:ascii="Arial" w:eastAsia="Arial"/>
          <w:sz w:val="21"/>
        </w:rPr>
        <w:t>50</w:t>
        <w:tab/>
      </w:r>
      <w:r>
        <w:rPr>
          <w:position w:val="5"/>
          <w:sz w:val="26"/>
        </w:rPr>
        <w:t>例</w:t>
      </w:r>
    </w:p>
    <w:p>
      <w:pPr>
        <w:tabs>
          <w:tab w:val="left" w:pos="910"/>
        </w:tabs>
        <w:spacing w:before="0" w:line="377" w:lineRule="exact"/>
        <w:ind w:left="393" w:right="0" w:firstLine="0"/>
        <w:jc w:val="left"/>
        <w:rPr>
          <w:sz w:val="26"/>
        </w:rPr>
      </w:pPr>
      <w:r>
        <w:pict>
          <v:shape id="_x0000_s1050" type="#_x0000_t202" style="width:13pt;height:13pt;margin-top:9.22pt;margin-left:671.32pt;mso-position-horizontal-relative:page;position:absolute;z-index:-251634688" filled="f" stroked="f">
            <v:textbox inset="0,0,0,0">
              <w:txbxContent>
                <w:p>
                  <w:pPr>
                    <w:spacing w:before="0" w:line="260" w:lineRule="exact"/>
                    <w:ind w:left="0" w:right="0" w:firstLine="0"/>
                    <w:jc w:val="left"/>
                    <w:rPr>
                      <w:sz w:val="26"/>
                    </w:rPr>
                  </w:pPr>
                  <w:r>
                    <w:rPr>
                      <w:sz w:val="26"/>
                    </w:rPr>
                    <w:t>献</w:t>
                  </w:r>
                </w:p>
              </w:txbxContent>
            </v:textbox>
          </v:shape>
        </w:pict>
      </w:r>
      <w:r>
        <w:rPr>
          <w:rFonts w:ascii="Arial" w:eastAsia="Arial"/>
          <w:sz w:val="21"/>
        </w:rPr>
        <w:t>40</w:t>
        <w:tab/>
      </w:r>
      <w:r>
        <w:rPr>
          <w:position w:val="14"/>
          <w:sz w:val="26"/>
        </w:rPr>
        <w:t>比</w:t>
      </w:r>
    </w:p>
    <w:p>
      <w:pPr>
        <w:tabs>
          <w:tab w:val="left" w:pos="910"/>
        </w:tabs>
        <w:spacing w:before="0" w:line="347" w:lineRule="exact"/>
        <w:ind w:left="393" w:right="0" w:firstLine="0"/>
        <w:jc w:val="left"/>
        <w:rPr>
          <w:sz w:val="26"/>
        </w:rPr>
      </w:pPr>
      <w:r>
        <w:rPr>
          <w:rFonts w:ascii="Arial" w:eastAsia="Arial"/>
          <w:sz w:val="21"/>
        </w:rPr>
        <w:t>30</w:t>
        <w:tab/>
      </w:r>
      <w:r>
        <w:rPr>
          <w:position w:val="5"/>
          <w:sz w:val="26"/>
        </w:rPr>
        <w:t>贡</w:t>
      </w:r>
    </w:p>
    <w:p>
      <w:pPr>
        <w:spacing w:before="82"/>
        <w:ind w:left="393" w:right="0" w:firstLine="0"/>
        <w:jc w:val="left"/>
        <w:rPr>
          <w:rFonts w:ascii="Arial"/>
          <w:sz w:val="21"/>
        </w:rPr>
      </w:pPr>
      <w:r>
        <w:rPr>
          <w:rFonts w:ascii="Arial"/>
          <w:sz w:val="21"/>
        </w:rPr>
        <w:t>20</w:t>
      </w:r>
    </w:p>
    <w:p>
      <w:pPr>
        <w:spacing w:before="99"/>
        <w:ind w:left="393" w:right="0" w:firstLine="0"/>
        <w:jc w:val="left"/>
        <w:rPr>
          <w:rFonts w:ascii="Arial"/>
          <w:sz w:val="21"/>
        </w:rPr>
      </w:pPr>
      <w:r>
        <w:rPr>
          <w:rFonts w:ascii="Arial"/>
          <w:sz w:val="21"/>
        </w:rPr>
        <w:t>10</w:t>
      </w:r>
    </w:p>
    <w:p>
      <w:pPr>
        <w:spacing w:before="83"/>
        <w:ind w:left="393" w:right="0" w:firstLine="0"/>
        <w:jc w:val="left"/>
        <w:rPr>
          <w:rFonts w:ascii="Arial"/>
          <w:sz w:val="21"/>
        </w:rPr>
      </w:pPr>
      <w:r>
        <w:rPr>
          <w:rFonts w:ascii="Arial"/>
          <w:w w:val="100"/>
          <w:sz w:val="21"/>
        </w:rPr>
        <w:t>0</w:t>
      </w:r>
    </w:p>
    <w:p>
      <w:pPr>
        <w:spacing w:after="0"/>
        <w:jc w:val="left"/>
        <w:rPr>
          <w:rFonts w:ascii="Arial"/>
          <w:sz w:val="21"/>
        </w:rPr>
        <w:sectPr>
          <w:type w:val="continuous"/>
          <w:pgSz w:w="17860" w:h="25260"/>
          <w:pgMar w:top="2420" w:right="1160" w:bottom="280" w:left="2300" w:header="708" w:footer="708"/>
          <w:pgNumType w:start="9"/>
          <w:cols w:num="8" w:space="708" w:equalWidth="0">
            <w:col w:w="3689" w:space="40"/>
            <w:col w:w="1983" w:space="39"/>
            <w:col w:w="781" w:space="40"/>
            <w:col w:w="762" w:space="39"/>
            <w:col w:w="1181" w:space="40"/>
            <w:col w:w="762" w:space="39"/>
            <w:col w:w="781" w:space="39"/>
            <w:col w:w="4185" w:space="0"/>
          </w:cols>
        </w:sectPr>
      </w:pPr>
    </w:p>
    <w:p>
      <w:pPr>
        <w:pStyle w:val="BodyText"/>
        <w:rPr>
          <w:rFonts w:ascii="Arial"/>
          <w:sz w:val="30"/>
        </w:rPr>
      </w:pPr>
    </w:p>
    <w:p>
      <w:pPr>
        <w:pStyle w:val="BodyText"/>
        <w:spacing w:before="4"/>
        <w:rPr>
          <w:rFonts w:ascii="Arial"/>
          <w:sz w:val="37"/>
        </w:rPr>
      </w:pPr>
    </w:p>
    <w:p>
      <w:pPr>
        <w:spacing w:before="0"/>
        <w:ind w:left="397" w:right="0" w:firstLine="0"/>
        <w:jc w:val="left"/>
        <w:rPr>
          <w:sz w:val="27"/>
        </w:rPr>
      </w:pPr>
      <w:r>
        <w:rPr>
          <w:spacing w:val="-7"/>
          <w:sz w:val="27"/>
        </w:rPr>
        <w:t xml:space="preserve">资料来源：统计附录表 </w:t>
      </w:r>
      <w:r>
        <w:rPr>
          <w:rFonts w:ascii="Arial" w:eastAsia="Arial"/>
          <w:sz w:val="27"/>
        </w:rPr>
        <w:t>2</w:t>
      </w:r>
      <w:r>
        <w:rPr>
          <w:sz w:val="27"/>
        </w:rPr>
        <w:t>。</w:t>
      </w:r>
    </w:p>
    <w:p>
      <w:pPr>
        <w:spacing w:before="0" w:line="240" w:lineRule="exact"/>
        <w:ind w:left="2419" w:right="0" w:firstLine="0"/>
        <w:jc w:val="left"/>
        <w:rPr>
          <w:sz w:val="21"/>
        </w:rPr>
      </w:pPr>
      <w:r>
        <w:br w:type="column"/>
      </w:r>
      <w:r>
        <w:rPr>
          <w:sz w:val="21"/>
        </w:rPr>
        <w:t>年 份</w:t>
      </w:r>
    </w:p>
    <w:p>
      <w:pPr>
        <w:spacing w:before="30"/>
        <w:ind w:left="397" w:right="0" w:firstLine="0"/>
        <w:jc w:val="left"/>
        <w:rPr>
          <w:rFonts w:ascii="黑体" w:eastAsia="黑体" w:hint="eastAsia"/>
          <w:sz w:val="29"/>
        </w:rPr>
      </w:pPr>
      <w:r>
        <w:rPr>
          <w:rFonts w:ascii="黑体" w:eastAsia="黑体" w:hint="eastAsia"/>
          <w:sz w:val="29"/>
        </w:rPr>
        <w:t>图3：国有经济对国家财政的贡献</w:t>
      </w:r>
    </w:p>
    <w:p>
      <w:pPr>
        <w:spacing w:after="0"/>
        <w:jc w:val="left"/>
        <w:rPr>
          <w:rFonts w:ascii="黑体" w:eastAsia="黑体" w:hint="eastAsia"/>
          <w:sz w:val="29"/>
        </w:rPr>
        <w:sectPr>
          <w:type w:val="continuous"/>
          <w:pgSz w:w="17860" w:h="25260"/>
          <w:pgMar w:top="2420" w:right="1160" w:bottom="280" w:left="2300" w:header="708" w:footer="708"/>
          <w:pgNumType w:start="10"/>
          <w:cols w:num="2" w:space="708" w:equalWidth="0">
            <w:col w:w="3613" w:space="433"/>
            <w:col w:w="10354" w:space="0"/>
          </w:cols>
        </w:sectPr>
      </w:pPr>
    </w:p>
    <w:p>
      <w:pPr>
        <w:pStyle w:val="BodyText"/>
        <w:tabs>
          <w:tab w:val="left" w:pos="7720"/>
        </w:tabs>
        <w:spacing w:before="63"/>
        <w:ind w:left="397"/>
        <w:rPr>
          <w:rFonts w:ascii="黑体" w:eastAsia="黑体" w:hint="eastAsia"/>
        </w:rPr>
      </w:pPr>
      <w:r>
        <w:rPr>
          <w:rFonts w:ascii="黑体" w:eastAsia="黑体" w:hint="eastAsia"/>
        </w:rPr>
        <w:t>表</w:t>
      </w:r>
      <w:r>
        <w:rPr>
          <w:rFonts w:ascii="黑体" w:eastAsia="黑体" w:hint="eastAsia"/>
          <w:spacing w:val="-72"/>
        </w:rPr>
        <w:t xml:space="preserve"> </w:t>
      </w:r>
      <w:r>
        <w:rPr>
          <w:rFonts w:ascii="黑体" w:eastAsia="黑体" w:hint="eastAsia"/>
        </w:rPr>
        <w:t>2：</w:t>
        <w:tab/>
        <w:t>财政负担的企业亏损补</w:t>
      </w:r>
      <w:r>
        <w:rPr>
          <w:rFonts w:ascii="黑体" w:eastAsia="黑体" w:hint="eastAsia"/>
          <w:spacing w:val="-21"/>
        </w:rPr>
        <w:t>贴</w:t>
      </w:r>
      <w:r>
        <w:rPr>
          <w:rFonts w:ascii="黑体" w:eastAsia="黑体" w:hint="eastAsia"/>
        </w:rPr>
        <w:t>*情况</w:t>
      </w:r>
    </w:p>
    <w:p>
      <w:pPr>
        <w:spacing w:before="130"/>
        <w:ind w:left="339" w:right="2516" w:firstLine="0"/>
        <w:jc w:val="right"/>
        <w:rPr>
          <w:sz w:val="27"/>
        </w:rPr>
      </w:pPr>
      <w:r>
        <w:drawing>
          <wp:anchor distT="0" distB="0" distL="0" distR="0" simplePos="0" relativeHeight="251684864" behindDoc="1" locked="0" layoutInCell="1" allowOverlap="1">
            <wp:simplePos x="0" y="0"/>
            <wp:positionH relativeFrom="page">
              <wp:posOffset>1600200</wp:posOffset>
            </wp:positionH>
            <wp:positionV relativeFrom="paragraph">
              <wp:posOffset>917067</wp:posOffset>
            </wp:positionV>
            <wp:extent cx="8323040" cy="25336"/>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9" cstate="print"/>
                    <a:stretch>
                      <a:fillRect/>
                    </a:stretch>
                  </pic:blipFill>
                  <pic:spPr>
                    <a:xfrm>
                      <a:off x="0" y="0"/>
                      <a:ext cx="8323040" cy="25336"/>
                    </a:xfrm>
                    <a:prstGeom prst="rect">
                      <a:avLst/>
                    </a:prstGeom>
                  </pic:spPr>
                </pic:pic>
              </a:graphicData>
            </a:graphic>
          </wp:anchor>
        </w:drawing>
      </w:r>
      <w:r>
        <w:rPr>
          <w:sz w:val="27"/>
        </w:rPr>
        <w:t>（亿元）</w:t>
      </w:r>
    </w:p>
    <w:p>
      <w:pPr>
        <w:pStyle w:val="BodyText"/>
        <w:rPr>
          <w:sz w:val="20"/>
        </w:rPr>
      </w:pPr>
    </w:p>
    <w:p>
      <w:pPr>
        <w:pStyle w:val="BodyText"/>
        <w:rPr>
          <w:sz w:val="12"/>
        </w:rPr>
      </w:pPr>
      <w:r>
        <w:drawing>
          <wp:anchor distT="0" distB="0" distL="0" distR="0" simplePos="0" relativeHeight="251682816" behindDoc="0" locked="0" layoutInCell="1" allowOverlap="1">
            <wp:simplePos x="0" y="0"/>
            <wp:positionH relativeFrom="page">
              <wp:posOffset>1600200</wp:posOffset>
            </wp:positionH>
            <wp:positionV relativeFrom="paragraph">
              <wp:posOffset>122401</wp:posOffset>
            </wp:positionV>
            <wp:extent cx="8323040" cy="38004"/>
            <wp:effectExtent l="0" t="0" r="0" b="0"/>
            <wp:wrapTopAndBottom/>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8323040" cy="38004"/>
                    </a:xfrm>
                    <a:prstGeom prst="rect">
                      <a:avLst/>
                    </a:prstGeom>
                  </pic:spPr>
                </pic:pic>
              </a:graphicData>
            </a:graphic>
          </wp:anchor>
        </w:drawing>
      </w:r>
    </w:p>
    <w:p>
      <w:pPr>
        <w:pStyle w:val="BodyText"/>
        <w:spacing w:before="9"/>
        <w:rPr>
          <w:sz w:val="10"/>
        </w:rPr>
      </w:pPr>
    </w:p>
    <w:tbl>
      <w:tblPr>
        <w:tblStyle w:val="TableNormal1"/>
        <w:tblW w:w="0" w:type="auto"/>
        <w:jc w:val="left"/>
        <w:tblInd w:w="2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14"/>
        <w:gridCol w:w="2151"/>
        <w:gridCol w:w="1418"/>
        <w:gridCol w:w="1418"/>
        <w:gridCol w:w="1420"/>
        <w:gridCol w:w="1420"/>
        <w:gridCol w:w="1418"/>
        <w:gridCol w:w="1597"/>
      </w:tblGrid>
      <w:tr>
        <w:tblPrEx>
          <w:tblW w:w="0" w:type="auto"/>
          <w:jc w:val="left"/>
          <w:tblInd w:w="2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9"/>
          <w:jc w:val="left"/>
        </w:trPr>
        <w:tc>
          <w:tcPr>
            <w:tcW w:w="2314" w:type="dxa"/>
          </w:tcPr>
          <w:p>
            <w:pPr>
              <w:pStyle w:val="TableParagraph"/>
              <w:spacing w:before="0" w:line="308" w:lineRule="exact"/>
              <w:ind w:left="197"/>
              <w:rPr>
                <w:sz w:val="27"/>
              </w:rPr>
            </w:pPr>
            <w:r>
              <w:rPr>
                <w:sz w:val="27"/>
              </w:rPr>
              <w:t>年份</w:t>
            </w:r>
          </w:p>
        </w:tc>
        <w:tc>
          <w:tcPr>
            <w:tcW w:w="2151" w:type="dxa"/>
          </w:tcPr>
          <w:p>
            <w:pPr>
              <w:pStyle w:val="TableParagraph"/>
              <w:spacing w:before="0" w:line="308" w:lineRule="exact"/>
              <w:ind w:left="1037"/>
              <w:rPr>
                <w:sz w:val="27"/>
              </w:rPr>
            </w:pPr>
            <w:r>
              <w:rPr>
                <w:sz w:val="27"/>
              </w:rPr>
              <w:t>1985</w:t>
            </w:r>
          </w:p>
        </w:tc>
        <w:tc>
          <w:tcPr>
            <w:tcW w:w="1418" w:type="dxa"/>
          </w:tcPr>
          <w:p>
            <w:pPr>
              <w:pStyle w:val="TableParagraph"/>
              <w:spacing w:before="0" w:line="308" w:lineRule="exact"/>
              <w:ind w:left="304"/>
              <w:rPr>
                <w:sz w:val="27"/>
              </w:rPr>
            </w:pPr>
            <w:r>
              <w:rPr>
                <w:sz w:val="27"/>
              </w:rPr>
              <w:t>1986</w:t>
            </w:r>
          </w:p>
        </w:tc>
        <w:tc>
          <w:tcPr>
            <w:tcW w:w="1418" w:type="dxa"/>
          </w:tcPr>
          <w:p>
            <w:pPr>
              <w:pStyle w:val="TableParagraph"/>
              <w:spacing w:before="0" w:line="308" w:lineRule="exact"/>
              <w:ind w:left="305"/>
              <w:rPr>
                <w:sz w:val="27"/>
              </w:rPr>
            </w:pPr>
            <w:r>
              <w:rPr>
                <w:sz w:val="27"/>
              </w:rPr>
              <w:t>1987</w:t>
            </w:r>
          </w:p>
        </w:tc>
        <w:tc>
          <w:tcPr>
            <w:tcW w:w="1420" w:type="dxa"/>
          </w:tcPr>
          <w:p>
            <w:pPr>
              <w:pStyle w:val="TableParagraph"/>
              <w:spacing w:before="0" w:line="308" w:lineRule="exact"/>
              <w:ind w:left="306"/>
              <w:rPr>
                <w:sz w:val="27"/>
              </w:rPr>
            </w:pPr>
            <w:r>
              <w:rPr>
                <w:sz w:val="27"/>
              </w:rPr>
              <w:t>1988</w:t>
            </w:r>
          </w:p>
        </w:tc>
        <w:tc>
          <w:tcPr>
            <w:tcW w:w="1420" w:type="dxa"/>
          </w:tcPr>
          <w:p>
            <w:pPr>
              <w:pStyle w:val="TableParagraph"/>
              <w:spacing w:before="0" w:line="308" w:lineRule="exact"/>
              <w:ind w:left="308"/>
              <w:rPr>
                <w:sz w:val="27"/>
              </w:rPr>
            </w:pPr>
            <w:r>
              <w:rPr>
                <w:sz w:val="27"/>
              </w:rPr>
              <w:t>1989</w:t>
            </w:r>
          </w:p>
        </w:tc>
        <w:tc>
          <w:tcPr>
            <w:tcW w:w="1418" w:type="dxa"/>
          </w:tcPr>
          <w:p>
            <w:pPr>
              <w:pStyle w:val="TableParagraph"/>
              <w:spacing w:before="0" w:line="308" w:lineRule="exact"/>
              <w:ind w:left="306"/>
              <w:rPr>
                <w:sz w:val="27"/>
              </w:rPr>
            </w:pPr>
            <w:r>
              <w:rPr>
                <w:sz w:val="27"/>
              </w:rPr>
              <w:t>1990</w:t>
            </w:r>
          </w:p>
        </w:tc>
        <w:tc>
          <w:tcPr>
            <w:tcW w:w="1597" w:type="dxa"/>
          </w:tcPr>
          <w:p>
            <w:pPr>
              <w:pStyle w:val="TableParagraph"/>
              <w:spacing w:before="0" w:line="308" w:lineRule="exact"/>
              <w:ind w:left="308"/>
              <w:rPr>
                <w:sz w:val="27"/>
              </w:rPr>
            </w:pPr>
            <w:r>
              <w:rPr>
                <w:sz w:val="27"/>
              </w:rPr>
              <w:t>1991</w:t>
            </w:r>
          </w:p>
        </w:tc>
      </w:tr>
      <w:tr>
        <w:tblPrEx>
          <w:tblW w:w="0" w:type="auto"/>
          <w:jc w:val="left"/>
          <w:tblInd w:w="207" w:type="dxa"/>
          <w:tblLayout w:type="fixed"/>
          <w:tblCellMar>
            <w:top w:w="0" w:type="dxa"/>
            <w:left w:w="0" w:type="dxa"/>
            <w:bottom w:w="0" w:type="dxa"/>
            <w:right w:w="0" w:type="dxa"/>
          </w:tblCellMar>
          <w:tblLook w:val="01E0"/>
        </w:tblPrEx>
        <w:trPr>
          <w:trHeight w:val="411"/>
          <w:jc w:val="left"/>
        </w:trPr>
        <w:tc>
          <w:tcPr>
            <w:tcW w:w="2314" w:type="dxa"/>
            <w:tcBorders>
              <w:bottom w:val="dashed" w:sz="18" w:space="0" w:color="000000"/>
            </w:tcBorders>
          </w:tcPr>
          <w:p>
            <w:pPr>
              <w:pStyle w:val="TableParagraph"/>
              <w:spacing w:before="72" w:line="319" w:lineRule="exact"/>
              <w:ind w:left="197"/>
              <w:rPr>
                <w:sz w:val="27"/>
              </w:rPr>
            </w:pPr>
            <w:r>
              <w:rPr>
                <w:sz w:val="27"/>
              </w:rPr>
              <w:t>亏损补贴</w:t>
            </w:r>
          </w:p>
        </w:tc>
        <w:tc>
          <w:tcPr>
            <w:tcW w:w="2151" w:type="dxa"/>
            <w:tcBorders>
              <w:bottom w:val="dashed" w:sz="18" w:space="0" w:color="000000"/>
            </w:tcBorders>
          </w:tcPr>
          <w:p>
            <w:pPr>
              <w:pStyle w:val="TableParagraph"/>
              <w:spacing w:before="72" w:line="319" w:lineRule="exact"/>
              <w:ind w:left="1037"/>
              <w:rPr>
                <w:sz w:val="27"/>
              </w:rPr>
            </w:pPr>
            <w:r>
              <w:rPr>
                <w:sz w:val="27"/>
              </w:rPr>
              <w:t>507.02</w:t>
            </w:r>
          </w:p>
        </w:tc>
        <w:tc>
          <w:tcPr>
            <w:tcW w:w="1418" w:type="dxa"/>
            <w:tcBorders>
              <w:bottom w:val="dashed" w:sz="18" w:space="0" w:color="000000"/>
            </w:tcBorders>
          </w:tcPr>
          <w:p>
            <w:pPr>
              <w:pStyle w:val="TableParagraph"/>
              <w:spacing w:before="72" w:line="319" w:lineRule="exact"/>
              <w:ind w:left="304"/>
              <w:rPr>
                <w:sz w:val="27"/>
              </w:rPr>
            </w:pPr>
            <w:r>
              <w:rPr>
                <w:sz w:val="27"/>
              </w:rPr>
              <w:t>324.78</w:t>
            </w:r>
          </w:p>
        </w:tc>
        <w:tc>
          <w:tcPr>
            <w:tcW w:w="1418" w:type="dxa"/>
            <w:tcBorders>
              <w:bottom w:val="dashed" w:sz="18" w:space="0" w:color="000000"/>
            </w:tcBorders>
          </w:tcPr>
          <w:p>
            <w:pPr>
              <w:pStyle w:val="TableParagraph"/>
              <w:spacing w:before="72" w:line="319" w:lineRule="exact"/>
              <w:ind w:left="305"/>
              <w:rPr>
                <w:sz w:val="27"/>
              </w:rPr>
            </w:pPr>
            <w:r>
              <w:rPr>
                <w:sz w:val="27"/>
              </w:rPr>
              <w:t>376.43</w:t>
            </w:r>
          </w:p>
        </w:tc>
        <w:tc>
          <w:tcPr>
            <w:tcW w:w="1420" w:type="dxa"/>
            <w:tcBorders>
              <w:bottom w:val="dashed" w:sz="18" w:space="0" w:color="000000"/>
            </w:tcBorders>
          </w:tcPr>
          <w:p>
            <w:pPr>
              <w:pStyle w:val="TableParagraph"/>
              <w:spacing w:before="72" w:line="319" w:lineRule="exact"/>
              <w:ind w:left="306"/>
              <w:rPr>
                <w:sz w:val="27"/>
              </w:rPr>
            </w:pPr>
            <w:r>
              <w:rPr>
                <w:sz w:val="27"/>
              </w:rPr>
              <w:t>446.46</w:t>
            </w:r>
          </w:p>
        </w:tc>
        <w:tc>
          <w:tcPr>
            <w:tcW w:w="1420" w:type="dxa"/>
            <w:tcBorders>
              <w:bottom w:val="dashed" w:sz="18" w:space="0" w:color="000000"/>
            </w:tcBorders>
          </w:tcPr>
          <w:p>
            <w:pPr>
              <w:pStyle w:val="TableParagraph"/>
              <w:spacing w:before="72" w:line="319" w:lineRule="exact"/>
              <w:ind w:left="308"/>
              <w:rPr>
                <w:sz w:val="27"/>
              </w:rPr>
            </w:pPr>
            <w:r>
              <w:rPr>
                <w:sz w:val="27"/>
              </w:rPr>
              <w:t>598.88</w:t>
            </w:r>
          </w:p>
        </w:tc>
        <w:tc>
          <w:tcPr>
            <w:tcW w:w="1418" w:type="dxa"/>
            <w:tcBorders>
              <w:bottom w:val="dashed" w:sz="18" w:space="0" w:color="000000"/>
            </w:tcBorders>
          </w:tcPr>
          <w:p>
            <w:pPr>
              <w:pStyle w:val="TableParagraph"/>
              <w:spacing w:before="72" w:line="319" w:lineRule="exact"/>
              <w:ind w:left="306"/>
              <w:rPr>
                <w:sz w:val="27"/>
              </w:rPr>
            </w:pPr>
            <w:r>
              <w:rPr>
                <w:sz w:val="27"/>
              </w:rPr>
              <w:t>578.88</w:t>
            </w:r>
          </w:p>
        </w:tc>
        <w:tc>
          <w:tcPr>
            <w:tcW w:w="1597" w:type="dxa"/>
            <w:tcBorders>
              <w:bottom w:val="dashed" w:sz="18" w:space="0" w:color="000000"/>
            </w:tcBorders>
          </w:tcPr>
          <w:p>
            <w:pPr>
              <w:pStyle w:val="TableParagraph"/>
              <w:spacing w:before="72" w:line="319" w:lineRule="exact"/>
              <w:ind w:left="308"/>
              <w:rPr>
                <w:sz w:val="27"/>
              </w:rPr>
            </w:pPr>
            <w:r>
              <w:rPr>
                <w:sz w:val="27"/>
              </w:rPr>
              <w:t>510.24</w:t>
            </w:r>
          </w:p>
        </w:tc>
      </w:tr>
    </w:tbl>
    <w:p>
      <w:pPr>
        <w:pStyle w:val="BodyText"/>
        <w:rPr>
          <w:sz w:val="20"/>
        </w:rPr>
      </w:pPr>
    </w:p>
    <w:p>
      <w:pPr>
        <w:pStyle w:val="BodyText"/>
        <w:spacing w:before="3"/>
        <w:rPr>
          <w:sz w:val="11"/>
        </w:rPr>
      </w:pPr>
      <w:r>
        <w:drawing>
          <wp:anchor distT="0" distB="0" distL="0" distR="0" simplePos="0" relativeHeight="251683840" behindDoc="0" locked="0" layoutInCell="1" allowOverlap="1">
            <wp:simplePos x="0" y="0"/>
            <wp:positionH relativeFrom="page">
              <wp:posOffset>1536700</wp:posOffset>
            </wp:positionH>
            <wp:positionV relativeFrom="paragraph">
              <wp:posOffset>116681</wp:posOffset>
            </wp:positionV>
            <wp:extent cx="8399049" cy="38004"/>
            <wp:effectExtent l="0" t="0" r="0" b="0"/>
            <wp:wrapTopAndBottom/>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8399049" cy="38004"/>
                    </a:xfrm>
                    <a:prstGeom prst="rect">
                      <a:avLst/>
                    </a:prstGeom>
                  </pic:spPr>
                </pic:pic>
              </a:graphicData>
            </a:graphic>
          </wp:anchor>
        </w:drawing>
      </w:r>
    </w:p>
    <w:p>
      <w:pPr>
        <w:pStyle w:val="BodyText"/>
        <w:spacing w:before="5"/>
        <w:rPr>
          <w:sz w:val="10"/>
        </w:rPr>
      </w:pPr>
    </w:p>
    <w:tbl>
      <w:tblPr>
        <w:tblStyle w:val="TableNormal1"/>
        <w:tblW w:w="0" w:type="auto"/>
        <w:jc w:val="left"/>
        <w:tblInd w:w="2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21"/>
        <w:gridCol w:w="2160"/>
        <w:gridCol w:w="1474"/>
        <w:gridCol w:w="1485"/>
        <w:gridCol w:w="1350"/>
        <w:gridCol w:w="1485"/>
        <w:gridCol w:w="1485"/>
        <w:gridCol w:w="1130"/>
      </w:tblGrid>
      <w:tr>
        <w:tblPrEx>
          <w:tblW w:w="0" w:type="auto"/>
          <w:jc w:val="left"/>
          <w:tblInd w:w="2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9"/>
          <w:jc w:val="left"/>
        </w:trPr>
        <w:tc>
          <w:tcPr>
            <w:tcW w:w="2221" w:type="dxa"/>
          </w:tcPr>
          <w:p>
            <w:pPr>
              <w:pStyle w:val="TableParagraph"/>
              <w:spacing w:before="0" w:line="308" w:lineRule="exact"/>
              <w:ind w:left="50"/>
              <w:rPr>
                <w:sz w:val="27"/>
              </w:rPr>
            </w:pPr>
            <w:r>
              <w:rPr>
                <w:sz w:val="27"/>
              </w:rPr>
              <w:t>年份</w:t>
            </w:r>
          </w:p>
        </w:tc>
        <w:tc>
          <w:tcPr>
            <w:tcW w:w="2160" w:type="dxa"/>
          </w:tcPr>
          <w:p>
            <w:pPr>
              <w:pStyle w:val="TableParagraph"/>
              <w:spacing w:before="0" w:line="308" w:lineRule="exact"/>
              <w:ind w:left="1091"/>
              <w:rPr>
                <w:sz w:val="27"/>
              </w:rPr>
            </w:pPr>
            <w:r>
              <w:rPr>
                <w:sz w:val="27"/>
              </w:rPr>
              <w:t>1992</w:t>
            </w:r>
          </w:p>
        </w:tc>
        <w:tc>
          <w:tcPr>
            <w:tcW w:w="1474" w:type="dxa"/>
          </w:tcPr>
          <w:p>
            <w:pPr>
              <w:pStyle w:val="TableParagraph"/>
              <w:spacing w:before="0" w:line="308" w:lineRule="exact"/>
              <w:ind w:left="259"/>
              <w:rPr>
                <w:sz w:val="27"/>
              </w:rPr>
            </w:pPr>
            <w:r>
              <w:rPr>
                <w:sz w:val="27"/>
              </w:rPr>
              <w:t>1993</w:t>
            </w:r>
          </w:p>
        </w:tc>
        <w:tc>
          <w:tcPr>
            <w:tcW w:w="1485" w:type="dxa"/>
          </w:tcPr>
          <w:p>
            <w:pPr>
              <w:pStyle w:val="TableParagraph"/>
              <w:spacing w:before="0" w:line="308" w:lineRule="exact"/>
              <w:ind w:left="405"/>
              <w:rPr>
                <w:sz w:val="27"/>
              </w:rPr>
            </w:pPr>
            <w:r>
              <w:rPr>
                <w:sz w:val="27"/>
              </w:rPr>
              <w:t>1994</w:t>
            </w:r>
          </w:p>
        </w:tc>
        <w:tc>
          <w:tcPr>
            <w:tcW w:w="1350" w:type="dxa"/>
          </w:tcPr>
          <w:p>
            <w:pPr>
              <w:pStyle w:val="TableParagraph"/>
              <w:spacing w:before="0" w:line="308" w:lineRule="exact"/>
              <w:ind w:left="271"/>
              <w:rPr>
                <w:sz w:val="27"/>
              </w:rPr>
            </w:pPr>
            <w:r>
              <w:rPr>
                <w:sz w:val="27"/>
              </w:rPr>
              <w:t>1995</w:t>
            </w:r>
          </w:p>
        </w:tc>
        <w:tc>
          <w:tcPr>
            <w:tcW w:w="1485" w:type="dxa"/>
          </w:tcPr>
          <w:p>
            <w:pPr>
              <w:pStyle w:val="TableParagraph"/>
              <w:spacing w:before="0" w:line="308" w:lineRule="exact"/>
              <w:ind w:left="271"/>
              <w:rPr>
                <w:sz w:val="27"/>
              </w:rPr>
            </w:pPr>
            <w:r>
              <w:rPr>
                <w:sz w:val="27"/>
              </w:rPr>
              <w:t>1996</w:t>
            </w:r>
          </w:p>
        </w:tc>
        <w:tc>
          <w:tcPr>
            <w:tcW w:w="1485" w:type="dxa"/>
          </w:tcPr>
          <w:p>
            <w:pPr>
              <w:pStyle w:val="TableParagraph"/>
              <w:spacing w:before="0" w:line="308" w:lineRule="exact"/>
              <w:ind w:left="406"/>
              <w:rPr>
                <w:sz w:val="27"/>
              </w:rPr>
            </w:pPr>
            <w:r>
              <w:rPr>
                <w:sz w:val="27"/>
              </w:rPr>
              <w:t>1997</w:t>
            </w:r>
          </w:p>
        </w:tc>
        <w:tc>
          <w:tcPr>
            <w:tcW w:w="1130" w:type="dxa"/>
          </w:tcPr>
          <w:p>
            <w:pPr>
              <w:pStyle w:val="TableParagraph"/>
              <w:spacing w:before="0" w:line="308" w:lineRule="exact"/>
              <w:ind w:left="272"/>
              <w:rPr>
                <w:sz w:val="27"/>
              </w:rPr>
            </w:pPr>
            <w:r>
              <w:rPr>
                <w:sz w:val="27"/>
              </w:rPr>
              <w:t>1998</w:t>
            </w:r>
          </w:p>
        </w:tc>
      </w:tr>
      <w:tr>
        <w:tblPrEx>
          <w:tblW w:w="0" w:type="auto"/>
          <w:jc w:val="left"/>
          <w:tblInd w:w="246" w:type="dxa"/>
          <w:tblLayout w:type="fixed"/>
          <w:tblCellMar>
            <w:top w:w="0" w:type="dxa"/>
            <w:left w:w="0" w:type="dxa"/>
            <w:bottom w:w="0" w:type="dxa"/>
            <w:right w:w="0" w:type="dxa"/>
          </w:tblCellMar>
          <w:tblLook w:val="01E0"/>
        </w:tblPrEx>
        <w:trPr>
          <w:trHeight w:val="379"/>
          <w:jc w:val="left"/>
        </w:trPr>
        <w:tc>
          <w:tcPr>
            <w:tcW w:w="2221" w:type="dxa"/>
          </w:tcPr>
          <w:p>
            <w:pPr>
              <w:pStyle w:val="TableParagraph"/>
              <w:spacing w:before="72" w:line="288" w:lineRule="exact"/>
              <w:ind w:left="50"/>
              <w:rPr>
                <w:sz w:val="27"/>
              </w:rPr>
            </w:pPr>
            <w:r>
              <w:rPr>
                <w:sz w:val="27"/>
              </w:rPr>
              <w:t>亏损补贴</w:t>
            </w:r>
          </w:p>
        </w:tc>
        <w:tc>
          <w:tcPr>
            <w:tcW w:w="2160" w:type="dxa"/>
          </w:tcPr>
          <w:p>
            <w:pPr>
              <w:pStyle w:val="TableParagraph"/>
              <w:spacing w:before="72" w:line="288" w:lineRule="exact"/>
              <w:ind w:left="1091"/>
              <w:rPr>
                <w:sz w:val="27"/>
              </w:rPr>
            </w:pPr>
            <w:r>
              <w:rPr>
                <w:sz w:val="27"/>
              </w:rPr>
              <w:t>444.96</w:t>
            </w:r>
          </w:p>
        </w:tc>
        <w:tc>
          <w:tcPr>
            <w:tcW w:w="1474" w:type="dxa"/>
          </w:tcPr>
          <w:p>
            <w:pPr>
              <w:pStyle w:val="TableParagraph"/>
              <w:spacing w:before="72" w:line="288" w:lineRule="exact"/>
              <w:ind w:left="259"/>
              <w:rPr>
                <w:sz w:val="27"/>
              </w:rPr>
            </w:pPr>
            <w:r>
              <w:rPr>
                <w:sz w:val="27"/>
              </w:rPr>
              <w:t>411.29</w:t>
            </w:r>
          </w:p>
        </w:tc>
        <w:tc>
          <w:tcPr>
            <w:tcW w:w="1485" w:type="dxa"/>
          </w:tcPr>
          <w:p>
            <w:pPr>
              <w:pStyle w:val="TableParagraph"/>
              <w:spacing w:before="72" w:line="288" w:lineRule="exact"/>
              <w:ind w:left="405"/>
              <w:rPr>
                <w:sz w:val="27"/>
              </w:rPr>
            </w:pPr>
            <w:r>
              <w:rPr>
                <w:sz w:val="27"/>
              </w:rPr>
              <w:t>366.22</w:t>
            </w:r>
          </w:p>
        </w:tc>
        <w:tc>
          <w:tcPr>
            <w:tcW w:w="1350" w:type="dxa"/>
          </w:tcPr>
          <w:p>
            <w:pPr>
              <w:pStyle w:val="TableParagraph"/>
              <w:spacing w:before="72" w:line="288" w:lineRule="exact"/>
              <w:ind w:left="271"/>
              <w:rPr>
                <w:sz w:val="27"/>
              </w:rPr>
            </w:pPr>
            <w:r>
              <w:rPr>
                <w:sz w:val="27"/>
              </w:rPr>
              <w:t>327.77</w:t>
            </w:r>
          </w:p>
        </w:tc>
        <w:tc>
          <w:tcPr>
            <w:tcW w:w="1485" w:type="dxa"/>
          </w:tcPr>
          <w:p>
            <w:pPr>
              <w:pStyle w:val="TableParagraph"/>
              <w:spacing w:before="72" w:line="288" w:lineRule="exact"/>
              <w:ind w:left="271"/>
              <w:rPr>
                <w:sz w:val="27"/>
              </w:rPr>
            </w:pPr>
            <w:r>
              <w:rPr>
                <w:sz w:val="27"/>
              </w:rPr>
              <w:t>337.40</w:t>
            </w:r>
          </w:p>
        </w:tc>
        <w:tc>
          <w:tcPr>
            <w:tcW w:w="1485" w:type="dxa"/>
          </w:tcPr>
          <w:p>
            <w:pPr>
              <w:pStyle w:val="TableParagraph"/>
              <w:spacing w:before="72" w:line="288" w:lineRule="exact"/>
              <w:ind w:left="406"/>
              <w:rPr>
                <w:sz w:val="27"/>
              </w:rPr>
            </w:pPr>
            <w:r>
              <w:rPr>
                <w:sz w:val="27"/>
              </w:rPr>
              <w:t>368.49</w:t>
            </w:r>
          </w:p>
        </w:tc>
        <w:tc>
          <w:tcPr>
            <w:tcW w:w="1130" w:type="dxa"/>
          </w:tcPr>
          <w:p>
            <w:pPr>
              <w:pStyle w:val="TableParagraph"/>
              <w:spacing w:before="72" w:line="288" w:lineRule="exact"/>
              <w:ind w:left="272"/>
              <w:rPr>
                <w:sz w:val="27"/>
              </w:rPr>
            </w:pPr>
            <w:r>
              <w:rPr>
                <w:sz w:val="27"/>
              </w:rPr>
              <w:t>333.49</w:t>
            </w:r>
          </w:p>
        </w:tc>
      </w:tr>
    </w:tbl>
    <w:p>
      <w:pPr>
        <w:pStyle w:val="BodyText"/>
        <w:spacing w:line="59" w:lineRule="exact"/>
        <w:ind w:left="100"/>
        <w:rPr>
          <w:sz w:val="5"/>
        </w:rPr>
      </w:pPr>
      <w:r>
        <w:rPr>
          <w:position w:val="0"/>
          <w:sz w:val="5"/>
        </w:rPr>
        <w:drawing>
          <wp:inline distT="0" distB="0" distL="0" distR="0">
            <wp:extent cx="8411718" cy="38004"/>
            <wp:effectExtent l="0" t="0" r="0" b="0"/>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12" cstate="print"/>
                    <a:stretch>
                      <a:fillRect/>
                    </a:stretch>
                  </pic:blipFill>
                  <pic:spPr>
                    <a:xfrm>
                      <a:off x="0" y="0"/>
                      <a:ext cx="8411718" cy="38004"/>
                    </a:xfrm>
                    <a:prstGeom prst="rect">
                      <a:avLst/>
                    </a:prstGeom>
                  </pic:spPr>
                </pic:pic>
              </a:graphicData>
            </a:graphic>
          </wp:inline>
        </w:drawing>
      </w:r>
    </w:p>
    <w:p>
      <w:pPr>
        <w:pStyle w:val="BodyText"/>
        <w:spacing w:before="8"/>
        <w:rPr>
          <w:sz w:val="6"/>
        </w:rPr>
      </w:pPr>
    </w:p>
    <w:p>
      <w:pPr>
        <w:spacing w:before="63" w:line="324" w:lineRule="auto"/>
        <w:ind w:left="397" w:right="7654" w:firstLine="0"/>
        <w:jc w:val="left"/>
        <w:rPr>
          <w:sz w:val="27"/>
        </w:rPr>
      </w:pPr>
      <w:r>
        <w:drawing>
          <wp:anchor distT="0" distB="0" distL="0" distR="0" simplePos="0" relativeHeight="251685888" behindDoc="1" locked="0" layoutInCell="1" allowOverlap="1">
            <wp:simplePos x="0" y="0"/>
            <wp:positionH relativeFrom="page">
              <wp:posOffset>1536700</wp:posOffset>
            </wp:positionH>
            <wp:positionV relativeFrom="paragraph">
              <wp:posOffset>-384555</wp:posOffset>
            </wp:positionV>
            <wp:extent cx="8399049" cy="25336"/>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13" cstate="print"/>
                    <a:stretch>
                      <a:fillRect/>
                    </a:stretch>
                  </pic:blipFill>
                  <pic:spPr>
                    <a:xfrm>
                      <a:off x="0" y="0"/>
                      <a:ext cx="8399049" cy="25336"/>
                    </a:xfrm>
                    <a:prstGeom prst="rect">
                      <a:avLst/>
                    </a:prstGeom>
                  </pic:spPr>
                </pic:pic>
              </a:graphicData>
            </a:graphic>
          </wp:anchor>
        </w:drawing>
      </w:r>
      <w:r>
        <w:rPr>
          <w:sz w:val="27"/>
        </w:rPr>
        <w:t>注：*</w:t>
      </w:r>
      <w:r>
        <w:rPr>
          <w:spacing w:val="-1"/>
          <w:sz w:val="27"/>
        </w:rPr>
        <w:t>亏损补贴指财政应从企业收取但未收到的收入。</w:t>
      </w:r>
      <w:r>
        <w:rPr>
          <w:spacing w:val="-13"/>
          <w:sz w:val="27"/>
        </w:rPr>
        <w:t xml:space="preserve">资料来源：《中国统计年鉴 </w:t>
      </w:r>
      <w:r>
        <w:rPr>
          <w:sz w:val="27"/>
        </w:rPr>
        <w:t>1998</w:t>
      </w:r>
      <w:r>
        <w:rPr>
          <w:spacing w:val="-18"/>
          <w:sz w:val="27"/>
        </w:rPr>
        <w:t>》，中国统计出版社。</w:t>
      </w:r>
    </w:p>
    <w:p>
      <w:pPr>
        <w:pStyle w:val="BodyText"/>
        <w:spacing w:before="1"/>
        <w:rPr>
          <w:sz w:val="26"/>
        </w:rPr>
      </w:pPr>
    </w:p>
    <w:p>
      <w:pPr>
        <w:pStyle w:val="Heading1"/>
        <w:spacing w:before="1"/>
        <w:ind w:left="4289"/>
      </w:pPr>
      <w:r>
        <w:t>三、国有企业面临问题的根源</w:t>
      </w:r>
    </w:p>
    <w:p>
      <w:pPr>
        <w:pStyle w:val="BodyText"/>
        <w:rPr>
          <w:rFonts w:ascii="黑体"/>
          <w:sz w:val="43"/>
        </w:rPr>
      </w:pPr>
    </w:p>
    <w:p>
      <w:pPr>
        <w:pStyle w:val="BodyText"/>
        <w:spacing w:before="1" w:line="283" w:lineRule="auto"/>
        <w:ind w:left="397" w:right="1491" w:firstLine="539"/>
        <w:jc w:val="both"/>
      </w:pPr>
      <w:r>
        <w:rPr>
          <w:spacing w:val="-6"/>
        </w:rPr>
        <w:t>中国国有企业的主体是大中型企业。中国大中型国有企业和西方发达国家的大中型企业</w:t>
      </w:r>
      <w:r>
        <w:t>一样，都面临由两权分离带来的委托－代理问题。委托－代理问题是企业治理</w:t>
      </w:r>
      <w:r>
        <w:rPr>
          <w:spacing w:val="-4"/>
        </w:rPr>
        <w:t xml:space="preserve">（Corporate </w:t>
      </w:r>
      <w:r>
        <w:t>Governance</w:t>
      </w:r>
      <w:r>
        <w:rPr>
          <w:spacing w:val="-1"/>
        </w:rPr>
        <w:t>)所要解决的核心问题。能否解决好两权分离带来的委托－代理问题，是关乎现</w:t>
      </w:r>
      <w:r>
        <w:rPr>
          <w:spacing w:val="-9"/>
        </w:rPr>
        <w:t>代大中型企业治理结构效率的决定因素。这一点对于中国也不例外。为了分析国有企业面临</w:t>
      </w:r>
      <w:r>
        <w:rPr>
          <w:spacing w:val="-15"/>
        </w:rPr>
        <w:t>问题的根源所在，我们在这里首先介绍现代企业委托－代理问题的解决机制。之后以此为参照，分析我国的情形。</w:t>
      </w:r>
    </w:p>
    <w:p>
      <w:pPr>
        <w:pStyle w:val="BodyText"/>
        <w:spacing w:line="393" w:lineRule="exact"/>
        <w:ind w:left="936"/>
        <w:rPr>
          <w:rFonts w:ascii="黑体" w:eastAsia="黑体" w:hint="eastAsia"/>
        </w:rPr>
      </w:pPr>
      <w:r>
        <w:rPr>
          <w:rFonts w:ascii="黑体" w:eastAsia="黑体" w:hint="eastAsia"/>
        </w:rPr>
        <w:t>1、 现代企业委托－代理问题的解决及相应的治理机制</w:t>
      </w:r>
    </w:p>
    <w:p>
      <w:pPr>
        <w:pStyle w:val="ListParagraph"/>
        <w:numPr>
          <w:ilvl w:val="1"/>
          <w:numId w:val="12"/>
        </w:numPr>
        <w:tabs>
          <w:tab w:val="left" w:pos="1571"/>
        </w:tabs>
        <w:spacing w:before="70" w:after="0" w:line="240" w:lineRule="auto"/>
        <w:ind w:left="1570" w:right="0" w:hanging="635"/>
        <w:jc w:val="left"/>
        <w:rPr>
          <w:sz w:val="31"/>
        </w:rPr>
      </w:pPr>
      <w:r>
        <w:rPr>
          <w:sz w:val="31"/>
        </w:rPr>
        <w:t>企业一般的委托－代理问题</w:t>
      </w:r>
    </w:p>
    <w:p>
      <w:pPr>
        <w:spacing w:after="0" w:line="240" w:lineRule="auto"/>
        <w:jc w:val="left"/>
        <w:rPr>
          <w:sz w:val="31"/>
        </w:rPr>
        <w:sectPr>
          <w:type w:val="continuous"/>
          <w:pgSz w:w="17860" w:h="25260"/>
          <w:pgMar w:top="2420" w:right="1160" w:bottom="280" w:left="2300" w:header="708" w:footer="708"/>
          <w:pgNumType w:start="11"/>
          <w:cols w:space="708"/>
        </w:sectPr>
      </w:pPr>
    </w:p>
    <w:p>
      <w:pPr>
        <w:pStyle w:val="BodyText"/>
        <w:spacing w:before="49" w:line="283" w:lineRule="auto"/>
        <w:ind w:left="397" w:right="1328" w:firstLine="539"/>
      </w:pPr>
      <w:r>
        <w:t xml:space="preserve">现代市场经济的中坚力量，早已不是业主制企业，取而代之的是现代的大中型企业。现 </w:t>
      </w:r>
      <w:r>
        <w:rPr>
          <w:spacing w:val="-8"/>
        </w:rPr>
        <w:t xml:space="preserve">代大中型企业的所有者对于企业的直接控制大大弱化了。资本市场的发展，导致了股权的广 </w:t>
      </w:r>
      <w:r>
        <w:rPr>
          <w:spacing w:val="-16"/>
        </w:rPr>
        <w:t>泛分散和单个股东对于企业控制力的下降。经理阶层获得了日益重大的控制权。所有权和经 营</w:t>
      </w:r>
      <w:r>
        <w:rPr>
          <w:spacing w:val="-17"/>
        </w:rPr>
        <w:t>权相分离，形成了所有者和经理阶层之间的“委托－代理”关系。而委托－代理关系天然</w:t>
      </w:r>
      <w:r>
        <w:rPr>
          <w:w w:val="102"/>
        </w:rPr>
        <w:t>具有三方面的特征</w:t>
      </w:r>
      <w:r>
        <w:rPr>
          <w:spacing w:val="-216"/>
          <w:w w:val="102"/>
        </w:rPr>
        <w:t>：</w:t>
      </w:r>
      <w:r>
        <w:rPr>
          <w:spacing w:val="-1"/>
          <w:w w:val="102"/>
        </w:rPr>
        <w:t>（</w:t>
      </w:r>
      <w:r>
        <w:rPr>
          <w:spacing w:val="-3"/>
          <w:w w:val="102"/>
        </w:rPr>
        <w:t>1</w:t>
      </w:r>
      <w:r>
        <w:rPr>
          <w:spacing w:val="-47"/>
          <w:w w:val="102"/>
        </w:rPr>
        <w:t>）</w:t>
      </w:r>
      <w:r>
        <w:rPr>
          <w:spacing w:val="-7"/>
          <w:w w:val="102"/>
        </w:rPr>
        <w:t>信息不对称，作为代理人的经理阶层比作为委托人的所有者更了解企业生产、收益和成本等方面的信息</w:t>
      </w:r>
      <w:r>
        <w:rPr>
          <w:spacing w:val="-241"/>
          <w:w w:val="102"/>
        </w:rPr>
        <w:t>；</w:t>
      </w:r>
      <w:r>
        <w:rPr>
          <w:w w:val="102"/>
        </w:rPr>
        <w:t>（</w:t>
      </w:r>
      <w:r>
        <w:rPr>
          <w:spacing w:val="-4"/>
          <w:w w:val="102"/>
        </w:rPr>
        <w:t>2</w:t>
      </w:r>
      <w:r>
        <w:rPr>
          <w:w w:val="102"/>
        </w:rPr>
        <w:t>）激励不相容，使委托人利益最大化的决策，与使代</w:t>
      </w:r>
      <w:r>
        <w:rPr>
          <w:spacing w:val="-8"/>
          <w:w w:val="102"/>
        </w:rPr>
        <w:t>理人利益最大化的决策之间，存在显著差异</w:t>
      </w:r>
      <w:r>
        <w:rPr>
          <w:spacing w:val="-241"/>
          <w:w w:val="102"/>
        </w:rPr>
        <w:t>；</w:t>
      </w:r>
      <w:r>
        <w:rPr>
          <w:spacing w:val="-5"/>
          <w:w w:val="102"/>
        </w:rPr>
        <w:t>（</w:t>
      </w:r>
      <w:r>
        <w:rPr>
          <w:w w:val="102"/>
        </w:rPr>
        <w:t>3</w:t>
      </w:r>
      <w:r>
        <w:rPr>
          <w:spacing w:val="-76"/>
          <w:w w:val="102"/>
        </w:rPr>
        <w:t>）</w:t>
      </w:r>
      <w:r>
        <w:rPr>
          <w:spacing w:val="-9"/>
          <w:w w:val="102"/>
        </w:rPr>
        <w:t>责任不对等，在决策失误或经营不善时，</w:t>
      </w:r>
      <w:r>
        <w:t>代</w:t>
      </w:r>
      <w:r>
        <w:rPr>
          <w:spacing w:val="-1"/>
        </w:rPr>
        <w:t>理人的损失至多是个人的工作机会，而委托人可能失去所有交给代理人经营的巨额资产。</w:t>
      </w:r>
    </w:p>
    <w:p>
      <w:pPr>
        <w:pStyle w:val="BodyText"/>
        <w:spacing w:line="283" w:lineRule="auto"/>
        <w:ind w:left="397" w:right="1341" w:firstLine="539"/>
      </w:pPr>
      <w:r>
        <w:t xml:space="preserve">在现代企业的形成和发展过程中，随着委托－代理问题的产生，西方国家也形成了一整 </w:t>
      </w:r>
      <w:r>
        <w:rPr>
          <w:spacing w:val="-18"/>
        </w:rPr>
        <w:t xml:space="preserve">套用以解决该问题的治理结构。其中有些是外在于企业的制度安排，可以称为外部治理机制， </w:t>
      </w:r>
      <w:r>
        <w:rPr>
          <w:spacing w:val="-21"/>
        </w:rPr>
        <w:t xml:space="preserve">主要针对信息不对称问题，同时也为企业经理提供外在的激励和约束；有些是企业内部的制 </w:t>
      </w:r>
      <w:r>
        <w:rPr>
          <w:spacing w:val="-17"/>
        </w:rPr>
        <w:t xml:space="preserve">度安排，可以称为内部治理结构，主要针对激励不相容和责任不对等问题。解决委托－代理 </w:t>
      </w:r>
      <w:r>
        <w:rPr>
          <w:spacing w:val="-26"/>
        </w:rPr>
        <w:t>问题的首要切入点是解决信息不对称问题，在此基础上，激励相容和责任对等才能有据可循。</w:t>
      </w:r>
      <w:r>
        <w:rPr>
          <w:spacing w:val="-7"/>
        </w:rPr>
        <w:t>否则任何单单立旨于解决激励不相容和责任不对等问题的努力，最终都会流于形式。这一点 对于西方和中国的企业都一样。</w:t>
      </w:r>
    </w:p>
    <w:p>
      <w:pPr>
        <w:pStyle w:val="ListParagraph"/>
        <w:numPr>
          <w:ilvl w:val="1"/>
          <w:numId w:val="12"/>
        </w:numPr>
        <w:tabs>
          <w:tab w:val="left" w:pos="1678"/>
          <w:tab w:val="left" w:pos="1679"/>
        </w:tabs>
        <w:spacing w:before="0" w:after="0" w:line="393" w:lineRule="exact"/>
        <w:ind w:left="1678" w:right="0" w:hanging="743"/>
        <w:jc w:val="left"/>
        <w:rPr>
          <w:sz w:val="31"/>
        </w:rPr>
      </w:pPr>
      <w:r>
        <w:rPr>
          <w:sz w:val="31"/>
        </w:rPr>
        <w:t>解决现代企业委托－代理问题的外部治理机制</w:t>
      </w:r>
    </w:p>
    <w:p>
      <w:pPr>
        <w:pStyle w:val="BodyText"/>
        <w:spacing w:before="66" w:line="283" w:lineRule="auto"/>
        <w:ind w:left="397" w:right="1328" w:firstLine="539"/>
        <w:jc w:val="both"/>
      </w:pPr>
      <w:r>
        <w:t>业主制企业制度下，所有权和经营权合一。现代企业成长过程中，随两权分离而发展起 来的一些制度安排从企业外部接管了相应的企业治理职能</w:t>
      </w:r>
      <w:r>
        <w:rPr>
          <w:spacing w:val="-14"/>
        </w:rPr>
        <w:t xml:space="preserve">，为解决现代企业委托－代理问题 </w:t>
      </w:r>
      <w:r>
        <w:rPr>
          <w:spacing w:val="-15"/>
        </w:rPr>
        <w:t>创造了外部条件，包括三个方面：竞争性产品和要素市场、竞争性的经理市场、竞争性股票</w:t>
      </w:r>
      <w:r>
        <w:t>市场。这三者构成了现代企业的外部治理机制。</w:t>
      </w:r>
    </w:p>
    <w:p>
      <w:pPr>
        <w:pStyle w:val="BodyText"/>
        <w:spacing w:line="283" w:lineRule="auto"/>
        <w:ind w:left="397" w:right="1324" w:firstLine="539"/>
      </w:pPr>
      <w:r>
        <w:t xml:space="preserve">首先，竞争性产品和要素市场提供了监督和评价企业经营绩效的充分信息指标，克服了 </w:t>
      </w:r>
      <w:r>
        <w:rPr>
          <w:spacing w:val="-13"/>
        </w:rPr>
        <w:t xml:space="preserve">信息不对称难题。在充分竞争的市场体系中，要素在地区和产业之间自由流动，追求高回报  </w:t>
      </w:r>
      <w:r>
        <w:rPr>
          <w:spacing w:val="-14"/>
        </w:rPr>
        <w:t>率；企业自主决定投资方向；要素价格反映其稀缺程度，产品价格反映其供求。竞争性产品</w:t>
      </w:r>
      <w:r>
        <w:rPr>
          <w:spacing w:val="-19"/>
        </w:rPr>
        <w:t>和要素市场体系的功能有二。其一，市场竞争本身就是对企业的一种强有力的外在激励机制。</w:t>
      </w:r>
      <w:r>
        <w:t>市场不停地淘汰没有自生能力的产业和经营不善的企业</w:t>
      </w:r>
      <w:r>
        <w:rPr>
          <w:spacing w:val="-14"/>
        </w:rPr>
        <w:t xml:space="preserve">。当一个产业或一个企业的利润率水 </w:t>
      </w:r>
      <w:r>
        <w:rPr>
          <w:spacing w:val="-21"/>
        </w:rPr>
        <w:t>平持续低于市场上的平均利润率水平时，它们便会萎缩或退出，相应的资源流入有自生能力 的行业和经营较好的企业。其二，更主要地，竞争又提供了评价企业经营状况的充分信息。</w:t>
      </w:r>
      <w:r>
        <w:rPr>
          <w:spacing w:val="-10"/>
        </w:rPr>
        <w:t xml:space="preserve">给定企业自由转产转业的条件，企业的利润水平决定于成本水平，而成本水平又决定于经营 </w:t>
      </w:r>
      <w:r>
        <w:rPr>
          <w:spacing w:val="-17"/>
        </w:rPr>
        <w:t xml:space="preserve">能力和努力程度。因此利润率水平和经营能力、努力程度之间存在紧密的联系。只要把单个  </w:t>
      </w:r>
      <w:r>
        <w:rPr>
          <w:spacing w:val="-24"/>
        </w:rPr>
        <w:t>企业的利润率水平和行业的平均利润率水平加以比较，就可对该企业经理的经营能力和努力 程度做出准确的判断。</w:t>
      </w:r>
    </w:p>
    <w:p>
      <w:pPr>
        <w:pStyle w:val="BodyText"/>
        <w:spacing w:line="283" w:lineRule="auto"/>
        <w:ind w:left="397" w:right="1328" w:firstLine="539"/>
      </w:pPr>
      <w:r>
        <w:t xml:space="preserve">其次，竞争性的经理市场和股票市场也向企业经理施加了有力的外部监督和约束。在竞 </w:t>
      </w:r>
      <w:r>
        <w:rPr>
          <w:spacing w:val="-1"/>
        </w:rPr>
        <w:t>争性的经理人员市场中，高能力的、尽职尽责的经理，能得到高的薪酬；否则经理只能得到低薪酬，甚至会失业。所以经理人员要提高其收益，必须先提高企业的经营绩效。股票价格</w:t>
      </w:r>
      <w:r>
        <w:rPr>
          <w:spacing w:val="-9"/>
        </w:rPr>
        <w:t>主要取决于企业未来利润流的现值。经理人员只有努力提高企业的长期预期利润，企业的股 票</w:t>
      </w:r>
      <w:r>
        <w:rPr>
          <w:spacing w:val="-11"/>
        </w:rPr>
        <w:t>价格才会提高。经理人员在企业的地位才会巩固。透过经营人员市场和股票市场的竞争， 代理人和委托人的激励就成为相容。</w:t>
      </w:r>
    </w:p>
    <w:p>
      <w:pPr>
        <w:pStyle w:val="ListParagraph"/>
        <w:numPr>
          <w:ilvl w:val="1"/>
          <w:numId w:val="12"/>
        </w:numPr>
        <w:tabs>
          <w:tab w:val="left" w:pos="1571"/>
        </w:tabs>
        <w:spacing w:before="0" w:after="0" w:line="394" w:lineRule="exact"/>
        <w:ind w:left="1570" w:right="0" w:hanging="635"/>
        <w:jc w:val="left"/>
        <w:rPr>
          <w:sz w:val="31"/>
        </w:rPr>
      </w:pPr>
      <w:r>
        <w:rPr>
          <w:sz w:val="31"/>
        </w:rPr>
        <w:t>基于外部治理机制的内部治理结构</w:t>
      </w:r>
    </w:p>
    <w:p>
      <w:pPr>
        <w:pStyle w:val="BodyText"/>
        <w:spacing w:before="61" w:line="283" w:lineRule="auto"/>
        <w:ind w:left="397" w:right="1422" w:firstLine="539"/>
        <w:jc w:val="both"/>
      </w:pPr>
      <w:r>
        <w:rPr>
          <w:spacing w:val="-1"/>
        </w:rPr>
        <w:t>内部治理的职能，主要在于两个方面：按照外部市场竞争提供的充分信息，制定并实施</w:t>
      </w:r>
      <w:r>
        <w:rPr>
          <w:spacing w:val="-11"/>
        </w:rPr>
        <w:t xml:space="preserve">对经理人员的激励计划；并以一定程序在事先保证重大决策的正确性，减低责任不对等可能 </w:t>
      </w:r>
      <w:r>
        <w:rPr>
          <w:spacing w:val="-16"/>
        </w:rPr>
        <w:t>带来的危害。发达国家经理人员的薪酬结构中，很大的部分和企业业绩直接挂钩，如按业绩 赠送的股份，股票期权等。目的在于使经理人员和企业的所有者激励相容。</w:t>
      </w:r>
    </w:p>
    <w:p>
      <w:pPr>
        <w:pStyle w:val="BodyText"/>
        <w:spacing w:line="283" w:lineRule="auto"/>
        <w:ind w:left="397" w:right="1422" w:firstLine="539"/>
      </w:pPr>
      <w:r>
        <w:rPr>
          <w:spacing w:val="-1"/>
        </w:rPr>
        <w:t>企业内部治理结构的另一职能在于，针对责任不对等问题，以一定程序事先保证所有者</w:t>
      </w:r>
      <w:r>
        <w:rPr>
          <w:spacing w:val="-4"/>
          <w:w w:val="102"/>
        </w:rPr>
        <w:t>权益免受因经营者决策重大失误或资产掠夺造成的损害。一项重大决策的程序包括</w:t>
      </w:r>
      <w:r>
        <w:rPr>
          <w:spacing w:val="-223"/>
          <w:w w:val="102"/>
        </w:rPr>
        <w:t>：</w:t>
      </w:r>
      <w:r>
        <w:rPr>
          <w:spacing w:val="-4"/>
          <w:w w:val="102"/>
        </w:rPr>
        <w:t>（</w:t>
      </w:r>
      <w:r>
        <w:rPr>
          <w:w w:val="102"/>
        </w:rPr>
        <w:t>1</w:t>
      </w:r>
      <w:r>
        <w:rPr>
          <w:spacing w:val="-47"/>
          <w:w w:val="102"/>
        </w:rPr>
        <w:t>）</w:t>
      </w:r>
      <w:r>
        <w:rPr>
          <w:w w:val="102"/>
        </w:rPr>
        <w:t>提</w:t>
      </w:r>
    </w:p>
    <w:p>
      <w:pPr>
        <w:spacing w:after="0" w:line="283" w:lineRule="auto"/>
        <w:sectPr>
          <w:pgSz w:w="17860" w:h="25260"/>
          <w:pgMar w:top="1860" w:right="1160" w:bottom="280" w:left="2300" w:header="708" w:footer="708"/>
          <w:pgNumType w:start="12"/>
          <w:cols w:space="708"/>
        </w:sectPr>
      </w:pPr>
    </w:p>
    <w:p>
      <w:pPr>
        <w:pStyle w:val="BodyText"/>
        <w:spacing w:before="49"/>
        <w:ind w:left="397"/>
      </w:pPr>
      <w:r>
        <w:rPr>
          <w:spacing w:val="-45"/>
          <w:w w:val="102"/>
        </w:rPr>
        <w:t>出动议；</w:t>
      </w:r>
      <w:r>
        <w:rPr>
          <w:spacing w:val="-1"/>
          <w:w w:val="102"/>
        </w:rPr>
        <w:t>（</w:t>
      </w:r>
      <w:r>
        <w:rPr>
          <w:w w:val="102"/>
        </w:rPr>
        <w:t>2）</w:t>
      </w:r>
      <w:r>
        <w:rPr>
          <w:spacing w:val="-65"/>
          <w:w w:val="102"/>
        </w:rPr>
        <w:t>批准；</w:t>
      </w:r>
      <w:r>
        <w:rPr>
          <w:spacing w:val="-1"/>
          <w:w w:val="102"/>
        </w:rPr>
        <w:t>（</w:t>
      </w:r>
      <w:r>
        <w:rPr>
          <w:w w:val="102"/>
        </w:rPr>
        <w:t>3）</w:t>
      </w:r>
      <w:r>
        <w:rPr>
          <w:spacing w:val="-64"/>
          <w:w w:val="102"/>
        </w:rPr>
        <w:t>执行；</w:t>
      </w:r>
      <w:r>
        <w:rPr>
          <w:spacing w:val="-4"/>
          <w:w w:val="102"/>
        </w:rPr>
        <w:t>（</w:t>
      </w:r>
      <w:r>
        <w:rPr>
          <w:spacing w:val="-1"/>
          <w:w w:val="102"/>
        </w:rPr>
        <w:t>4</w:t>
      </w:r>
      <w:r>
        <w:rPr>
          <w:w w:val="102"/>
        </w:rPr>
        <w:t>）监督和奖惩</w:t>
      </w:r>
      <w:r>
        <w:rPr>
          <w:spacing w:val="-198"/>
          <w:w w:val="102"/>
        </w:rPr>
        <w:t>。</w:t>
      </w:r>
      <w:r>
        <w:rPr>
          <w:spacing w:val="-4"/>
          <w:w w:val="102"/>
        </w:rPr>
        <w:t>（</w:t>
      </w:r>
      <w:r>
        <w:rPr>
          <w:spacing w:val="-1"/>
          <w:w w:val="102"/>
        </w:rPr>
        <w:t>1</w:t>
      </w:r>
      <w:r>
        <w:rPr>
          <w:spacing w:val="-159"/>
          <w:w w:val="102"/>
        </w:rPr>
        <w:t>）</w:t>
      </w:r>
      <w:r>
        <w:rPr>
          <w:spacing w:val="-173"/>
          <w:w w:val="102"/>
        </w:rPr>
        <w:t>、</w:t>
      </w:r>
      <w:r>
        <w:rPr>
          <w:spacing w:val="-1"/>
          <w:w w:val="102"/>
        </w:rPr>
        <w:t>（</w:t>
      </w:r>
      <w:r>
        <w:rPr>
          <w:w w:val="102"/>
        </w:rPr>
        <w:t>3）是管理性决策，归经营者掌握；</w:t>
      </w:r>
    </w:p>
    <w:p>
      <w:pPr>
        <w:pStyle w:val="BodyText"/>
        <w:spacing w:before="72"/>
        <w:ind w:left="397"/>
      </w:pPr>
      <w:r>
        <w:rPr>
          <w:spacing w:val="-1"/>
          <w:w w:val="102"/>
        </w:rPr>
        <w:t>（</w:t>
      </w:r>
      <w:r>
        <w:rPr>
          <w:w w:val="102"/>
        </w:rPr>
        <w:t>2</w:t>
      </w:r>
      <w:r>
        <w:rPr>
          <w:spacing w:val="-159"/>
          <w:w w:val="102"/>
        </w:rPr>
        <w:t>）</w:t>
      </w:r>
      <w:r>
        <w:rPr>
          <w:spacing w:val="-162"/>
          <w:w w:val="102"/>
        </w:rPr>
        <w:t>、</w:t>
      </w:r>
      <w:r>
        <w:rPr>
          <w:w w:val="102"/>
        </w:rPr>
        <w:t>（4）是控制性决策，归所有者掌握。</w:t>
      </w:r>
    </w:p>
    <w:p>
      <w:pPr>
        <w:pStyle w:val="ListParagraph"/>
        <w:numPr>
          <w:ilvl w:val="1"/>
          <w:numId w:val="26"/>
        </w:numPr>
        <w:tabs>
          <w:tab w:val="left" w:pos="1656"/>
          <w:tab w:val="left" w:pos="1657"/>
        </w:tabs>
        <w:spacing w:before="70" w:after="0" w:line="240" w:lineRule="auto"/>
        <w:ind w:left="1657" w:right="0" w:hanging="721"/>
        <w:jc w:val="left"/>
        <w:rPr>
          <w:sz w:val="31"/>
        </w:rPr>
      </w:pPr>
      <w:r>
        <w:rPr>
          <w:sz w:val="31"/>
        </w:rPr>
        <w:t>内部治理结构的内生性和多样性</w:t>
      </w:r>
    </w:p>
    <w:p>
      <w:pPr>
        <w:pStyle w:val="BodyText"/>
        <w:spacing w:before="71" w:line="283" w:lineRule="auto"/>
        <w:ind w:left="397" w:right="1328" w:firstLine="539"/>
      </w:pPr>
      <w:r>
        <w:t xml:space="preserve">外部的市场竞争仅能提供企业经营的充分信息，而不是完全信息。而且，委托人所得到 </w:t>
      </w:r>
      <w:r>
        <w:rPr>
          <w:spacing w:val="-12"/>
        </w:rPr>
        <w:t xml:space="preserve">的信息只是代理人行为的结果，无法在事先防范代理人在责任不对等情况下可能产生的重大 </w:t>
      </w:r>
      <w:r>
        <w:rPr>
          <w:spacing w:val="-17"/>
        </w:rPr>
        <w:t xml:space="preserve">渎职行为。内部治理机制以事先和事中的监督，弥补外部治理机制的不足。但一旦脱离了外  </w:t>
      </w:r>
      <w:r>
        <w:rPr>
          <w:spacing w:val="-18"/>
        </w:rPr>
        <w:t xml:space="preserve">部治理机制，内部治理机制就无所依凭了。充分的市场竞争是有效的外部治理的唯一形式； </w:t>
      </w:r>
      <w:r>
        <w:rPr>
          <w:spacing w:val="-8"/>
        </w:rPr>
        <w:t xml:space="preserve">但不同国家和不同企业的内部治理机制形式则迥然不同。众所周知，德国－日本的银行主导 </w:t>
      </w:r>
      <w:r>
        <w:rPr>
          <w:spacing w:val="-15"/>
        </w:rPr>
        <w:t>型内部治理机制和美国－英国的持股人主导型内部治理机制，有很大的差别。各国公司法也 都赋予企业自行制定其章程的权力。</w:t>
      </w:r>
    </w:p>
    <w:p>
      <w:pPr>
        <w:pStyle w:val="BodyText"/>
        <w:spacing w:line="392" w:lineRule="exact"/>
        <w:ind w:left="936"/>
        <w:rPr>
          <w:rFonts w:ascii="黑体" w:eastAsia="黑体" w:hint="eastAsia"/>
        </w:rPr>
      </w:pPr>
      <w:r>
        <w:rPr>
          <w:rFonts w:ascii="黑体" w:eastAsia="黑体" w:hint="eastAsia"/>
        </w:rPr>
        <w:t>2、 传统体制下国有企业委托－代理问题的解决及相应的治理机制</w:t>
      </w:r>
    </w:p>
    <w:p>
      <w:pPr>
        <w:pStyle w:val="ListParagraph"/>
        <w:numPr>
          <w:ilvl w:val="1"/>
          <w:numId w:val="11"/>
        </w:numPr>
        <w:tabs>
          <w:tab w:val="left" w:pos="1571"/>
        </w:tabs>
        <w:spacing w:before="71" w:after="0" w:line="240" w:lineRule="auto"/>
        <w:ind w:left="1570" w:right="0" w:hanging="635"/>
        <w:jc w:val="both"/>
        <w:rPr>
          <w:sz w:val="31"/>
        </w:rPr>
      </w:pPr>
      <w:r>
        <w:rPr>
          <w:sz w:val="31"/>
        </w:rPr>
        <w:t>传统体制下国有企业的形成</w:t>
      </w:r>
    </w:p>
    <w:p>
      <w:pPr>
        <w:pStyle w:val="BodyText"/>
        <w:spacing w:before="72" w:line="283" w:lineRule="auto"/>
        <w:ind w:left="397" w:right="1328" w:firstLine="539"/>
        <w:jc w:val="both"/>
      </w:pPr>
      <w:r>
        <w:t xml:space="preserve">传统体制下大量的国有企业，是内生于重工业优先发展的赶超战略的产物（林毅夫等， </w:t>
      </w:r>
      <w:r>
        <w:rPr>
          <w:w w:val="102"/>
        </w:rPr>
        <w:t>199</w:t>
      </w:r>
      <w:r>
        <w:rPr>
          <w:spacing w:val="-1"/>
          <w:w w:val="102"/>
        </w:rPr>
        <w:t>4</w:t>
      </w:r>
      <w:r>
        <w:rPr>
          <w:spacing w:val="-159"/>
          <w:w w:val="102"/>
        </w:rPr>
        <w:t>）</w:t>
      </w:r>
      <w:r>
        <w:rPr>
          <w:w w:val="102"/>
        </w:rPr>
        <w:t>。新中国成立之初，为了在较短的时间内实现初级工业化，迅速缩小与发达国家的差</w:t>
      </w:r>
      <w:r>
        <w:rPr>
          <w:spacing w:val="-1"/>
        </w:rPr>
        <w:t>距，中国政府选择了重工业优先发展的赶超战略。重工业是资本密集型产业，有三个特点：</w:t>
      </w:r>
    </w:p>
    <w:p>
      <w:pPr>
        <w:pStyle w:val="BodyText"/>
        <w:spacing w:line="283" w:lineRule="auto"/>
        <w:ind w:left="397" w:right="1332"/>
      </w:pPr>
      <w:r>
        <w:rPr>
          <w:spacing w:val="-1"/>
          <w:w w:val="102"/>
        </w:rPr>
        <w:t>（</w:t>
      </w:r>
      <w:r>
        <w:rPr>
          <w:w w:val="102"/>
        </w:rPr>
        <w:t>1）建设周期长，资本投入多</w:t>
      </w:r>
      <w:r>
        <w:rPr>
          <w:spacing w:val="-173"/>
          <w:w w:val="102"/>
        </w:rPr>
        <w:t>；</w:t>
      </w:r>
      <w:r>
        <w:rPr>
          <w:w w:val="102"/>
        </w:rPr>
        <w:t>（2）重工业建设所需的资本品技术含量高，大多需要从发</w:t>
      </w:r>
      <w:r>
        <w:rPr>
          <w:spacing w:val="-27"/>
          <w:w w:val="102"/>
        </w:rPr>
        <w:t>达国家进口；</w:t>
      </w:r>
      <w:r>
        <w:rPr>
          <w:spacing w:val="-1"/>
          <w:w w:val="102"/>
        </w:rPr>
        <w:t>（</w:t>
      </w:r>
      <w:r>
        <w:rPr>
          <w:w w:val="102"/>
        </w:rPr>
        <w:t>3）</w:t>
      </w:r>
      <w:r>
        <w:rPr>
          <w:spacing w:val="-1"/>
          <w:w w:val="102"/>
        </w:rPr>
        <w:t>重工业发展需要在短期内投入大量资本。而当时中国国情也有三个特点：</w:t>
      </w:r>
    </w:p>
    <w:p>
      <w:pPr>
        <w:pStyle w:val="BodyText"/>
        <w:spacing w:line="283" w:lineRule="auto"/>
        <w:ind w:left="397" w:right="1328"/>
      </w:pPr>
      <w:r>
        <w:rPr>
          <w:spacing w:val="-1"/>
          <w:w w:val="102"/>
        </w:rPr>
        <w:t>（</w:t>
      </w:r>
      <w:r>
        <w:rPr>
          <w:w w:val="102"/>
        </w:rPr>
        <w:t>1）资本存量少，由市场决定的利率很高，不利于资本密集的重工业发展</w:t>
      </w:r>
      <w:r>
        <w:rPr>
          <w:spacing w:val="-194"/>
          <w:w w:val="102"/>
        </w:rPr>
        <w:t>；</w:t>
      </w:r>
      <w:r>
        <w:rPr>
          <w:spacing w:val="-3"/>
          <w:w w:val="102"/>
        </w:rPr>
        <w:t>（</w:t>
      </w:r>
      <w:r>
        <w:rPr>
          <w:w w:val="102"/>
        </w:rPr>
        <w:t>2）出口工业</w:t>
      </w:r>
      <w:r>
        <w:rPr>
          <w:spacing w:val="-1"/>
          <w:w w:val="102"/>
        </w:rPr>
        <w:t>狭小，可用的外汇资源少，外汇短缺、昂贵，从国外进口机器设备的成本高</w:t>
      </w:r>
      <w:r>
        <w:rPr>
          <w:spacing w:val="-304"/>
          <w:w w:val="102"/>
        </w:rPr>
        <w:t>（</w:t>
      </w:r>
      <w:r>
        <w:rPr>
          <w:spacing w:val="-13"/>
          <w:w w:val="102"/>
        </w:rPr>
        <w:t>；</w:t>
      </w:r>
      <w:r>
        <w:rPr>
          <w:w w:val="102"/>
        </w:rPr>
        <w:t>3）经济剩余</w:t>
      </w:r>
      <w:r>
        <w:rPr>
          <w:spacing w:val="-1"/>
        </w:rPr>
        <w:t>主要来自农业，非常分散，集中、动员这些分散的资本也非常困难。重工业的特征与当时中</w:t>
      </w:r>
      <w:r>
        <w:rPr>
          <w:spacing w:val="-11"/>
        </w:rPr>
        <w:t>国国情之间存在尖锐矛盾，在由竞争决定价格、由价格配置资源的市场体制中，重工业是缺 乏自生能力</w:t>
      </w:r>
      <w:r>
        <w:rPr>
          <w:spacing w:val="-9"/>
        </w:rPr>
        <w:t>（Viability）</w:t>
      </w:r>
      <w:r>
        <w:rPr>
          <w:spacing w:val="-9"/>
          <w:position w:val="4"/>
          <w:sz w:val="29"/>
        </w:rPr>
        <w:t>7</w:t>
      </w:r>
      <w:r>
        <w:t>的产业，如没有政府的扶持就发展不起来。这是因为，在资本相 对</w:t>
      </w:r>
      <w:r>
        <w:rPr>
          <w:spacing w:val="-1"/>
        </w:rPr>
        <w:t>稀缺、劳动相对丰富的资源禀赋结构下，市场均衡的利率水平、外币价格都会比较高，资本</w:t>
      </w:r>
      <w:r>
        <w:rPr>
          <w:spacing w:val="-11"/>
        </w:rPr>
        <w:t>密集的产业不是中国的比较优势所在。如听任市场调节，会把资源配置到劳动密集型的轻 工</w:t>
      </w:r>
      <w:r>
        <w:rPr>
          <w:spacing w:val="-15"/>
        </w:rPr>
        <w:t>业中去。要优先发展重工业客观上要求政府干预，利用行政手段人为压低利率、汇率来降  低</w:t>
      </w:r>
      <w:r>
        <w:rPr>
          <w:spacing w:val="-21"/>
        </w:rPr>
        <w:t>重工业发展的门槛；并用降低工业投入要素价格，即能源、原材料价格以及工资水平的方 式，</w:t>
      </w:r>
      <w:r>
        <w:rPr>
          <w:spacing w:val="-5"/>
        </w:rPr>
        <w:t>将经济中的剩余从农业和矿业等第一产业集中到重工业部门来，为重工业的发展积累资 金；</w:t>
      </w:r>
      <w:r>
        <w:rPr>
          <w:spacing w:val="-6"/>
        </w:rPr>
        <w:t>当然工资压低了，生活必需品价格也必须压低，以保证工人的最低生活水平。当利率、汇率</w:t>
      </w:r>
      <w:r>
        <w:rPr>
          <w:spacing w:val="-8"/>
        </w:rPr>
        <w:t>、工资、物价低于市场均衡价格时，会抑制供给，刺激需求，出现全面的短缺。所以， 为了</w:t>
      </w:r>
      <w:r>
        <w:rPr>
          <w:spacing w:val="-15"/>
        </w:rPr>
        <w:t>保证紧缺的资源配置到重工业部门中去，政府形成了计划型的资源配置机制。金融、外  贸外</w:t>
      </w:r>
      <w:r>
        <w:rPr>
          <w:spacing w:val="-16"/>
        </w:rPr>
        <w:t>汇、物资流通、农产品购销制度，都体现了高度集中的计划特征。相应于扭曲的宏观政策环</w:t>
      </w:r>
      <w:r>
        <w:rPr>
          <w:spacing w:val="-17"/>
        </w:rPr>
        <w:t>境和集中的计划型资源配置制度，形成了以国有化和人民公社化为特征的微观经营机  制。因</w:t>
      </w:r>
      <w:r>
        <w:rPr>
          <w:spacing w:val="-21"/>
        </w:rPr>
        <w:t>为在扭曲的宏观政策环境下，企业盈亏不反映其经营状况。在企业享有经营自主权的 情况下，</w:t>
      </w:r>
      <w:r>
        <w:rPr>
          <w:spacing w:val="-4"/>
        </w:rPr>
        <w:t>企业必然有积极性把由政府价格扭曲所创造的超额利润用于职工福利、在职消费和 其他与重</w:t>
      </w:r>
      <w:r>
        <w:rPr>
          <w:spacing w:val="-14"/>
        </w:rPr>
        <w:t>工业发展无关的活动上。为了保证国家的产业发展意图不至于被企业经理人员和职 工的自利</w:t>
      </w:r>
      <w:r>
        <w:rPr>
          <w:spacing w:val="-17"/>
        </w:rPr>
        <w:t>行为所影响，必须剥夺国有企业的经营自主权。企业的任何决策，都必须体现国家 的产业发展意图。企业的职能仅在于实施上级下达的生产、投资计划。</w:t>
      </w:r>
    </w:p>
    <w:p>
      <w:pPr>
        <w:pStyle w:val="ListParagraph"/>
        <w:numPr>
          <w:ilvl w:val="1"/>
          <w:numId w:val="11"/>
        </w:numPr>
        <w:tabs>
          <w:tab w:val="left" w:pos="1571"/>
        </w:tabs>
        <w:spacing w:before="0" w:after="0" w:line="365" w:lineRule="exact"/>
        <w:ind w:left="1570" w:right="0" w:hanging="635"/>
        <w:jc w:val="both"/>
        <w:rPr>
          <w:sz w:val="31"/>
        </w:rPr>
      </w:pPr>
      <w:r>
        <w:rPr>
          <w:sz w:val="31"/>
        </w:rPr>
        <w:t>传统体制下国有企业特有的特征</w:t>
      </w:r>
    </w:p>
    <w:p>
      <w:pPr>
        <w:pStyle w:val="BodyText"/>
        <w:spacing w:before="67" w:line="283" w:lineRule="auto"/>
        <w:ind w:left="397" w:right="1503" w:firstLine="539"/>
        <w:jc w:val="both"/>
      </w:pPr>
      <w:r>
        <w:rPr>
          <w:spacing w:val="-5"/>
        </w:rPr>
        <w:t>大量的国有企业是资本密集的重工业优先发展战略的内生产物，它具有不同于市场经济</w:t>
      </w:r>
      <w:r>
        <w:rPr>
          <w:spacing w:val="-12"/>
        </w:rPr>
        <w:t>中一般企业的特殊的特征：背负着政策性负担。按性质不同，政策性负担可分为战略性政策</w:t>
      </w:r>
      <w:r>
        <w:t>负担和社会性政策负担两种。</w:t>
      </w:r>
    </w:p>
    <w:p>
      <w:pPr>
        <w:pStyle w:val="BodyText"/>
        <w:spacing w:line="283" w:lineRule="auto"/>
        <w:ind w:left="397" w:right="1422" w:firstLine="539"/>
      </w:pPr>
      <w:r>
        <w:rPr>
          <w:spacing w:val="-1"/>
        </w:rPr>
        <w:t>中国优先发展重工业违背了资本稀缺、劳动相对丰富的要素禀赋条件，这就决定了重工</w:t>
      </w:r>
      <w:r>
        <w:rPr>
          <w:spacing w:val="-9"/>
          <w:w w:val="102"/>
        </w:rPr>
        <w:t>业以及承担重工业发展职能的国有企业，在市场经济中没有自生能力</w:t>
      </w:r>
      <w:r>
        <w:rPr>
          <w:spacing w:val="-1"/>
          <w:w w:val="102"/>
        </w:rPr>
        <w:t>（</w:t>
      </w:r>
      <w:r>
        <w:rPr>
          <w:w w:val="102"/>
        </w:rPr>
        <w:t>Viabilit</w:t>
      </w:r>
      <w:r>
        <w:rPr>
          <w:spacing w:val="-7"/>
          <w:w w:val="102"/>
        </w:rPr>
        <w:t>y</w:t>
      </w:r>
      <w:r>
        <w:rPr>
          <w:spacing w:val="-231"/>
          <w:w w:val="102"/>
        </w:rPr>
        <w:t>）</w:t>
      </w:r>
      <w:r>
        <w:rPr>
          <w:w w:val="102"/>
        </w:rPr>
        <w:t>（Lin</w:t>
      </w:r>
      <w:r>
        <w:rPr>
          <w:spacing w:val="-80"/>
        </w:rPr>
        <w:t xml:space="preserve"> </w:t>
      </w:r>
      <w:r>
        <w:rPr>
          <w:w w:val="102"/>
        </w:rPr>
        <w:t>,et</w:t>
      </w:r>
    </w:p>
    <w:p>
      <w:pPr>
        <w:pStyle w:val="BodyText"/>
        <w:spacing w:before="4"/>
        <w:rPr>
          <w:sz w:val="14"/>
        </w:rPr>
      </w:pPr>
      <w:r>
        <w:pict>
          <v:shape id="_x0000_s1051" style="width:218pt;height:0.1pt;margin-top:12.15pt;margin-left:134pt;mso-position-horizontal-relative:page;mso-wrap-distance-left:0;mso-wrap-distance-right:0;position:absolute;z-index:-251629568" coordorigin="2680,243" coordsize="4360,0" path="m2680,243l7040,243e" filled="f" stroked="t" strokecolor="black" strokeweight="2pt">
            <v:stroke dashstyle="solid"/>
            <v:path arrowok="t"/>
            <w10:wrap type="topAndBottom"/>
          </v:shape>
        </w:pict>
      </w:r>
    </w:p>
    <w:p>
      <w:pPr>
        <w:pStyle w:val="ListParagraph"/>
        <w:numPr>
          <w:ilvl w:val="0"/>
          <w:numId w:val="10"/>
        </w:numPr>
        <w:tabs>
          <w:tab w:val="left" w:pos="624"/>
        </w:tabs>
        <w:spacing w:before="128" w:after="0" w:line="240" w:lineRule="auto"/>
        <w:ind w:left="624" w:right="0" w:hanging="227"/>
        <w:jc w:val="left"/>
        <w:rPr>
          <w:rFonts w:ascii="Arial" w:eastAsia="Arial"/>
          <w:sz w:val="29"/>
        </w:rPr>
      </w:pPr>
      <w:r>
        <w:rPr>
          <w:spacing w:val="-5"/>
          <w:sz w:val="27"/>
        </w:rPr>
        <w:t xml:space="preserve">自生能力的定义，见第三部分第 </w:t>
      </w:r>
      <w:r>
        <w:rPr>
          <w:rFonts w:ascii="Arial" w:eastAsia="Arial"/>
          <w:sz w:val="27"/>
        </w:rPr>
        <w:t>2.2</w:t>
      </w:r>
      <w:r>
        <w:rPr>
          <w:rFonts w:ascii="Arial" w:eastAsia="Arial"/>
          <w:spacing w:val="-6"/>
          <w:sz w:val="27"/>
        </w:rPr>
        <w:t xml:space="preserve"> </w:t>
      </w:r>
      <w:r>
        <w:rPr>
          <w:sz w:val="27"/>
        </w:rPr>
        <w:t>节。</w:t>
      </w:r>
    </w:p>
    <w:p>
      <w:pPr>
        <w:spacing w:after="0" w:line="240" w:lineRule="auto"/>
        <w:jc w:val="left"/>
        <w:rPr>
          <w:rFonts w:ascii="Arial" w:eastAsia="Arial"/>
          <w:sz w:val="29"/>
        </w:rPr>
        <w:sectPr>
          <w:pgSz w:w="17860" w:h="25260"/>
          <w:pgMar w:top="1860" w:right="1160" w:bottom="280" w:left="2300" w:header="708" w:footer="708"/>
          <w:pgNumType w:start="13"/>
          <w:cols w:space="708"/>
        </w:sectPr>
      </w:pPr>
    </w:p>
    <w:p>
      <w:pPr>
        <w:pStyle w:val="BodyText"/>
        <w:spacing w:before="49" w:line="283" w:lineRule="auto"/>
        <w:ind w:left="397" w:right="1328"/>
      </w:pPr>
      <w:r>
        <w:rPr>
          <w:w w:val="102"/>
        </w:rPr>
        <w:t>a</w:t>
      </w:r>
      <w:r>
        <w:rPr>
          <w:spacing w:val="-1"/>
          <w:w w:val="102"/>
        </w:rPr>
        <w:t>l</w:t>
      </w:r>
      <w:r>
        <w:rPr>
          <w:w w:val="102"/>
        </w:rPr>
        <w:t>，1999</w:t>
      </w:r>
      <w:r>
        <w:rPr>
          <w:spacing w:val="-162"/>
          <w:w w:val="102"/>
        </w:rPr>
        <w:t>）</w:t>
      </w:r>
      <w:r>
        <w:rPr>
          <w:w w:val="102"/>
        </w:rPr>
        <w:t>。一个有自生能力的产业是指在没有政府保护的前提下，该产业中正常经营的企</w:t>
      </w:r>
      <w:r>
        <w:t>业在充分竞争的市场体系中能获得市场上可接受的利润水平</w:t>
      </w:r>
      <w:r>
        <w:rPr>
          <w:spacing w:val="-15"/>
        </w:rPr>
        <w:t xml:space="preserve">。如果一个产业符合当地比较优 </w:t>
      </w:r>
      <w:r>
        <w:rPr>
          <w:spacing w:val="-16"/>
        </w:rPr>
        <w:t>势，该产业就具有自生能力；否则反之。重工业不符合我国资源禀赋决定的比较优势，因此</w:t>
      </w:r>
      <w:r>
        <w:rPr>
          <w:spacing w:val="-13"/>
        </w:rPr>
        <w:t>不具有自生能力，其存在是国家战略决策的结果。因此可以把重工业所承担的这类负担称为 战略性政策负担。</w:t>
      </w:r>
    </w:p>
    <w:p>
      <w:pPr>
        <w:pStyle w:val="BodyText"/>
        <w:spacing w:line="394" w:lineRule="exact"/>
        <w:ind w:left="936"/>
      </w:pPr>
      <w:r>
        <w:rPr>
          <w:w w:val="102"/>
        </w:rPr>
        <w:t>国有企业的另一个特殊之处是，背负着社会性政策负担（</w:t>
      </w:r>
      <w:r>
        <w:rPr>
          <w:spacing w:val="-16"/>
          <w:w w:val="102"/>
        </w:rPr>
        <w:t>林毅夫等，</w:t>
      </w:r>
      <w:r>
        <w:rPr>
          <w:w w:val="102"/>
        </w:rPr>
        <w:t>199</w:t>
      </w:r>
      <w:r>
        <w:rPr>
          <w:spacing w:val="-3"/>
          <w:w w:val="102"/>
        </w:rPr>
        <w:t>7</w:t>
      </w:r>
      <w:r>
        <w:rPr>
          <w:spacing w:val="-159"/>
          <w:w w:val="102"/>
        </w:rPr>
        <w:t>）</w:t>
      </w:r>
      <w:r>
        <w:rPr>
          <w:w w:val="102"/>
        </w:rPr>
        <w:t>。具体而言：</w:t>
      </w:r>
    </w:p>
    <w:p>
      <w:pPr>
        <w:pStyle w:val="ListParagraph"/>
        <w:numPr>
          <w:ilvl w:val="0"/>
          <w:numId w:val="9"/>
        </w:numPr>
        <w:tabs>
          <w:tab w:val="left" w:pos="1190"/>
        </w:tabs>
        <w:spacing w:before="71" w:after="0" w:line="283" w:lineRule="auto"/>
        <w:ind w:left="397" w:right="1328" w:firstLine="0"/>
        <w:jc w:val="left"/>
        <w:rPr>
          <w:sz w:val="31"/>
        </w:rPr>
      </w:pPr>
      <w:r>
        <w:rPr>
          <w:sz w:val="31"/>
        </w:rPr>
        <w:t xml:space="preserve">优先发展资本密集的重工业，只能吸收少量的就业。为缓解劳动力数量巨大带来的就 </w:t>
      </w:r>
      <w:r>
        <w:rPr>
          <w:spacing w:val="-1"/>
          <w:sz w:val="31"/>
        </w:rPr>
        <w:t>业难题，国家在采用户籍制度阻断农村劳动力向城市流动的同时，在城镇采取了统包就业、计划安置的做法，要求国有企业吸纳超过其需要的劳动力，形成了隐性的冗员和在岗失业。</w:t>
      </w:r>
    </w:p>
    <w:p>
      <w:pPr>
        <w:pStyle w:val="ListParagraph"/>
        <w:numPr>
          <w:ilvl w:val="0"/>
          <w:numId w:val="9"/>
        </w:numPr>
        <w:tabs>
          <w:tab w:val="left" w:pos="1190"/>
        </w:tabs>
        <w:spacing w:before="0" w:after="0" w:line="283" w:lineRule="auto"/>
        <w:ind w:left="397" w:right="1328" w:firstLine="0"/>
        <w:jc w:val="left"/>
        <w:rPr>
          <w:sz w:val="31"/>
        </w:rPr>
      </w:pPr>
      <w:r>
        <w:rPr>
          <w:sz w:val="31"/>
        </w:rPr>
        <w:t xml:space="preserve">为尽快地积累工业化所需的资金，国家没有进行养老基金的积累，而是按现收现付制 </w:t>
      </w:r>
      <w:r>
        <w:rPr>
          <w:spacing w:val="-13"/>
          <w:sz w:val="31"/>
        </w:rPr>
        <w:t xml:space="preserve">原则，由企业自行负担其离退休职工的养老金，国家通过企业的财务计划对之进行管理。另  </w:t>
      </w:r>
      <w:r>
        <w:rPr>
          <w:spacing w:val="-20"/>
          <w:sz w:val="31"/>
        </w:rPr>
        <w:t>外由于国家降低了职工可以以货币形式支配的工资，国有企业还必须以非货币的形式为其职 工提供基本的住房、医疗、子女教育等福利，以保证劳动力的再生产。国家通过企业的财务</w:t>
      </w:r>
      <w:r>
        <w:rPr>
          <w:sz w:val="31"/>
        </w:rPr>
        <w:t>计划对这些开支进行管理。</w:t>
      </w:r>
    </w:p>
    <w:p>
      <w:pPr>
        <w:pStyle w:val="BodyText"/>
        <w:spacing w:line="283" w:lineRule="auto"/>
        <w:ind w:left="397" w:right="1422" w:firstLine="539"/>
      </w:pPr>
      <w:r>
        <w:rPr>
          <w:spacing w:val="-1"/>
        </w:rPr>
        <w:t>在改革前上述两种负担是隐性负担，国家经由统收统支的方式，将由这两种负担所导致</w:t>
      </w:r>
      <w:r>
        <w:rPr>
          <w:spacing w:val="-12"/>
        </w:rPr>
        <w:t xml:space="preserve">的企业的成本的增加，全部由政府的财政拨款给予补偿。但改革后取消了统收统支制度。这 </w:t>
      </w:r>
      <w:r>
        <w:rPr>
          <w:spacing w:val="-18"/>
        </w:rPr>
        <w:t>两种负担就由隐性变为显性。与没有这两项负担的非国有企业相比，国有企业在市场上的竞 争就处于不平等的地位。</w:t>
      </w:r>
    </w:p>
    <w:p>
      <w:pPr>
        <w:pStyle w:val="ListParagraph"/>
        <w:numPr>
          <w:ilvl w:val="1"/>
          <w:numId w:val="11"/>
        </w:numPr>
        <w:tabs>
          <w:tab w:val="left" w:pos="1571"/>
        </w:tabs>
        <w:spacing w:before="0" w:after="0" w:line="394" w:lineRule="exact"/>
        <w:ind w:left="1570" w:right="0" w:hanging="635"/>
        <w:jc w:val="left"/>
        <w:rPr>
          <w:sz w:val="31"/>
        </w:rPr>
      </w:pPr>
      <w:r>
        <w:rPr>
          <w:sz w:val="31"/>
        </w:rPr>
        <w:t>传统体制下国有企业委托－代理问题的解决及相应的治理机制</w:t>
      </w:r>
    </w:p>
    <w:p>
      <w:pPr>
        <w:pStyle w:val="BodyText"/>
        <w:spacing w:before="66" w:line="283" w:lineRule="auto"/>
        <w:ind w:left="397" w:right="1328" w:firstLine="539"/>
        <w:jc w:val="both"/>
      </w:pPr>
      <w:r>
        <w:t xml:space="preserve">尽管国有企业从法律上讲归全民所有，但全民无法直接经营数量众多的国有企业，必须 </w:t>
      </w:r>
      <w:r>
        <w:rPr>
          <w:spacing w:val="-12"/>
        </w:rPr>
        <w:t xml:space="preserve">由政府作为代表来经营。而政府也无法直接经营这些企业，因而又通过一系列的中间层次委 </w:t>
      </w:r>
      <w:r>
        <w:rPr>
          <w:spacing w:val="-13"/>
        </w:rPr>
        <w:t>托给企业经理人员来经营。由此形成了任何现代企业都具有的委托－代理关系。具体来讲，</w:t>
      </w:r>
    </w:p>
    <w:p>
      <w:pPr>
        <w:pStyle w:val="BodyText"/>
        <w:spacing w:line="283" w:lineRule="auto"/>
        <w:ind w:left="397" w:right="1334"/>
      </w:pPr>
      <w:r>
        <w:t>（1）国家追求重工业的快速发展，而企业经理追求其自身利益和职工利益最大化</w:t>
      </w:r>
      <w:r>
        <w:rPr>
          <w:spacing w:val="-194"/>
        </w:rPr>
        <w:t>。</w:t>
      </w:r>
      <w:r>
        <w:t xml:space="preserve">（2）政 </w:t>
      </w:r>
      <w:r>
        <w:rPr>
          <w:spacing w:val="-19"/>
        </w:rPr>
        <w:t xml:space="preserve">府不了解企业经营的真实信息，在可能的情况下，企业倾向于扩大经理人员以及职工的福利， </w:t>
      </w:r>
      <w:r>
        <w:t>增加成本开支，少缴利润</w:t>
      </w:r>
      <w:r>
        <w:rPr>
          <w:spacing w:val="-180"/>
        </w:rPr>
        <w:t>。</w:t>
      </w:r>
      <w:r>
        <w:t>（3）经理人员承担的责任，远不能和国家承担的责任相比。</w:t>
      </w:r>
    </w:p>
    <w:p>
      <w:pPr>
        <w:pStyle w:val="BodyText"/>
        <w:spacing w:line="283" w:lineRule="auto"/>
        <w:ind w:left="397" w:right="1328" w:firstLine="539"/>
        <w:jc w:val="both"/>
      </w:pPr>
      <w:r>
        <w:t xml:space="preserve">在宏观政策环境扭曲、市场竞争消除的条件下，对企业的经营活动，无法进行准确的评 </w:t>
      </w:r>
      <w:r>
        <w:rPr>
          <w:spacing w:val="-1"/>
        </w:rPr>
        <w:t>价。政府要监督企业，必须支付高昂的成本。为避免企业侵蚀国家的收益，唯一的办法是最大限度地剥夺国有企业的自主权，人、财、物、产、供、销六统一，以保证国家对资源的控</w:t>
      </w:r>
      <w:r>
        <w:t>制和赶超目标的实现。在扭曲的宏观政策环境下，这种方式是监督成本最低的制度安排。</w:t>
      </w:r>
    </w:p>
    <w:p>
      <w:pPr>
        <w:pStyle w:val="BodyText"/>
        <w:spacing w:line="394" w:lineRule="exact"/>
        <w:ind w:left="936"/>
        <w:rPr>
          <w:rFonts w:ascii="黑体" w:eastAsia="黑体" w:hint="eastAsia"/>
        </w:rPr>
      </w:pPr>
      <w:r>
        <w:rPr>
          <w:rFonts w:ascii="黑体" w:eastAsia="黑体" w:hint="eastAsia"/>
        </w:rPr>
        <w:t>3、 已有改革的着力点：企业的内部治理</w:t>
      </w:r>
    </w:p>
    <w:p>
      <w:pPr>
        <w:pStyle w:val="BodyText"/>
        <w:spacing w:before="68" w:line="283" w:lineRule="auto"/>
        <w:ind w:left="397" w:right="1328" w:firstLine="539"/>
      </w:pPr>
      <w:r>
        <w:t xml:space="preserve">在“渐进式”改革的大背景下分析，可以看出，国有企业改革一直是在宏观政策环境未 </w:t>
      </w:r>
      <w:r>
        <w:rPr>
          <w:spacing w:val="-13"/>
        </w:rPr>
        <w:t xml:space="preserve">彻底理顺、充分竞争的市场体系未完全形成的条件下进行的。因而迄今为止国有企业改革的 </w:t>
      </w:r>
      <w:r>
        <w:rPr>
          <w:spacing w:val="-16"/>
        </w:rPr>
        <w:t xml:space="preserve">着力点，是在外部治理机制没有完善的情况下，试图单方面强化内部治理；是在没有解决信  </w:t>
      </w:r>
      <w:r>
        <w:rPr>
          <w:spacing w:val="-17"/>
        </w:rPr>
        <w:t>息不对称问题的条件下，试图单方面地解决激励不相容和责任不对等问题。强化内部治理、</w:t>
      </w:r>
      <w:r>
        <w:rPr>
          <w:spacing w:val="-9"/>
        </w:rPr>
        <w:t>解决激励不相容和责任不对等问题，固然是国有企业改革的题中之义，然而在外部治理不完 善，信息不对称问题没有解决的情况下，已有的改革不可能从根本上解决问题。</w:t>
      </w:r>
    </w:p>
    <w:p>
      <w:pPr>
        <w:pStyle w:val="ListParagraph"/>
        <w:numPr>
          <w:ilvl w:val="1"/>
          <w:numId w:val="8"/>
        </w:numPr>
        <w:tabs>
          <w:tab w:val="left" w:pos="1661"/>
        </w:tabs>
        <w:spacing w:before="0" w:after="0" w:line="394" w:lineRule="exact"/>
        <w:ind w:left="1660" w:right="0" w:hanging="635"/>
        <w:jc w:val="left"/>
        <w:rPr>
          <w:sz w:val="31"/>
        </w:rPr>
      </w:pPr>
      <w:r>
        <w:rPr>
          <w:sz w:val="31"/>
        </w:rPr>
        <w:t>放权让利和承包制的着力点</w:t>
      </w:r>
    </w:p>
    <w:p>
      <w:pPr>
        <w:pStyle w:val="BodyText"/>
        <w:spacing w:before="70" w:line="283" w:lineRule="auto"/>
        <w:ind w:left="397" w:right="1482" w:firstLine="629"/>
        <w:jc w:val="both"/>
      </w:pPr>
      <w:r>
        <w:rPr>
          <w:spacing w:val="-10"/>
        </w:rPr>
        <w:t>国有企业改革发轫于放权让利。当时发动改革的依据是，企业经营自主权不足、政企不</w:t>
      </w:r>
      <w:r>
        <w:rPr>
          <w:spacing w:val="-17"/>
        </w:rPr>
        <w:t>分导致了国有企业效率低下。放权让利改革的政策意图，实质在于改善对经理人员和企业职</w:t>
      </w:r>
      <w:r>
        <w:rPr>
          <w:spacing w:val="-19"/>
        </w:rPr>
        <w:t>工的激励机制。放权让利虽然有其积极意义，但是，改革之前剥夺国有企业的自主权是传统</w:t>
      </w:r>
      <w:r>
        <w:rPr>
          <w:spacing w:val="-23"/>
        </w:rPr>
        <w:t>体制下解决国有企业委托－代理问题的途径。在信息不对称的条件下单方面放权让利，不仅 不会解决激励不相容问题，反而有可能使问题恶化。放权让利和承包制改革之后，尽管微观 激励机制的改进刺激了生产效率，但同时也给企业经理人员侵蚀应属国家的利润和税收创造</w:t>
      </w:r>
      <w:r>
        <w:t>了条件。国家作为企业的所有者，并不能分享到由微观激励改进带来利益的应有份额。</w:t>
      </w:r>
    </w:p>
    <w:p>
      <w:pPr>
        <w:spacing w:after="0" w:line="283" w:lineRule="auto"/>
        <w:jc w:val="both"/>
        <w:sectPr>
          <w:pgSz w:w="17860" w:h="25260"/>
          <w:pgMar w:top="1860" w:right="1160" w:bottom="280" w:left="2300" w:header="708" w:footer="708"/>
          <w:pgNumType w:start="14"/>
          <w:cols w:space="708"/>
        </w:sectPr>
      </w:pPr>
    </w:p>
    <w:p>
      <w:pPr>
        <w:pStyle w:val="ListParagraph"/>
        <w:numPr>
          <w:ilvl w:val="1"/>
          <w:numId w:val="8"/>
        </w:numPr>
        <w:tabs>
          <w:tab w:val="left" w:pos="1661"/>
        </w:tabs>
        <w:spacing w:before="49" w:after="0" w:line="240" w:lineRule="auto"/>
        <w:ind w:left="1660" w:right="0" w:hanging="635"/>
        <w:jc w:val="both"/>
        <w:rPr>
          <w:sz w:val="31"/>
        </w:rPr>
      </w:pPr>
      <w:r>
        <w:rPr>
          <w:sz w:val="31"/>
        </w:rPr>
        <w:t>现代企业制度改革的着力点</w:t>
      </w:r>
    </w:p>
    <w:p>
      <w:pPr>
        <w:pStyle w:val="BodyText"/>
        <w:spacing w:before="72" w:line="283" w:lineRule="auto"/>
        <w:ind w:left="397" w:right="1500" w:firstLine="629"/>
        <w:jc w:val="both"/>
      </w:pPr>
      <w:r>
        <w:t>面对放权让利和承包制无法使激励相容的尴尬局面</w:t>
      </w:r>
      <w:r>
        <w:rPr>
          <w:spacing w:val="-14"/>
        </w:rPr>
        <w:t>，改革又转而针对委托－代理关系的责任不对等而展开，目的在于强化企业方面承担的责任。按照这一思路进行了现代企业制度</w:t>
      </w:r>
      <w:r>
        <w:rPr>
          <w:spacing w:val="-15"/>
        </w:rPr>
        <w:t>改革。推行现代企业制度所依据的理论逻辑认为，国有企业改革尴尬局面的原因在于企业产</w:t>
      </w:r>
      <w:r>
        <w:rPr>
          <w:w w:val="102"/>
        </w:rPr>
        <w:t>权不明晰；企业内部法人治理结构不合理（</w:t>
      </w:r>
      <w:r>
        <w:rPr>
          <w:spacing w:val="-9"/>
          <w:w w:val="102"/>
        </w:rPr>
        <w:t>吴敬琏，</w:t>
      </w:r>
      <w:r>
        <w:rPr>
          <w:w w:val="102"/>
        </w:rPr>
        <w:t>199</w:t>
      </w:r>
      <w:r>
        <w:rPr>
          <w:spacing w:val="-4"/>
          <w:w w:val="102"/>
        </w:rPr>
        <w:t>4</w:t>
      </w:r>
      <w:r>
        <w:rPr>
          <w:spacing w:val="-159"/>
          <w:w w:val="102"/>
        </w:rPr>
        <w:t>）</w:t>
      </w:r>
      <w:r>
        <w:rPr>
          <w:w w:val="102"/>
        </w:rPr>
        <w:t>；管理不力。</w:t>
      </w:r>
    </w:p>
    <w:p>
      <w:pPr>
        <w:pStyle w:val="BodyText"/>
        <w:spacing w:line="283" w:lineRule="auto"/>
        <w:ind w:left="397" w:right="1506" w:firstLine="629"/>
        <w:jc w:val="both"/>
      </w:pPr>
      <w:r>
        <w:rPr>
          <w:spacing w:val="-13"/>
        </w:rPr>
        <w:t>其实，把国有企业面临的问题归咎于国有企业产权不明晰，是站不住脚的。国有企业归</w:t>
      </w:r>
      <w:r>
        <w:rPr>
          <w:spacing w:val="-17"/>
        </w:rPr>
        <w:t>全体人民所有，这在法律上没有任何歧义。在西方发达国家，大中型企业的股东也是成千上</w:t>
      </w:r>
      <w:r>
        <w:rPr>
          <w:spacing w:val="-15"/>
        </w:rPr>
        <w:t>万，甚至上百万之众。中国国有企业与西方发达国家的企业相比，区别不在于所有者数量是</w:t>
      </w:r>
      <w:r>
        <w:rPr>
          <w:spacing w:val="-13"/>
        </w:rPr>
        <w:t>几亿还是几万；而在于企业能否以公平的条件，在充分竞争的市场体系中运作；在于能否克</w:t>
      </w:r>
      <w:r>
        <w:rPr>
          <w:spacing w:val="-20"/>
        </w:rPr>
        <w:t>服大中型企业所固有的委托－代理问题。最有说服力的例子来自前苏联、东欧国家。这些国家的私有化改革，可以说走到了产权改革的极致，然而改革后其企业效率仍然低下，这是众所周知的事实。</w:t>
      </w:r>
    </w:p>
    <w:p>
      <w:pPr>
        <w:pStyle w:val="BodyText"/>
        <w:spacing w:line="283" w:lineRule="auto"/>
        <w:ind w:left="397" w:right="1507" w:firstLine="629"/>
        <w:jc w:val="both"/>
      </w:pPr>
      <w:r>
        <w:rPr>
          <w:spacing w:val="-10"/>
        </w:rPr>
        <w:t>界定清楚国家和企业各自的权利义务，政企分开，并在此基础上建立内部治理结构，是</w:t>
      </w:r>
      <w:r>
        <w:rPr>
          <w:spacing w:val="-18"/>
        </w:rPr>
        <w:t>有利于深化国有企业改革的。然而，政企能在多大程度上分开，归根结底取决于政策性负担</w:t>
      </w:r>
      <w:r>
        <w:rPr>
          <w:spacing w:val="-14"/>
        </w:rPr>
        <w:t>能否消除。只有在消除了政策性负担，国家不必为企业经营不善承担责任后，企业才为其经营后果负担责任，政企才能分开。</w:t>
      </w:r>
    </w:p>
    <w:p>
      <w:pPr>
        <w:pStyle w:val="BodyText"/>
        <w:spacing w:line="283" w:lineRule="auto"/>
        <w:ind w:left="397" w:right="1328" w:firstLine="629"/>
      </w:pPr>
      <w:r>
        <w:rPr>
          <w:w w:val="102"/>
        </w:rPr>
        <w:t>围绕政企不分的问题，也有人主张把国有产权变为国有债权（</w:t>
      </w:r>
      <w:r>
        <w:rPr>
          <w:spacing w:val="-7"/>
          <w:w w:val="102"/>
        </w:rPr>
        <w:t>张维迎，</w:t>
      </w:r>
      <w:r>
        <w:rPr>
          <w:w w:val="102"/>
        </w:rPr>
        <w:t>199</w:t>
      </w:r>
      <w:r>
        <w:rPr>
          <w:spacing w:val="-3"/>
          <w:w w:val="102"/>
        </w:rPr>
        <w:t>9</w:t>
      </w:r>
      <w:r>
        <w:rPr>
          <w:spacing w:val="-162"/>
          <w:w w:val="102"/>
        </w:rPr>
        <w:t>）</w:t>
      </w:r>
      <w:r>
        <w:rPr>
          <w:w w:val="102"/>
        </w:rPr>
        <w:t>。其理论</w:t>
      </w:r>
      <w:r>
        <w:rPr>
          <w:spacing w:val="-1"/>
        </w:rPr>
        <w:t>依据是，国家以外的主体，能比国家更有效地监督企业；股权转债权之后，国家无须花费成</w:t>
      </w:r>
      <w:r>
        <w:rPr>
          <w:spacing w:val="-21"/>
        </w:rPr>
        <w:t xml:space="preserve">本去监督企业，因为债务约束比股权约束更硬，国家可享受无风险的债息。企业经营的风险， 进而对企业的监督职能，由国家以外的私人主体承担。这种主张，认识到了信息不对称问题 </w:t>
      </w:r>
      <w:r>
        <w:rPr>
          <w:spacing w:val="-17"/>
        </w:rPr>
        <w:t xml:space="preserve">的重要性，但遗憾的是没有提出解决信息不对称问题的办法，而是回避了问题。其偏颇之处  </w:t>
      </w:r>
      <w:r>
        <w:rPr>
          <w:spacing w:val="-18"/>
        </w:rPr>
        <w:t>在于两点。第一，国有企业的资本结构中，国有产权占了压倒的多数。这种状况之下，即使</w:t>
      </w:r>
      <w:r>
        <w:rPr>
          <w:spacing w:val="-1"/>
        </w:rPr>
        <w:t>国有股权转为债权，国家也必须对企业的经营进行监督。因为，在有限责任制度下，当股本</w:t>
      </w:r>
      <w:r>
        <w:rPr>
          <w:spacing w:val="-10"/>
        </w:rPr>
        <w:t xml:space="preserve">金与债务资本之比的比值很小时，股东会倾向于过度风险的投资行为，万一经营失败，债权  </w:t>
      </w:r>
      <w:r>
        <w:rPr>
          <w:spacing w:val="-23"/>
        </w:rPr>
        <w:t xml:space="preserve">人银行会一无所得。从经验事实上看，德国－日本的主银行制下，银行作为企业的大债权人， </w:t>
      </w:r>
      <w:r>
        <w:rPr>
          <w:spacing w:val="-26"/>
        </w:rPr>
        <w:t xml:space="preserve">对企业的经营同样施加了最为重大的影响。第二，在企业背负着政策性负担的情况下，债务  </w:t>
      </w:r>
      <w:r>
        <w:rPr>
          <w:spacing w:val="-29"/>
        </w:rPr>
        <w:t>约束不见得会比股权约束更硬。因为企业可以以政策性负担影响生产经营为由，不付息还本， 甚至要求更多贷款支持。</w:t>
      </w:r>
    </w:p>
    <w:p>
      <w:pPr>
        <w:pStyle w:val="BodyText"/>
        <w:spacing w:line="390" w:lineRule="exact"/>
        <w:ind w:left="1026"/>
        <w:rPr>
          <w:rFonts w:ascii="黑体" w:eastAsia="黑体" w:hint="eastAsia"/>
        </w:rPr>
      </w:pPr>
      <w:r>
        <w:rPr>
          <w:rFonts w:ascii="黑体" w:eastAsia="黑体" w:hint="eastAsia"/>
        </w:rPr>
        <w:t>4、 国有企业当前问题的根源：政策性负担造成的软预算约束</w:t>
      </w:r>
    </w:p>
    <w:p>
      <w:pPr>
        <w:pStyle w:val="BodyText"/>
        <w:spacing w:before="61" w:line="283" w:lineRule="auto"/>
        <w:ind w:left="397" w:right="1422" w:firstLine="539"/>
        <w:jc w:val="both"/>
      </w:pPr>
      <w:r>
        <w:rPr>
          <w:spacing w:val="-1"/>
        </w:rPr>
        <w:t>由前述分析可见，传统体制中的国有企业，是国家为了在资本相对稀缺、劳动力相对丰</w:t>
      </w:r>
      <w:r>
        <w:rPr>
          <w:spacing w:val="-12"/>
        </w:rPr>
        <w:t xml:space="preserve">富的要素禀赋结构下，优先发展资本密集的重工业而内生形成的。一方面，中国国有企业具 </w:t>
      </w:r>
      <w:r>
        <w:rPr>
          <w:spacing w:val="-19"/>
        </w:rPr>
        <w:t xml:space="preserve">有不同于其他企业的特有性质：背负着政策性负担；另一方面，中国国有企业与其他现代企 </w:t>
      </w:r>
      <w:r>
        <w:rPr>
          <w:spacing w:val="-17"/>
        </w:rPr>
        <w:t>业一样，都存在委托－代理问题。这就决定了中国国有企业改革的任务，是在照顾到其特有</w:t>
      </w:r>
      <w:r>
        <w:rPr>
          <w:w w:val="102"/>
        </w:rPr>
        <w:t>性质的前提下，解决好委托－代理问题</w:t>
      </w:r>
      <w:r>
        <w:rPr>
          <w:spacing w:val="-187"/>
          <w:w w:val="102"/>
        </w:rPr>
        <w:t>。</w:t>
      </w:r>
      <w:r>
        <w:rPr>
          <w:w w:val="102"/>
        </w:rPr>
        <w:t>（</w:t>
      </w:r>
      <w:r>
        <w:rPr>
          <w:spacing w:val="-3"/>
          <w:w w:val="102"/>
        </w:rPr>
        <w:t>林毅夫等，</w:t>
      </w:r>
      <w:r>
        <w:rPr>
          <w:w w:val="102"/>
        </w:rPr>
        <w:t>199</w:t>
      </w:r>
      <w:r>
        <w:rPr>
          <w:spacing w:val="-4"/>
          <w:w w:val="102"/>
        </w:rPr>
        <w:t>7</w:t>
      </w:r>
      <w:r>
        <w:rPr>
          <w:w w:val="102"/>
        </w:rPr>
        <w:t>；Lin</w:t>
      </w:r>
      <w:r>
        <w:t xml:space="preserve"> </w:t>
      </w:r>
      <w:r>
        <w:rPr>
          <w:w w:val="102"/>
        </w:rPr>
        <w:t>et</w:t>
      </w:r>
      <w:r>
        <w:t xml:space="preserve"> </w:t>
      </w:r>
      <w:r>
        <w:rPr>
          <w:w w:val="102"/>
        </w:rPr>
        <w:t>al</w:t>
      </w:r>
      <w:r>
        <w:t xml:space="preserve"> </w:t>
      </w:r>
      <w:r>
        <w:rPr>
          <w:w w:val="102"/>
        </w:rPr>
        <w:t>199</w:t>
      </w:r>
      <w:r>
        <w:rPr>
          <w:spacing w:val="-5"/>
          <w:w w:val="102"/>
        </w:rPr>
        <w:t>8</w:t>
      </w:r>
      <w:r>
        <w:rPr>
          <w:spacing w:val="-162"/>
          <w:w w:val="102"/>
        </w:rPr>
        <w:t>）</w:t>
      </w:r>
      <w:r>
        <w:rPr>
          <w:w w:val="102"/>
        </w:rPr>
        <w:t>。已有的改革</w:t>
      </w:r>
      <w:r>
        <w:t>所</w:t>
      </w:r>
      <w:r>
        <w:rPr>
          <w:spacing w:val="-13"/>
        </w:rPr>
        <w:t>以没有达到预期目的，原因在于政策性负担由隐性变为显性，国有企业在市场竞争中处于 不利的地位。</w:t>
      </w:r>
    </w:p>
    <w:p>
      <w:pPr>
        <w:pStyle w:val="BodyText"/>
        <w:spacing w:line="283" w:lineRule="auto"/>
        <w:ind w:left="397" w:right="1328" w:firstLine="539"/>
      </w:pPr>
      <w:r>
        <w:t xml:space="preserve">政策性负担对国有企业绩效产生了两方面的负面影响。其一，政策性负担本身年复一年 </w:t>
      </w:r>
      <w:r>
        <w:rPr>
          <w:spacing w:val="-16"/>
        </w:rPr>
        <w:t xml:space="preserve">持久地影响国有企业的经营绩效。其二，国有企业不是通过改进激励、加强管理、降低成本、 </w:t>
      </w:r>
      <w:r>
        <w:rPr>
          <w:spacing w:val="-20"/>
        </w:rPr>
        <w:t xml:space="preserve">增加销售来求得生存和发展；而是利用自身的特殊困难与国家讨价还价，争取各种补贴，要  </w:t>
      </w:r>
      <w:r>
        <w:rPr>
          <w:spacing w:val="-23"/>
        </w:rPr>
        <w:t>求国家出台抑制竞争的保护性政策。以政策性负担为借口，企业经理能够为其任何经营失败 和渎职行为开脱，并要求政府补贴。从国家的角度来看，无法识别国有企业亏损的原因，多</w:t>
      </w:r>
      <w:r>
        <w:rPr>
          <w:spacing w:val="-10"/>
        </w:rPr>
        <w:t xml:space="preserve">大程度上来自经营失败和渎职，多大程度上来自不利的竞争地位。所以国家只好担负起全部 </w:t>
      </w:r>
      <w:r>
        <w:rPr>
          <w:spacing w:val="-11"/>
        </w:rPr>
        <w:t>的责任，默认国有企业既得利益的刚性，继续通过扭曲的宏观政策环境、政府预算、银行低</w:t>
      </w:r>
      <w:r>
        <w:t>息贷款等对国有企业进行保护。国家和企业之间的信息就处于不对称的状态。</w:t>
      </w:r>
    </w:p>
    <w:p>
      <w:pPr>
        <w:spacing w:after="0" w:line="283" w:lineRule="auto"/>
        <w:sectPr>
          <w:pgSz w:w="17860" w:h="25260"/>
          <w:pgMar w:top="1860" w:right="1160" w:bottom="280" w:left="2300" w:header="708" w:footer="708"/>
          <w:pgNumType w:start="15"/>
          <w:cols w:space="708"/>
        </w:sectPr>
      </w:pPr>
    </w:p>
    <w:p>
      <w:pPr>
        <w:pStyle w:val="BodyText"/>
        <w:spacing w:before="49" w:line="283" w:lineRule="auto"/>
        <w:ind w:left="397" w:right="1422" w:firstLine="539"/>
        <w:jc w:val="both"/>
      </w:pPr>
      <w:r>
        <w:rPr>
          <w:spacing w:val="-1"/>
        </w:rPr>
        <w:t>企业背负着政策性负担的条件下，即使有充分竞争的市场体系，国家也难以找到评价国</w:t>
      </w:r>
      <w:r>
        <w:rPr>
          <w:spacing w:val="-10"/>
        </w:rPr>
        <w:t>有企业经营状况的准确指标，信息不对称和激励不相容问题也就无从解决，国家必须对企业 因政策性负担造成的亏损负起责任。</w:t>
      </w:r>
    </w:p>
    <w:p>
      <w:pPr>
        <w:pStyle w:val="BodyText"/>
        <w:spacing w:line="280" w:lineRule="auto"/>
        <w:ind w:left="397" w:right="1328" w:firstLine="539"/>
      </w:pPr>
      <w:r>
        <w:t>由于政策性负担致使国家和企业之间信息不对称，国有企业一方面争取补贴，另一方面 把各种经营性亏损也归咎于不利的竞争条件</w:t>
      </w:r>
      <w:r>
        <w:rPr>
          <w:spacing w:val="-14"/>
        </w:rPr>
        <w:t xml:space="preserve">。政府由于必须对政策性负担造成的亏损负起责 </w:t>
      </w:r>
      <w:r>
        <w:rPr>
          <w:spacing w:val="-15"/>
        </w:rPr>
        <w:t>任，预算约束因而软化。这样，政策性负担→信息不对称→软预算约束，形成了一个恶性循</w:t>
      </w:r>
      <w:r>
        <w:rPr>
          <w:w w:val="102"/>
        </w:rPr>
        <w:t>环，内生地导致了国有企业当前的效益低下和国有资产流失的问题（</w:t>
      </w:r>
      <w:r>
        <w:rPr>
          <w:spacing w:val="-7"/>
          <w:w w:val="102"/>
        </w:rPr>
        <w:t>林毅夫等，</w:t>
      </w:r>
      <w:r>
        <w:rPr>
          <w:w w:val="102"/>
        </w:rPr>
        <w:t>1997</w:t>
      </w:r>
      <w:r>
        <w:rPr>
          <w:spacing w:val="-162"/>
          <w:w w:val="102"/>
        </w:rPr>
        <w:t>）</w:t>
      </w:r>
      <w:r>
        <w:rPr>
          <w:w w:val="102"/>
        </w:rPr>
        <w:t xml:space="preserve">。当 </w:t>
      </w:r>
      <w:r>
        <w:rPr>
          <w:spacing w:val="-1"/>
        </w:rPr>
        <w:t>“拨改贷”以后，国家便以低息贷款的方式，用社会储蓄资源补贴国有企业，业已存在的高</w:t>
      </w:r>
      <w:r>
        <w:rPr>
          <w:spacing w:val="-2"/>
        </w:rPr>
        <w:t>负债率问题</w:t>
      </w:r>
      <w:r>
        <w:rPr>
          <w:spacing w:val="-63"/>
          <w:position w:val="4"/>
          <w:sz w:val="29"/>
        </w:rPr>
        <w:t>8</w:t>
      </w:r>
      <w:r>
        <w:t>因此而加重。</w:t>
      </w:r>
    </w:p>
    <w:p>
      <w:pPr>
        <w:pStyle w:val="BodyText"/>
        <w:spacing w:line="397" w:lineRule="exact"/>
        <w:ind w:left="936"/>
        <w:rPr>
          <w:rFonts w:ascii="黑体" w:eastAsia="黑体" w:hint="eastAsia"/>
        </w:rPr>
      </w:pPr>
      <w:r>
        <w:rPr>
          <w:rFonts w:ascii="黑体" w:eastAsia="黑体" w:hint="eastAsia"/>
        </w:rPr>
        <w:t>5、私有化并不一定能解决软预算约束问题</w:t>
      </w:r>
    </w:p>
    <w:p>
      <w:pPr>
        <w:pStyle w:val="BodyText"/>
        <w:tabs>
          <w:tab w:val="left" w:pos="7828"/>
        </w:tabs>
        <w:spacing w:before="69" w:line="283" w:lineRule="auto"/>
        <w:ind w:left="397" w:right="1328" w:firstLine="539"/>
      </w:pPr>
      <w:r>
        <w:t>软预算约束问题会严重影响企业治理结构的效率。纵观世界范围可以发现，不论是发达 国家还是发展中国家</w:t>
      </w:r>
      <w:r>
        <w:rPr>
          <w:spacing w:val="-83"/>
        </w:rPr>
        <w:t>，</w:t>
      </w:r>
      <w:r>
        <w:t>不论是成熟的市场经济国家还是转轨国家</w:t>
      </w:r>
      <w:r>
        <w:rPr>
          <w:spacing w:val="-97"/>
        </w:rPr>
        <w:t>，</w:t>
      </w:r>
      <w:r>
        <w:t>只要企业背负着政策性负 担，那么软预算约束就不可克服</w:t>
      </w:r>
      <w:r>
        <w:rPr>
          <w:spacing w:val="-21"/>
        </w:rPr>
        <w:t>。</w:t>
      </w:r>
      <w:r>
        <w:t>(Lin</w:t>
      </w:r>
      <w:r>
        <w:rPr>
          <w:spacing w:val="-35"/>
        </w:rPr>
        <w:t xml:space="preserve"> </w:t>
      </w:r>
      <w:r>
        <w:t>et</w:t>
      </w:r>
      <w:r>
        <w:rPr>
          <w:spacing w:val="-29"/>
        </w:rPr>
        <w:t xml:space="preserve"> </w:t>
      </w:r>
      <w:r>
        <w:t>al,1999)</w:t>
        <w:tab/>
        <w:t>而企业是否背负政策性负担与企业的所有制形态没有关系</w:t>
      </w:r>
      <w:r>
        <w:rPr>
          <w:spacing w:val="-112"/>
        </w:rPr>
        <w:t>。</w:t>
      </w:r>
      <w:r>
        <w:t>不妨分别考察几种情况</w:t>
      </w:r>
      <w:r>
        <w:rPr>
          <w:spacing w:val="-274"/>
        </w:rPr>
        <w:t>。</w:t>
      </w:r>
      <w:r>
        <w:rPr>
          <w:spacing w:val="-35"/>
        </w:rPr>
        <w:t>（1）</w:t>
      </w:r>
      <w:r>
        <w:t>即使在私有经济占主体的发达国家当中， 虽然有完备的市场和法律体系</w:t>
      </w:r>
      <w:r>
        <w:rPr>
          <w:spacing w:val="-86"/>
        </w:rPr>
        <w:t>，</w:t>
      </w:r>
      <w:r>
        <w:t>但当企业背负政策性负担时</w:t>
      </w:r>
      <w:r>
        <w:rPr>
          <w:spacing w:val="-90"/>
        </w:rPr>
        <w:t>，</w:t>
      </w:r>
      <w:r>
        <w:t>企业的理性行为方式是以政策 性负担为由，寻求软预算补贴，从而企业治理效率低下。如英国政府对于失去比较优势、</w:t>
      </w:r>
      <w:r>
        <w:rPr>
          <w:spacing w:val="-18"/>
        </w:rPr>
        <w:t>不</w:t>
      </w:r>
      <w:r>
        <w:t>具有自生能力的煤炭采掘业的保护就是一个例子</w:t>
      </w:r>
      <w:r>
        <w:rPr>
          <w:spacing w:val="-237"/>
        </w:rPr>
        <w:t>。</w:t>
      </w:r>
      <w:r>
        <w:rPr>
          <w:spacing w:val="-16"/>
        </w:rPr>
        <w:t>（2）</w:t>
      </w:r>
      <w:r>
        <w:t>在经济不太发达的</w:t>
      </w:r>
      <w:r>
        <w:rPr>
          <w:spacing w:val="-61"/>
        </w:rPr>
        <w:t>、</w:t>
      </w:r>
      <w:r>
        <w:t>私有经济占主体  的国家当中，当企业承担政府赋予的赶超目标时，预算约束也是软的</w:t>
      </w:r>
      <w:r>
        <w:rPr>
          <w:spacing w:val="-28"/>
        </w:rPr>
        <w:t>。</w:t>
      </w:r>
      <w:r>
        <w:t>1970</w:t>
      </w:r>
      <w:r>
        <w:rPr>
          <w:spacing w:val="148"/>
        </w:rPr>
        <w:t xml:space="preserve"> </w:t>
      </w:r>
      <w:r>
        <w:t>年代韩国为发展重型机械和重化工业对大企业提供的软预算约束补贴</w:t>
      </w:r>
      <w:r>
        <w:rPr>
          <w:spacing w:val="-104"/>
        </w:rPr>
        <w:t>，</w:t>
      </w:r>
      <w:r>
        <w:t>就是十分显著的例子</w:t>
      </w:r>
      <w:r>
        <w:rPr>
          <w:spacing w:val="-86"/>
        </w:rPr>
        <w:t>。</w:t>
      </w:r>
      <w:r>
        <w:t>在印度以及 拉美的不少国家</w:t>
      </w:r>
      <w:r>
        <w:rPr>
          <w:spacing w:val="-58"/>
        </w:rPr>
        <w:t>，</w:t>
      </w:r>
      <w:r>
        <w:t>也可以观察到类似的情形</w:t>
      </w:r>
      <w:r>
        <w:rPr>
          <w:spacing w:val="-223"/>
        </w:rPr>
        <w:t>。</w:t>
      </w:r>
      <w:r>
        <w:rPr>
          <w:spacing w:val="-17"/>
        </w:rPr>
        <w:t>（3）</w:t>
      </w:r>
      <w:r>
        <w:t>在那些以激进方式进行了私有化改革的转 轨国家中</w:t>
      </w:r>
      <w:r>
        <w:rPr>
          <w:spacing w:val="-51"/>
        </w:rPr>
        <w:t>，</w:t>
      </w:r>
      <w:r>
        <w:t>有目共睹的事实是</w:t>
      </w:r>
      <w:r>
        <w:rPr>
          <w:spacing w:val="-61"/>
        </w:rPr>
        <w:t>，</w:t>
      </w:r>
      <w:r>
        <w:t>企业软预算约束严重程度丝毫不亚于转轨之前</w:t>
      </w:r>
      <w:r>
        <w:rPr>
          <w:spacing w:val="-82"/>
        </w:rPr>
        <w:t>。</w:t>
      </w:r>
      <w:r>
        <w:t>其根本原因  在于</w:t>
      </w:r>
      <w:r>
        <w:rPr>
          <w:spacing w:val="-47"/>
        </w:rPr>
        <w:t>，</w:t>
      </w:r>
      <w:r>
        <w:t>企业的政策性负担并未因私有化而消失</w:t>
      </w:r>
      <w:r>
        <w:rPr>
          <w:spacing w:val="-79"/>
        </w:rPr>
        <w:t>。</w:t>
      </w:r>
      <w:r>
        <w:t>事与愿违的是</w:t>
      </w:r>
      <w:r>
        <w:rPr>
          <w:spacing w:val="-58"/>
        </w:rPr>
        <w:t>，</w:t>
      </w:r>
      <w:r>
        <w:t>转轨之后经理人员反而可以 合理合法地把软预算补贴的收益据为己有</w:t>
      </w:r>
      <w:r>
        <w:rPr>
          <w:spacing w:val="-161"/>
        </w:rPr>
        <w:t>，</w:t>
      </w:r>
      <w:r>
        <w:t>经理人员甚至比转轨之前更有积极性谋求事前的 政策优惠和事后的行政扶持</w:t>
      </w:r>
      <w:r>
        <w:rPr>
          <w:spacing w:val="-65"/>
        </w:rPr>
        <w:t>。</w:t>
      </w:r>
      <w:r>
        <w:t>可见</w:t>
      </w:r>
      <w:r>
        <w:rPr>
          <w:spacing w:val="-47"/>
        </w:rPr>
        <w:t>，</w:t>
      </w:r>
      <w:r>
        <w:t>在政策性负担不消除的情况下</w:t>
      </w:r>
      <w:r>
        <w:rPr>
          <w:spacing w:val="-72"/>
        </w:rPr>
        <w:t>，</w:t>
      </w:r>
      <w:r>
        <w:t>私有化并不能解决大型 国有企业的预算软约束问题</w:t>
      </w:r>
      <w:r>
        <w:rPr>
          <w:spacing w:val="-86"/>
        </w:rPr>
        <w:t>。</w:t>
      </w:r>
      <w:r>
        <w:t>而政策性负担消除后</w:t>
      </w:r>
      <w:r>
        <w:rPr>
          <w:spacing w:val="-86"/>
        </w:rPr>
        <w:t>，</w:t>
      </w:r>
      <w:r>
        <w:t>国有企业在公平竞争的市场上如果和非 国有企业能够有同样的绩效，也就没有私有化的必要。</w:t>
      </w:r>
    </w:p>
    <w:p>
      <w:pPr>
        <w:pStyle w:val="BodyText"/>
        <w:spacing w:line="283" w:lineRule="auto"/>
        <w:ind w:left="397" w:right="1328" w:firstLine="539"/>
        <w:jc w:val="both"/>
      </w:pPr>
      <w:r>
        <w:rPr>
          <w:spacing w:val="-4"/>
        </w:rPr>
        <w:t xml:space="preserve">但是上面的阐述并不意味着绝对排斥产权变化，而是意味着剥离政策性负担是国有企业 </w:t>
      </w:r>
      <w:r>
        <w:rPr>
          <w:spacing w:val="-14"/>
        </w:rPr>
        <w:t xml:space="preserve">改革成功的最为必要的条件。剥离政策性负担之后是否改变产权状态，应由企业和其他微观 </w:t>
      </w:r>
      <w:r>
        <w:rPr>
          <w:spacing w:val="-15"/>
        </w:rPr>
        <w:t>市场主体视经济环境自主决定。政府不应以任何一刀切的方式推行或禁止企业的产权变化。</w:t>
      </w:r>
    </w:p>
    <w:p>
      <w:pPr>
        <w:pStyle w:val="BodyText"/>
        <w:spacing w:line="283" w:lineRule="auto"/>
        <w:ind w:left="397" w:right="1422" w:firstLine="539"/>
        <w:jc w:val="both"/>
      </w:pPr>
      <w:r>
        <w:rPr>
          <w:spacing w:val="-1"/>
        </w:rPr>
        <w:t>另外，即使一些企业作出了变更产权的决策，其国有资本的退出方式也一定不能是无偿</w:t>
      </w:r>
      <w:r>
        <w:rPr>
          <w:spacing w:val="-14"/>
        </w:rPr>
        <w:t xml:space="preserve">地量化到个人，而应当是由非国有主体进入，按市场价格有偿地接收包括土地和无形资产在 </w:t>
      </w:r>
      <w:r>
        <w:rPr>
          <w:spacing w:val="-18"/>
        </w:rPr>
        <w:t>内的国有产权。国有产权有偿转让所得的变现收入，用于弥补国家对社会保障基金等方面的 历史欠帐。</w:t>
      </w:r>
    </w:p>
    <w:p>
      <w:pPr>
        <w:pStyle w:val="BodyText"/>
        <w:spacing w:before="6"/>
        <w:rPr>
          <w:sz w:val="29"/>
        </w:rPr>
      </w:pPr>
    </w:p>
    <w:p>
      <w:pPr>
        <w:pStyle w:val="Heading1"/>
        <w:ind w:left="0" w:right="1139"/>
        <w:jc w:val="center"/>
      </w:pPr>
      <w:r>
        <w:t>四、中国加入 WTO 给国有企业改革带来的挑战和机遇</w:t>
      </w:r>
    </w:p>
    <w:p>
      <w:pPr>
        <w:pStyle w:val="BodyText"/>
        <w:spacing w:before="1"/>
        <w:rPr>
          <w:rFonts w:ascii="黑体"/>
          <w:sz w:val="43"/>
        </w:rPr>
      </w:pPr>
    </w:p>
    <w:p>
      <w:pPr>
        <w:pStyle w:val="BodyText"/>
        <w:spacing w:line="283" w:lineRule="auto"/>
        <w:ind w:left="397" w:right="1480" w:firstLine="539"/>
        <w:jc w:val="both"/>
      </w:pPr>
      <w:r>
        <w:rPr>
          <w:spacing w:val="4"/>
        </w:rPr>
        <w:t xml:space="preserve">加入 </w:t>
      </w:r>
      <w:r>
        <w:t>WTO 既是中国 20</w:t>
      </w:r>
      <w:r>
        <w:rPr>
          <w:spacing w:val="-1"/>
        </w:rPr>
        <w:t xml:space="preserve"> 年来改革开放的自然结果，也是进一步改革开放的必然要求。加</w:t>
      </w:r>
      <w:r>
        <w:rPr>
          <w:spacing w:val="21"/>
        </w:rPr>
        <w:t xml:space="preserve">入 </w:t>
      </w:r>
      <w:r>
        <w:t>WTO</w:t>
      </w:r>
      <w:r>
        <w:rPr>
          <w:spacing w:val="-10"/>
        </w:rPr>
        <w:t xml:space="preserve"> 给国有企业改革带来了挑战和机遇。总的来看，这些挑战和机遇为国有企业改革沿着正确的方向推进，既带来了压力，也带来了动力。</w:t>
      </w:r>
    </w:p>
    <w:p>
      <w:pPr>
        <w:pStyle w:val="BodyText"/>
        <w:spacing w:line="395" w:lineRule="exact"/>
        <w:ind w:left="936"/>
        <w:rPr>
          <w:rFonts w:ascii="黑体" w:eastAsia="黑体" w:hint="eastAsia"/>
        </w:rPr>
      </w:pPr>
      <w:r>
        <w:rPr>
          <w:rFonts w:ascii="黑体" w:eastAsia="黑体" w:hint="eastAsia"/>
        </w:rPr>
        <w:t>1、加入WTO 给国有企业改革带来的挑战和压力</w:t>
      </w:r>
    </w:p>
    <w:p>
      <w:pPr>
        <w:pStyle w:val="ListParagraph"/>
        <w:numPr>
          <w:ilvl w:val="1"/>
          <w:numId w:val="7"/>
        </w:numPr>
        <w:tabs>
          <w:tab w:val="left" w:pos="1567"/>
        </w:tabs>
        <w:spacing w:before="71" w:after="0" w:line="240" w:lineRule="auto"/>
        <w:ind w:left="1567" w:right="0" w:hanging="631"/>
        <w:jc w:val="left"/>
        <w:rPr>
          <w:sz w:val="31"/>
        </w:rPr>
      </w:pPr>
      <w:r>
        <w:rPr>
          <w:sz w:val="31"/>
        </w:rPr>
        <w:t>结构性因素使得国有企业在国际竞争中处于不利地位</w:t>
      </w:r>
    </w:p>
    <w:p>
      <w:pPr>
        <w:pStyle w:val="BodyText"/>
        <w:spacing w:before="71" w:line="283" w:lineRule="auto"/>
        <w:ind w:left="397" w:right="1358" w:firstLine="539"/>
      </w:pPr>
      <w:r>
        <w:t>国有企业背负着战略性和社会性政策负担，是国有企业特有的特征，迄今为止没有根本改变。这个特征已经使国有企业在国内竞争中处于不利地位，面对激烈的国际竞争，国有企</w:t>
      </w:r>
    </w:p>
    <w:p>
      <w:pPr>
        <w:pStyle w:val="BodyText"/>
        <w:spacing w:before="6"/>
        <w:rPr>
          <w:sz w:val="14"/>
        </w:rPr>
      </w:pPr>
      <w:r>
        <w:pict>
          <v:shape id="_x0000_s1052" style="width:218pt;height:0.1pt;margin-top:12.25pt;margin-left:134pt;mso-position-horizontal-relative:page;mso-wrap-distance-left:0;mso-wrap-distance-right:0;position:absolute;z-index:-251628544" coordorigin="2680,245" coordsize="4360,0" path="m2680,245l7040,245e" filled="f" stroked="t" strokecolor="black" strokeweight="2pt">
            <v:stroke dashstyle="solid"/>
            <v:path arrowok="t"/>
            <w10:wrap type="topAndBottom"/>
          </v:shape>
        </w:pict>
      </w:r>
    </w:p>
    <w:p>
      <w:pPr>
        <w:pStyle w:val="ListParagraph"/>
        <w:numPr>
          <w:ilvl w:val="0"/>
          <w:numId w:val="10"/>
        </w:numPr>
        <w:tabs>
          <w:tab w:val="left" w:pos="624"/>
        </w:tabs>
        <w:spacing w:before="128" w:after="0" w:line="240" w:lineRule="auto"/>
        <w:ind w:left="624" w:right="1226" w:hanging="624"/>
        <w:jc w:val="left"/>
        <w:rPr>
          <w:rFonts w:ascii="Arial" w:eastAsia="Arial"/>
          <w:sz w:val="29"/>
        </w:rPr>
      </w:pPr>
      <w:r>
        <w:rPr>
          <w:sz w:val="27"/>
        </w:rPr>
        <w:t>中国在资本存量绝对额很少的情况下，优先发展资本密集的重工业，为国有企业高负债率埋下了诱因。</w:t>
      </w:r>
    </w:p>
    <w:p>
      <w:pPr>
        <w:spacing w:after="0" w:line="240" w:lineRule="auto"/>
        <w:jc w:val="left"/>
        <w:rPr>
          <w:rFonts w:ascii="Arial" w:eastAsia="Arial"/>
          <w:sz w:val="29"/>
        </w:rPr>
        <w:sectPr>
          <w:pgSz w:w="17860" w:h="25260"/>
          <w:pgMar w:top="1860" w:right="1160" w:bottom="280" w:left="2300" w:header="708" w:footer="708"/>
          <w:pgNumType w:start="16"/>
          <w:cols w:space="708"/>
        </w:sectPr>
      </w:pPr>
    </w:p>
    <w:p>
      <w:pPr>
        <w:pStyle w:val="BodyText"/>
        <w:spacing w:before="49"/>
        <w:ind w:left="397"/>
      </w:pPr>
      <w:r>
        <w:t>业无疑会不堪重负。</w:t>
      </w:r>
    </w:p>
    <w:p>
      <w:pPr>
        <w:pStyle w:val="BodyText"/>
        <w:spacing w:before="72" w:line="283" w:lineRule="auto"/>
        <w:ind w:left="397" w:right="1338" w:firstLine="539"/>
      </w:pPr>
      <w:r>
        <w:rPr>
          <w:spacing w:val="1"/>
        </w:rPr>
        <w:t xml:space="preserve">加入 </w:t>
      </w:r>
      <w:r>
        <w:t>WTO</w:t>
      </w:r>
      <w:r>
        <w:rPr>
          <w:spacing w:val="-1"/>
        </w:rPr>
        <w:t xml:space="preserve"> 受到冲击的是可贸易品生产部门，而可贸易品生产部门中，又以资本密集产业</w:t>
      </w:r>
      <w:r>
        <w:rPr>
          <w:spacing w:val="-11"/>
        </w:rPr>
        <w:t xml:space="preserve">和企业受到的冲击最为严重。中国资本相对稀缺、劳动力相对丰富的要素禀赋结构状况，在 </w:t>
      </w:r>
      <w:r>
        <w:rPr>
          <w:spacing w:val="-18"/>
        </w:rPr>
        <w:t xml:space="preserve">短时间内难以改观。所以处于比较优势地位、拥有自生能力的产业是劳动密集型的；处于比 </w:t>
      </w:r>
      <w:r>
        <w:rPr>
          <w:spacing w:val="-23"/>
        </w:rPr>
        <w:t xml:space="preserve">较劣势地位、没有自生能力的产业是资本密集型的。国有企业主要分布于资本密集的产业中， </w:t>
      </w:r>
      <w:r>
        <w:rPr>
          <w:w w:val="102"/>
        </w:rPr>
        <w:t>违背比较优势，没有自生能力（见表</w:t>
      </w:r>
      <w:r>
        <w:rPr>
          <w:spacing w:val="-65"/>
        </w:rPr>
        <w:t xml:space="preserve"> </w:t>
      </w:r>
      <w:r>
        <w:rPr>
          <w:w w:val="102"/>
        </w:rPr>
        <w:t>3</w:t>
      </w:r>
      <w:r>
        <w:rPr>
          <w:spacing w:val="-162"/>
          <w:w w:val="102"/>
        </w:rPr>
        <w:t>）</w:t>
      </w:r>
      <w:r>
        <w:rPr>
          <w:w w:val="102"/>
        </w:rPr>
        <w:t>。加入</w:t>
      </w:r>
      <w:r>
        <w:t xml:space="preserve"> </w:t>
      </w:r>
      <w:r>
        <w:rPr>
          <w:w w:val="102"/>
        </w:rPr>
        <w:t>WTO</w:t>
      </w:r>
      <w:r>
        <w:t xml:space="preserve"> </w:t>
      </w:r>
      <w:r>
        <w:rPr>
          <w:w w:val="102"/>
        </w:rPr>
        <w:t>之后国有企业将面对国内的合资企业和</w:t>
      </w:r>
      <w:r>
        <w:t>那些在全球范围按比较优势配置资源的外国企业的竞争</w:t>
      </w:r>
      <w:r>
        <w:rPr>
          <w:spacing w:val="-14"/>
        </w:rPr>
        <w:t>，国有企业低自生能力的问题会对其 生存产生更加严重的不利影响。</w:t>
      </w:r>
    </w:p>
    <w:p>
      <w:pPr>
        <w:pStyle w:val="BodyText"/>
        <w:spacing w:before="1"/>
        <w:rPr>
          <w:sz w:val="36"/>
        </w:rPr>
      </w:pPr>
    </w:p>
    <w:p>
      <w:pPr>
        <w:pStyle w:val="BodyText"/>
        <w:tabs>
          <w:tab w:val="left" w:pos="3940"/>
        </w:tabs>
        <w:ind w:left="397"/>
        <w:rPr>
          <w:rFonts w:ascii="黑体" w:eastAsia="黑体" w:hAnsi="黑体" w:hint="eastAsia"/>
        </w:rPr>
      </w:pPr>
      <w:r>
        <w:drawing>
          <wp:anchor distT="0" distB="0" distL="0" distR="0" simplePos="0" relativeHeight="251688960" behindDoc="1" locked="0" layoutInCell="1" allowOverlap="1">
            <wp:simplePos x="0" y="0"/>
            <wp:positionH relativeFrom="page">
              <wp:posOffset>1600200</wp:posOffset>
            </wp:positionH>
            <wp:positionV relativeFrom="paragraph">
              <wp:posOffset>571754</wp:posOffset>
            </wp:positionV>
            <wp:extent cx="8120348" cy="25336"/>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14" cstate="print"/>
                    <a:stretch>
                      <a:fillRect/>
                    </a:stretch>
                  </pic:blipFill>
                  <pic:spPr>
                    <a:xfrm>
                      <a:off x="0" y="0"/>
                      <a:ext cx="8120348" cy="25336"/>
                    </a:xfrm>
                    <a:prstGeom prst="rect">
                      <a:avLst/>
                    </a:prstGeom>
                  </pic:spPr>
                </pic:pic>
              </a:graphicData>
            </a:graphic>
          </wp:anchor>
        </w:drawing>
      </w:r>
      <w:r>
        <w:rPr>
          <w:rFonts w:ascii="黑体" w:eastAsia="黑体" w:hAnsi="黑体" w:hint="eastAsia"/>
          <w:w w:val="102"/>
        </w:rPr>
        <w:t>表</w:t>
      </w:r>
      <w:r>
        <w:rPr>
          <w:rFonts w:ascii="黑体" w:eastAsia="黑体" w:hAnsi="黑体" w:hint="eastAsia"/>
          <w:spacing w:val="-76"/>
        </w:rPr>
        <w:t xml:space="preserve"> </w:t>
      </w:r>
      <w:r>
        <w:rPr>
          <w:rFonts w:ascii="黑体" w:eastAsia="黑体" w:hAnsi="黑体" w:hint="eastAsia"/>
          <w:w w:val="102"/>
        </w:rPr>
        <w:t>3：</w:t>
      </w:r>
      <w:r>
        <w:rPr>
          <w:rFonts w:ascii="黑体" w:eastAsia="黑体" w:hAnsi="黑体" w:hint="eastAsia"/>
        </w:rPr>
        <w:tab/>
      </w:r>
      <w:r>
        <w:rPr>
          <w:rFonts w:ascii="黑体" w:eastAsia="黑体" w:hAnsi="黑体" w:hint="eastAsia"/>
          <w:w w:val="102"/>
        </w:rPr>
        <w:t>中国工业产品的“显示性比较优势指</w:t>
      </w:r>
      <w:r>
        <w:rPr>
          <w:rFonts w:ascii="黑体" w:eastAsia="黑体" w:hAnsi="黑体" w:hint="eastAsia"/>
          <w:spacing w:val="-25"/>
          <w:w w:val="102"/>
        </w:rPr>
        <w:t>数</w:t>
      </w:r>
      <w:r>
        <w:rPr>
          <w:rFonts w:ascii="黑体" w:eastAsia="黑体" w:hAnsi="黑体" w:hint="eastAsia"/>
          <w:spacing w:val="-2"/>
          <w:position w:val="-3"/>
          <w:sz w:val="27"/>
        </w:rPr>
        <w:t>*</w:t>
      </w:r>
      <w:r>
        <w:rPr>
          <w:rFonts w:ascii="黑体" w:eastAsia="黑体" w:hAnsi="黑体" w:hint="eastAsia"/>
          <w:spacing w:val="-159"/>
          <w:w w:val="102"/>
        </w:rPr>
        <w:t>”</w:t>
      </w:r>
      <w:r>
        <w:rPr>
          <w:rFonts w:ascii="黑体" w:eastAsia="黑体" w:hAnsi="黑体" w:hint="eastAsia"/>
          <w:spacing w:val="-1"/>
          <w:w w:val="102"/>
        </w:rPr>
        <w:t>（</w:t>
      </w:r>
      <w:r>
        <w:rPr>
          <w:rFonts w:ascii="黑体" w:eastAsia="黑体" w:hAnsi="黑体" w:hint="eastAsia"/>
          <w:w w:val="102"/>
        </w:rPr>
        <w:t>1982-1992</w:t>
      </w:r>
      <w:r>
        <w:rPr>
          <w:rFonts w:ascii="黑体" w:eastAsia="黑体" w:hAnsi="黑体" w:hint="eastAsia"/>
          <w:spacing w:val="-86"/>
        </w:rPr>
        <w:t xml:space="preserve"> </w:t>
      </w:r>
      <w:r>
        <w:rPr>
          <w:rFonts w:ascii="黑体" w:eastAsia="黑体" w:hAnsi="黑体" w:hint="eastAsia"/>
          <w:w w:val="102"/>
        </w:rPr>
        <w:t>年）</w:t>
      </w:r>
    </w:p>
    <w:tbl>
      <w:tblPr>
        <w:tblStyle w:val="TableNormal2"/>
        <w:tblW w:w="0" w:type="auto"/>
        <w:jc w:val="left"/>
        <w:tblInd w:w="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53"/>
        <w:gridCol w:w="3559"/>
        <w:gridCol w:w="3846"/>
        <w:gridCol w:w="3872"/>
      </w:tblGrid>
      <w:tr>
        <w:tblPrEx>
          <w:tblW w:w="0" w:type="auto"/>
          <w:jc w:val="left"/>
          <w:tblInd w:w="2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6"/>
          <w:jc w:val="left"/>
        </w:trPr>
        <w:tc>
          <w:tcPr>
            <w:tcW w:w="1553" w:type="dxa"/>
            <w:tcBorders>
              <w:top w:val="dashed" w:sz="18" w:space="0" w:color="000000"/>
            </w:tcBorders>
          </w:tcPr>
          <w:p>
            <w:pPr>
              <w:pStyle w:val="TableParagraph"/>
              <w:spacing w:before="122"/>
              <w:ind w:left="187"/>
              <w:rPr>
                <w:sz w:val="27"/>
              </w:rPr>
            </w:pPr>
            <w:r>
              <w:rPr>
                <w:sz w:val="27"/>
              </w:rPr>
              <w:t>年份</w:t>
            </w:r>
          </w:p>
        </w:tc>
        <w:tc>
          <w:tcPr>
            <w:tcW w:w="3559" w:type="dxa"/>
            <w:tcBorders>
              <w:top w:val="dashed" w:sz="18" w:space="0" w:color="000000"/>
            </w:tcBorders>
          </w:tcPr>
          <w:p>
            <w:pPr>
              <w:pStyle w:val="TableParagraph"/>
              <w:spacing w:before="122"/>
              <w:ind w:left="807" w:right="1091"/>
              <w:jc w:val="center"/>
              <w:rPr>
                <w:sz w:val="27"/>
              </w:rPr>
            </w:pPr>
            <w:r>
              <w:rPr>
                <w:sz w:val="27"/>
              </w:rPr>
              <w:t>资本密集产品</w:t>
            </w:r>
          </w:p>
        </w:tc>
        <w:tc>
          <w:tcPr>
            <w:tcW w:w="3846" w:type="dxa"/>
            <w:tcBorders>
              <w:top w:val="dashed" w:sz="18" w:space="0" w:color="000000"/>
            </w:tcBorders>
          </w:tcPr>
          <w:p>
            <w:pPr>
              <w:pStyle w:val="TableParagraph"/>
              <w:spacing w:before="122"/>
              <w:ind w:left="1093" w:right="1093"/>
              <w:jc w:val="center"/>
              <w:rPr>
                <w:sz w:val="27"/>
              </w:rPr>
            </w:pPr>
            <w:r>
              <w:rPr>
                <w:sz w:val="27"/>
              </w:rPr>
              <w:t>矿产密集产品</w:t>
            </w:r>
          </w:p>
        </w:tc>
        <w:tc>
          <w:tcPr>
            <w:tcW w:w="3872" w:type="dxa"/>
            <w:tcBorders>
              <w:top w:val="dashed" w:sz="18" w:space="0" w:color="000000"/>
            </w:tcBorders>
          </w:tcPr>
          <w:p>
            <w:pPr>
              <w:pStyle w:val="TableParagraph"/>
              <w:spacing w:before="122"/>
              <w:ind w:left="1094" w:right="1118"/>
              <w:jc w:val="center"/>
              <w:rPr>
                <w:sz w:val="27"/>
              </w:rPr>
            </w:pPr>
            <w:r>
              <w:rPr>
                <w:sz w:val="27"/>
              </w:rPr>
              <w:t>劳动密集产品</w:t>
            </w:r>
          </w:p>
        </w:tc>
      </w:tr>
      <w:tr>
        <w:tblPrEx>
          <w:tblW w:w="0" w:type="auto"/>
          <w:jc w:val="left"/>
          <w:tblInd w:w="217" w:type="dxa"/>
          <w:tblLayout w:type="fixed"/>
          <w:tblCellMar>
            <w:top w:w="0" w:type="dxa"/>
            <w:left w:w="0" w:type="dxa"/>
            <w:bottom w:w="0" w:type="dxa"/>
            <w:right w:w="0" w:type="dxa"/>
          </w:tblCellMar>
          <w:tblLook w:val="01E0"/>
        </w:tblPrEx>
        <w:trPr>
          <w:trHeight w:val="481"/>
          <w:jc w:val="left"/>
        </w:trPr>
        <w:tc>
          <w:tcPr>
            <w:tcW w:w="1553" w:type="dxa"/>
          </w:tcPr>
          <w:p>
            <w:pPr>
              <w:pStyle w:val="TableParagraph"/>
              <w:spacing w:before="69"/>
              <w:ind w:left="187"/>
              <w:rPr>
                <w:sz w:val="27"/>
              </w:rPr>
            </w:pPr>
            <w:r>
              <w:rPr>
                <w:sz w:val="27"/>
              </w:rPr>
              <w:t>1982</w:t>
            </w:r>
          </w:p>
        </w:tc>
        <w:tc>
          <w:tcPr>
            <w:tcW w:w="3559" w:type="dxa"/>
          </w:tcPr>
          <w:p>
            <w:pPr>
              <w:pStyle w:val="TableParagraph"/>
              <w:spacing w:before="69"/>
              <w:ind w:left="807" w:right="1091"/>
              <w:jc w:val="center"/>
              <w:rPr>
                <w:sz w:val="27"/>
              </w:rPr>
            </w:pPr>
            <w:r>
              <w:rPr>
                <w:sz w:val="27"/>
              </w:rPr>
              <w:t>0.35</w:t>
            </w:r>
          </w:p>
        </w:tc>
        <w:tc>
          <w:tcPr>
            <w:tcW w:w="3846" w:type="dxa"/>
          </w:tcPr>
          <w:p>
            <w:pPr>
              <w:pStyle w:val="TableParagraph"/>
              <w:spacing w:before="69"/>
              <w:ind w:left="1093" w:right="1093"/>
              <w:jc w:val="center"/>
              <w:rPr>
                <w:sz w:val="27"/>
              </w:rPr>
            </w:pPr>
            <w:r>
              <w:rPr>
                <w:sz w:val="27"/>
              </w:rPr>
              <w:t>1.03</w:t>
            </w:r>
          </w:p>
        </w:tc>
        <w:tc>
          <w:tcPr>
            <w:tcW w:w="3872" w:type="dxa"/>
          </w:tcPr>
          <w:p>
            <w:pPr>
              <w:pStyle w:val="TableParagraph"/>
              <w:spacing w:before="69"/>
              <w:ind w:left="1094" w:right="1118"/>
              <w:jc w:val="center"/>
              <w:rPr>
                <w:sz w:val="27"/>
              </w:rPr>
            </w:pPr>
            <w:r>
              <w:rPr>
                <w:sz w:val="27"/>
              </w:rPr>
              <w:t>3.23</w:t>
            </w:r>
          </w:p>
        </w:tc>
      </w:tr>
      <w:tr>
        <w:tblPrEx>
          <w:tblW w:w="0" w:type="auto"/>
          <w:jc w:val="left"/>
          <w:tblInd w:w="217" w:type="dxa"/>
          <w:tblLayout w:type="fixed"/>
          <w:tblCellMar>
            <w:top w:w="0" w:type="dxa"/>
            <w:left w:w="0" w:type="dxa"/>
            <w:bottom w:w="0" w:type="dxa"/>
            <w:right w:w="0" w:type="dxa"/>
          </w:tblCellMar>
          <w:tblLook w:val="01E0"/>
        </w:tblPrEx>
        <w:trPr>
          <w:trHeight w:val="468"/>
          <w:jc w:val="left"/>
        </w:trPr>
        <w:tc>
          <w:tcPr>
            <w:tcW w:w="1553" w:type="dxa"/>
          </w:tcPr>
          <w:p>
            <w:pPr>
              <w:pStyle w:val="TableParagraph"/>
              <w:spacing w:before="56"/>
              <w:ind w:left="187"/>
              <w:rPr>
                <w:sz w:val="27"/>
              </w:rPr>
            </w:pPr>
            <w:r>
              <w:rPr>
                <w:sz w:val="27"/>
              </w:rPr>
              <w:t>1983</w:t>
            </w:r>
          </w:p>
        </w:tc>
        <w:tc>
          <w:tcPr>
            <w:tcW w:w="3559" w:type="dxa"/>
          </w:tcPr>
          <w:p>
            <w:pPr>
              <w:pStyle w:val="TableParagraph"/>
              <w:spacing w:before="56"/>
              <w:ind w:left="807" w:right="1091"/>
              <w:jc w:val="center"/>
              <w:rPr>
                <w:sz w:val="27"/>
              </w:rPr>
            </w:pPr>
            <w:r>
              <w:rPr>
                <w:sz w:val="27"/>
              </w:rPr>
              <w:t>0.33</w:t>
            </w:r>
          </w:p>
        </w:tc>
        <w:tc>
          <w:tcPr>
            <w:tcW w:w="3846" w:type="dxa"/>
          </w:tcPr>
          <w:p>
            <w:pPr>
              <w:pStyle w:val="TableParagraph"/>
              <w:spacing w:before="56"/>
              <w:ind w:left="1093" w:right="1093"/>
              <w:jc w:val="center"/>
              <w:rPr>
                <w:sz w:val="27"/>
              </w:rPr>
            </w:pPr>
            <w:r>
              <w:rPr>
                <w:sz w:val="27"/>
              </w:rPr>
              <w:t>0.98</w:t>
            </w:r>
          </w:p>
        </w:tc>
        <w:tc>
          <w:tcPr>
            <w:tcW w:w="3872" w:type="dxa"/>
          </w:tcPr>
          <w:p>
            <w:pPr>
              <w:pStyle w:val="TableParagraph"/>
              <w:spacing w:before="56"/>
              <w:ind w:left="1094" w:right="1118"/>
              <w:jc w:val="center"/>
              <w:rPr>
                <w:sz w:val="27"/>
              </w:rPr>
            </w:pPr>
            <w:r>
              <w:rPr>
                <w:sz w:val="27"/>
              </w:rPr>
              <w:t>3.41</w:t>
            </w:r>
          </w:p>
        </w:tc>
      </w:tr>
      <w:tr>
        <w:tblPrEx>
          <w:tblW w:w="0" w:type="auto"/>
          <w:jc w:val="left"/>
          <w:tblInd w:w="217" w:type="dxa"/>
          <w:tblLayout w:type="fixed"/>
          <w:tblCellMar>
            <w:top w:w="0" w:type="dxa"/>
            <w:left w:w="0" w:type="dxa"/>
            <w:bottom w:w="0" w:type="dxa"/>
            <w:right w:w="0" w:type="dxa"/>
          </w:tblCellMar>
          <w:tblLook w:val="01E0"/>
        </w:tblPrEx>
        <w:trPr>
          <w:trHeight w:val="467"/>
          <w:jc w:val="left"/>
        </w:trPr>
        <w:tc>
          <w:tcPr>
            <w:tcW w:w="1553" w:type="dxa"/>
          </w:tcPr>
          <w:p>
            <w:pPr>
              <w:pStyle w:val="TableParagraph"/>
              <w:spacing w:before="56"/>
              <w:ind w:left="187"/>
              <w:rPr>
                <w:sz w:val="27"/>
              </w:rPr>
            </w:pPr>
            <w:r>
              <w:rPr>
                <w:sz w:val="27"/>
              </w:rPr>
              <w:t>1984</w:t>
            </w:r>
          </w:p>
        </w:tc>
        <w:tc>
          <w:tcPr>
            <w:tcW w:w="3559" w:type="dxa"/>
          </w:tcPr>
          <w:p>
            <w:pPr>
              <w:pStyle w:val="TableParagraph"/>
              <w:spacing w:before="56"/>
              <w:ind w:left="807" w:right="1091"/>
              <w:jc w:val="center"/>
              <w:rPr>
                <w:sz w:val="27"/>
              </w:rPr>
            </w:pPr>
            <w:r>
              <w:rPr>
                <w:sz w:val="27"/>
              </w:rPr>
              <w:t>0.29</w:t>
            </w:r>
          </w:p>
        </w:tc>
        <w:tc>
          <w:tcPr>
            <w:tcW w:w="3846" w:type="dxa"/>
          </w:tcPr>
          <w:p>
            <w:pPr>
              <w:pStyle w:val="TableParagraph"/>
              <w:spacing w:before="56"/>
              <w:ind w:left="1093" w:right="1093"/>
              <w:jc w:val="center"/>
              <w:rPr>
                <w:sz w:val="27"/>
              </w:rPr>
            </w:pPr>
            <w:r>
              <w:rPr>
                <w:sz w:val="27"/>
              </w:rPr>
              <w:t>1.05</w:t>
            </w:r>
          </w:p>
        </w:tc>
        <w:tc>
          <w:tcPr>
            <w:tcW w:w="3872" w:type="dxa"/>
          </w:tcPr>
          <w:p>
            <w:pPr>
              <w:pStyle w:val="TableParagraph"/>
              <w:spacing w:before="56"/>
              <w:ind w:left="1094" w:right="1118"/>
              <w:jc w:val="center"/>
              <w:rPr>
                <w:sz w:val="27"/>
              </w:rPr>
            </w:pPr>
            <w:r>
              <w:rPr>
                <w:sz w:val="27"/>
              </w:rPr>
              <w:t>3.54</w:t>
            </w:r>
          </w:p>
        </w:tc>
      </w:tr>
      <w:tr>
        <w:tblPrEx>
          <w:tblW w:w="0" w:type="auto"/>
          <w:jc w:val="left"/>
          <w:tblInd w:w="217" w:type="dxa"/>
          <w:tblLayout w:type="fixed"/>
          <w:tblCellMar>
            <w:top w:w="0" w:type="dxa"/>
            <w:left w:w="0" w:type="dxa"/>
            <w:bottom w:w="0" w:type="dxa"/>
            <w:right w:w="0" w:type="dxa"/>
          </w:tblCellMar>
          <w:tblLook w:val="01E0"/>
        </w:tblPrEx>
        <w:trPr>
          <w:trHeight w:val="468"/>
          <w:jc w:val="left"/>
        </w:trPr>
        <w:tc>
          <w:tcPr>
            <w:tcW w:w="1553" w:type="dxa"/>
          </w:tcPr>
          <w:p>
            <w:pPr>
              <w:pStyle w:val="TableParagraph"/>
              <w:spacing w:before="56"/>
              <w:ind w:left="187"/>
              <w:rPr>
                <w:sz w:val="27"/>
              </w:rPr>
            </w:pPr>
            <w:r>
              <w:rPr>
                <w:sz w:val="27"/>
              </w:rPr>
              <w:t>1985</w:t>
            </w:r>
          </w:p>
        </w:tc>
        <w:tc>
          <w:tcPr>
            <w:tcW w:w="3559" w:type="dxa"/>
          </w:tcPr>
          <w:p>
            <w:pPr>
              <w:pStyle w:val="TableParagraph"/>
              <w:spacing w:before="56"/>
              <w:ind w:left="807" w:right="1091"/>
              <w:jc w:val="center"/>
              <w:rPr>
                <w:sz w:val="27"/>
              </w:rPr>
            </w:pPr>
            <w:r>
              <w:rPr>
                <w:sz w:val="27"/>
              </w:rPr>
              <w:t>0.26</w:t>
            </w:r>
          </w:p>
        </w:tc>
        <w:tc>
          <w:tcPr>
            <w:tcW w:w="3846" w:type="dxa"/>
          </w:tcPr>
          <w:p>
            <w:pPr>
              <w:pStyle w:val="TableParagraph"/>
              <w:spacing w:before="56"/>
              <w:ind w:left="1093" w:right="1093"/>
              <w:jc w:val="center"/>
              <w:rPr>
                <w:sz w:val="27"/>
              </w:rPr>
            </w:pPr>
            <w:r>
              <w:rPr>
                <w:sz w:val="27"/>
              </w:rPr>
              <w:t>1.25</w:t>
            </w:r>
          </w:p>
        </w:tc>
        <w:tc>
          <w:tcPr>
            <w:tcW w:w="3872" w:type="dxa"/>
          </w:tcPr>
          <w:p>
            <w:pPr>
              <w:pStyle w:val="TableParagraph"/>
              <w:spacing w:before="56"/>
              <w:ind w:left="1094" w:right="1118"/>
              <w:jc w:val="center"/>
              <w:rPr>
                <w:sz w:val="27"/>
              </w:rPr>
            </w:pPr>
            <w:r>
              <w:rPr>
                <w:sz w:val="27"/>
              </w:rPr>
              <w:t>3.32</w:t>
            </w:r>
          </w:p>
        </w:tc>
      </w:tr>
      <w:tr>
        <w:tblPrEx>
          <w:tblW w:w="0" w:type="auto"/>
          <w:jc w:val="left"/>
          <w:tblInd w:w="217" w:type="dxa"/>
          <w:tblLayout w:type="fixed"/>
          <w:tblCellMar>
            <w:top w:w="0" w:type="dxa"/>
            <w:left w:w="0" w:type="dxa"/>
            <w:bottom w:w="0" w:type="dxa"/>
            <w:right w:w="0" w:type="dxa"/>
          </w:tblCellMar>
          <w:tblLook w:val="01E0"/>
        </w:tblPrEx>
        <w:trPr>
          <w:trHeight w:val="467"/>
          <w:jc w:val="left"/>
        </w:trPr>
        <w:tc>
          <w:tcPr>
            <w:tcW w:w="1553" w:type="dxa"/>
          </w:tcPr>
          <w:p>
            <w:pPr>
              <w:pStyle w:val="TableParagraph"/>
              <w:spacing w:before="56"/>
              <w:ind w:left="187"/>
              <w:rPr>
                <w:sz w:val="27"/>
              </w:rPr>
            </w:pPr>
            <w:r>
              <w:rPr>
                <w:sz w:val="27"/>
              </w:rPr>
              <w:t>1986</w:t>
            </w:r>
          </w:p>
        </w:tc>
        <w:tc>
          <w:tcPr>
            <w:tcW w:w="3559" w:type="dxa"/>
          </w:tcPr>
          <w:p>
            <w:pPr>
              <w:pStyle w:val="TableParagraph"/>
              <w:spacing w:before="56"/>
              <w:ind w:left="807" w:right="1091"/>
              <w:jc w:val="center"/>
              <w:rPr>
                <w:sz w:val="27"/>
              </w:rPr>
            </w:pPr>
            <w:r>
              <w:rPr>
                <w:sz w:val="27"/>
              </w:rPr>
              <w:t>0.29</w:t>
            </w:r>
          </w:p>
        </w:tc>
        <w:tc>
          <w:tcPr>
            <w:tcW w:w="3846" w:type="dxa"/>
          </w:tcPr>
          <w:p>
            <w:pPr>
              <w:pStyle w:val="TableParagraph"/>
              <w:spacing w:before="56"/>
              <w:ind w:left="1093" w:right="1093"/>
              <w:jc w:val="center"/>
              <w:rPr>
                <w:sz w:val="27"/>
              </w:rPr>
            </w:pPr>
            <w:r>
              <w:rPr>
                <w:sz w:val="27"/>
              </w:rPr>
              <w:t>0.97</w:t>
            </w:r>
          </w:p>
        </w:tc>
        <w:tc>
          <w:tcPr>
            <w:tcW w:w="3872" w:type="dxa"/>
          </w:tcPr>
          <w:p>
            <w:pPr>
              <w:pStyle w:val="TableParagraph"/>
              <w:spacing w:before="56"/>
              <w:ind w:left="1094" w:right="1118"/>
              <w:jc w:val="center"/>
              <w:rPr>
                <w:sz w:val="27"/>
              </w:rPr>
            </w:pPr>
            <w:r>
              <w:rPr>
                <w:sz w:val="27"/>
              </w:rPr>
              <w:t>3.73</w:t>
            </w:r>
          </w:p>
        </w:tc>
      </w:tr>
      <w:tr>
        <w:tblPrEx>
          <w:tblW w:w="0" w:type="auto"/>
          <w:jc w:val="left"/>
          <w:tblInd w:w="217" w:type="dxa"/>
          <w:tblLayout w:type="fixed"/>
          <w:tblCellMar>
            <w:top w:w="0" w:type="dxa"/>
            <w:left w:w="0" w:type="dxa"/>
            <w:bottom w:w="0" w:type="dxa"/>
            <w:right w:w="0" w:type="dxa"/>
          </w:tblCellMar>
          <w:tblLook w:val="01E0"/>
        </w:tblPrEx>
        <w:trPr>
          <w:trHeight w:val="468"/>
          <w:jc w:val="left"/>
        </w:trPr>
        <w:tc>
          <w:tcPr>
            <w:tcW w:w="1553" w:type="dxa"/>
          </w:tcPr>
          <w:p>
            <w:pPr>
              <w:pStyle w:val="TableParagraph"/>
              <w:spacing w:before="56"/>
              <w:ind w:left="187"/>
              <w:rPr>
                <w:sz w:val="27"/>
              </w:rPr>
            </w:pPr>
            <w:r>
              <w:rPr>
                <w:sz w:val="27"/>
              </w:rPr>
              <w:t>1987</w:t>
            </w:r>
          </w:p>
        </w:tc>
        <w:tc>
          <w:tcPr>
            <w:tcW w:w="3559" w:type="dxa"/>
          </w:tcPr>
          <w:p>
            <w:pPr>
              <w:pStyle w:val="TableParagraph"/>
              <w:spacing w:before="56"/>
              <w:ind w:left="807" w:right="1091"/>
              <w:jc w:val="center"/>
              <w:rPr>
                <w:sz w:val="27"/>
              </w:rPr>
            </w:pPr>
            <w:r>
              <w:rPr>
                <w:sz w:val="27"/>
              </w:rPr>
              <w:t>0.33</w:t>
            </w:r>
          </w:p>
        </w:tc>
        <w:tc>
          <w:tcPr>
            <w:tcW w:w="3846" w:type="dxa"/>
          </w:tcPr>
          <w:p>
            <w:pPr>
              <w:pStyle w:val="TableParagraph"/>
              <w:spacing w:before="56"/>
              <w:ind w:left="1093" w:right="1093"/>
              <w:jc w:val="center"/>
              <w:rPr>
                <w:sz w:val="27"/>
              </w:rPr>
            </w:pPr>
            <w:r>
              <w:rPr>
                <w:sz w:val="27"/>
              </w:rPr>
              <w:t>0.85</w:t>
            </w:r>
          </w:p>
        </w:tc>
        <w:tc>
          <w:tcPr>
            <w:tcW w:w="3872" w:type="dxa"/>
          </w:tcPr>
          <w:p>
            <w:pPr>
              <w:pStyle w:val="TableParagraph"/>
              <w:spacing w:before="56"/>
              <w:ind w:left="1094" w:right="1118"/>
              <w:jc w:val="center"/>
              <w:rPr>
                <w:sz w:val="27"/>
              </w:rPr>
            </w:pPr>
            <w:r>
              <w:rPr>
                <w:sz w:val="27"/>
              </w:rPr>
              <w:t>3.81</w:t>
            </w:r>
          </w:p>
        </w:tc>
      </w:tr>
      <w:tr>
        <w:tblPrEx>
          <w:tblW w:w="0" w:type="auto"/>
          <w:jc w:val="left"/>
          <w:tblInd w:w="217" w:type="dxa"/>
          <w:tblLayout w:type="fixed"/>
          <w:tblCellMar>
            <w:top w:w="0" w:type="dxa"/>
            <w:left w:w="0" w:type="dxa"/>
            <w:bottom w:w="0" w:type="dxa"/>
            <w:right w:w="0" w:type="dxa"/>
          </w:tblCellMar>
          <w:tblLook w:val="01E0"/>
        </w:tblPrEx>
        <w:trPr>
          <w:trHeight w:val="468"/>
          <w:jc w:val="left"/>
        </w:trPr>
        <w:tc>
          <w:tcPr>
            <w:tcW w:w="1553" w:type="dxa"/>
          </w:tcPr>
          <w:p>
            <w:pPr>
              <w:pStyle w:val="TableParagraph"/>
              <w:spacing w:before="56"/>
              <w:ind w:left="187"/>
              <w:rPr>
                <w:sz w:val="27"/>
              </w:rPr>
            </w:pPr>
            <w:r>
              <w:rPr>
                <w:sz w:val="27"/>
              </w:rPr>
              <w:t>1988</w:t>
            </w:r>
          </w:p>
        </w:tc>
        <w:tc>
          <w:tcPr>
            <w:tcW w:w="3559" w:type="dxa"/>
          </w:tcPr>
          <w:p>
            <w:pPr>
              <w:pStyle w:val="TableParagraph"/>
              <w:spacing w:before="56"/>
              <w:ind w:left="807" w:right="1091"/>
              <w:jc w:val="center"/>
              <w:rPr>
                <w:sz w:val="27"/>
              </w:rPr>
            </w:pPr>
            <w:r>
              <w:rPr>
                <w:sz w:val="27"/>
              </w:rPr>
              <w:t>0.39</w:t>
            </w:r>
          </w:p>
        </w:tc>
        <w:tc>
          <w:tcPr>
            <w:tcW w:w="3846" w:type="dxa"/>
          </w:tcPr>
          <w:p>
            <w:pPr>
              <w:pStyle w:val="TableParagraph"/>
              <w:spacing w:before="56"/>
              <w:ind w:left="1093" w:right="1093"/>
              <w:jc w:val="center"/>
              <w:rPr>
                <w:sz w:val="27"/>
              </w:rPr>
            </w:pPr>
            <w:r>
              <w:rPr>
                <w:sz w:val="27"/>
              </w:rPr>
              <w:t>0.84</w:t>
            </w:r>
          </w:p>
        </w:tc>
        <w:tc>
          <w:tcPr>
            <w:tcW w:w="3872" w:type="dxa"/>
          </w:tcPr>
          <w:p>
            <w:pPr>
              <w:pStyle w:val="TableParagraph"/>
              <w:spacing w:before="56"/>
              <w:ind w:left="1094" w:right="1118"/>
              <w:jc w:val="center"/>
              <w:rPr>
                <w:sz w:val="27"/>
              </w:rPr>
            </w:pPr>
            <w:r>
              <w:rPr>
                <w:sz w:val="27"/>
              </w:rPr>
              <w:t>3.81</w:t>
            </w:r>
          </w:p>
        </w:tc>
      </w:tr>
      <w:tr>
        <w:tblPrEx>
          <w:tblW w:w="0" w:type="auto"/>
          <w:jc w:val="left"/>
          <w:tblInd w:w="217" w:type="dxa"/>
          <w:tblLayout w:type="fixed"/>
          <w:tblCellMar>
            <w:top w:w="0" w:type="dxa"/>
            <w:left w:w="0" w:type="dxa"/>
            <w:bottom w:w="0" w:type="dxa"/>
            <w:right w:w="0" w:type="dxa"/>
          </w:tblCellMar>
          <w:tblLook w:val="01E0"/>
        </w:tblPrEx>
        <w:trPr>
          <w:trHeight w:val="467"/>
          <w:jc w:val="left"/>
        </w:trPr>
        <w:tc>
          <w:tcPr>
            <w:tcW w:w="1553" w:type="dxa"/>
          </w:tcPr>
          <w:p>
            <w:pPr>
              <w:pStyle w:val="TableParagraph"/>
              <w:spacing w:before="56"/>
              <w:ind w:left="187"/>
              <w:rPr>
                <w:sz w:val="27"/>
              </w:rPr>
            </w:pPr>
            <w:r>
              <w:rPr>
                <w:sz w:val="27"/>
              </w:rPr>
              <w:t>1989</w:t>
            </w:r>
          </w:p>
        </w:tc>
        <w:tc>
          <w:tcPr>
            <w:tcW w:w="3559" w:type="dxa"/>
          </w:tcPr>
          <w:p>
            <w:pPr>
              <w:pStyle w:val="TableParagraph"/>
              <w:spacing w:before="56"/>
              <w:ind w:left="807" w:right="1091"/>
              <w:jc w:val="center"/>
              <w:rPr>
                <w:sz w:val="27"/>
              </w:rPr>
            </w:pPr>
            <w:r>
              <w:rPr>
                <w:sz w:val="27"/>
              </w:rPr>
              <w:t>0.45</w:t>
            </w:r>
          </w:p>
        </w:tc>
        <w:tc>
          <w:tcPr>
            <w:tcW w:w="3846" w:type="dxa"/>
          </w:tcPr>
          <w:p>
            <w:pPr>
              <w:pStyle w:val="TableParagraph"/>
              <w:spacing w:before="56"/>
              <w:ind w:left="1093" w:right="1093"/>
              <w:jc w:val="center"/>
              <w:rPr>
                <w:sz w:val="27"/>
              </w:rPr>
            </w:pPr>
            <w:r>
              <w:rPr>
                <w:sz w:val="27"/>
              </w:rPr>
              <w:t>0.62</w:t>
            </w:r>
          </w:p>
        </w:tc>
        <w:tc>
          <w:tcPr>
            <w:tcW w:w="3872" w:type="dxa"/>
          </w:tcPr>
          <w:p>
            <w:pPr>
              <w:pStyle w:val="TableParagraph"/>
              <w:spacing w:before="56"/>
              <w:ind w:left="1094" w:right="1118"/>
              <w:jc w:val="center"/>
              <w:rPr>
                <w:sz w:val="27"/>
              </w:rPr>
            </w:pPr>
            <w:r>
              <w:rPr>
                <w:sz w:val="27"/>
              </w:rPr>
              <w:t>4.06</w:t>
            </w:r>
          </w:p>
        </w:tc>
      </w:tr>
      <w:tr>
        <w:tblPrEx>
          <w:tblW w:w="0" w:type="auto"/>
          <w:jc w:val="left"/>
          <w:tblInd w:w="217" w:type="dxa"/>
          <w:tblLayout w:type="fixed"/>
          <w:tblCellMar>
            <w:top w:w="0" w:type="dxa"/>
            <w:left w:w="0" w:type="dxa"/>
            <w:bottom w:w="0" w:type="dxa"/>
            <w:right w:w="0" w:type="dxa"/>
          </w:tblCellMar>
          <w:tblLook w:val="01E0"/>
        </w:tblPrEx>
        <w:trPr>
          <w:trHeight w:val="468"/>
          <w:jc w:val="left"/>
        </w:trPr>
        <w:tc>
          <w:tcPr>
            <w:tcW w:w="1553" w:type="dxa"/>
          </w:tcPr>
          <w:p>
            <w:pPr>
              <w:pStyle w:val="TableParagraph"/>
              <w:spacing w:before="56"/>
              <w:ind w:left="187"/>
              <w:rPr>
                <w:sz w:val="27"/>
              </w:rPr>
            </w:pPr>
            <w:r>
              <w:rPr>
                <w:sz w:val="27"/>
              </w:rPr>
              <w:t>1990</w:t>
            </w:r>
          </w:p>
        </w:tc>
        <w:tc>
          <w:tcPr>
            <w:tcW w:w="3559" w:type="dxa"/>
          </w:tcPr>
          <w:p>
            <w:pPr>
              <w:pStyle w:val="TableParagraph"/>
              <w:spacing w:before="56"/>
              <w:ind w:left="807" w:right="1091"/>
              <w:jc w:val="center"/>
              <w:rPr>
                <w:sz w:val="27"/>
              </w:rPr>
            </w:pPr>
            <w:r>
              <w:rPr>
                <w:sz w:val="27"/>
              </w:rPr>
              <w:t>0.47</w:t>
            </w:r>
          </w:p>
        </w:tc>
        <w:tc>
          <w:tcPr>
            <w:tcW w:w="3846" w:type="dxa"/>
          </w:tcPr>
          <w:p>
            <w:pPr>
              <w:pStyle w:val="TableParagraph"/>
              <w:spacing w:before="56"/>
              <w:ind w:left="1093" w:right="1093"/>
              <w:jc w:val="center"/>
              <w:rPr>
                <w:sz w:val="27"/>
              </w:rPr>
            </w:pPr>
            <w:r>
              <w:rPr>
                <w:sz w:val="27"/>
              </w:rPr>
              <w:t>0.59</w:t>
            </w:r>
          </w:p>
        </w:tc>
        <w:tc>
          <w:tcPr>
            <w:tcW w:w="3872" w:type="dxa"/>
          </w:tcPr>
          <w:p>
            <w:pPr>
              <w:pStyle w:val="TableParagraph"/>
              <w:spacing w:before="56"/>
              <w:ind w:left="1094" w:right="1118"/>
              <w:jc w:val="center"/>
              <w:rPr>
                <w:sz w:val="27"/>
              </w:rPr>
            </w:pPr>
            <w:r>
              <w:rPr>
                <w:sz w:val="27"/>
              </w:rPr>
              <w:t>4.05</w:t>
            </w:r>
          </w:p>
        </w:tc>
      </w:tr>
      <w:tr>
        <w:tblPrEx>
          <w:tblW w:w="0" w:type="auto"/>
          <w:jc w:val="left"/>
          <w:tblInd w:w="217" w:type="dxa"/>
          <w:tblLayout w:type="fixed"/>
          <w:tblCellMar>
            <w:top w:w="0" w:type="dxa"/>
            <w:left w:w="0" w:type="dxa"/>
            <w:bottom w:w="0" w:type="dxa"/>
            <w:right w:w="0" w:type="dxa"/>
          </w:tblCellMar>
          <w:tblLook w:val="01E0"/>
        </w:tblPrEx>
        <w:trPr>
          <w:trHeight w:val="467"/>
          <w:jc w:val="left"/>
        </w:trPr>
        <w:tc>
          <w:tcPr>
            <w:tcW w:w="1553" w:type="dxa"/>
          </w:tcPr>
          <w:p>
            <w:pPr>
              <w:pStyle w:val="TableParagraph"/>
              <w:spacing w:before="56"/>
              <w:ind w:left="187"/>
              <w:rPr>
                <w:sz w:val="27"/>
              </w:rPr>
            </w:pPr>
            <w:r>
              <w:rPr>
                <w:sz w:val="27"/>
              </w:rPr>
              <w:t>1991</w:t>
            </w:r>
          </w:p>
        </w:tc>
        <w:tc>
          <w:tcPr>
            <w:tcW w:w="3559" w:type="dxa"/>
          </w:tcPr>
          <w:p>
            <w:pPr>
              <w:pStyle w:val="TableParagraph"/>
              <w:spacing w:before="56"/>
              <w:ind w:left="807" w:right="1091"/>
              <w:jc w:val="center"/>
              <w:rPr>
                <w:sz w:val="27"/>
              </w:rPr>
            </w:pPr>
            <w:r>
              <w:rPr>
                <w:sz w:val="27"/>
              </w:rPr>
              <w:t>0.47</w:t>
            </w:r>
          </w:p>
        </w:tc>
        <w:tc>
          <w:tcPr>
            <w:tcW w:w="3846" w:type="dxa"/>
          </w:tcPr>
          <w:p>
            <w:pPr>
              <w:pStyle w:val="TableParagraph"/>
              <w:spacing w:before="56"/>
              <w:ind w:left="1093" w:right="1093"/>
              <w:jc w:val="center"/>
              <w:rPr>
                <w:sz w:val="27"/>
              </w:rPr>
            </w:pPr>
            <w:r>
              <w:rPr>
                <w:sz w:val="27"/>
              </w:rPr>
              <w:t>0.52</w:t>
            </w:r>
          </w:p>
        </w:tc>
        <w:tc>
          <w:tcPr>
            <w:tcW w:w="3872" w:type="dxa"/>
          </w:tcPr>
          <w:p>
            <w:pPr>
              <w:pStyle w:val="TableParagraph"/>
              <w:spacing w:before="56"/>
              <w:ind w:left="1094" w:right="1118"/>
              <w:jc w:val="center"/>
              <w:rPr>
                <w:sz w:val="27"/>
              </w:rPr>
            </w:pPr>
            <w:r>
              <w:rPr>
                <w:sz w:val="27"/>
              </w:rPr>
              <w:t>4.06</w:t>
            </w:r>
          </w:p>
        </w:tc>
      </w:tr>
      <w:tr>
        <w:tblPrEx>
          <w:tblW w:w="0" w:type="auto"/>
          <w:jc w:val="left"/>
          <w:tblInd w:w="217" w:type="dxa"/>
          <w:tblLayout w:type="fixed"/>
          <w:tblCellMar>
            <w:top w:w="0" w:type="dxa"/>
            <w:left w:w="0" w:type="dxa"/>
            <w:bottom w:w="0" w:type="dxa"/>
            <w:right w:w="0" w:type="dxa"/>
          </w:tblCellMar>
          <w:tblLook w:val="01E0"/>
        </w:tblPrEx>
        <w:trPr>
          <w:trHeight w:val="394"/>
          <w:jc w:val="left"/>
        </w:trPr>
        <w:tc>
          <w:tcPr>
            <w:tcW w:w="1553" w:type="dxa"/>
            <w:tcBorders>
              <w:bottom w:val="dashed" w:sz="18" w:space="0" w:color="000000"/>
            </w:tcBorders>
          </w:tcPr>
          <w:p>
            <w:pPr>
              <w:pStyle w:val="TableParagraph"/>
              <w:spacing w:before="56" w:line="319" w:lineRule="exact"/>
              <w:ind w:left="187"/>
              <w:rPr>
                <w:sz w:val="27"/>
              </w:rPr>
            </w:pPr>
            <w:r>
              <w:rPr>
                <w:sz w:val="27"/>
              </w:rPr>
              <w:t>1992</w:t>
            </w:r>
          </w:p>
        </w:tc>
        <w:tc>
          <w:tcPr>
            <w:tcW w:w="3559" w:type="dxa"/>
            <w:tcBorders>
              <w:bottom w:val="dashed" w:sz="18" w:space="0" w:color="000000"/>
            </w:tcBorders>
          </w:tcPr>
          <w:p>
            <w:pPr>
              <w:pStyle w:val="TableParagraph"/>
              <w:spacing w:before="56" w:line="319" w:lineRule="exact"/>
              <w:ind w:left="807" w:right="1091"/>
              <w:jc w:val="center"/>
              <w:rPr>
                <w:sz w:val="27"/>
              </w:rPr>
            </w:pPr>
            <w:r>
              <w:rPr>
                <w:sz w:val="27"/>
              </w:rPr>
              <w:t>0.47</w:t>
            </w:r>
          </w:p>
        </w:tc>
        <w:tc>
          <w:tcPr>
            <w:tcW w:w="3846" w:type="dxa"/>
            <w:tcBorders>
              <w:bottom w:val="dashed" w:sz="18" w:space="0" w:color="000000"/>
            </w:tcBorders>
          </w:tcPr>
          <w:p>
            <w:pPr>
              <w:pStyle w:val="TableParagraph"/>
              <w:spacing w:before="56" w:line="319" w:lineRule="exact"/>
              <w:ind w:left="1093" w:right="1093"/>
              <w:jc w:val="center"/>
              <w:rPr>
                <w:sz w:val="27"/>
              </w:rPr>
            </w:pPr>
            <w:r>
              <w:rPr>
                <w:sz w:val="27"/>
              </w:rPr>
              <w:t>0.45</w:t>
            </w:r>
          </w:p>
        </w:tc>
        <w:tc>
          <w:tcPr>
            <w:tcW w:w="3872" w:type="dxa"/>
            <w:tcBorders>
              <w:bottom w:val="dashed" w:sz="18" w:space="0" w:color="000000"/>
            </w:tcBorders>
          </w:tcPr>
          <w:p>
            <w:pPr>
              <w:pStyle w:val="TableParagraph"/>
              <w:spacing w:before="56" w:line="319" w:lineRule="exact"/>
              <w:ind w:left="1094" w:right="1118"/>
              <w:jc w:val="center"/>
              <w:rPr>
                <w:sz w:val="27"/>
              </w:rPr>
            </w:pPr>
            <w:r>
              <w:rPr>
                <w:sz w:val="27"/>
              </w:rPr>
              <w:t>4.07</w:t>
            </w:r>
          </w:p>
        </w:tc>
      </w:tr>
    </w:tbl>
    <w:p>
      <w:pPr>
        <w:spacing w:before="110" w:line="324" w:lineRule="auto"/>
        <w:ind w:left="1206" w:right="1550" w:hanging="810"/>
        <w:jc w:val="left"/>
        <w:rPr>
          <w:sz w:val="27"/>
        </w:rPr>
      </w:pPr>
      <w:r>
        <w:rPr>
          <w:sz w:val="27"/>
        </w:rPr>
        <w:t>注：* 显示性比较优势指数=中国特定工业产品出口的比重/全世界同种产品出口比重。如某产品的这个指数大于 1，则意味着该产品在国际市场上有竞争力；小于 1，则不具有国际竞争力。</w:t>
      </w:r>
    </w:p>
    <w:p>
      <w:pPr>
        <w:tabs>
          <w:tab w:val="left" w:pos="5801"/>
          <w:tab w:val="left" w:pos="9311"/>
        </w:tabs>
        <w:spacing w:before="2" w:line="324" w:lineRule="auto"/>
        <w:ind w:left="1747" w:right="1445" w:hanging="1350"/>
        <w:jc w:val="left"/>
        <w:rPr>
          <w:sz w:val="27"/>
        </w:rPr>
      </w:pPr>
      <w:r>
        <w:rPr>
          <w:sz w:val="27"/>
        </w:rPr>
        <w:t>资料来源：澳大利亚国立大学经济数据库，转引自林毅夫、蔡昉、李周：</w:t>
        <w:tab/>
        <w:t>《充分信息和国有企业改革</w:t>
      </w:r>
      <w:r>
        <w:rPr>
          <w:spacing w:val="-141"/>
          <w:sz w:val="27"/>
        </w:rPr>
        <w:t>》</w:t>
      </w:r>
      <w:r>
        <w:rPr>
          <w:spacing w:val="-16"/>
          <w:sz w:val="27"/>
        </w:rPr>
        <w:t xml:space="preserve">， </w:t>
      </w:r>
      <w:r>
        <w:rPr>
          <w:sz w:val="27"/>
        </w:rPr>
        <w:t>上海三联书店、上海人民出版社</w:t>
        <w:tab/>
        <w:t>，1997</w:t>
      </w:r>
      <w:r>
        <w:rPr>
          <w:spacing w:val="-67"/>
          <w:sz w:val="27"/>
        </w:rPr>
        <w:t xml:space="preserve"> </w:t>
      </w:r>
      <w:r>
        <w:rPr>
          <w:sz w:val="27"/>
        </w:rPr>
        <w:t>年版，第</w:t>
      </w:r>
      <w:r>
        <w:rPr>
          <w:spacing w:val="-70"/>
          <w:sz w:val="27"/>
        </w:rPr>
        <w:t xml:space="preserve"> </w:t>
      </w:r>
      <w:r>
        <w:rPr>
          <w:sz w:val="27"/>
        </w:rPr>
        <w:t>93</w:t>
      </w:r>
      <w:r>
        <w:rPr>
          <w:spacing w:val="-67"/>
          <w:sz w:val="27"/>
        </w:rPr>
        <w:t xml:space="preserve"> </w:t>
      </w:r>
      <w:r>
        <w:rPr>
          <w:sz w:val="27"/>
        </w:rPr>
        <w:t>页。</w:t>
      </w:r>
    </w:p>
    <w:p>
      <w:pPr>
        <w:pStyle w:val="BodyText"/>
        <w:spacing w:before="2"/>
        <w:rPr>
          <w:sz w:val="32"/>
        </w:rPr>
      </w:pPr>
    </w:p>
    <w:p>
      <w:pPr>
        <w:pStyle w:val="BodyText"/>
        <w:spacing w:line="283" w:lineRule="auto"/>
        <w:ind w:left="397" w:right="1422" w:firstLine="539"/>
      </w:pPr>
      <w:r>
        <w:rPr>
          <w:spacing w:val="-1"/>
        </w:rPr>
        <w:t>社会性政策性负担也将严重制约国有企业的竞争力。中国国有企业的冗员问题，就其严重程度而言，为世所仅有。据国家劳动和社会保障部与国家统计局公布的“</w:t>
      </w:r>
      <w:r>
        <w:rPr>
          <w:spacing w:val="-7"/>
        </w:rPr>
        <w:t>1998</w:t>
      </w:r>
      <w:r>
        <w:rPr>
          <w:spacing w:val="2"/>
        </w:rPr>
        <w:t xml:space="preserve"> 年劳动和</w:t>
      </w:r>
      <w:r>
        <w:rPr>
          <w:w w:val="102"/>
        </w:rPr>
        <w:t>社会保障事业发展年度统计公报</w:t>
      </w:r>
      <w:r>
        <w:rPr>
          <w:spacing w:val="-98"/>
          <w:w w:val="102"/>
        </w:rPr>
        <w:t>”，</w:t>
      </w:r>
      <w:r>
        <w:rPr>
          <w:w w:val="102"/>
        </w:rPr>
        <w:t>1998</w:t>
      </w:r>
      <w:r>
        <w:rPr>
          <w:spacing w:val="-83"/>
        </w:rPr>
        <w:t xml:space="preserve"> </w:t>
      </w:r>
      <w:r>
        <w:rPr>
          <w:w w:val="102"/>
        </w:rPr>
        <w:t>年国有企业（不包括西藏）</w:t>
      </w:r>
      <w:r>
        <w:rPr>
          <w:spacing w:val="5"/>
          <w:w w:val="102"/>
        </w:rPr>
        <w:t>的下岗职工</w:t>
      </w:r>
      <w:r>
        <w:rPr>
          <w:w w:val="102"/>
        </w:rPr>
        <w:t>610</w:t>
      </w:r>
      <w:r>
        <w:rPr>
          <w:spacing w:val="-80"/>
        </w:rPr>
        <w:t xml:space="preserve"> </w:t>
      </w:r>
      <w:r>
        <w:rPr>
          <w:w w:val="102"/>
        </w:rPr>
        <w:t>万，当</w:t>
      </w:r>
      <w:r>
        <w:t>年</w:t>
      </w:r>
      <w:r>
        <w:rPr>
          <w:spacing w:val="13"/>
        </w:rPr>
        <w:t xml:space="preserve">城镇职工年平均工资 </w:t>
      </w:r>
      <w:r>
        <w:t>6812.5 元。假定国有企业每年为每个下岗职工支付的各种费用为5000</w:t>
      </w:r>
      <w:r>
        <w:rPr>
          <w:spacing w:val="-21"/>
        </w:rPr>
        <w:t xml:space="preserve"> 元，总计需要 </w:t>
      </w:r>
      <w:r>
        <w:t>305</w:t>
      </w:r>
      <w:r>
        <w:rPr>
          <w:spacing w:val="-6"/>
        </w:rPr>
        <w:t xml:space="preserve"> 亿元。是当年国有企业实现利润的</w:t>
      </w:r>
      <w:r>
        <w:t>58%。</w:t>
      </w:r>
    </w:p>
    <w:p>
      <w:pPr>
        <w:pStyle w:val="BodyText"/>
        <w:spacing w:line="278" w:lineRule="auto"/>
        <w:ind w:left="397" w:right="1464" w:firstLine="539"/>
        <w:jc w:val="both"/>
      </w:pPr>
      <w:r>
        <w:rPr>
          <w:spacing w:val="-19"/>
        </w:rPr>
        <w:t xml:space="preserve">由表 </w:t>
      </w:r>
      <w:r>
        <w:rPr>
          <w:rFonts w:ascii="Bookman Old Style" w:eastAsia="Bookman Old Style"/>
          <w:b w:val="0"/>
        </w:rPr>
        <w:t>4</w:t>
      </w:r>
      <w:r>
        <w:rPr>
          <w:rFonts w:ascii="Bookman Old Style" w:eastAsia="Bookman Old Style"/>
          <w:b w:val="0"/>
          <w:spacing w:val="-5"/>
        </w:rPr>
        <w:t xml:space="preserve"> </w:t>
      </w:r>
      <w:r>
        <w:rPr>
          <w:spacing w:val="-5"/>
        </w:rPr>
        <w:t>可见，</w:t>
      </w:r>
      <w:r>
        <w:rPr>
          <w:rFonts w:ascii="Bookman Old Style" w:eastAsia="Bookman Old Style"/>
          <w:b w:val="0"/>
          <w:spacing w:val="-13"/>
        </w:rPr>
        <w:t>1996</w:t>
      </w:r>
      <w:r>
        <w:rPr>
          <w:rFonts w:ascii="Bookman Old Style" w:eastAsia="Bookman Old Style"/>
          <w:b w:val="0"/>
          <w:spacing w:val="-3"/>
        </w:rPr>
        <w:t xml:space="preserve"> </w:t>
      </w:r>
      <w:r>
        <w:rPr>
          <w:spacing w:val="-7"/>
        </w:rPr>
        <w:t>年在国有大中型工业企业中，非生产经营用的固定资产仍占总固定资</w:t>
      </w:r>
      <w:r>
        <w:rPr>
          <w:spacing w:val="-12"/>
        </w:rPr>
        <w:t xml:space="preserve">产的 </w:t>
      </w:r>
      <w:r>
        <w:rPr>
          <w:rFonts w:ascii="Bookman Old Style" w:eastAsia="Bookman Old Style"/>
          <w:b w:val="0"/>
        </w:rPr>
        <w:t>21%</w:t>
      </w:r>
      <w:r>
        <w:t>－</w:t>
      </w:r>
      <w:r>
        <w:rPr>
          <w:rFonts w:ascii="Bookman Old Style" w:eastAsia="Bookman Old Style"/>
          <w:b w:val="0"/>
        </w:rPr>
        <w:t>24%</w:t>
      </w:r>
      <w:r>
        <w:rPr>
          <w:spacing w:val="-12"/>
        </w:rPr>
        <w:t>之多。根据世界银行的一项报告，在国有企业的劳动力成本中，工资性支出</w:t>
      </w:r>
      <w:r>
        <w:rPr>
          <w:spacing w:val="-39"/>
        </w:rPr>
        <w:t xml:space="preserve">仅占 </w:t>
      </w:r>
      <w:r>
        <w:rPr>
          <w:rFonts w:ascii="Bookman Old Style" w:eastAsia="Bookman Old Style"/>
          <w:b w:val="0"/>
        </w:rPr>
        <w:t>56%</w:t>
      </w:r>
      <w:r>
        <w:rPr>
          <w:spacing w:val="-18"/>
        </w:rPr>
        <w:t xml:space="preserve">，住房支出占 </w:t>
      </w:r>
      <w:r>
        <w:rPr>
          <w:rFonts w:ascii="Bookman Old Style" w:eastAsia="Bookman Old Style"/>
          <w:b w:val="0"/>
        </w:rPr>
        <w:t>21%</w:t>
      </w:r>
      <w:r>
        <w:rPr>
          <w:spacing w:val="-16"/>
        </w:rPr>
        <w:t xml:space="preserve">，养老金支出占 </w:t>
      </w:r>
      <w:r>
        <w:rPr>
          <w:rFonts w:ascii="Bookman Old Style" w:eastAsia="Bookman Old Style"/>
          <w:b w:val="0"/>
        </w:rPr>
        <w:t>21%</w:t>
      </w:r>
      <w:r>
        <w:rPr>
          <w:spacing w:val="-14"/>
        </w:rPr>
        <w:t xml:space="preserve">，医疗卫生支出占 </w:t>
      </w:r>
      <w:r>
        <w:rPr>
          <w:rFonts w:ascii="Bookman Old Style" w:eastAsia="Bookman Old Style"/>
          <w:b w:val="0"/>
        </w:rPr>
        <w:t>9%</w:t>
      </w:r>
      <w:r>
        <w:rPr>
          <w:spacing w:val="-18"/>
        </w:rPr>
        <w:t xml:space="preserve">，教育支出占 </w:t>
      </w:r>
      <w:r>
        <w:rPr>
          <w:rFonts w:ascii="Bookman Old Style" w:eastAsia="Bookman Old Style"/>
          <w:b w:val="0"/>
        </w:rPr>
        <w:t>1%</w:t>
      </w:r>
      <w:r>
        <w:rPr>
          <w:spacing w:val="-15"/>
        </w:rPr>
        <w:t>。</w:t>
      </w:r>
      <w:r>
        <w:rPr>
          <w:position w:val="4"/>
          <w:sz w:val="29"/>
        </w:rPr>
        <w:t xml:space="preserve">9 </w:t>
      </w:r>
      <w:r>
        <w:rPr>
          <w:spacing w:val="-2"/>
        </w:rPr>
        <w:t>另据统计</w:t>
      </w:r>
      <w:r>
        <w:rPr>
          <w:rFonts w:ascii="Bookman Old Style" w:eastAsia="Bookman Old Style"/>
          <w:b w:val="0"/>
          <w:spacing w:val="-46"/>
          <w:position w:val="6"/>
          <w:sz w:val="29"/>
        </w:rPr>
        <w:t>10</w:t>
      </w:r>
      <w:r>
        <w:rPr>
          <w:spacing w:val="-6"/>
        </w:rPr>
        <w:t>，目前国有工业企业办社会费用支出约占全部国有工业企业管理费用支出的</w:t>
      </w:r>
      <w:r>
        <w:rPr>
          <w:rFonts w:ascii="Bookman Old Style" w:eastAsia="Bookman Old Style"/>
          <w:b w:val="0"/>
        </w:rPr>
        <w:t xml:space="preserve">50% </w:t>
      </w:r>
      <w:r>
        <w:rPr>
          <w:spacing w:val="-17"/>
        </w:rPr>
        <w:t xml:space="preserve">左右，国有企业开办的学校有 </w:t>
      </w:r>
      <w:r>
        <w:rPr>
          <w:rFonts w:ascii="Bookman Old Style" w:eastAsia="Bookman Old Style"/>
          <w:b w:val="0"/>
        </w:rPr>
        <w:t>1.8</w:t>
      </w:r>
      <w:r>
        <w:rPr>
          <w:rFonts w:ascii="Bookman Old Style" w:eastAsia="Bookman Old Style"/>
          <w:b w:val="0"/>
          <w:spacing w:val="-47"/>
        </w:rPr>
        <w:t xml:space="preserve"> </w:t>
      </w:r>
      <w:r>
        <w:rPr>
          <w:spacing w:val="-22"/>
        </w:rPr>
        <w:t xml:space="preserve">万多所，在校学生 </w:t>
      </w:r>
      <w:r>
        <w:rPr>
          <w:rFonts w:ascii="Bookman Old Style" w:eastAsia="Bookman Old Style"/>
          <w:b w:val="0"/>
        </w:rPr>
        <w:t>610</w:t>
      </w:r>
      <w:r>
        <w:rPr>
          <w:rFonts w:ascii="Bookman Old Style" w:eastAsia="Bookman Old Style"/>
          <w:b w:val="0"/>
          <w:spacing w:val="-46"/>
        </w:rPr>
        <w:t xml:space="preserve"> </w:t>
      </w:r>
      <w:r>
        <w:rPr>
          <w:spacing w:val="-24"/>
        </w:rPr>
        <w:t xml:space="preserve">多万人；疗养院 </w:t>
      </w:r>
      <w:r>
        <w:rPr>
          <w:rFonts w:ascii="Bookman Old Style" w:eastAsia="Bookman Old Style"/>
          <w:b w:val="0"/>
        </w:rPr>
        <w:t>1.9</w:t>
      </w:r>
      <w:r>
        <w:rPr>
          <w:rFonts w:ascii="Bookman Old Style" w:eastAsia="Bookman Old Style"/>
          <w:b w:val="0"/>
          <w:spacing w:val="-50"/>
        </w:rPr>
        <w:t xml:space="preserve"> </w:t>
      </w:r>
      <w:r>
        <w:rPr>
          <w:spacing w:val="-31"/>
        </w:rPr>
        <w:t xml:space="preserve">万个，医院 </w:t>
      </w:r>
      <w:r>
        <w:rPr>
          <w:rFonts w:ascii="Bookman Old Style" w:eastAsia="Bookman Old Style"/>
          <w:b w:val="0"/>
        </w:rPr>
        <w:t xml:space="preserve">22.5 </w:t>
      </w:r>
      <w:r>
        <w:rPr>
          <w:spacing w:val="2"/>
        </w:rPr>
        <w:t xml:space="preserve">万个。企业因办这些社会性事业须多支出 </w:t>
      </w:r>
      <w:r>
        <w:rPr>
          <w:rFonts w:ascii="Bookman Old Style" w:eastAsia="Bookman Old Style"/>
          <w:b w:val="0"/>
        </w:rPr>
        <w:t>600</w:t>
      </w:r>
      <w:r>
        <w:rPr>
          <w:rFonts w:ascii="Bookman Old Style" w:eastAsia="Bookman Old Style"/>
          <w:b w:val="0"/>
          <w:spacing w:val="30"/>
        </w:rPr>
        <w:t xml:space="preserve"> </w:t>
      </w:r>
      <w:r>
        <w:t>多亿元。目前国有企业离退休职工人数已达</w:t>
      </w:r>
      <w:r>
        <w:rPr>
          <w:rFonts w:ascii="Bookman Old Style" w:eastAsia="Bookman Old Style"/>
          <w:b w:val="0"/>
        </w:rPr>
        <w:t>2000</w:t>
      </w:r>
      <w:r>
        <w:t>－</w:t>
      </w:r>
      <w:r>
        <w:rPr>
          <w:rFonts w:ascii="Bookman Old Style" w:eastAsia="Bookman Old Style"/>
          <w:b w:val="0"/>
        </w:rPr>
        <w:t>3000</w:t>
      </w:r>
      <w:r>
        <w:rPr>
          <w:rFonts w:ascii="Bookman Old Style" w:eastAsia="Bookman Old Style"/>
          <w:b w:val="0"/>
          <w:spacing w:val="-29"/>
        </w:rPr>
        <w:t xml:space="preserve"> </w:t>
      </w:r>
      <w:r>
        <w:rPr>
          <w:spacing w:val="-7"/>
        </w:rPr>
        <w:t xml:space="preserve">多万人，每年企业要支付退休金 </w:t>
      </w:r>
      <w:r>
        <w:rPr>
          <w:rFonts w:ascii="Bookman Old Style" w:eastAsia="Bookman Old Style"/>
          <w:b w:val="0"/>
        </w:rPr>
        <w:t>1200</w:t>
      </w:r>
      <w:r>
        <w:rPr>
          <w:rFonts w:ascii="Bookman Old Style" w:eastAsia="Bookman Old Style"/>
          <w:b w:val="0"/>
          <w:spacing w:val="-32"/>
        </w:rPr>
        <w:t xml:space="preserve"> </w:t>
      </w:r>
      <w:r>
        <w:t>多亿元。</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7"/>
        </w:rPr>
      </w:pPr>
      <w:r>
        <w:pict>
          <v:shape id="_x0000_s1053" style="width:218pt;height:0.1pt;margin-top:14.31pt;margin-left:134pt;mso-position-horizontal-relative:page;mso-wrap-distance-left:0;mso-wrap-distance-right:0;position:absolute;z-index:-251626496" coordorigin="2680,286" coordsize="4360,0" path="m2680,286l7040,286e" filled="f" stroked="t" strokecolor="black" strokeweight="2pt">
            <v:stroke dashstyle="solid"/>
            <v:path arrowok="t"/>
            <w10:wrap type="topAndBottom"/>
          </v:shape>
        </w:pict>
      </w:r>
    </w:p>
    <w:p>
      <w:pPr>
        <w:pStyle w:val="ListParagraph"/>
        <w:numPr>
          <w:ilvl w:val="0"/>
          <w:numId w:val="27"/>
        </w:numPr>
        <w:tabs>
          <w:tab w:val="left" w:pos="624"/>
        </w:tabs>
        <w:spacing w:before="168" w:after="0" w:line="242" w:lineRule="auto"/>
        <w:ind w:left="667" w:right="1398" w:hanging="270"/>
        <w:jc w:val="left"/>
        <w:rPr>
          <w:rFonts w:ascii="Bookman Old Style" w:eastAsia="Bookman Old Style"/>
          <w:b w:val="0"/>
          <w:sz w:val="18"/>
        </w:rPr>
      </w:pPr>
      <w:r>
        <w:rPr>
          <w:rFonts w:ascii="Bookman Old Style" w:eastAsia="Bookman Old Style"/>
          <w:b w:val="0"/>
          <w:w w:val="85"/>
          <w:sz w:val="27"/>
        </w:rPr>
        <w:t xml:space="preserve">World </w:t>
      </w:r>
      <w:r>
        <w:rPr>
          <w:rFonts w:ascii="Bookman Old Style" w:eastAsia="Bookman Old Style"/>
          <w:b w:val="0"/>
          <w:spacing w:val="-9"/>
          <w:w w:val="85"/>
          <w:sz w:val="27"/>
        </w:rPr>
        <w:t>Bank</w:t>
      </w:r>
      <w:r>
        <w:rPr>
          <w:spacing w:val="-9"/>
          <w:w w:val="85"/>
          <w:sz w:val="27"/>
        </w:rPr>
        <w:t>，</w:t>
      </w:r>
      <w:r>
        <w:rPr>
          <w:rFonts w:ascii="Bookman Old Style" w:eastAsia="Bookman Old Style"/>
          <w:b w:val="0"/>
          <w:spacing w:val="-9"/>
          <w:w w:val="85"/>
          <w:sz w:val="27"/>
        </w:rPr>
        <w:t xml:space="preserve">The </w:t>
      </w:r>
      <w:r>
        <w:rPr>
          <w:rFonts w:ascii="Bookman Old Style" w:eastAsia="Bookman Old Style"/>
          <w:b w:val="0"/>
          <w:w w:val="85"/>
          <w:sz w:val="27"/>
        </w:rPr>
        <w:t xml:space="preserve">Chinese </w:t>
      </w:r>
      <w:r>
        <w:rPr>
          <w:rFonts w:ascii="Bookman Old Style" w:eastAsia="Bookman Old Style"/>
          <w:b w:val="0"/>
          <w:spacing w:val="-3"/>
          <w:w w:val="85"/>
          <w:sz w:val="27"/>
        </w:rPr>
        <w:t>Economy</w:t>
      </w:r>
      <w:r>
        <w:rPr>
          <w:spacing w:val="-3"/>
          <w:w w:val="85"/>
          <w:sz w:val="27"/>
        </w:rPr>
        <w:t>：</w:t>
      </w:r>
      <w:r>
        <w:rPr>
          <w:rFonts w:ascii="Bookman Old Style" w:eastAsia="Bookman Old Style"/>
          <w:b w:val="0"/>
          <w:spacing w:val="-3"/>
          <w:w w:val="85"/>
          <w:sz w:val="27"/>
        </w:rPr>
        <w:t>Fighting Inflation</w:t>
      </w:r>
      <w:r>
        <w:rPr>
          <w:spacing w:val="-3"/>
          <w:w w:val="85"/>
          <w:sz w:val="27"/>
        </w:rPr>
        <w:t>，</w:t>
      </w:r>
      <w:r>
        <w:rPr>
          <w:rFonts w:ascii="Bookman Old Style" w:eastAsia="Bookman Old Style"/>
          <w:b w:val="0"/>
          <w:spacing w:val="-3"/>
          <w:w w:val="85"/>
          <w:sz w:val="27"/>
        </w:rPr>
        <w:t xml:space="preserve">Deepening </w:t>
      </w:r>
      <w:r>
        <w:rPr>
          <w:rFonts w:ascii="Bookman Old Style" w:eastAsia="Bookman Old Style"/>
          <w:b w:val="0"/>
          <w:w w:val="85"/>
          <w:sz w:val="27"/>
        </w:rPr>
        <w:t xml:space="preserve">Reforms . </w:t>
      </w:r>
      <w:r>
        <w:rPr>
          <w:rFonts w:ascii="Bookman Old Style" w:eastAsia="Bookman Old Style"/>
          <w:b w:val="0"/>
          <w:spacing w:val="-4"/>
          <w:w w:val="85"/>
          <w:sz w:val="27"/>
        </w:rPr>
        <w:t>vol.1</w:t>
      </w:r>
      <w:r>
        <w:rPr>
          <w:spacing w:val="-4"/>
          <w:w w:val="85"/>
          <w:sz w:val="27"/>
        </w:rPr>
        <w:t>，</w:t>
      </w:r>
      <w:r>
        <w:rPr>
          <w:rFonts w:ascii="Bookman Old Style" w:eastAsia="Bookman Old Style"/>
          <w:b w:val="0"/>
          <w:spacing w:val="-4"/>
          <w:w w:val="85"/>
          <w:sz w:val="27"/>
        </w:rPr>
        <w:t xml:space="preserve">Report </w:t>
      </w:r>
      <w:r>
        <w:rPr>
          <w:rFonts w:ascii="Bookman Old Style" w:eastAsia="Bookman Old Style"/>
          <w:b w:val="0"/>
          <w:w w:val="85"/>
          <w:sz w:val="27"/>
        </w:rPr>
        <w:t xml:space="preserve">No. </w:t>
      </w:r>
      <w:r>
        <w:rPr>
          <w:rFonts w:ascii="Bookman Old Style" w:eastAsia="Bookman Old Style"/>
          <w:b w:val="0"/>
          <w:spacing w:val="-3"/>
          <w:w w:val="85"/>
          <w:sz w:val="27"/>
        </w:rPr>
        <w:t>15288-CHA</w:t>
      </w:r>
      <w:r>
        <w:rPr>
          <w:spacing w:val="-3"/>
          <w:w w:val="85"/>
          <w:sz w:val="27"/>
        </w:rPr>
        <w:t xml:space="preserve">， </w:t>
      </w:r>
      <w:r>
        <w:rPr>
          <w:rFonts w:ascii="Bookman Old Style" w:eastAsia="Bookman Old Style"/>
          <w:b w:val="0"/>
          <w:w w:val="95"/>
          <w:sz w:val="27"/>
        </w:rPr>
        <w:t>1996</w:t>
      </w:r>
      <w:r>
        <w:rPr>
          <w:w w:val="95"/>
          <w:sz w:val="27"/>
        </w:rPr>
        <w:t>，</w:t>
      </w:r>
      <w:r>
        <w:rPr>
          <w:rFonts w:ascii="Bookman Old Style" w:eastAsia="Bookman Old Style"/>
          <w:b w:val="0"/>
          <w:w w:val="95"/>
          <w:sz w:val="27"/>
        </w:rPr>
        <w:t>pp19.</w:t>
      </w:r>
    </w:p>
    <w:p>
      <w:pPr>
        <w:pStyle w:val="ListParagraph"/>
        <w:numPr>
          <w:ilvl w:val="0"/>
          <w:numId w:val="27"/>
        </w:numPr>
        <w:tabs>
          <w:tab w:val="left" w:pos="714"/>
        </w:tabs>
        <w:spacing w:before="3" w:after="0" w:line="240" w:lineRule="auto"/>
        <w:ind w:left="713" w:right="0" w:hanging="317"/>
        <w:jc w:val="left"/>
        <w:rPr>
          <w:rFonts w:ascii="Bookman Old Style" w:eastAsia="Bookman Old Style"/>
          <w:sz w:val="18"/>
        </w:rPr>
      </w:pPr>
      <w:r>
        <w:rPr>
          <w:spacing w:val="-9"/>
          <w:sz w:val="27"/>
        </w:rPr>
        <w:t xml:space="preserve">《中国经济年鉴 </w:t>
      </w:r>
      <w:r>
        <w:rPr>
          <w:rFonts w:ascii="Bookman Old Style" w:eastAsia="Bookman Old Style"/>
          <w:b w:val="0"/>
          <w:sz w:val="27"/>
        </w:rPr>
        <w:t>1998</w:t>
      </w:r>
      <w:r>
        <w:rPr>
          <w:spacing w:val="-19"/>
          <w:sz w:val="27"/>
        </w:rPr>
        <w:t>》，改革出版社。</w:t>
      </w:r>
    </w:p>
    <w:p>
      <w:pPr>
        <w:spacing w:after="0" w:line="240" w:lineRule="auto"/>
        <w:jc w:val="left"/>
        <w:rPr>
          <w:rFonts w:ascii="Bookman Old Style" w:eastAsia="Bookman Old Style"/>
          <w:sz w:val="18"/>
        </w:rPr>
        <w:sectPr>
          <w:pgSz w:w="17860" w:h="25260"/>
          <w:pgMar w:top="1860" w:right="1160" w:bottom="280" w:left="2300" w:header="708" w:footer="708"/>
          <w:pgNumType w:start="17"/>
          <w:cols w:space="708"/>
        </w:sectPr>
      </w:pPr>
    </w:p>
    <w:p>
      <w:pPr>
        <w:pStyle w:val="BodyText"/>
        <w:tabs>
          <w:tab w:val="left" w:pos="1973"/>
        </w:tabs>
        <w:spacing w:before="49"/>
        <w:ind w:left="397"/>
        <w:rPr>
          <w:rFonts w:ascii="黑体" w:eastAsia="黑体" w:hint="eastAsia"/>
        </w:rPr>
      </w:pPr>
      <w:r>
        <w:drawing>
          <wp:anchor distT="0" distB="0" distL="0" distR="0" simplePos="0" relativeHeight="251691008" behindDoc="1" locked="0" layoutInCell="1" allowOverlap="1">
            <wp:simplePos x="0" y="0"/>
            <wp:positionH relativeFrom="page">
              <wp:posOffset>1587500</wp:posOffset>
            </wp:positionH>
            <wp:positionV relativeFrom="paragraph">
              <wp:posOffset>283075</wp:posOffset>
            </wp:positionV>
            <wp:extent cx="7633776" cy="2444972"/>
            <wp:effectExtent l="0" t="0" r="0" b="0"/>
            <wp:wrapNone/>
            <wp:docPr id="2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2.png"/>
                    <pic:cNvPicPr/>
                  </pic:nvPicPr>
                  <pic:blipFill>
                    <a:blip xmlns:r="http://schemas.openxmlformats.org/officeDocument/2006/relationships" r:embed="rId15" cstate="print"/>
                    <a:stretch>
                      <a:fillRect/>
                    </a:stretch>
                  </pic:blipFill>
                  <pic:spPr>
                    <a:xfrm>
                      <a:off x="0" y="0"/>
                      <a:ext cx="7633776" cy="2444972"/>
                    </a:xfrm>
                    <a:prstGeom prst="rect">
                      <a:avLst/>
                    </a:prstGeom>
                  </pic:spPr>
                </pic:pic>
              </a:graphicData>
            </a:graphic>
          </wp:anchor>
        </w:drawing>
      </w:r>
      <w:r>
        <w:rPr>
          <w:rFonts w:ascii="黑体" w:eastAsia="黑体" w:hint="eastAsia"/>
        </w:rPr>
        <w:t>表4：</w:t>
        <w:tab/>
        <w:t>国有大、中型工业企业非生产、经营用固定资产的比例</w:t>
      </w:r>
      <w:r>
        <w:rPr>
          <w:rFonts w:ascii="黑体" w:eastAsia="黑体" w:hint="eastAsia"/>
          <w:spacing w:val="-28"/>
        </w:rPr>
        <w:t xml:space="preserve"> </w:t>
      </w:r>
      <w:r>
        <w:rPr>
          <w:rFonts w:ascii="黑体" w:eastAsia="黑体" w:hint="eastAsia"/>
        </w:rPr>
        <w:t>（1996年）</w:t>
      </w:r>
    </w:p>
    <w:p>
      <w:pPr>
        <w:pStyle w:val="BodyText"/>
        <w:spacing w:before="6"/>
        <w:rPr>
          <w:rFonts w:ascii="黑体"/>
          <w:sz w:val="16"/>
        </w:rPr>
      </w:pPr>
    </w:p>
    <w:tbl>
      <w:tblPr>
        <w:tblStyle w:val="TableNormal3"/>
        <w:tblW w:w="0" w:type="auto"/>
        <w:jc w:val="left"/>
        <w:tblInd w:w="3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42"/>
        <w:gridCol w:w="3795"/>
        <w:gridCol w:w="5335"/>
      </w:tblGrid>
      <w:tr>
        <w:tblPrEx>
          <w:tblW w:w="0" w:type="auto"/>
          <w:jc w:val="left"/>
          <w:tblInd w:w="3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1"/>
          <w:jc w:val="left"/>
        </w:trPr>
        <w:tc>
          <w:tcPr>
            <w:tcW w:w="1942" w:type="dxa"/>
          </w:tcPr>
          <w:p>
            <w:pPr>
              <w:pStyle w:val="TableParagraph"/>
              <w:spacing w:before="0" w:line="308" w:lineRule="exact"/>
              <w:ind w:left="50"/>
              <w:rPr>
                <w:sz w:val="27"/>
              </w:rPr>
            </w:pPr>
            <w:r>
              <w:rPr>
                <w:sz w:val="27"/>
              </w:rPr>
              <w:t>项目</w:t>
            </w:r>
          </w:p>
        </w:tc>
        <w:tc>
          <w:tcPr>
            <w:tcW w:w="3795" w:type="dxa"/>
          </w:tcPr>
          <w:p>
            <w:pPr>
              <w:pStyle w:val="TableParagraph"/>
              <w:spacing w:before="0" w:line="308" w:lineRule="exact"/>
              <w:ind w:left="519" w:right="536"/>
              <w:jc w:val="center"/>
              <w:rPr>
                <w:sz w:val="27"/>
              </w:rPr>
            </w:pPr>
            <w:r>
              <w:rPr>
                <w:sz w:val="27"/>
              </w:rPr>
              <w:t>固定资产原值（亿元）</w:t>
            </w:r>
          </w:p>
        </w:tc>
        <w:tc>
          <w:tcPr>
            <w:tcW w:w="5335" w:type="dxa"/>
          </w:tcPr>
          <w:p>
            <w:pPr>
              <w:pStyle w:val="TableParagraph"/>
              <w:spacing w:before="0" w:line="308" w:lineRule="exact"/>
              <w:ind w:left="537" w:right="32"/>
              <w:jc w:val="center"/>
              <w:rPr>
                <w:sz w:val="27"/>
              </w:rPr>
            </w:pPr>
            <w:r>
              <w:rPr>
                <w:sz w:val="27"/>
              </w:rPr>
              <w:t>非生产经营用的固定资产所占比例（%）</w:t>
            </w:r>
          </w:p>
        </w:tc>
      </w:tr>
      <w:tr>
        <w:tblPrEx>
          <w:tblW w:w="0" w:type="auto"/>
          <w:jc w:val="left"/>
          <w:tblInd w:w="354" w:type="dxa"/>
          <w:tblLayout w:type="fixed"/>
          <w:tblCellMar>
            <w:top w:w="0" w:type="dxa"/>
            <w:left w:w="0" w:type="dxa"/>
            <w:bottom w:w="0" w:type="dxa"/>
            <w:right w:w="0" w:type="dxa"/>
          </w:tblCellMar>
          <w:tblLook w:val="01E0"/>
        </w:tblPrEx>
        <w:trPr>
          <w:trHeight w:val="714"/>
          <w:jc w:val="left"/>
        </w:trPr>
        <w:tc>
          <w:tcPr>
            <w:tcW w:w="1942" w:type="dxa"/>
          </w:tcPr>
          <w:p>
            <w:pPr>
              <w:pStyle w:val="TableParagraph"/>
              <w:spacing w:before="73"/>
              <w:ind w:left="50"/>
              <w:rPr>
                <w:sz w:val="27"/>
              </w:rPr>
            </w:pPr>
            <w:r>
              <w:rPr>
                <w:sz w:val="27"/>
              </w:rPr>
              <w:t>全部企业</w:t>
            </w:r>
          </w:p>
        </w:tc>
        <w:tc>
          <w:tcPr>
            <w:tcW w:w="3795" w:type="dxa"/>
          </w:tcPr>
          <w:p>
            <w:pPr>
              <w:pStyle w:val="TableParagraph"/>
              <w:spacing w:before="73"/>
              <w:ind w:left="519" w:right="534"/>
              <w:jc w:val="center"/>
              <w:rPr>
                <w:sz w:val="27"/>
              </w:rPr>
            </w:pPr>
            <w:r>
              <w:rPr>
                <w:sz w:val="27"/>
              </w:rPr>
              <w:t>29879.70</w:t>
            </w:r>
          </w:p>
        </w:tc>
        <w:tc>
          <w:tcPr>
            <w:tcW w:w="5335" w:type="dxa"/>
          </w:tcPr>
          <w:p>
            <w:pPr>
              <w:pStyle w:val="TableParagraph"/>
              <w:spacing w:before="73"/>
              <w:ind w:left="531" w:right="32"/>
              <w:jc w:val="center"/>
              <w:rPr>
                <w:sz w:val="27"/>
              </w:rPr>
            </w:pPr>
            <w:r>
              <w:rPr>
                <w:sz w:val="27"/>
              </w:rPr>
              <w:t>21.94</w:t>
            </w:r>
          </w:p>
        </w:tc>
      </w:tr>
      <w:tr>
        <w:tblPrEx>
          <w:tblW w:w="0" w:type="auto"/>
          <w:jc w:val="left"/>
          <w:tblInd w:w="354" w:type="dxa"/>
          <w:tblLayout w:type="fixed"/>
          <w:tblCellMar>
            <w:top w:w="0" w:type="dxa"/>
            <w:left w:w="0" w:type="dxa"/>
            <w:bottom w:w="0" w:type="dxa"/>
            <w:right w:w="0" w:type="dxa"/>
          </w:tblCellMar>
          <w:tblLook w:val="01E0"/>
        </w:tblPrEx>
        <w:trPr>
          <w:trHeight w:val="701"/>
          <w:jc w:val="left"/>
        </w:trPr>
        <w:tc>
          <w:tcPr>
            <w:tcW w:w="1942" w:type="dxa"/>
          </w:tcPr>
          <w:p>
            <w:pPr>
              <w:pStyle w:val="TableParagraph"/>
              <w:spacing w:before="0"/>
              <w:rPr>
                <w:rFonts w:ascii="黑体"/>
                <w:sz w:val="23"/>
              </w:rPr>
            </w:pPr>
          </w:p>
          <w:p>
            <w:pPr>
              <w:pStyle w:val="TableParagraph"/>
              <w:spacing w:before="0"/>
              <w:ind w:left="323"/>
              <w:rPr>
                <w:sz w:val="27"/>
              </w:rPr>
            </w:pPr>
            <w:r>
              <w:rPr>
                <w:sz w:val="27"/>
              </w:rPr>
              <w:t>轻工业</w:t>
            </w:r>
          </w:p>
        </w:tc>
        <w:tc>
          <w:tcPr>
            <w:tcW w:w="3795" w:type="dxa"/>
          </w:tcPr>
          <w:p>
            <w:pPr>
              <w:pStyle w:val="TableParagraph"/>
              <w:spacing w:before="0"/>
              <w:rPr>
                <w:rFonts w:ascii="黑体"/>
                <w:sz w:val="23"/>
              </w:rPr>
            </w:pPr>
          </w:p>
          <w:p>
            <w:pPr>
              <w:pStyle w:val="TableParagraph"/>
              <w:spacing w:before="0"/>
              <w:ind w:left="516" w:right="536"/>
              <w:jc w:val="center"/>
              <w:rPr>
                <w:sz w:val="27"/>
              </w:rPr>
            </w:pPr>
            <w:r>
              <w:rPr>
                <w:sz w:val="27"/>
              </w:rPr>
              <w:t>5438.44</w:t>
            </w:r>
          </w:p>
        </w:tc>
        <w:tc>
          <w:tcPr>
            <w:tcW w:w="5335" w:type="dxa"/>
          </w:tcPr>
          <w:p>
            <w:pPr>
              <w:pStyle w:val="TableParagraph"/>
              <w:spacing w:before="0"/>
              <w:rPr>
                <w:rFonts w:ascii="黑体"/>
                <w:sz w:val="23"/>
              </w:rPr>
            </w:pPr>
          </w:p>
          <w:p>
            <w:pPr>
              <w:pStyle w:val="TableParagraph"/>
              <w:spacing w:before="0"/>
              <w:ind w:left="531" w:right="32"/>
              <w:jc w:val="center"/>
              <w:rPr>
                <w:sz w:val="27"/>
              </w:rPr>
            </w:pPr>
            <w:r>
              <w:rPr>
                <w:sz w:val="27"/>
              </w:rPr>
              <w:t>22.54</w:t>
            </w:r>
          </w:p>
        </w:tc>
      </w:tr>
      <w:tr>
        <w:tblPrEx>
          <w:tblW w:w="0" w:type="auto"/>
          <w:jc w:val="left"/>
          <w:tblInd w:w="354" w:type="dxa"/>
          <w:tblLayout w:type="fixed"/>
          <w:tblCellMar>
            <w:top w:w="0" w:type="dxa"/>
            <w:left w:w="0" w:type="dxa"/>
            <w:bottom w:w="0" w:type="dxa"/>
            <w:right w:w="0" w:type="dxa"/>
          </w:tblCellMar>
          <w:tblLook w:val="01E0"/>
        </w:tblPrEx>
        <w:trPr>
          <w:trHeight w:val="701"/>
          <w:jc w:val="left"/>
        </w:trPr>
        <w:tc>
          <w:tcPr>
            <w:tcW w:w="1942" w:type="dxa"/>
          </w:tcPr>
          <w:p>
            <w:pPr>
              <w:pStyle w:val="TableParagraph"/>
              <w:ind w:left="323"/>
              <w:rPr>
                <w:sz w:val="27"/>
              </w:rPr>
            </w:pPr>
            <w:r>
              <w:rPr>
                <w:sz w:val="27"/>
              </w:rPr>
              <w:t>重工业</w:t>
            </w:r>
          </w:p>
        </w:tc>
        <w:tc>
          <w:tcPr>
            <w:tcW w:w="3795" w:type="dxa"/>
          </w:tcPr>
          <w:p>
            <w:pPr>
              <w:pStyle w:val="TableParagraph"/>
              <w:ind w:left="519" w:right="534"/>
              <w:jc w:val="center"/>
              <w:rPr>
                <w:sz w:val="27"/>
              </w:rPr>
            </w:pPr>
            <w:r>
              <w:rPr>
                <w:sz w:val="27"/>
              </w:rPr>
              <w:t>24441.26</w:t>
            </w:r>
          </w:p>
        </w:tc>
        <w:tc>
          <w:tcPr>
            <w:tcW w:w="5335" w:type="dxa"/>
          </w:tcPr>
          <w:p>
            <w:pPr>
              <w:pStyle w:val="TableParagraph"/>
              <w:ind w:left="531" w:right="32"/>
              <w:jc w:val="center"/>
              <w:rPr>
                <w:sz w:val="27"/>
              </w:rPr>
            </w:pPr>
            <w:r>
              <w:rPr>
                <w:sz w:val="27"/>
              </w:rPr>
              <w:t>21.80</w:t>
            </w:r>
          </w:p>
        </w:tc>
      </w:tr>
      <w:tr>
        <w:tblPrEx>
          <w:tblW w:w="0" w:type="auto"/>
          <w:jc w:val="left"/>
          <w:tblInd w:w="354" w:type="dxa"/>
          <w:tblLayout w:type="fixed"/>
          <w:tblCellMar>
            <w:top w:w="0" w:type="dxa"/>
            <w:left w:w="0" w:type="dxa"/>
            <w:bottom w:w="0" w:type="dxa"/>
            <w:right w:w="0" w:type="dxa"/>
          </w:tblCellMar>
          <w:tblLook w:val="01E0"/>
        </w:tblPrEx>
        <w:trPr>
          <w:trHeight w:val="701"/>
          <w:jc w:val="left"/>
        </w:trPr>
        <w:tc>
          <w:tcPr>
            <w:tcW w:w="1942" w:type="dxa"/>
          </w:tcPr>
          <w:p>
            <w:pPr>
              <w:pStyle w:val="TableParagraph"/>
              <w:spacing w:before="0"/>
              <w:rPr>
                <w:rFonts w:ascii="黑体"/>
                <w:sz w:val="23"/>
              </w:rPr>
            </w:pPr>
          </w:p>
          <w:p>
            <w:pPr>
              <w:pStyle w:val="TableParagraph"/>
              <w:spacing w:before="0"/>
              <w:ind w:right="536"/>
              <w:jc w:val="right"/>
              <w:rPr>
                <w:sz w:val="27"/>
              </w:rPr>
            </w:pPr>
            <w:r>
              <w:rPr>
                <w:sz w:val="27"/>
              </w:rPr>
              <w:t>大型企业</w:t>
            </w:r>
          </w:p>
        </w:tc>
        <w:tc>
          <w:tcPr>
            <w:tcW w:w="3795" w:type="dxa"/>
          </w:tcPr>
          <w:p>
            <w:pPr>
              <w:pStyle w:val="TableParagraph"/>
              <w:spacing w:before="0"/>
              <w:rPr>
                <w:rFonts w:ascii="黑体"/>
                <w:sz w:val="23"/>
              </w:rPr>
            </w:pPr>
          </w:p>
          <w:p>
            <w:pPr>
              <w:pStyle w:val="TableParagraph"/>
              <w:spacing w:before="0"/>
              <w:ind w:left="519" w:right="534"/>
              <w:jc w:val="center"/>
              <w:rPr>
                <w:sz w:val="27"/>
              </w:rPr>
            </w:pPr>
            <w:r>
              <w:rPr>
                <w:sz w:val="27"/>
              </w:rPr>
              <w:t>23872.73</w:t>
            </w:r>
          </w:p>
        </w:tc>
        <w:tc>
          <w:tcPr>
            <w:tcW w:w="5335" w:type="dxa"/>
          </w:tcPr>
          <w:p>
            <w:pPr>
              <w:pStyle w:val="TableParagraph"/>
              <w:spacing w:before="0"/>
              <w:rPr>
                <w:rFonts w:ascii="黑体"/>
                <w:sz w:val="23"/>
              </w:rPr>
            </w:pPr>
          </w:p>
          <w:p>
            <w:pPr>
              <w:pStyle w:val="TableParagraph"/>
              <w:spacing w:before="0"/>
              <w:ind w:left="531" w:right="32"/>
              <w:jc w:val="center"/>
              <w:rPr>
                <w:sz w:val="27"/>
              </w:rPr>
            </w:pPr>
            <w:r>
              <w:rPr>
                <w:sz w:val="27"/>
              </w:rPr>
              <w:t>21.31</w:t>
            </w:r>
          </w:p>
        </w:tc>
      </w:tr>
      <w:tr>
        <w:tblPrEx>
          <w:tblW w:w="0" w:type="auto"/>
          <w:jc w:val="left"/>
          <w:tblInd w:w="354" w:type="dxa"/>
          <w:tblLayout w:type="fixed"/>
          <w:tblCellMar>
            <w:top w:w="0" w:type="dxa"/>
            <w:left w:w="0" w:type="dxa"/>
            <w:bottom w:w="0" w:type="dxa"/>
            <w:right w:w="0" w:type="dxa"/>
          </w:tblCellMar>
          <w:tblLook w:val="01E0"/>
        </w:tblPrEx>
        <w:trPr>
          <w:trHeight w:val="369"/>
          <w:jc w:val="left"/>
        </w:trPr>
        <w:tc>
          <w:tcPr>
            <w:tcW w:w="1942" w:type="dxa"/>
          </w:tcPr>
          <w:p>
            <w:pPr>
              <w:pStyle w:val="TableParagraph"/>
              <w:spacing w:line="288" w:lineRule="exact"/>
              <w:ind w:right="536"/>
              <w:jc w:val="right"/>
              <w:rPr>
                <w:sz w:val="27"/>
              </w:rPr>
            </w:pPr>
            <w:r>
              <w:rPr>
                <w:sz w:val="27"/>
              </w:rPr>
              <w:t>中型企业</w:t>
            </w:r>
          </w:p>
        </w:tc>
        <w:tc>
          <w:tcPr>
            <w:tcW w:w="3795" w:type="dxa"/>
          </w:tcPr>
          <w:p>
            <w:pPr>
              <w:pStyle w:val="TableParagraph"/>
              <w:spacing w:line="288" w:lineRule="exact"/>
              <w:ind w:left="516" w:right="536"/>
              <w:jc w:val="center"/>
              <w:rPr>
                <w:sz w:val="27"/>
              </w:rPr>
            </w:pPr>
            <w:r>
              <w:rPr>
                <w:sz w:val="27"/>
              </w:rPr>
              <w:t>6006.97</w:t>
            </w:r>
          </w:p>
        </w:tc>
        <w:tc>
          <w:tcPr>
            <w:tcW w:w="5335" w:type="dxa"/>
          </w:tcPr>
          <w:p>
            <w:pPr>
              <w:pStyle w:val="TableParagraph"/>
              <w:spacing w:line="288" w:lineRule="exact"/>
              <w:ind w:left="531" w:right="32"/>
              <w:jc w:val="center"/>
              <w:rPr>
                <w:sz w:val="27"/>
              </w:rPr>
            </w:pPr>
            <w:r>
              <w:rPr>
                <w:sz w:val="27"/>
              </w:rPr>
              <w:t>24.41</w:t>
            </w:r>
          </w:p>
        </w:tc>
      </w:tr>
    </w:tbl>
    <w:p>
      <w:pPr>
        <w:spacing w:before="203"/>
        <w:ind w:left="397" w:right="0" w:firstLine="0"/>
        <w:jc w:val="left"/>
        <w:rPr>
          <w:sz w:val="27"/>
        </w:rPr>
      </w:pPr>
      <w:r>
        <w:rPr>
          <w:sz w:val="27"/>
        </w:rPr>
        <w:t>资料来源：根据《中国大中型企业年鉴 1997</w:t>
      </w:r>
      <w:r>
        <w:rPr>
          <w:spacing w:val="-137"/>
          <w:sz w:val="27"/>
        </w:rPr>
        <w:t>》</w:t>
      </w:r>
      <w:r>
        <w:rPr>
          <w:sz w:val="27"/>
        </w:rPr>
        <w:t>（中国统计出版社）有关资料计算而得。</w:t>
      </w:r>
    </w:p>
    <w:p>
      <w:pPr>
        <w:pStyle w:val="BodyText"/>
        <w:rPr>
          <w:sz w:val="26"/>
        </w:rPr>
      </w:pPr>
    </w:p>
    <w:p>
      <w:pPr>
        <w:pStyle w:val="ListParagraph"/>
        <w:numPr>
          <w:ilvl w:val="1"/>
          <w:numId w:val="28"/>
        </w:numPr>
        <w:tabs>
          <w:tab w:val="left" w:pos="1567"/>
        </w:tabs>
        <w:spacing w:before="198" w:after="0" w:line="240" w:lineRule="auto"/>
        <w:ind w:left="1567" w:right="0" w:hanging="631"/>
        <w:jc w:val="both"/>
        <w:rPr>
          <w:sz w:val="31"/>
        </w:rPr>
      </w:pPr>
      <w:r>
        <w:rPr>
          <w:sz w:val="31"/>
        </w:rPr>
        <w:t>按规范的贸易规则进行政策调整带来的减利因素</w:t>
      </w:r>
    </w:p>
    <w:p>
      <w:pPr>
        <w:pStyle w:val="BodyText"/>
        <w:spacing w:before="72" w:line="283" w:lineRule="auto"/>
        <w:ind w:left="397" w:right="1328" w:firstLine="539"/>
        <w:jc w:val="both"/>
      </w:pPr>
      <w:r>
        <w:rPr>
          <w:spacing w:val="-5"/>
        </w:rPr>
        <w:t xml:space="preserve">加入 </w:t>
      </w:r>
      <w:r>
        <w:t>WTO</w:t>
      </w:r>
      <w:r>
        <w:rPr>
          <w:spacing w:val="-9"/>
        </w:rPr>
        <w:t xml:space="preserve"> 是中国和相关国家的多边的市场开放过程，也是中国按照国际竞争规则进行政策</w:t>
      </w:r>
      <w:r>
        <w:rPr>
          <w:spacing w:val="-17"/>
        </w:rPr>
        <w:t>结构调整的过程。目前我国国有企业享受的保护有三重。第一重保护，是政府通过关税和 非关税壁垒，保护国内市场不被外国企业占领；第二重保护，是一些产业的国有企业享有人 为</w:t>
      </w:r>
      <w:r>
        <w:rPr>
          <w:spacing w:val="-22"/>
        </w:rPr>
        <w:t>限制非国有企业进入的垄断政策保护；第三重保护是，政府对于那些因背负政策性负担的 国</w:t>
      </w:r>
      <w:r>
        <w:rPr>
          <w:spacing w:val="-18"/>
        </w:rPr>
        <w:t xml:space="preserve">有企业，通过扭曲产品和要素价格、政府财政、银行软贷款等方式进行补贴。加入 </w:t>
      </w:r>
      <w:r>
        <w:t>WTO 之</w:t>
      </w:r>
      <w:r>
        <w:rPr>
          <w:spacing w:val="-1"/>
        </w:rPr>
        <w:t>后，所有这些保护都将逐步取消，国有企业将以不利的条件，面对更加激烈的国际竞争。</w:t>
      </w:r>
    </w:p>
    <w:p>
      <w:pPr>
        <w:pStyle w:val="BodyText"/>
        <w:spacing w:line="283" w:lineRule="auto"/>
        <w:ind w:left="397" w:right="1328" w:firstLine="539"/>
      </w:pPr>
      <w:r>
        <w:t xml:space="preserve">国有企业虽然资本密集度高，成本水平高，背负着政策性负担，但在第一和第二重保护 </w:t>
      </w:r>
      <w:r>
        <w:rPr>
          <w:spacing w:val="-2"/>
        </w:rPr>
        <w:t>之下，其国内市场地位还比较巩固，还能勉强生存。但加入</w:t>
      </w:r>
      <w:r>
        <w:t>WTO 之后，市场逐渐开放，发达</w:t>
      </w:r>
      <w:r>
        <w:rPr>
          <w:spacing w:val="-1"/>
        </w:rPr>
        <w:t>国家的企业要进入中国市场。这些企业一方面没有政策性负担；另一方面其母国资本密集， 因而当其从事和中国国有企业同样资本密集度的产业时，成本水平一定低于中国国有企业。</w:t>
      </w:r>
      <w:r>
        <w:rPr>
          <w:spacing w:val="-10"/>
        </w:rPr>
        <w:t>即使是目前赢利的中国电信企业，如果资金来源主要依赖国内，那么在国际竞争中，无疑也  将处于劣势。</w:t>
      </w:r>
    </w:p>
    <w:p>
      <w:pPr>
        <w:pStyle w:val="BodyText"/>
        <w:spacing w:line="283" w:lineRule="auto"/>
        <w:ind w:left="397" w:right="1328" w:firstLine="539"/>
      </w:pPr>
      <w:r>
        <w:rPr>
          <w:spacing w:val="-6"/>
          <w:w w:val="102"/>
        </w:rPr>
        <w:t>目前国有企业因种种原因获得的第三重保护，数额巨大</w:t>
      </w:r>
      <w:r>
        <w:rPr>
          <w:w w:val="102"/>
        </w:rPr>
        <w:t>（见表</w:t>
      </w:r>
      <w:r>
        <w:rPr>
          <w:spacing w:val="-80"/>
        </w:rPr>
        <w:t xml:space="preserve"> </w:t>
      </w:r>
      <w:r>
        <w:rPr>
          <w:spacing w:val="-1"/>
          <w:w w:val="102"/>
        </w:rPr>
        <w:t>5</w:t>
      </w:r>
      <w:r>
        <w:rPr>
          <w:spacing w:val="-162"/>
          <w:w w:val="102"/>
        </w:rPr>
        <w:t>）</w:t>
      </w:r>
      <w:r>
        <w:rPr>
          <w:spacing w:val="-7"/>
          <w:w w:val="102"/>
        </w:rPr>
        <w:t>。第三重保护纯系特殊</w:t>
      </w:r>
      <w:r>
        <w:rPr>
          <w:spacing w:val="-8"/>
        </w:rPr>
        <w:t>的国情使然，与贸易政策无关。但美国和欧盟却经常以这种补贴为据，提起反倾销诉讼。从</w:t>
      </w:r>
      <w:r>
        <w:rPr>
          <w:spacing w:val="-1"/>
        </w:rPr>
        <w:t>长远来看，这些补贴必须取消。而一旦取消这种补贴，国有企业的生存将面临极大的危机。</w:t>
      </w:r>
    </w:p>
    <w:p>
      <w:pPr>
        <w:pStyle w:val="BodyText"/>
        <w:rPr>
          <w:sz w:val="32"/>
        </w:rPr>
      </w:pPr>
    </w:p>
    <w:p>
      <w:pPr>
        <w:pStyle w:val="BodyText"/>
        <w:spacing w:before="4"/>
        <w:rPr>
          <w:sz w:val="40"/>
        </w:rPr>
      </w:pPr>
    </w:p>
    <w:p>
      <w:pPr>
        <w:pStyle w:val="BodyText"/>
        <w:tabs>
          <w:tab w:val="left" w:pos="5833"/>
        </w:tabs>
        <w:ind w:left="397"/>
        <w:rPr>
          <w:rFonts w:ascii="黑体" w:eastAsia="黑体" w:hint="eastAsia"/>
        </w:rPr>
      </w:pPr>
      <w:r>
        <w:drawing>
          <wp:anchor distT="0" distB="0" distL="0" distR="0" simplePos="0" relativeHeight="251692032" behindDoc="1" locked="0" layoutInCell="1" allowOverlap="1">
            <wp:simplePos x="0" y="0"/>
            <wp:positionH relativeFrom="page">
              <wp:posOffset>1600200</wp:posOffset>
            </wp:positionH>
            <wp:positionV relativeFrom="paragraph">
              <wp:posOffset>576071</wp:posOffset>
            </wp:positionV>
            <wp:extent cx="8120348" cy="25336"/>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16" cstate="print"/>
                    <a:stretch>
                      <a:fillRect/>
                    </a:stretch>
                  </pic:blipFill>
                  <pic:spPr>
                    <a:xfrm>
                      <a:off x="0" y="0"/>
                      <a:ext cx="8120348" cy="25336"/>
                    </a:xfrm>
                    <a:prstGeom prst="rect">
                      <a:avLst/>
                    </a:prstGeom>
                  </pic:spPr>
                </pic:pic>
              </a:graphicData>
            </a:graphic>
          </wp:anchor>
        </w:drawing>
      </w:r>
      <w:r>
        <w:rPr>
          <w:rFonts w:ascii="黑体" w:eastAsia="黑体" w:hint="eastAsia"/>
        </w:rPr>
        <w:t>表</w:t>
      </w:r>
      <w:r>
        <w:rPr>
          <w:rFonts w:ascii="黑体" w:eastAsia="黑体" w:hint="eastAsia"/>
          <w:spacing w:val="-72"/>
        </w:rPr>
        <w:t xml:space="preserve"> </w:t>
      </w:r>
      <w:r>
        <w:rPr>
          <w:rFonts w:ascii="黑体" w:eastAsia="黑体" w:hint="eastAsia"/>
        </w:rPr>
        <w:t>5：</w:t>
        <w:tab/>
        <w:t>国有企业获得的补贴</w:t>
      </w:r>
      <w:r>
        <w:rPr>
          <w:rFonts w:ascii="黑体" w:eastAsia="黑体" w:hint="eastAsia"/>
          <w:spacing w:val="61"/>
        </w:rPr>
        <w:t>占</w:t>
      </w:r>
      <w:r>
        <w:rPr>
          <w:rFonts w:ascii="黑体" w:eastAsia="黑体" w:hint="eastAsia"/>
        </w:rPr>
        <w:t>GDP</w:t>
      </w:r>
      <w:r>
        <w:rPr>
          <w:rFonts w:ascii="黑体" w:eastAsia="黑体" w:hint="eastAsia"/>
          <w:spacing w:val="-77"/>
        </w:rPr>
        <w:t xml:space="preserve"> </w:t>
      </w:r>
      <w:r>
        <w:rPr>
          <w:rFonts w:ascii="黑体" w:eastAsia="黑体" w:hint="eastAsia"/>
        </w:rPr>
        <w:t>的比例和形式</w:t>
      </w:r>
    </w:p>
    <w:p>
      <w:pPr>
        <w:pStyle w:val="BodyText"/>
        <w:spacing w:line="50" w:lineRule="exact"/>
        <w:ind w:left="220"/>
        <w:rPr>
          <w:rFonts w:ascii="黑体"/>
          <w:sz w:val="5"/>
        </w:rPr>
      </w:pPr>
      <w:r>
        <w:rPr>
          <w:rFonts w:ascii="黑体"/>
          <w:position w:val="0"/>
          <w:sz w:val="5"/>
        </w:rPr>
        <w:drawing>
          <wp:inline distT="0" distB="0" distL="0" distR="0">
            <wp:extent cx="8160940" cy="32003"/>
            <wp:effectExtent l="0" t="0" r="0" b="0"/>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4.png"/>
                    <pic:cNvPicPr/>
                  </pic:nvPicPr>
                  <pic:blipFill>
                    <a:blip xmlns:r="http://schemas.openxmlformats.org/officeDocument/2006/relationships" r:embed="rId17" cstate="print"/>
                    <a:stretch>
                      <a:fillRect/>
                    </a:stretch>
                  </pic:blipFill>
                  <pic:spPr>
                    <a:xfrm>
                      <a:off x="0" y="0"/>
                      <a:ext cx="8160940" cy="32003"/>
                    </a:xfrm>
                    <a:prstGeom prst="rect">
                      <a:avLst/>
                    </a:prstGeom>
                  </pic:spPr>
                </pic:pic>
              </a:graphicData>
            </a:graphic>
          </wp:inline>
        </w:drawing>
      </w:r>
    </w:p>
    <w:p>
      <w:pPr>
        <w:pStyle w:val="BodyText"/>
        <w:spacing w:before="10"/>
        <w:rPr>
          <w:rFonts w:ascii="黑体"/>
          <w:sz w:val="12"/>
        </w:rPr>
      </w:pPr>
    </w:p>
    <w:tbl>
      <w:tblPr>
        <w:tblStyle w:val="TableNormal3"/>
        <w:tblW w:w="0" w:type="auto"/>
        <w:jc w:val="left"/>
        <w:tblInd w:w="3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11"/>
        <w:gridCol w:w="1113"/>
        <w:gridCol w:w="1126"/>
        <w:gridCol w:w="1128"/>
        <w:gridCol w:w="1128"/>
        <w:gridCol w:w="1127"/>
        <w:gridCol w:w="1127"/>
        <w:gridCol w:w="1129"/>
        <w:gridCol w:w="1128"/>
        <w:gridCol w:w="1128"/>
        <w:gridCol w:w="886"/>
      </w:tblGrid>
      <w:tr>
        <w:tblPrEx>
          <w:tblW w:w="0" w:type="auto"/>
          <w:jc w:val="left"/>
          <w:tblInd w:w="3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9"/>
          <w:jc w:val="left"/>
        </w:trPr>
        <w:tc>
          <w:tcPr>
            <w:tcW w:w="1411" w:type="dxa"/>
          </w:tcPr>
          <w:p>
            <w:pPr>
              <w:pStyle w:val="TableParagraph"/>
              <w:spacing w:before="0" w:line="308" w:lineRule="exact"/>
              <w:ind w:left="50"/>
              <w:rPr>
                <w:sz w:val="27"/>
              </w:rPr>
            </w:pPr>
            <w:r>
              <w:rPr>
                <w:sz w:val="27"/>
              </w:rPr>
              <w:t>年份</w:t>
            </w:r>
          </w:p>
        </w:tc>
        <w:tc>
          <w:tcPr>
            <w:tcW w:w="1113" w:type="dxa"/>
          </w:tcPr>
          <w:p>
            <w:pPr>
              <w:pStyle w:val="TableParagraph"/>
              <w:spacing w:before="0" w:line="308" w:lineRule="exact"/>
              <w:ind w:right="290"/>
              <w:jc w:val="right"/>
              <w:rPr>
                <w:sz w:val="27"/>
              </w:rPr>
            </w:pPr>
            <w:r>
              <w:rPr>
                <w:sz w:val="27"/>
              </w:rPr>
              <w:t>1985</w:t>
            </w:r>
          </w:p>
        </w:tc>
        <w:tc>
          <w:tcPr>
            <w:tcW w:w="1126" w:type="dxa"/>
          </w:tcPr>
          <w:p>
            <w:pPr>
              <w:pStyle w:val="TableParagraph"/>
              <w:spacing w:before="0" w:line="308" w:lineRule="exact"/>
              <w:ind w:left="272" w:right="274"/>
              <w:jc w:val="center"/>
              <w:rPr>
                <w:sz w:val="27"/>
              </w:rPr>
            </w:pPr>
            <w:r>
              <w:rPr>
                <w:sz w:val="27"/>
              </w:rPr>
              <w:t>1986</w:t>
            </w:r>
          </w:p>
        </w:tc>
        <w:tc>
          <w:tcPr>
            <w:tcW w:w="1128" w:type="dxa"/>
          </w:tcPr>
          <w:p>
            <w:pPr>
              <w:pStyle w:val="TableParagraph"/>
              <w:spacing w:before="0" w:line="308" w:lineRule="exact"/>
              <w:ind w:left="261" w:right="262"/>
              <w:jc w:val="center"/>
              <w:rPr>
                <w:sz w:val="27"/>
              </w:rPr>
            </w:pPr>
            <w:r>
              <w:rPr>
                <w:sz w:val="27"/>
              </w:rPr>
              <w:t>1987</w:t>
            </w:r>
          </w:p>
        </w:tc>
        <w:tc>
          <w:tcPr>
            <w:tcW w:w="1128" w:type="dxa"/>
          </w:tcPr>
          <w:p>
            <w:pPr>
              <w:pStyle w:val="TableParagraph"/>
              <w:spacing w:before="0" w:line="308" w:lineRule="exact"/>
              <w:ind w:left="261" w:right="266"/>
              <w:jc w:val="center"/>
              <w:rPr>
                <w:sz w:val="27"/>
              </w:rPr>
            </w:pPr>
            <w:r>
              <w:rPr>
                <w:sz w:val="27"/>
              </w:rPr>
              <w:t>1988</w:t>
            </w:r>
          </w:p>
        </w:tc>
        <w:tc>
          <w:tcPr>
            <w:tcW w:w="1127" w:type="dxa"/>
          </w:tcPr>
          <w:p>
            <w:pPr>
              <w:pStyle w:val="TableParagraph"/>
              <w:spacing w:before="0" w:line="308" w:lineRule="exact"/>
              <w:ind w:left="268" w:right="273"/>
              <w:jc w:val="center"/>
              <w:rPr>
                <w:sz w:val="27"/>
              </w:rPr>
            </w:pPr>
            <w:r>
              <w:rPr>
                <w:sz w:val="27"/>
              </w:rPr>
              <w:t>1989</w:t>
            </w:r>
          </w:p>
        </w:tc>
        <w:tc>
          <w:tcPr>
            <w:tcW w:w="1127" w:type="dxa"/>
          </w:tcPr>
          <w:p>
            <w:pPr>
              <w:pStyle w:val="TableParagraph"/>
              <w:spacing w:before="0" w:line="308" w:lineRule="exact"/>
              <w:ind w:left="265" w:right="276"/>
              <w:jc w:val="center"/>
              <w:rPr>
                <w:sz w:val="27"/>
              </w:rPr>
            </w:pPr>
            <w:r>
              <w:rPr>
                <w:sz w:val="27"/>
              </w:rPr>
              <w:t>1990</w:t>
            </w:r>
          </w:p>
        </w:tc>
        <w:tc>
          <w:tcPr>
            <w:tcW w:w="1129" w:type="dxa"/>
          </w:tcPr>
          <w:p>
            <w:pPr>
              <w:pStyle w:val="TableParagraph"/>
              <w:spacing w:before="0" w:line="308" w:lineRule="exact"/>
              <w:ind w:left="267" w:right="281"/>
              <w:jc w:val="center"/>
              <w:rPr>
                <w:sz w:val="27"/>
              </w:rPr>
            </w:pPr>
            <w:r>
              <w:rPr>
                <w:sz w:val="27"/>
              </w:rPr>
              <w:t>1991</w:t>
            </w:r>
          </w:p>
        </w:tc>
        <w:tc>
          <w:tcPr>
            <w:tcW w:w="1128" w:type="dxa"/>
          </w:tcPr>
          <w:p>
            <w:pPr>
              <w:pStyle w:val="TableParagraph"/>
              <w:spacing w:before="0" w:line="308" w:lineRule="exact"/>
              <w:ind w:left="257" w:right="274"/>
              <w:jc w:val="center"/>
              <w:rPr>
                <w:sz w:val="27"/>
              </w:rPr>
            </w:pPr>
            <w:r>
              <w:rPr>
                <w:sz w:val="27"/>
              </w:rPr>
              <w:t>1992</w:t>
            </w:r>
          </w:p>
        </w:tc>
        <w:tc>
          <w:tcPr>
            <w:tcW w:w="1128" w:type="dxa"/>
          </w:tcPr>
          <w:p>
            <w:pPr>
              <w:pStyle w:val="TableParagraph"/>
              <w:spacing w:before="0" w:line="308" w:lineRule="exact"/>
              <w:ind w:left="249" w:right="274"/>
              <w:jc w:val="center"/>
              <w:rPr>
                <w:sz w:val="27"/>
              </w:rPr>
            </w:pPr>
            <w:r>
              <w:rPr>
                <w:sz w:val="27"/>
              </w:rPr>
              <w:t>1993</w:t>
            </w:r>
          </w:p>
        </w:tc>
        <w:tc>
          <w:tcPr>
            <w:tcW w:w="886" w:type="dxa"/>
          </w:tcPr>
          <w:p>
            <w:pPr>
              <w:pStyle w:val="TableParagraph"/>
              <w:spacing w:before="0" w:line="308" w:lineRule="exact"/>
              <w:ind w:right="64"/>
              <w:jc w:val="right"/>
              <w:rPr>
                <w:sz w:val="27"/>
              </w:rPr>
            </w:pPr>
            <w:r>
              <w:rPr>
                <w:sz w:val="27"/>
              </w:rPr>
              <w:t>1994</w:t>
            </w:r>
          </w:p>
        </w:tc>
      </w:tr>
      <w:tr>
        <w:tblPrEx>
          <w:tblW w:w="0" w:type="auto"/>
          <w:jc w:val="left"/>
          <w:tblInd w:w="354" w:type="dxa"/>
          <w:tblLayout w:type="fixed"/>
          <w:tblCellMar>
            <w:top w:w="0" w:type="dxa"/>
            <w:left w:w="0" w:type="dxa"/>
            <w:bottom w:w="0" w:type="dxa"/>
            <w:right w:w="0" w:type="dxa"/>
          </w:tblCellMar>
          <w:tblLook w:val="01E0"/>
        </w:tblPrEx>
        <w:trPr>
          <w:trHeight w:val="478"/>
          <w:jc w:val="left"/>
        </w:trPr>
        <w:tc>
          <w:tcPr>
            <w:tcW w:w="1411" w:type="dxa"/>
          </w:tcPr>
          <w:p>
            <w:pPr>
              <w:pStyle w:val="TableParagraph"/>
              <w:spacing w:before="72"/>
              <w:ind w:left="50"/>
              <w:rPr>
                <w:sz w:val="27"/>
              </w:rPr>
            </w:pPr>
            <w:r>
              <w:rPr>
                <w:sz w:val="27"/>
              </w:rPr>
              <w:t>全部补贴</w:t>
            </w:r>
          </w:p>
        </w:tc>
        <w:tc>
          <w:tcPr>
            <w:tcW w:w="1113" w:type="dxa"/>
          </w:tcPr>
          <w:p>
            <w:pPr>
              <w:pStyle w:val="TableParagraph"/>
              <w:spacing w:before="72"/>
              <w:ind w:right="360"/>
              <w:jc w:val="right"/>
              <w:rPr>
                <w:sz w:val="27"/>
              </w:rPr>
            </w:pPr>
            <w:r>
              <w:rPr>
                <w:sz w:val="27"/>
              </w:rPr>
              <w:t>9.9</w:t>
            </w:r>
          </w:p>
        </w:tc>
        <w:tc>
          <w:tcPr>
            <w:tcW w:w="1126" w:type="dxa"/>
          </w:tcPr>
          <w:p>
            <w:pPr>
              <w:pStyle w:val="TableParagraph"/>
              <w:spacing w:before="72"/>
              <w:ind w:left="272" w:right="274"/>
              <w:jc w:val="center"/>
              <w:rPr>
                <w:sz w:val="27"/>
              </w:rPr>
            </w:pPr>
            <w:r>
              <w:rPr>
                <w:sz w:val="27"/>
              </w:rPr>
              <w:t>9.9</w:t>
            </w:r>
          </w:p>
        </w:tc>
        <w:tc>
          <w:tcPr>
            <w:tcW w:w="1128" w:type="dxa"/>
          </w:tcPr>
          <w:p>
            <w:pPr>
              <w:pStyle w:val="TableParagraph"/>
              <w:spacing w:before="72"/>
              <w:ind w:left="261" w:right="262"/>
              <w:jc w:val="center"/>
              <w:rPr>
                <w:sz w:val="27"/>
              </w:rPr>
            </w:pPr>
            <w:r>
              <w:rPr>
                <w:sz w:val="27"/>
              </w:rPr>
              <w:t>10.2</w:t>
            </w:r>
          </w:p>
        </w:tc>
        <w:tc>
          <w:tcPr>
            <w:tcW w:w="1128" w:type="dxa"/>
          </w:tcPr>
          <w:p>
            <w:pPr>
              <w:pStyle w:val="TableParagraph"/>
              <w:spacing w:before="72"/>
              <w:ind w:left="261" w:right="263"/>
              <w:jc w:val="center"/>
              <w:rPr>
                <w:sz w:val="27"/>
              </w:rPr>
            </w:pPr>
            <w:r>
              <w:rPr>
                <w:sz w:val="27"/>
              </w:rPr>
              <w:t>7.0</w:t>
            </w:r>
          </w:p>
        </w:tc>
        <w:tc>
          <w:tcPr>
            <w:tcW w:w="1127" w:type="dxa"/>
          </w:tcPr>
          <w:p>
            <w:pPr>
              <w:pStyle w:val="TableParagraph"/>
              <w:spacing w:before="72"/>
              <w:ind w:left="268" w:right="271"/>
              <w:jc w:val="center"/>
              <w:rPr>
                <w:sz w:val="27"/>
              </w:rPr>
            </w:pPr>
            <w:r>
              <w:rPr>
                <w:sz w:val="27"/>
              </w:rPr>
              <w:t>6.8</w:t>
            </w:r>
          </w:p>
        </w:tc>
        <w:tc>
          <w:tcPr>
            <w:tcW w:w="1127" w:type="dxa"/>
          </w:tcPr>
          <w:p>
            <w:pPr>
              <w:pStyle w:val="TableParagraph"/>
              <w:spacing w:before="72"/>
              <w:ind w:left="259" w:right="276"/>
              <w:jc w:val="center"/>
              <w:rPr>
                <w:sz w:val="27"/>
              </w:rPr>
            </w:pPr>
            <w:r>
              <w:rPr>
                <w:sz w:val="27"/>
              </w:rPr>
              <w:t>6.2</w:t>
            </w:r>
          </w:p>
        </w:tc>
        <w:tc>
          <w:tcPr>
            <w:tcW w:w="1129" w:type="dxa"/>
          </w:tcPr>
          <w:p>
            <w:pPr>
              <w:pStyle w:val="TableParagraph"/>
              <w:spacing w:before="72"/>
              <w:ind w:left="267" w:right="279"/>
              <w:jc w:val="center"/>
              <w:rPr>
                <w:sz w:val="27"/>
              </w:rPr>
            </w:pPr>
            <w:r>
              <w:rPr>
                <w:sz w:val="27"/>
              </w:rPr>
              <w:t>5.8</w:t>
            </w:r>
          </w:p>
        </w:tc>
        <w:tc>
          <w:tcPr>
            <w:tcW w:w="1128" w:type="dxa"/>
          </w:tcPr>
          <w:p>
            <w:pPr>
              <w:pStyle w:val="TableParagraph"/>
              <w:spacing w:before="72"/>
              <w:ind w:left="252" w:right="274"/>
              <w:jc w:val="center"/>
              <w:rPr>
                <w:sz w:val="27"/>
              </w:rPr>
            </w:pPr>
            <w:r>
              <w:rPr>
                <w:sz w:val="27"/>
              </w:rPr>
              <w:t>7.5</w:t>
            </w:r>
          </w:p>
        </w:tc>
        <w:tc>
          <w:tcPr>
            <w:tcW w:w="1128" w:type="dxa"/>
          </w:tcPr>
          <w:p>
            <w:pPr>
              <w:pStyle w:val="TableParagraph"/>
              <w:spacing w:before="72"/>
              <w:ind w:left="251" w:right="274"/>
              <w:jc w:val="center"/>
              <w:rPr>
                <w:sz w:val="27"/>
              </w:rPr>
            </w:pPr>
            <w:r>
              <w:rPr>
                <w:sz w:val="27"/>
              </w:rPr>
              <w:t>6.3</w:t>
            </w:r>
          </w:p>
        </w:tc>
        <w:tc>
          <w:tcPr>
            <w:tcW w:w="886" w:type="dxa"/>
          </w:tcPr>
          <w:p>
            <w:pPr>
              <w:pStyle w:val="TableParagraph"/>
              <w:spacing w:before="72"/>
              <w:ind w:right="131"/>
              <w:jc w:val="right"/>
              <w:rPr>
                <w:sz w:val="27"/>
              </w:rPr>
            </w:pPr>
            <w:r>
              <w:rPr>
                <w:sz w:val="27"/>
              </w:rPr>
              <w:t>3.9</w:t>
            </w:r>
          </w:p>
        </w:tc>
      </w:tr>
      <w:tr>
        <w:tblPrEx>
          <w:tblW w:w="0" w:type="auto"/>
          <w:jc w:val="left"/>
          <w:tblInd w:w="354" w:type="dxa"/>
          <w:tblLayout w:type="fixed"/>
          <w:tblCellMar>
            <w:top w:w="0" w:type="dxa"/>
            <w:left w:w="0" w:type="dxa"/>
            <w:bottom w:w="0" w:type="dxa"/>
            <w:right w:w="0" w:type="dxa"/>
          </w:tblCellMar>
          <w:tblLook w:val="01E0"/>
        </w:tblPrEx>
        <w:trPr>
          <w:trHeight w:val="467"/>
          <w:jc w:val="left"/>
        </w:trPr>
        <w:tc>
          <w:tcPr>
            <w:tcW w:w="1411" w:type="dxa"/>
          </w:tcPr>
          <w:p>
            <w:pPr>
              <w:pStyle w:val="TableParagraph"/>
              <w:ind w:left="50"/>
              <w:rPr>
                <w:sz w:val="27"/>
              </w:rPr>
            </w:pPr>
            <w:r>
              <w:rPr>
                <w:sz w:val="27"/>
              </w:rPr>
              <w:t>预算渠道</w:t>
            </w:r>
          </w:p>
        </w:tc>
        <w:tc>
          <w:tcPr>
            <w:tcW w:w="1113" w:type="dxa"/>
          </w:tcPr>
          <w:p>
            <w:pPr>
              <w:pStyle w:val="TableParagraph"/>
              <w:ind w:right="360"/>
              <w:jc w:val="right"/>
              <w:rPr>
                <w:sz w:val="27"/>
              </w:rPr>
            </w:pPr>
            <w:r>
              <w:rPr>
                <w:sz w:val="27"/>
              </w:rPr>
              <w:t>7.5</w:t>
            </w:r>
          </w:p>
        </w:tc>
        <w:tc>
          <w:tcPr>
            <w:tcW w:w="1126" w:type="dxa"/>
          </w:tcPr>
          <w:p>
            <w:pPr>
              <w:pStyle w:val="TableParagraph"/>
              <w:ind w:left="272" w:right="274"/>
              <w:jc w:val="center"/>
              <w:rPr>
                <w:sz w:val="27"/>
              </w:rPr>
            </w:pPr>
            <w:r>
              <w:rPr>
                <w:sz w:val="27"/>
              </w:rPr>
              <w:t>7.5</w:t>
            </w:r>
          </w:p>
        </w:tc>
        <w:tc>
          <w:tcPr>
            <w:tcW w:w="1128" w:type="dxa"/>
          </w:tcPr>
          <w:p>
            <w:pPr>
              <w:pStyle w:val="TableParagraph"/>
              <w:ind w:left="261" w:right="269"/>
              <w:jc w:val="center"/>
              <w:rPr>
                <w:sz w:val="27"/>
              </w:rPr>
            </w:pPr>
            <w:r>
              <w:rPr>
                <w:sz w:val="27"/>
              </w:rPr>
              <w:t>7.2</w:t>
            </w:r>
          </w:p>
        </w:tc>
        <w:tc>
          <w:tcPr>
            <w:tcW w:w="1128" w:type="dxa"/>
          </w:tcPr>
          <w:p>
            <w:pPr>
              <w:pStyle w:val="TableParagraph"/>
              <w:ind w:left="261" w:right="263"/>
              <w:jc w:val="center"/>
              <w:rPr>
                <w:sz w:val="27"/>
              </w:rPr>
            </w:pPr>
            <w:r>
              <w:rPr>
                <w:sz w:val="27"/>
              </w:rPr>
              <w:t>6.4</w:t>
            </w:r>
          </w:p>
        </w:tc>
        <w:tc>
          <w:tcPr>
            <w:tcW w:w="1127" w:type="dxa"/>
          </w:tcPr>
          <w:p>
            <w:pPr>
              <w:pStyle w:val="TableParagraph"/>
              <w:ind w:left="268" w:right="271"/>
              <w:jc w:val="center"/>
              <w:rPr>
                <w:sz w:val="27"/>
              </w:rPr>
            </w:pPr>
            <w:r>
              <w:rPr>
                <w:sz w:val="27"/>
              </w:rPr>
              <w:t>6.9</w:t>
            </w:r>
          </w:p>
        </w:tc>
        <w:tc>
          <w:tcPr>
            <w:tcW w:w="1127" w:type="dxa"/>
          </w:tcPr>
          <w:p>
            <w:pPr>
              <w:pStyle w:val="TableParagraph"/>
              <w:ind w:left="259" w:right="276"/>
              <w:jc w:val="center"/>
              <w:rPr>
                <w:sz w:val="27"/>
              </w:rPr>
            </w:pPr>
            <w:r>
              <w:rPr>
                <w:sz w:val="27"/>
              </w:rPr>
              <w:t>6.4</w:t>
            </w:r>
          </w:p>
        </w:tc>
        <w:tc>
          <w:tcPr>
            <w:tcW w:w="1129" w:type="dxa"/>
          </w:tcPr>
          <w:p>
            <w:pPr>
              <w:pStyle w:val="TableParagraph"/>
              <w:ind w:left="267" w:right="279"/>
              <w:jc w:val="center"/>
              <w:rPr>
                <w:sz w:val="27"/>
              </w:rPr>
            </w:pPr>
            <w:r>
              <w:rPr>
                <w:sz w:val="27"/>
              </w:rPr>
              <w:t>5.2</w:t>
            </w:r>
          </w:p>
        </w:tc>
        <w:tc>
          <w:tcPr>
            <w:tcW w:w="1128" w:type="dxa"/>
          </w:tcPr>
          <w:p>
            <w:pPr>
              <w:pStyle w:val="TableParagraph"/>
              <w:ind w:left="252" w:right="274"/>
              <w:jc w:val="center"/>
              <w:rPr>
                <w:sz w:val="27"/>
              </w:rPr>
            </w:pPr>
            <w:r>
              <w:rPr>
                <w:sz w:val="27"/>
              </w:rPr>
              <w:t>3.9</w:t>
            </w:r>
          </w:p>
        </w:tc>
        <w:tc>
          <w:tcPr>
            <w:tcW w:w="1128" w:type="dxa"/>
          </w:tcPr>
          <w:p>
            <w:pPr>
              <w:pStyle w:val="TableParagraph"/>
              <w:ind w:left="251" w:right="274"/>
              <w:jc w:val="center"/>
              <w:rPr>
                <w:sz w:val="27"/>
              </w:rPr>
            </w:pPr>
            <w:r>
              <w:rPr>
                <w:sz w:val="27"/>
              </w:rPr>
              <w:t>3.1</w:t>
            </w:r>
          </w:p>
        </w:tc>
        <w:tc>
          <w:tcPr>
            <w:tcW w:w="886" w:type="dxa"/>
          </w:tcPr>
          <w:p>
            <w:pPr>
              <w:pStyle w:val="TableParagraph"/>
              <w:ind w:right="131"/>
              <w:jc w:val="right"/>
              <w:rPr>
                <w:sz w:val="27"/>
              </w:rPr>
            </w:pPr>
            <w:r>
              <w:rPr>
                <w:sz w:val="27"/>
              </w:rPr>
              <w:t>2.2</w:t>
            </w:r>
          </w:p>
        </w:tc>
      </w:tr>
      <w:tr>
        <w:tblPrEx>
          <w:tblW w:w="0" w:type="auto"/>
          <w:jc w:val="left"/>
          <w:tblInd w:w="354" w:type="dxa"/>
          <w:tblLayout w:type="fixed"/>
          <w:tblCellMar>
            <w:top w:w="0" w:type="dxa"/>
            <w:left w:w="0" w:type="dxa"/>
            <w:bottom w:w="0" w:type="dxa"/>
            <w:right w:w="0" w:type="dxa"/>
          </w:tblCellMar>
          <w:tblLook w:val="01E0"/>
        </w:tblPrEx>
        <w:trPr>
          <w:trHeight w:val="368"/>
          <w:jc w:val="left"/>
        </w:trPr>
        <w:tc>
          <w:tcPr>
            <w:tcW w:w="1411" w:type="dxa"/>
          </w:tcPr>
          <w:p>
            <w:pPr>
              <w:pStyle w:val="TableParagraph"/>
              <w:spacing w:line="288" w:lineRule="exact"/>
              <w:ind w:left="50"/>
              <w:rPr>
                <w:sz w:val="27"/>
              </w:rPr>
            </w:pPr>
            <w:r>
              <w:rPr>
                <w:sz w:val="27"/>
              </w:rPr>
              <w:t>金融渠道</w:t>
            </w:r>
          </w:p>
        </w:tc>
        <w:tc>
          <w:tcPr>
            <w:tcW w:w="1113" w:type="dxa"/>
          </w:tcPr>
          <w:p>
            <w:pPr>
              <w:pStyle w:val="TableParagraph"/>
              <w:spacing w:line="288" w:lineRule="exact"/>
              <w:ind w:right="360"/>
              <w:jc w:val="right"/>
              <w:rPr>
                <w:sz w:val="27"/>
              </w:rPr>
            </w:pPr>
            <w:r>
              <w:rPr>
                <w:sz w:val="27"/>
              </w:rPr>
              <w:t>2.4</w:t>
            </w:r>
          </w:p>
        </w:tc>
        <w:tc>
          <w:tcPr>
            <w:tcW w:w="1126" w:type="dxa"/>
          </w:tcPr>
          <w:p>
            <w:pPr>
              <w:pStyle w:val="TableParagraph"/>
              <w:spacing w:line="288" w:lineRule="exact"/>
              <w:ind w:left="272" w:right="274"/>
              <w:jc w:val="center"/>
              <w:rPr>
                <w:sz w:val="27"/>
              </w:rPr>
            </w:pPr>
            <w:r>
              <w:rPr>
                <w:sz w:val="27"/>
              </w:rPr>
              <w:t>2.4</w:t>
            </w:r>
          </w:p>
        </w:tc>
        <w:tc>
          <w:tcPr>
            <w:tcW w:w="1128" w:type="dxa"/>
          </w:tcPr>
          <w:p>
            <w:pPr>
              <w:pStyle w:val="TableParagraph"/>
              <w:spacing w:line="288" w:lineRule="exact"/>
              <w:ind w:left="261" w:right="269"/>
              <w:jc w:val="center"/>
              <w:rPr>
                <w:sz w:val="27"/>
              </w:rPr>
            </w:pPr>
            <w:r>
              <w:rPr>
                <w:sz w:val="27"/>
              </w:rPr>
              <w:t>3.0</w:t>
            </w:r>
          </w:p>
        </w:tc>
        <w:tc>
          <w:tcPr>
            <w:tcW w:w="1128" w:type="dxa"/>
          </w:tcPr>
          <w:p>
            <w:pPr>
              <w:pStyle w:val="TableParagraph"/>
              <w:spacing w:line="288" w:lineRule="exact"/>
              <w:ind w:left="261" w:right="263"/>
              <w:jc w:val="center"/>
              <w:rPr>
                <w:sz w:val="27"/>
              </w:rPr>
            </w:pPr>
            <w:r>
              <w:rPr>
                <w:sz w:val="27"/>
              </w:rPr>
              <w:t>0.6</w:t>
            </w:r>
          </w:p>
        </w:tc>
        <w:tc>
          <w:tcPr>
            <w:tcW w:w="1127" w:type="dxa"/>
          </w:tcPr>
          <w:p>
            <w:pPr>
              <w:pStyle w:val="TableParagraph"/>
              <w:spacing w:line="288" w:lineRule="exact"/>
              <w:ind w:left="268" w:right="273"/>
              <w:jc w:val="center"/>
              <w:rPr>
                <w:sz w:val="27"/>
              </w:rPr>
            </w:pPr>
            <w:r>
              <w:rPr>
                <w:sz w:val="27"/>
              </w:rPr>
              <w:t>-0.1</w:t>
            </w:r>
          </w:p>
        </w:tc>
        <w:tc>
          <w:tcPr>
            <w:tcW w:w="1127" w:type="dxa"/>
          </w:tcPr>
          <w:p>
            <w:pPr>
              <w:pStyle w:val="TableParagraph"/>
              <w:spacing w:line="288" w:lineRule="exact"/>
              <w:ind w:left="265" w:right="276"/>
              <w:jc w:val="center"/>
              <w:rPr>
                <w:sz w:val="27"/>
              </w:rPr>
            </w:pPr>
            <w:r>
              <w:rPr>
                <w:sz w:val="27"/>
              </w:rPr>
              <w:t>-0.2</w:t>
            </w:r>
          </w:p>
        </w:tc>
        <w:tc>
          <w:tcPr>
            <w:tcW w:w="1129" w:type="dxa"/>
          </w:tcPr>
          <w:p>
            <w:pPr>
              <w:pStyle w:val="TableParagraph"/>
              <w:spacing w:line="288" w:lineRule="exact"/>
              <w:ind w:left="267" w:right="279"/>
              <w:jc w:val="center"/>
              <w:rPr>
                <w:sz w:val="27"/>
              </w:rPr>
            </w:pPr>
            <w:r>
              <w:rPr>
                <w:sz w:val="27"/>
              </w:rPr>
              <w:t>0.6</w:t>
            </w:r>
          </w:p>
        </w:tc>
        <w:tc>
          <w:tcPr>
            <w:tcW w:w="1128" w:type="dxa"/>
          </w:tcPr>
          <w:p>
            <w:pPr>
              <w:pStyle w:val="TableParagraph"/>
              <w:spacing w:line="288" w:lineRule="exact"/>
              <w:ind w:left="252" w:right="274"/>
              <w:jc w:val="center"/>
              <w:rPr>
                <w:sz w:val="27"/>
              </w:rPr>
            </w:pPr>
            <w:r>
              <w:rPr>
                <w:sz w:val="27"/>
              </w:rPr>
              <w:t>3.6</w:t>
            </w:r>
          </w:p>
        </w:tc>
        <w:tc>
          <w:tcPr>
            <w:tcW w:w="1128" w:type="dxa"/>
          </w:tcPr>
          <w:p>
            <w:pPr>
              <w:pStyle w:val="TableParagraph"/>
              <w:spacing w:line="288" w:lineRule="exact"/>
              <w:ind w:left="251" w:right="274"/>
              <w:jc w:val="center"/>
              <w:rPr>
                <w:sz w:val="27"/>
              </w:rPr>
            </w:pPr>
            <w:r>
              <w:rPr>
                <w:sz w:val="27"/>
              </w:rPr>
              <w:t>3.2</w:t>
            </w:r>
          </w:p>
        </w:tc>
        <w:tc>
          <w:tcPr>
            <w:tcW w:w="886" w:type="dxa"/>
          </w:tcPr>
          <w:p>
            <w:pPr>
              <w:pStyle w:val="TableParagraph"/>
              <w:spacing w:line="288" w:lineRule="exact"/>
              <w:ind w:right="131"/>
              <w:jc w:val="right"/>
              <w:rPr>
                <w:sz w:val="27"/>
              </w:rPr>
            </w:pPr>
            <w:r>
              <w:rPr>
                <w:sz w:val="27"/>
              </w:rPr>
              <w:t>1.7</w:t>
            </w:r>
          </w:p>
        </w:tc>
      </w:tr>
    </w:tbl>
    <w:p>
      <w:pPr>
        <w:pStyle w:val="BodyText"/>
        <w:spacing w:line="59" w:lineRule="exact"/>
        <w:ind w:left="200"/>
        <w:rPr>
          <w:rFonts w:ascii="黑体"/>
          <w:sz w:val="5"/>
        </w:rPr>
      </w:pPr>
      <w:r>
        <w:rPr>
          <w:rFonts w:ascii="黑体"/>
          <w:position w:val="0"/>
          <w:sz w:val="5"/>
        </w:rPr>
        <w:drawing>
          <wp:inline distT="0" distB="0" distL="0" distR="0">
            <wp:extent cx="8133016" cy="38004"/>
            <wp:effectExtent l="0" t="0" r="0" b="0"/>
            <wp:docPr id="2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png"/>
                    <pic:cNvPicPr/>
                  </pic:nvPicPr>
                  <pic:blipFill>
                    <a:blip xmlns:r="http://schemas.openxmlformats.org/officeDocument/2006/relationships" r:embed="rId6" cstate="print"/>
                    <a:stretch>
                      <a:fillRect/>
                    </a:stretch>
                  </pic:blipFill>
                  <pic:spPr>
                    <a:xfrm>
                      <a:off x="0" y="0"/>
                      <a:ext cx="8133016" cy="38004"/>
                    </a:xfrm>
                    <a:prstGeom prst="rect">
                      <a:avLst/>
                    </a:prstGeom>
                  </pic:spPr>
                </pic:pic>
              </a:graphicData>
            </a:graphic>
          </wp:inline>
        </w:drawing>
      </w:r>
    </w:p>
    <w:p>
      <w:pPr>
        <w:tabs>
          <w:tab w:val="left" w:pos="12059"/>
        </w:tabs>
        <w:spacing w:before="123" w:line="321" w:lineRule="auto"/>
        <w:ind w:left="1747" w:right="1527" w:hanging="1350"/>
        <w:jc w:val="left"/>
        <w:rPr>
          <w:sz w:val="27"/>
        </w:rPr>
      </w:pPr>
      <w:r>
        <w:rPr>
          <w:sz w:val="27"/>
        </w:rPr>
        <w:t>资料来源：</w:t>
      </w:r>
      <w:r>
        <w:rPr>
          <w:spacing w:val="41"/>
          <w:sz w:val="27"/>
        </w:rPr>
        <w:t xml:space="preserve"> </w:t>
      </w:r>
      <w:r>
        <w:rPr>
          <w:sz w:val="27"/>
        </w:rPr>
        <w:t>World</w:t>
      </w:r>
      <w:r>
        <w:rPr>
          <w:spacing w:val="-31"/>
          <w:sz w:val="27"/>
        </w:rPr>
        <w:t xml:space="preserve"> </w:t>
      </w:r>
      <w:r>
        <w:rPr>
          <w:sz w:val="27"/>
        </w:rPr>
        <w:t>Bank,</w:t>
      </w:r>
      <w:r>
        <w:rPr>
          <w:spacing w:val="-32"/>
          <w:sz w:val="27"/>
        </w:rPr>
        <w:t xml:space="preserve"> </w:t>
      </w:r>
      <w:r>
        <w:rPr>
          <w:position w:val="1"/>
          <w:sz w:val="28"/>
        </w:rPr>
        <w:t>The</w:t>
      </w:r>
      <w:r>
        <w:rPr>
          <w:spacing w:val="-66"/>
          <w:position w:val="1"/>
          <w:sz w:val="28"/>
        </w:rPr>
        <w:t xml:space="preserve"> </w:t>
      </w:r>
      <w:r>
        <w:rPr>
          <w:position w:val="1"/>
          <w:sz w:val="28"/>
        </w:rPr>
        <w:t>ChineseEconomy:FightingInflation,DeepeningReforms,</w:t>
      </w:r>
      <w:r>
        <w:rPr>
          <w:sz w:val="27"/>
        </w:rPr>
        <w:t>vol.1,</w:t>
        <w:tab/>
      </w:r>
      <w:r>
        <w:rPr>
          <w:spacing w:val="-3"/>
          <w:sz w:val="27"/>
        </w:rPr>
        <w:t xml:space="preserve">Report </w:t>
      </w:r>
      <w:r>
        <w:rPr>
          <w:sz w:val="27"/>
        </w:rPr>
        <w:t>No. 15288- CHA, 1996, p.16.</w:t>
      </w:r>
    </w:p>
    <w:p>
      <w:pPr>
        <w:pStyle w:val="BodyText"/>
        <w:spacing w:before="4"/>
        <w:rPr>
          <w:sz w:val="32"/>
        </w:rPr>
      </w:pPr>
    </w:p>
    <w:p>
      <w:pPr>
        <w:pStyle w:val="BodyText"/>
        <w:ind w:left="936"/>
        <w:rPr>
          <w:rFonts w:ascii="黑体" w:eastAsia="黑体" w:hint="eastAsia"/>
        </w:rPr>
      </w:pPr>
      <w:r>
        <w:rPr>
          <w:rFonts w:ascii="黑体" w:eastAsia="黑体" w:hint="eastAsia"/>
        </w:rPr>
        <w:t>2、加入WTO 给国有企业改革带来的机遇和动力</w:t>
      </w:r>
    </w:p>
    <w:p>
      <w:pPr>
        <w:pStyle w:val="ListParagraph"/>
        <w:numPr>
          <w:ilvl w:val="1"/>
          <w:numId w:val="6"/>
        </w:numPr>
        <w:tabs>
          <w:tab w:val="left" w:pos="1571"/>
        </w:tabs>
        <w:spacing w:before="71" w:after="0" w:line="240" w:lineRule="auto"/>
        <w:ind w:left="1570" w:right="0" w:hanging="635"/>
        <w:jc w:val="both"/>
        <w:rPr>
          <w:sz w:val="31"/>
        </w:rPr>
      </w:pPr>
      <w:r>
        <w:rPr>
          <w:sz w:val="31"/>
        </w:rPr>
        <w:t>有利于国有企业走上按比较优势发展的道路</w:t>
      </w:r>
    </w:p>
    <w:p>
      <w:pPr>
        <w:pStyle w:val="BodyText"/>
        <w:spacing w:before="71" w:line="283" w:lineRule="auto"/>
        <w:ind w:left="397" w:right="1510" w:firstLine="539"/>
        <w:jc w:val="both"/>
      </w:pPr>
      <w:r>
        <w:t>WTO</w:t>
      </w:r>
      <w:r>
        <w:rPr>
          <w:spacing w:val="-2"/>
        </w:rPr>
        <w:t xml:space="preserve"> 背后的根本的经济逻辑是，资源在全球范围内按照比较优势原则进行配置。</w:t>
      </w:r>
      <w:r>
        <w:t>WTO</w:t>
      </w:r>
      <w:r>
        <w:rPr>
          <w:spacing w:val="44"/>
        </w:rPr>
        <w:t xml:space="preserve"> 带</w:t>
      </w:r>
      <w:r>
        <w:rPr>
          <w:spacing w:val="-2"/>
        </w:rPr>
        <w:t>来的激烈的国际竞争，将促使我国顺应比较优势的原则来发展经济，提高竞争力。随着对中</w:t>
      </w:r>
      <w:r>
        <w:rPr>
          <w:spacing w:val="-11"/>
        </w:rPr>
        <w:t>国的各种不公正贸易待遇的消除，中国劳动密集型企业和产业的竞争优势将更好地发挥。这</w:t>
      </w:r>
      <w:r>
        <w:rPr>
          <w:spacing w:val="-19"/>
        </w:rPr>
        <w:t>样整个国民经济就会走上可持续的发展道路，经济中的剩余逐渐积累，最终提升中国的要素</w:t>
      </w:r>
      <w:r>
        <w:t>禀赋结构和产业、技术结构。</w:t>
      </w:r>
    </w:p>
    <w:p>
      <w:pPr>
        <w:spacing w:after="0" w:line="283" w:lineRule="auto"/>
        <w:jc w:val="both"/>
        <w:sectPr>
          <w:pgSz w:w="17860" w:h="25260"/>
          <w:pgMar w:top="1860" w:right="1160" w:bottom="280" w:left="2300" w:header="708" w:footer="708"/>
          <w:pgNumType w:start="18"/>
          <w:cols w:space="708"/>
        </w:sectPr>
      </w:pPr>
    </w:p>
    <w:p>
      <w:pPr>
        <w:pStyle w:val="BodyText"/>
        <w:spacing w:before="49" w:line="283" w:lineRule="auto"/>
        <w:ind w:left="397" w:right="1422" w:firstLine="539"/>
        <w:jc w:val="both"/>
      </w:pPr>
      <w:r>
        <w:rPr>
          <w:spacing w:val="-1"/>
        </w:rPr>
        <w:t>中国目前已成为吸引外资最多的发展中国家。随外资的进入，大量的适合于中国比较优</w:t>
      </w:r>
      <w:r>
        <w:rPr>
          <w:spacing w:val="-11"/>
        </w:rPr>
        <w:t xml:space="preserve">势的适用技术也进入中国。这些技术从其输出方来看，因落后于其母国比较优势而丧失了自 </w:t>
      </w:r>
      <w:r>
        <w:rPr>
          <w:spacing w:val="-13"/>
        </w:rPr>
        <w:t xml:space="preserve">生能力。加入 </w:t>
      </w:r>
      <w:r>
        <w:t>WTO</w:t>
      </w:r>
      <w:r>
        <w:rPr>
          <w:spacing w:val="-11"/>
        </w:rPr>
        <w:t xml:space="preserve"> 之后，中国将以稳定的规则与别国进行经贸往来，外资和适用技术将以更</w:t>
      </w:r>
      <w:r>
        <w:rPr>
          <w:spacing w:val="-17"/>
        </w:rPr>
        <w:t xml:space="preserve">猛的势头进入。处于资本密集行业的国有企业通过吸引外国资本，能弥合其要素结构与中国 </w:t>
      </w:r>
      <w:r>
        <w:rPr>
          <w:spacing w:val="-22"/>
        </w:rPr>
        <w:t>资本稀缺的要素禀赋状况之间的缺口，提高自生能力。而适用技术的进入又为国有企业转产 转业，提供了条件。</w:t>
      </w:r>
    </w:p>
    <w:p>
      <w:pPr>
        <w:pStyle w:val="ListParagraph"/>
        <w:numPr>
          <w:ilvl w:val="1"/>
          <w:numId w:val="6"/>
        </w:numPr>
        <w:tabs>
          <w:tab w:val="left" w:pos="1571"/>
        </w:tabs>
        <w:spacing w:before="0" w:after="0" w:line="394" w:lineRule="exact"/>
        <w:ind w:left="1570" w:right="0" w:hanging="635"/>
        <w:jc w:val="both"/>
        <w:rPr>
          <w:sz w:val="31"/>
        </w:rPr>
      </w:pPr>
      <w:r>
        <w:rPr>
          <w:sz w:val="31"/>
        </w:rPr>
        <w:t>为国有企业改革带来了外部的推动力</w:t>
      </w:r>
    </w:p>
    <w:p>
      <w:pPr>
        <w:pStyle w:val="BodyText"/>
        <w:spacing w:before="71" w:line="283" w:lineRule="auto"/>
        <w:ind w:left="397" w:right="1422" w:firstLine="539"/>
      </w:pPr>
      <w:r>
        <w:rPr>
          <w:spacing w:val="-1"/>
        </w:rPr>
        <w:t>从前述分析可见，国有企业今后改革的正确方向是，剥离政策性负担，硬化企业预算约</w:t>
      </w:r>
      <w:r>
        <w:rPr>
          <w:spacing w:val="3"/>
        </w:rPr>
        <w:t>束，理顺价格体系，完善外部治理。所有这些都与</w:t>
      </w:r>
      <w:r>
        <w:rPr>
          <w:rFonts w:ascii="Arial" w:eastAsia="Arial"/>
        </w:rPr>
        <w:t xml:space="preserve">WTO </w:t>
      </w:r>
      <w:r>
        <w:rPr>
          <w:spacing w:val="-1"/>
        </w:rPr>
        <w:t>的要求相一致。首先，</w:t>
      </w:r>
      <w:r>
        <w:rPr>
          <w:rFonts w:ascii="Arial" w:eastAsia="Arial"/>
          <w:spacing w:val="-5"/>
        </w:rPr>
        <w:t>WTO</w:t>
      </w:r>
      <w:r>
        <w:rPr>
          <w:rFonts w:ascii="Arial" w:eastAsia="Arial"/>
          <w:spacing w:val="3"/>
        </w:rPr>
        <w:t xml:space="preserve">  </w:t>
      </w:r>
      <w:r>
        <w:t>直接</w:t>
      </w:r>
      <w:r>
        <w:rPr>
          <w:spacing w:val="-10"/>
        </w:rPr>
        <w:t>带来了一个竞争性的国际市场，和一个反映要素稀缺、产品供求的价格体系。国内企业将面 临国际竞争；可贸易的初级资源和产品的价格，将很快与国际市场接轨。另外，政府按照</w:t>
      </w:r>
      <w:r>
        <w:rPr>
          <w:rFonts w:ascii="Arial" w:eastAsia="Arial"/>
          <w:spacing w:val="-10"/>
        </w:rPr>
        <w:t>WTO</w:t>
      </w:r>
      <w:r>
        <w:rPr>
          <w:rFonts w:ascii="Arial" w:eastAsia="Arial"/>
          <w:spacing w:val="83"/>
        </w:rPr>
        <w:t xml:space="preserve"> </w:t>
      </w:r>
      <w:r>
        <w:t>的规则取消对国有企业的各种保护后，企业会倒逼政府解除政策性负担。这无疑能促进国有企业改革沿着正确的方向深入推进。</w:t>
      </w:r>
    </w:p>
    <w:p>
      <w:pPr>
        <w:pStyle w:val="BodyText"/>
        <w:tabs>
          <w:tab w:val="left" w:pos="8905"/>
        </w:tabs>
        <w:spacing w:line="394" w:lineRule="exact"/>
        <w:ind w:left="397"/>
        <w:rPr>
          <w:rFonts w:ascii="黑体" w:eastAsia="黑体" w:hint="eastAsia"/>
        </w:rPr>
      </w:pPr>
      <w:r>
        <w:rPr>
          <w:rFonts w:ascii="黑体" w:eastAsia="黑体" w:hint="eastAsia"/>
        </w:rPr>
        <w:t>专栏：</w:t>
        <w:tab/>
        <w:t>中国加入世贸组织的影响</w:t>
      </w:r>
    </w:p>
    <w:p>
      <w:pPr>
        <w:pStyle w:val="BodyText"/>
        <w:rPr>
          <w:rFonts w:ascii="黑体"/>
          <w:sz w:val="20"/>
        </w:rPr>
      </w:pPr>
    </w:p>
    <w:p>
      <w:pPr>
        <w:pStyle w:val="BodyText"/>
        <w:spacing w:before="8"/>
        <w:rPr>
          <w:rFonts w:ascii="黑体"/>
          <w:sz w:val="13"/>
        </w:rPr>
      </w:pPr>
      <w:r>
        <w:pict>
          <v:shape id="_x0000_s1054" style="width:703pt;height:0.1pt;margin-top:11.71pt;margin-left:126pt;mso-position-horizontal-relative:page;mso-wrap-distance-left:0;mso-wrap-distance-right:0;position:absolute;z-index:-251623424" coordorigin="2520,234" coordsize="14060,0" path="m2520,234l16580,234e" filled="f" stroked="t" strokecolor="black" strokeweight="2pt">
            <v:stroke dashstyle="solid"/>
            <v:path arrowok="t"/>
            <w10:wrap type="topAndBottom"/>
          </v:shape>
        </w:pict>
      </w:r>
    </w:p>
    <w:p>
      <w:pPr>
        <w:pStyle w:val="BodyText"/>
        <w:tabs>
          <w:tab w:val="left" w:pos="6035"/>
          <w:tab w:val="left" w:pos="6823"/>
          <w:tab w:val="left" w:pos="7612"/>
          <w:tab w:val="left" w:pos="8401"/>
          <w:tab w:val="left" w:pos="9189"/>
          <w:tab w:val="left" w:pos="13413"/>
        </w:tabs>
        <w:spacing w:before="41" w:line="278" w:lineRule="auto"/>
        <w:ind w:left="13413" w:right="296" w:hanging="12315"/>
        <w:jc w:val="right"/>
        <w:rPr>
          <w:rFonts w:ascii="黑体" w:eastAsia="黑体" w:hint="eastAsia"/>
        </w:rPr>
      </w:pPr>
      <w:r>
        <w:rPr>
          <w:rFonts w:ascii="黑体" w:eastAsia="黑体" w:hint="eastAsia"/>
          <w:sz w:val="27"/>
        </w:rPr>
        <w:t>行业</w:t>
        <w:tab/>
      </w:r>
      <w:r>
        <w:rPr>
          <w:rFonts w:ascii="黑体" w:eastAsia="黑体" w:hint="eastAsia"/>
          <w:position w:val="2"/>
        </w:rPr>
        <w:t>可</w:t>
        <w:tab/>
        <w:t>能</w:t>
        <w:tab/>
        <w:t>的</w:t>
        <w:tab/>
        <w:t>影</w:t>
        <w:tab/>
        <w:t>响</w:t>
        <w:tab/>
        <w:tab/>
      </w:r>
      <w:r>
        <w:rPr>
          <w:rFonts w:ascii="黑体" w:eastAsia="黑体" w:hint="eastAsia"/>
          <w:spacing w:val="54"/>
          <w:position w:val="2"/>
        </w:rPr>
        <w:t>总</w:t>
      </w:r>
      <w:r>
        <w:rPr>
          <w:rFonts w:ascii="黑体" w:eastAsia="黑体" w:hint="eastAsia"/>
          <w:spacing w:val="-17"/>
          <w:position w:val="2"/>
        </w:rPr>
        <w:t>的</w:t>
      </w:r>
      <w:r>
        <w:rPr>
          <w:rFonts w:ascii="黑体" w:eastAsia="黑体" w:hint="eastAsia"/>
        </w:rPr>
        <w:t>评价</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sectPr>
          <w:pgSz w:w="17860" w:h="25260"/>
          <w:pgMar w:top="1860" w:right="1160" w:bottom="280" w:left="2300" w:header="708" w:footer="708"/>
          <w:pgNumType w:start="19"/>
          <w:cols w:space="708"/>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14"/>
        </w:rPr>
      </w:pPr>
      <w:r>
        <w:drawing>
          <wp:anchor distT="0" distB="0" distL="0" distR="0" simplePos="0" relativeHeight="251694080" behindDoc="0" locked="0" layoutInCell="1" allowOverlap="1">
            <wp:simplePos x="0" y="0"/>
            <wp:positionH relativeFrom="page">
              <wp:posOffset>1600200</wp:posOffset>
            </wp:positionH>
            <wp:positionV relativeFrom="paragraph">
              <wp:posOffset>138826</wp:posOffset>
            </wp:positionV>
            <wp:extent cx="1270" cy="1270"/>
            <wp:effectExtent l="0" t="0" r="0" b="0"/>
            <wp:wrapTopAndBottom/>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1270" cy="1270"/>
                    </a:xfrm>
                    <a:prstGeom prst="rect">
                      <a:avLst/>
                    </a:prstGeom>
                  </pic:spPr>
                </pic:pic>
              </a:graphicData>
            </a:graphic>
          </wp:anchor>
        </w:drawing>
      </w:r>
    </w:p>
    <w:p>
      <w:pPr>
        <w:spacing w:after="0"/>
        <w:rPr>
          <w:rFonts w:ascii="黑体"/>
          <w:sz w:val="14"/>
        </w:rPr>
        <w:sectPr>
          <w:type w:val="nextPage"/>
          <w:pgSz w:w="17860" w:h="25260"/>
          <w:pgMar w:top="1860" w:right="1160" w:bottom="280" w:left="2300" w:header="708" w:footer="708"/>
          <w:pgNumType w:start="20"/>
          <w:cols w:space="708"/>
          <w:titlePg w:val="0"/>
        </w:sectPr>
      </w:pPr>
    </w:p>
    <w:p>
      <w:pPr>
        <w:pStyle w:val="ListParagraph"/>
        <w:numPr>
          <w:ilvl w:val="0"/>
          <w:numId w:val="5"/>
        </w:numPr>
        <w:tabs>
          <w:tab w:val="left" w:pos="1098"/>
          <w:tab w:val="left" w:pos="1099"/>
        </w:tabs>
        <w:spacing w:before="0" w:after="0" w:line="14929" w:lineRule="exact"/>
        <w:ind w:left="1099" w:right="0" w:hanging="702"/>
        <w:jc w:val="left"/>
        <w:rPr>
          <w:rFonts w:ascii="黑体" w:eastAsia="黑体" w:hint="eastAsia"/>
          <w:sz w:val="27"/>
        </w:rPr>
      </w:pPr>
      <w:r>
        <w:rPr>
          <w:rFonts w:ascii="黑体" w:eastAsia="黑体" w:hint="eastAsia"/>
          <w:sz w:val="27"/>
        </w:rPr>
        <w:t>汽车</w:t>
      </w:r>
    </w:p>
    <w:p>
      <w:pPr>
        <w:tabs>
          <w:tab w:val="left" w:pos="11361"/>
        </w:tabs>
        <w:spacing w:before="0" w:line="14929" w:lineRule="exact"/>
        <w:ind w:left="397" w:right="0" w:firstLine="0"/>
        <w:jc w:val="left"/>
        <w:rPr>
          <w:rFonts w:ascii="黑体" w:eastAsia="黑体" w:hint="eastAsia"/>
          <w:sz w:val="27"/>
        </w:rPr>
        <w:sectPr>
          <w:type w:val="continuous"/>
          <w:pgSz w:w="17860" w:h="25260"/>
          <w:pgMar w:top="2420" w:right="1160" w:bottom="280" w:left="2300" w:header="708" w:footer="708"/>
          <w:pgNumType w:start="21"/>
          <w:cols w:num="2" w:space="708" w:equalWidth="0">
            <w:col w:w="1680" w:space="372"/>
            <w:col w:w="12348" w:space="0"/>
          </w:cols>
        </w:sectPr>
      </w:pPr>
      <w:r>
        <w:br w:type="column"/>
      </w:r>
      <w:r>
        <w:rPr>
          <w:sz w:val="27"/>
        </w:rPr>
        <w:t>由于高额关税逐渐降低，竞争更加激烈，旅行汽车生产厂商压力加重。中国卡车生产商受</w:t>
        <w:tab/>
      </w:r>
      <w:r>
        <w:rPr>
          <w:rFonts w:ascii="黑体" w:eastAsia="黑体" w:hint="eastAsia"/>
          <w:sz w:val="27"/>
        </w:rPr>
        <w:t>负面</w:t>
      </w:r>
    </w:p>
    <w:p>
      <w:pPr>
        <w:spacing w:before="0" w:line="14461" w:lineRule="exact"/>
        <w:ind w:left="397" w:right="0" w:firstLine="0"/>
        <w:jc w:val="left"/>
        <w:rPr>
          <w:sz w:val="27"/>
        </w:rPr>
        <w:sectPr>
          <w:type w:val="nextPage"/>
          <w:pgSz w:w="17860" w:h="25260"/>
          <w:pgMar w:top="2420" w:right="1160" w:bottom="280" w:left="2300" w:header="708" w:footer="708"/>
          <w:pgNumType w:start="22"/>
          <w:cols w:num="2" w:space="708" w:equalWidth="0">
            <w:col w:w="1680" w:space="372"/>
            <w:col w:w="12348" w:space="0"/>
          </w:cols>
          <w:titlePg w:val="0"/>
        </w:sectPr>
      </w:pPr>
      <w:r>
        <w:rPr>
          <w:spacing w:val="-12"/>
          <w:sz w:val="27"/>
        </w:rPr>
        <w:t>的影响相对较小，因为它们相对轿车生产厂商来讲竞争力较强</w:t>
      </w:r>
      <w:r>
        <w:rPr>
          <w:sz w:val="27"/>
        </w:rPr>
        <w:t>（从与进口卡车的价格上比</w:t>
      </w:r>
      <w:r>
        <w:rPr>
          <w:spacing w:val="-133"/>
          <w:sz w:val="27"/>
        </w:rPr>
        <w:t>）</w:t>
      </w:r>
      <w:r>
        <w:rPr>
          <w:sz w:val="27"/>
        </w:rPr>
        <w:t>。</w:t>
      </w:r>
    </w:p>
    <w:p>
      <w:pPr>
        <w:spacing w:before="0" w:line="13993" w:lineRule="exact"/>
        <w:ind w:left="397" w:right="0" w:firstLine="0"/>
        <w:jc w:val="left"/>
        <w:rPr>
          <w:sz w:val="27"/>
        </w:rPr>
      </w:pPr>
      <w:r>
        <w:rPr>
          <w:sz w:val="27"/>
        </w:rPr>
        <w:t>进口部件含量高的厂商当然会享受低成本。</w:t>
      </w:r>
    </w:p>
    <w:p>
      <w:pPr>
        <w:spacing w:after="0" w:line="13993" w:lineRule="exact"/>
        <w:jc w:val="left"/>
        <w:rPr>
          <w:sz w:val="27"/>
        </w:rPr>
        <w:sectPr>
          <w:type w:val="nextPage"/>
          <w:pgSz w:w="17860" w:h="25260"/>
          <w:pgMar w:top="2420" w:right="1160" w:bottom="280" w:left="2300" w:header="708" w:footer="708"/>
          <w:pgNumType w:start="23"/>
          <w:cols w:num="2" w:space="708" w:equalWidth="0">
            <w:col w:w="1680" w:space="372"/>
            <w:col w:w="12348" w:space="0"/>
          </w:cols>
          <w:titlePg w:val="0"/>
        </w:sectPr>
      </w:pPr>
    </w:p>
    <w:p>
      <w:pPr>
        <w:pStyle w:val="ListParagraph"/>
        <w:numPr>
          <w:ilvl w:val="0"/>
          <w:numId w:val="5"/>
        </w:numPr>
        <w:tabs>
          <w:tab w:val="left" w:pos="1098"/>
          <w:tab w:val="left" w:pos="1099"/>
          <w:tab w:val="left" w:pos="2448"/>
        </w:tabs>
        <w:spacing w:before="0" w:after="0" w:line="8628" w:lineRule="exact"/>
        <w:ind w:left="1099" w:right="0" w:hanging="702"/>
        <w:jc w:val="left"/>
        <w:rPr>
          <w:rFonts w:ascii="黑体" w:eastAsia="黑体" w:hint="eastAsia"/>
          <w:sz w:val="27"/>
        </w:rPr>
      </w:pPr>
      <w:r>
        <w:rPr>
          <w:rFonts w:ascii="黑体" w:eastAsia="黑体" w:hint="eastAsia"/>
          <w:sz w:val="27"/>
        </w:rPr>
        <w:t>航空</w:t>
        <w:tab/>
      </w:r>
      <w:r>
        <w:rPr>
          <w:sz w:val="27"/>
        </w:rPr>
        <w:t>中国同世界其他国家和地区的商务飞行将逐渐开放，但在短时期国内直飞航线将受到保护。</w:t>
      </w:r>
      <w:r>
        <w:rPr>
          <w:spacing w:val="29"/>
          <w:sz w:val="27"/>
        </w:rPr>
        <w:t xml:space="preserve"> </w:t>
      </w:r>
      <w:r>
        <w:rPr>
          <w:rFonts w:ascii="黑体" w:eastAsia="黑体" w:hint="eastAsia"/>
          <w:sz w:val="27"/>
        </w:rPr>
        <w:t>中性</w:t>
      </w:r>
    </w:p>
    <w:p>
      <w:pPr>
        <w:spacing w:before="0" w:line="9096" w:lineRule="exact"/>
        <w:ind w:left="2448" w:right="0" w:firstLine="0"/>
        <w:jc w:val="left"/>
        <w:rPr>
          <w:sz w:val="27"/>
        </w:rPr>
        <w:sectPr>
          <w:type w:val="continuous"/>
          <w:pgSz w:w="17860" w:h="25260"/>
          <w:pgMar w:top="2420" w:right="1160" w:bottom="280" w:left="2300" w:header="708" w:footer="708"/>
          <w:pgNumType w:start="24"/>
          <w:cols w:space="708"/>
        </w:sectPr>
      </w:pPr>
      <w:r>
        <w:rPr>
          <w:sz w:val="27"/>
        </w:rPr>
        <w:t>中国国内飞机运输量目前只占中国国内运输量的 40%多一点。由于拥有低廉的劳动力成本，</w:t>
      </w:r>
    </w:p>
    <w:p>
      <w:pPr>
        <w:spacing w:before="0" w:line="9564" w:lineRule="exact"/>
        <w:ind w:left="2448" w:right="0" w:firstLine="0"/>
        <w:jc w:val="left"/>
        <w:rPr>
          <w:sz w:val="27"/>
        </w:rPr>
      </w:pPr>
      <w:r>
        <w:rPr>
          <w:sz w:val="27"/>
        </w:rPr>
        <w:t>现代化的飞机和管理水平的提高，加入 WTO 给国内的航空公司更多是压力而不是威胁。另</w:t>
      </w:r>
    </w:p>
    <w:p>
      <w:pPr>
        <w:spacing w:before="0" w:line="10032" w:lineRule="exact"/>
        <w:ind w:left="2448" w:right="0" w:firstLine="0"/>
        <w:jc w:val="left"/>
        <w:rPr>
          <w:sz w:val="27"/>
        </w:rPr>
        <w:sectPr>
          <w:type w:val="nextPage"/>
          <w:pgSz w:w="17860" w:h="25260"/>
          <w:pgMar w:top="2420" w:right="1160" w:bottom="280" w:left="2300" w:header="708" w:footer="708"/>
          <w:pgNumType w:start="25"/>
          <w:cols w:space="708"/>
          <w:titlePg w:val="0"/>
        </w:sectPr>
      </w:pPr>
      <w:r>
        <w:rPr>
          <w:sz w:val="27"/>
        </w:rPr>
        <w:t>一方面进入 WTO 将刺激更多的国际运输需求。</w:t>
      </w:r>
    </w:p>
    <w:p>
      <w:pPr>
        <w:pStyle w:val="ListParagraph"/>
        <w:numPr>
          <w:ilvl w:val="0"/>
          <w:numId w:val="5"/>
        </w:numPr>
        <w:tabs>
          <w:tab w:val="left" w:pos="1098"/>
          <w:tab w:val="left" w:pos="1099"/>
          <w:tab w:val="left" w:pos="2448"/>
          <w:tab w:val="left" w:pos="13413"/>
        </w:tabs>
        <w:spacing w:before="0" w:after="0" w:line="17717" w:lineRule="exact"/>
        <w:ind w:left="1099" w:right="0" w:hanging="702"/>
        <w:jc w:val="left"/>
        <w:rPr>
          <w:rFonts w:ascii="黑体" w:eastAsia="黑体" w:hint="eastAsia"/>
          <w:sz w:val="27"/>
        </w:rPr>
        <w:sectPr>
          <w:type w:val="nextPage"/>
          <w:pgSz w:w="17860" w:h="25260"/>
          <w:pgMar w:top="2420" w:right="1160" w:bottom="280" w:left="2300" w:header="708" w:footer="708"/>
          <w:pgNumType w:start="26"/>
          <w:cols w:space="708"/>
          <w:titlePg w:val="0"/>
        </w:sectPr>
      </w:pPr>
      <w:r>
        <w:rPr>
          <w:rFonts w:ascii="黑体" w:eastAsia="黑体" w:hint="eastAsia"/>
          <w:sz w:val="27"/>
        </w:rPr>
        <w:t>水泥</w:t>
        <w:tab/>
      </w:r>
      <w:r>
        <w:rPr>
          <w:sz w:val="27"/>
        </w:rPr>
        <w:t>目前的关税率很低，只有</w:t>
      </w:r>
      <w:r>
        <w:rPr>
          <w:spacing w:val="-26"/>
          <w:sz w:val="27"/>
        </w:rPr>
        <w:t xml:space="preserve"> </w:t>
      </w:r>
      <w:r>
        <w:rPr>
          <w:sz w:val="27"/>
        </w:rPr>
        <w:t>8%。潜在的进口威胁很有限，因为进口水泥要么袋装运输，要么</w:t>
        <w:tab/>
      </w:r>
      <w:r>
        <w:rPr>
          <w:rFonts w:ascii="黑体" w:eastAsia="黑体" w:hint="eastAsia"/>
          <w:sz w:val="27"/>
        </w:rPr>
        <w:t>中性</w:t>
      </w:r>
    </w:p>
    <w:p>
      <w:pPr>
        <w:spacing w:before="0" w:line="17249" w:lineRule="exact"/>
        <w:ind w:left="2448" w:right="0" w:firstLine="0"/>
        <w:jc w:val="left"/>
        <w:rPr>
          <w:sz w:val="27"/>
        </w:rPr>
        <w:sectPr>
          <w:type w:val="nextPage"/>
          <w:pgSz w:w="17860" w:h="25260"/>
          <w:pgMar w:top="2420" w:right="1160" w:bottom="280" w:left="2300" w:header="708" w:footer="708"/>
          <w:pgNumType w:start="27"/>
          <w:cols w:space="708"/>
          <w:titlePg w:val="0"/>
        </w:sectPr>
      </w:pPr>
      <w:r>
        <w:rPr>
          <w:sz w:val="27"/>
        </w:rPr>
        <w:t>散状运输。袋装运输用很归贵的包装，散装运输必须配备特殊的岸上设置，投入资金较大，</w:t>
      </w:r>
    </w:p>
    <w:p>
      <w:pPr>
        <w:spacing w:before="0" w:line="16781" w:lineRule="exact"/>
        <w:ind w:left="2448" w:right="0" w:firstLine="0"/>
        <w:jc w:val="left"/>
        <w:rPr>
          <w:sz w:val="27"/>
        </w:rPr>
      </w:pPr>
      <w:r>
        <w:rPr>
          <w:sz w:val="27"/>
        </w:rPr>
        <w:t>运输成本高。</w:t>
      </w:r>
    </w:p>
    <w:p>
      <w:pPr>
        <w:spacing w:after="0" w:line="16781" w:lineRule="exact"/>
        <w:jc w:val="left"/>
        <w:rPr>
          <w:sz w:val="27"/>
        </w:rPr>
        <w:sectPr>
          <w:type w:val="nextPage"/>
          <w:pgSz w:w="17860" w:h="25260"/>
          <w:pgMar w:top="2420" w:right="1160" w:bottom="280" w:left="2300" w:header="708" w:footer="708"/>
          <w:pgNumType w:start="28"/>
          <w:cols w:space="708"/>
          <w:titlePg w:val="0"/>
        </w:sectPr>
      </w:pPr>
    </w:p>
    <w:p>
      <w:pPr>
        <w:pStyle w:val="ListParagraph"/>
        <w:numPr>
          <w:ilvl w:val="0"/>
          <w:numId w:val="5"/>
        </w:numPr>
        <w:tabs>
          <w:tab w:val="left" w:pos="1098"/>
          <w:tab w:val="left" w:pos="1099"/>
        </w:tabs>
        <w:spacing w:before="0" w:after="0" w:line="2523" w:lineRule="exact"/>
        <w:ind w:left="1099" w:right="0" w:hanging="702"/>
        <w:jc w:val="left"/>
        <w:rPr>
          <w:rFonts w:ascii="黑体" w:eastAsia="黑体" w:hint="eastAsia"/>
          <w:sz w:val="27"/>
        </w:rPr>
      </w:pPr>
      <w:r>
        <w:rPr>
          <w:rFonts w:ascii="黑体" w:eastAsia="黑体" w:hint="eastAsia"/>
          <w:spacing w:val="-19"/>
          <w:sz w:val="27"/>
        </w:rPr>
        <w:t>化工、石</w:t>
      </w:r>
    </w:p>
    <w:p>
      <w:pPr>
        <w:spacing w:before="0" w:line="2055" w:lineRule="exact"/>
        <w:ind w:left="342" w:right="0" w:firstLine="0"/>
        <w:jc w:val="center"/>
        <w:rPr>
          <w:rFonts w:ascii="黑体" w:eastAsia="黑体" w:hint="eastAsia"/>
          <w:sz w:val="27"/>
        </w:rPr>
      </w:pPr>
      <w:r>
        <w:rPr>
          <w:rFonts w:ascii="黑体" w:eastAsia="黑体" w:hint="eastAsia"/>
          <w:sz w:val="27"/>
        </w:rPr>
        <w:t>化</w:t>
      </w:r>
    </w:p>
    <w:p>
      <w:pPr>
        <w:pStyle w:val="ListParagraph"/>
        <w:numPr>
          <w:ilvl w:val="0"/>
          <w:numId w:val="5"/>
        </w:numPr>
        <w:tabs>
          <w:tab w:val="left" w:pos="1098"/>
          <w:tab w:val="left" w:pos="1099"/>
        </w:tabs>
        <w:spacing w:before="0" w:after="0" w:line="1587" w:lineRule="exact"/>
        <w:ind w:left="1099" w:right="0" w:hanging="702"/>
        <w:jc w:val="left"/>
        <w:rPr>
          <w:rFonts w:ascii="黑体" w:eastAsia="黑体" w:hint="eastAsia"/>
          <w:sz w:val="27"/>
        </w:rPr>
      </w:pPr>
      <w:r>
        <w:rPr>
          <w:rFonts w:ascii="黑体" w:eastAsia="黑体" w:hint="eastAsia"/>
          <w:sz w:val="27"/>
        </w:rPr>
        <w:t>煤炭</w:t>
      </w:r>
    </w:p>
    <w:p>
      <w:pPr>
        <w:pStyle w:val="ListParagraph"/>
        <w:numPr>
          <w:ilvl w:val="0"/>
          <w:numId w:val="5"/>
        </w:numPr>
        <w:tabs>
          <w:tab w:val="left" w:pos="1098"/>
          <w:tab w:val="left" w:pos="1099"/>
        </w:tabs>
        <w:spacing w:before="0" w:after="0" w:line="1119" w:lineRule="exact"/>
        <w:ind w:left="1099" w:right="0" w:hanging="702"/>
        <w:jc w:val="left"/>
        <w:rPr>
          <w:rFonts w:ascii="黑体" w:eastAsia="黑体" w:hint="eastAsia"/>
          <w:sz w:val="27"/>
        </w:rPr>
      </w:pPr>
      <w:r>
        <w:rPr>
          <w:rFonts w:ascii="黑体" w:eastAsia="黑体" w:hint="eastAsia"/>
          <w:sz w:val="27"/>
        </w:rPr>
        <w:t>计算机</w:t>
      </w:r>
    </w:p>
    <w:p>
      <w:pPr>
        <w:pStyle w:val="ListParagraph"/>
        <w:numPr>
          <w:ilvl w:val="0"/>
          <w:numId w:val="5"/>
        </w:numPr>
        <w:tabs>
          <w:tab w:val="left" w:pos="1098"/>
          <w:tab w:val="left" w:pos="1099"/>
        </w:tabs>
        <w:spacing w:before="0" w:after="0" w:line="285" w:lineRule="exact"/>
        <w:ind w:left="1099" w:right="0" w:hanging="702"/>
        <w:jc w:val="left"/>
        <w:rPr>
          <w:rFonts w:ascii="黑体" w:eastAsia="黑体" w:hint="eastAsia"/>
          <w:sz w:val="27"/>
        </w:rPr>
      </w:pPr>
      <w:r>
        <w:rPr>
          <w:rFonts w:ascii="黑体" w:eastAsia="黑体" w:hint="eastAsia"/>
          <w:sz w:val="27"/>
        </w:rPr>
        <w:t>电器</w:t>
      </w:r>
    </w:p>
    <w:p>
      <w:pPr>
        <w:pStyle w:val="ListParagraph"/>
        <w:numPr>
          <w:ilvl w:val="0"/>
          <w:numId w:val="5"/>
        </w:numPr>
        <w:tabs>
          <w:tab w:val="left" w:pos="1098"/>
          <w:tab w:val="left" w:pos="1099"/>
          <w:tab w:val="left" w:pos="1854"/>
        </w:tabs>
        <w:spacing w:before="0" w:after="0" w:line="1222" w:lineRule="exact"/>
        <w:ind w:left="1099" w:right="0" w:hanging="702"/>
        <w:jc w:val="left"/>
        <w:rPr>
          <w:rFonts w:ascii="黑体" w:eastAsia="黑体" w:hint="eastAsia"/>
          <w:sz w:val="27"/>
        </w:rPr>
        <w:sectPr>
          <w:type w:val="continuous"/>
          <w:pgSz w:w="17860" w:h="25260"/>
          <w:pgMar w:top="2420" w:right="1160" w:bottom="280" w:left="2300" w:header="708" w:footer="708"/>
          <w:pgNumType w:start="29"/>
          <w:cols w:num="2" w:space="708" w:equalWidth="0">
            <w:col w:w="2126" w:space="40"/>
            <w:col w:w="12234" w:space="0"/>
          </w:cols>
        </w:sectPr>
      </w:pPr>
      <w:r>
        <w:rPr>
          <w:rFonts w:ascii="黑体" w:eastAsia="黑体" w:hint="eastAsia"/>
          <w:sz w:val="27"/>
        </w:rPr>
        <w:t>高速</w:t>
        <w:tab/>
      </w:r>
      <w:r>
        <w:rPr>
          <w:rFonts w:ascii="黑体" w:eastAsia="黑体" w:hint="eastAsia"/>
          <w:spacing w:val="-19"/>
          <w:sz w:val="27"/>
        </w:rPr>
        <w:t>公</w:t>
      </w:r>
    </w:p>
    <w:p>
      <w:pPr>
        <w:spacing w:before="0" w:line="1690" w:lineRule="exact"/>
        <w:ind w:left="342" w:right="0" w:firstLine="0"/>
        <w:jc w:val="center"/>
        <w:rPr>
          <w:rFonts w:ascii="黑体" w:eastAsia="黑体" w:hint="eastAsia"/>
          <w:sz w:val="27"/>
        </w:rPr>
      </w:pPr>
      <w:r>
        <w:rPr>
          <w:rFonts w:ascii="黑体" w:eastAsia="黑体" w:hint="eastAsia"/>
          <w:sz w:val="27"/>
        </w:rPr>
        <w:t>路</w:t>
      </w:r>
    </w:p>
    <w:p>
      <w:pPr>
        <w:pStyle w:val="ListParagraph"/>
        <w:numPr>
          <w:ilvl w:val="0"/>
          <w:numId w:val="29"/>
        </w:numPr>
        <w:tabs>
          <w:tab w:val="left" w:pos="1098"/>
          <w:tab w:val="left" w:pos="1099"/>
        </w:tabs>
        <w:spacing w:before="0" w:after="0" w:line="2158" w:lineRule="exact"/>
        <w:ind w:left="1099" w:right="0" w:hanging="702"/>
        <w:jc w:val="left"/>
        <w:rPr>
          <w:rFonts w:ascii="黑体" w:eastAsia="黑体" w:hint="eastAsia"/>
          <w:sz w:val="27"/>
        </w:rPr>
      </w:pPr>
      <w:r>
        <w:rPr>
          <w:rFonts w:ascii="黑体" w:eastAsia="黑体" w:hint="eastAsia"/>
          <w:sz w:val="27"/>
        </w:rPr>
        <w:t>玻璃</w:t>
      </w:r>
    </w:p>
    <w:p>
      <w:pPr>
        <w:pStyle w:val="ListParagraph"/>
        <w:numPr>
          <w:ilvl w:val="0"/>
          <w:numId w:val="29"/>
        </w:numPr>
        <w:tabs>
          <w:tab w:val="left" w:pos="1098"/>
          <w:tab w:val="left" w:pos="1099"/>
        </w:tabs>
        <w:spacing w:before="0" w:after="0" w:line="3094" w:lineRule="exact"/>
        <w:ind w:left="1099" w:right="0" w:hanging="702"/>
        <w:jc w:val="left"/>
        <w:rPr>
          <w:rFonts w:ascii="黑体" w:eastAsia="黑体" w:hint="eastAsia"/>
          <w:sz w:val="27"/>
        </w:rPr>
      </w:pPr>
      <w:r>
        <w:rPr>
          <w:rFonts w:ascii="黑体" w:eastAsia="黑体" w:hint="eastAsia"/>
          <w:sz w:val="27"/>
        </w:rPr>
        <w:t>铁路</w:t>
      </w:r>
    </w:p>
    <w:p>
      <w:pPr>
        <w:pStyle w:val="ListParagraph"/>
        <w:numPr>
          <w:ilvl w:val="0"/>
          <w:numId w:val="29"/>
        </w:numPr>
        <w:tabs>
          <w:tab w:val="left" w:pos="1098"/>
          <w:tab w:val="left" w:pos="1099"/>
        </w:tabs>
        <w:spacing w:before="0" w:after="0" w:line="4030" w:lineRule="exact"/>
        <w:ind w:left="1099" w:right="0" w:hanging="702"/>
        <w:jc w:val="left"/>
        <w:rPr>
          <w:rFonts w:ascii="黑体" w:eastAsia="黑体" w:hint="eastAsia"/>
          <w:sz w:val="27"/>
        </w:rPr>
      </w:pPr>
      <w:r>
        <w:rPr>
          <w:rFonts w:ascii="黑体" w:eastAsia="黑体" w:hint="eastAsia"/>
          <w:sz w:val="27"/>
        </w:rPr>
        <w:t>制药</w:t>
      </w:r>
    </w:p>
    <w:p>
      <w:pPr>
        <w:pStyle w:val="ListParagraph"/>
        <w:numPr>
          <w:ilvl w:val="0"/>
          <w:numId w:val="29"/>
        </w:numPr>
        <w:tabs>
          <w:tab w:val="left" w:pos="1098"/>
          <w:tab w:val="left" w:pos="1099"/>
        </w:tabs>
        <w:spacing w:before="0" w:after="0" w:line="4966" w:lineRule="exact"/>
        <w:ind w:left="1099" w:right="0" w:hanging="702"/>
        <w:jc w:val="left"/>
        <w:rPr>
          <w:rFonts w:ascii="黑体" w:eastAsia="黑体" w:hint="eastAsia"/>
          <w:sz w:val="27"/>
        </w:rPr>
      </w:pPr>
      <w:r>
        <w:rPr>
          <w:rFonts w:ascii="黑体" w:eastAsia="黑体" w:hint="eastAsia"/>
          <w:sz w:val="27"/>
        </w:rPr>
        <w:t>港口</w:t>
      </w:r>
    </w:p>
    <w:p>
      <w:pPr>
        <w:tabs>
          <w:tab w:val="left" w:pos="11248"/>
        </w:tabs>
        <w:spacing w:before="0" w:line="2523" w:lineRule="exact"/>
        <w:ind w:left="283" w:right="0" w:firstLine="0"/>
        <w:jc w:val="left"/>
        <w:rPr>
          <w:rFonts w:ascii="黑体" w:eastAsia="黑体" w:hint="eastAsia"/>
          <w:sz w:val="27"/>
        </w:rPr>
      </w:pPr>
      <w:r>
        <w:br w:type="column"/>
      </w:r>
      <w:r>
        <w:rPr>
          <w:sz w:val="27"/>
        </w:rPr>
        <w:t>降低进口关税和放开进口配额将加剧外国竞争，继而影响价格的复苏。</w:t>
        <w:tab/>
      </w:r>
      <w:r>
        <w:rPr>
          <w:rFonts w:ascii="黑体" w:eastAsia="黑体" w:hint="eastAsia"/>
          <w:sz w:val="27"/>
        </w:rPr>
        <w:t>负面</w:t>
      </w:r>
    </w:p>
    <w:p>
      <w:pPr>
        <w:tabs>
          <w:tab w:val="left" w:pos="11248"/>
        </w:tabs>
        <w:spacing w:before="0" w:line="1587" w:lineRule="exact"/>
        <w:ind w:left="283" w:right="0" w:firstLine="0"/>
        <w:jc w:val="left"/>
        <w:rPr>
          <w:rFonts w:ascii="黑体" w:eastAsia="黑体" w:hint="eastAsia"/>
          <w:sz w:val="27"/>
        </w:rPr>
      </w:pPr>
      <w:r>
        <w:rPr>
          <w:sz w:val="27"/>
        </w:rPr>
        <w:t>关税水平很低，为</w:t>
      </w:r>
      <w:r>
        <w:rPr>
          <w:spacing w:val="-66"/>
          <w:sz w:val="27"/>
        </w:rPr>
        <w:t xml:space="preserve"> </w:t>
      </w:r>
      <w:r>
        <w:rPr>
          <w:sz w:val="27"/>
        </w:rPr>
        <w:t>3%-6%。进口煤因运输成本高而没有竞争力。</w:t>
        <w:tab/>
      </w:r>
      <w:r>
        <w:rPr>
          <w:rFonts w:ascii="黑体" w:eastAsia="黑体" w:hint="eastAsia"/>
          <w:sz w:val="27"/>
        </w:rPr>
        <w:t>中性</w:t>
      </w:r>
    </w:p>
    <w:p>
      <w:pPr>
        <w:tabs>
          <w:tab w:val="left" w:pos="11248"/>
        </w:tabs>
        <w:spacing w:before="0" w:line="1119" w:lineRule="exact"/>
        <w:ind w:left="283" w:right="0" w:firstLine="0"/>
        <w:jc w:val="left"/>
        <w:rPr>
          <w:rFonts w:ascii="黑体" w:eastAsia="黑体" w:hint="eastAsia"/>
          <w:sz w:val="27"/>
        </w:rPr>
      </w:pPr>
      <w:r>
        <w:rPr>
          <w:sz w:val="27"/>
        </w:rPr>
        <w:t>如对进口</w:t>
      </w:r>
      <w:r>
        <w:rPr>
          <w:spacing w:val="-66"/>
          <w:sz w:val="27"/>
        </w:rPr>
        <w:t xml:space="preserve"> </w:t>
      </w:r>
      <w:r>
        <w:rPr>
          <w:sz w:val="27"/>
        </w:rPr>
        <w:t>PC</w:t>
      </w:r>
      <w:r>
        <w:rPr>
          <w:spacing w:val="-63"/>
          <w:sz w:val="27"/>
        </w:rPr>
        <w:t xml:space="preserve"> </w:t>
      </w:r>
      <w:r>
        <w:rPr>
          <w:sz w:val="27"/>
        </w:rPr>
        <w:t>机降低关税，将减少外国品牌机和国产品牌机的价差，使前者更有竞争力。国</w:t>
        <w:tab/>
      </w:r>
      <w:r>
        <w:rPr>
          <w:rFonts w:ascii="黑体" w:eastAsia="黑体" w:hint="eastAsia"/>
          <w:sz w:val="27"/>
        </w:rPr>
        <w:t>中性</w:t>
      </w:r>
    </w:p>
    <w:p>
      <w:pPr>
        <w:spacing w:before="0" w:line="651" w:lineRule="exact"/>
        <w:ind w:left="283" w:right="0" w:firstLine="0"/>
        <w:jc w:val="left"/>
        <w:rPr>
          <w:sz w:val="27"/>
        </w:rPr>
      </w:pPr>
      <w:r>
        <w:rPr>
          <w:sz w:val="27"/>
        </w:rPr>
        <w:t>产 PC 机厂商将相应降价。然而计算机相关产品（如打印机和网络产品，大都是外国品牌）</w:t>
      </w:r>
    </w:p>
    <w:p>
      <w:pPr>
        <w:spacing w:before="0" w:line="183" w:lineRule="exact"/>
        <w:ind w:left="283" w:right="0" w:firstLine="0"/>
        <w:jc w:val="left"/>
        <w:rPr>
          <w:sz w:val="27"/>
        </w:rPr>
      </w:pPr>
      <w:r>
        <w:rPr>
          <w:sz w:val="27"/>
        </w:rPr>
        <w:t>销售商将从低成本和高销售额中获益。</w:t>
      </w:r>
    </w:p>
    <w:p>
      <w:pPr>
        <w:tabs>
          <w:tab w:val="left" w:pos="11248"/>
        </w:tabs>
        <w:spacing w:before="0" w:line="285" w:lineRule="exact"/>
        <w:ind w:left="283" w:right="0" w:firstLine="0"/>
        <w:jc w:val="left"/>
        <w:rPr>
          <w:rFonts w:ascii="黑体" w:eastAsia="黑体" w:hint="eastAsia"/>
          <w:sz w:val="27"/>
        </w:rPr>
      </w:pPr>
      <w:r>
        <w:rPr>
          <w:sz w:val="27"/>
        </w:rPr>
        <w:t>中国的彩电生产商是世界上最具竞争实力的。加入</w:t>
      </w:r>
      <w:r>
        <w:rPr>
          <w:spacing w:val="-11"/>
          <w:sz w:val="27"/>
        </w:rPr>
        <w:t xml:space="preserve"> </w:t>
      </w:r>
      <w:r>
        <w:rPr>
          <w:sz w:val="27"/>
        </w:rPr>
        <w:t>WTO</w:t>
      </w:r>
      <w:r>
        <w:rPr>
          <w:spacing w:val="-11"/>
          <w:sz w:val="27"/>
        </w:rPr>
        <w:t xml:space="preserve"> </w:t>
      </w:r>
      <w:r>
        <w:rPr>
          <w:sz w:val="27"/>
        </w:rPr>
        <w:t>将会给彩电和其他电子产品生产商</w:t>
        <w:tab/>
      </w:r>
      <w:r>
        <w:rPr>
          <w:rFonts w:ascii="黑体" w:eastAsia="黑体" w:hint="eastAsia"/>
          <w:sz w:val="27"/>
        </w:rPr>
        <w:t>轻</w:t>
      </w:r>
      <w:r>
        <w:rPr>
          <w:rFonts w:ascii="黑体" w:eastAsia="黑体" w:hint="eastAsia"/>
          <w:spacing w:val="9"/>
          <w:sz w:val="27"/>
        </w:rPr>
        <w:t xml:space="preserve"> </w:t>
      </w:r>
      <w:r>
        <w:rPr>
          <w:rFonts w:ascii="黑体" w:eastAsia="黑体" w:hint="eastAsia"/>
          <w:sz w:val="27"/>
        </w:rPr>
        <w:t>微</w:t>
      </w:r>
    </w:p>
    <w:p>
      <w:pPr>
        <w:tabs>
          <w:tab w:val="left" w:pos="11248"/>
        </w:tabs>
        <w:spacing w:before="0" w:line="753" w:lineRule="exact"/>
        <w:ind w:left="283" w:right="0" w:firstLine="0"/>
        <w:jc w:val="left"/>
        <w:rPr>
          <w:rFonts w:ascii="黑体" w:eastAsia="黑体" w:hint="eastAsia"/>
          <w:sz w:val="27"/>
        </w:rPr>
      </w:pPr>
      <w:r>
        <w:rPr>
          <w:sz w:val="27"/>
        </w:rPr>
        <w:t>打开更多市场。管理好的企业将会受益，相反管理不当的企业将会面临不断增加的压力。</w:t>
        <w:tab/>
      </w:r>
      <w:r>
        <w:rPr>
          <w:rFonts w:ascii="黑体" w:eastAsia="黑体" w:hint="eastAsia"/>
          <w:sz w:val="27"/>
        </w:rPr>
        <w:t>正面</w:t>
      </w:r>
    </w:p>
    <w:p>
      <w:pPr>
        <w:tabs>
          <w:tab w:val="left" w:pos="11248"/>
        </w:tabs>
        <w:spacing w:before="0" w:line="1222" w:lineRule="exact"/>
        <w:ind w:left="283" w:right="0" w:firstLine="0"/>
        <w:jc w:val="left"/>
        <w:rPr>
          <w:rFonts w:ascii="黑体" w:eastAsia="黑体" w:hint="eastAsia"/>
          <w:sz w:val="27"/>
        </w:rPr>
      </w:pPr>
      <w:r>
        <w:rPr>
          <w:sz w:val="27"/>
        </w:rPr>
        <w:t>由于加入</w:t>
      </w:r>
      <w:r>
        <w:rPr>
          <w:spacing w:val="-41"/>
          <w:sz w:val="27"/>
        </w:rPr>
        <w:t xml:space="preserve"> </w:t>
      </w:r>
      <w:r>
        <w:rPr>
          <w:sz w:val="27"/>
        </w:rPr>
        <w:t>WTO</w:t>
      </w:r>
      <w:r>
        <w:rPr>
          <w:spacing w:val="-36"/>
          <w:sz w:val="27"/>
        </w:rPr>
        <w:t xml:space="preserve"> </w:t>
      </w:r>
      <w:r>
        <w:rPr>
          <w:sz w:val="27"/>
        </w:rPr>
        <w:t>将促进贸易，因此会增加总的交通运输量。虽然</w:t>
      </w:r>
      <w:r>
        <w:rPr>
          <w:spacing w:val="-45"/>
          <w:sz w:val="27"/>
        </w:rPr>
        <w:t xml:space="preserve"> </w:t>
      </w:r>
      <w:r>
        <w:rPr>
          <w:sz w:val="27"/>
        </w:rPr>
        <w:t>WTO</w:t>
      </w:r>
      <w:r>
        <w:rPr>
          <w:spacing w:val="-37"/>
          <w:sz w:val="27"/>
        </w:rPr>
        <w:t xml:space="preserve"> </w:t>
      </w:r>
      <w:r>
        <w:rPr>
          <w:sz w:val="27"/>
        </w:rPr>
        <w:t>对大多数国有企业有负</w:t>
        <w:tab/>
      </w:r>
      <w:r>
        <w:rPr>
          <w:rFonts w:ascii="黑体" w:eastAsia="黑体" w:hint="eastAsia"/>
          <w:sz w:val="27"/>
        </w:rPr>
        <w:t>轻</w:t>
      </w:r>
      <w:r>
        <w:rPr>
          <w:rFonts w:ascii="黑体" w:eastAsia="黑体" w:hint="eastAsia"/>
          <w:spacing w:val="9"/>
          <w:sz w:val="27"/>
        </w:rPr>
        <w:t xml:space="preserve"> </w:t>
      </w:r>
      <w:r>
        <w:rPr>
          <w:rFonts w:ascii="黑体" w:eastAsia="黑体" w:hint="eastAsia"/>
          <w:sz w:val="27"/>
        </w:rPr>
        <w:t>微</w:t>
      </w:r>
    </w:p>
    <w:p>
      <w:pPr>
        <w:tabs>
          <w:tab w:val="left" w:pos="11248"/>
        </w:tabs>
        <w:spacing w:before="0" w:line="1690" w:lineRule="exact"/>
        <w:ind w:left="283" w:right="0" w:firstLine="0"/>
        <w:jc w:val="left"/>
        <w:rPr>
          <w:rFonts w:ascii="黑体" w:eastAsia="黑体" w:hint="eastAsia"/>
          <w:sz w:val="27"/>
        </w:rPr>
      </w:pPr>
      <w:r>
        <w:rPr>
          <w:sz w:val="27"/>
        </w:rPr>
        <w:t>面影响，但对这些国有运输企业却有些正面影响。</w:t>
        <w:tab/>
      </w:r>
      <w:r>
        <w:rPr>
          <w:rFonts w:ascii="黑体" w:eastAsia="黑体" w:hint="eastAsia"/>
          <w:sz w:val="27"/>
        </w:rPr>
        <w:t>正面</w:t>
      </w:r>
    </w:p>
    <w:p>
      <w:pPr>
        <w:tabs>
          <w:tab w:val="left" w:pos="11248"/>
        </w:tabs>
        <w:spacing w:before="0" w:line="2158" w:lineRule="exact"/>
        <w:ind w:left="283" w:right="0" w:firstLine="0"/>
        <w:jc w:val="left"/>
        <w:rPr>
          <w:rFonts w:ascii="黑体" w:eastAsia="黑体" w:hint="eastAsia"/>
          <w:sz w:val="27"/>
        </w:rPr>
      </w:pPr>
      <w:r>
        <w:rPr>
          <w:sz w:val="27"/>
        </w:rPr>
        <w:t>国内市场已经充斥着国产和中外合资企业生产的玻璃制品，市场已经饱和。大规模的外国</w:t>
        <w:tab/>
      </w:r>
      <w:r>
        <w:rPr>
          <w:rFonts w:ascii="黑体" w:eastAsia="黑体" w:hint="eastAsia"/>
          <w:sz w:val="27"/>
        </w:rPr>
        <w:t>轻</w:t>
      </w:r>
      <w:r>
        <w:rPr>
          <w:rFonts w:ascii="黑体" w:eastAsia="黑体" w:hint="eastAsia"/>
          <w:spacing w:val="9"/>
          <w:sz w:val="27"/>
        </w:rPr>
        <w:t xml:space="preserve"> </w:t>
      </w:r>
      <w:r>
        <w:rPr>
          <w:rFonts w:ascii="黑体" w:eastAsia="黑体" w:hint="eastAsia"/>
          <w:sz w:val="27"/>
        </w:rPr>
        <w:t>微</w:t>
      </w:r>
    </w:p>
    <w:p>
      <w:pPr>
        <w:tabs>
          <w:tab w:val="left" w:pos="11248"/>
        </w:tabs>
        <w:spacing w:before="0" w:line="2626" w:lineRule="exact"/>
        <w:ind w:left="283" w:right="0" w:firstLine="0"/>
        <w:jc w:val="left"/>
        <w:rPr>
          <w:rFonts w:ascii="黑体" w:eastAsia="黑体" w:hint="eastAsia"/>
          <w:sz w:val="27"/>
        </w:rPr>
      </w:pPr>
      <w:r>
        <w:rPr>
          <w:sz w:val="27"/>
        </w:rPr>
        <w:t>进口将集中在高档产品上。小型和低档产品比较脆弱。</w:t>
        <w:tab/>
      </w:r>
      <w:r>
        <w:rPr>
          <w:rFonts w:ascii="黑体" w:eastAsia="黑体" w:hint="eastAsia"/>
          <w:sz w:val="27"/>
        </w:rPr>
        <w:t>负面</w:t>
      </w:r>
    </w:p>
    <w:p>
      <w:pPr>
        <w:tabs>
          <w:tab w:val="left" w:pos="11248"/>
        </w:tabs>
        <w:spacing w:before="0" w:line="3094" w:lineRule="exact"/>
        <w:ind w:left="283" w:right="0" w:firstLine="0"/>
        <w:jc w:val="left"/>
        <w:rPr>
          <w:rFonts w:ascii="黑体" w:eastAsia="黑体" w:hint="eastAsia"/>
          <w:sz w:val="27"/>
        </w:rPr>
      </w:pPr>
      <w:r>
        <w:rPr>
          <w:sz w:val="27"/>
        </w:rPr>
        <w:t>鉴于除极少数情况外整个铁路行业一直并将继续亏损，因此不大可能会吸引许多投资。如</w:t>
        <w:tab/>
      </w:r>
      <w:r>
        <w:rPr>
          <w:rFonts w:ascii="黑体" w:eastAsia="黑体" w:hint="eastAsia"/>
          <w:sz w:val="27"/>
        </w:rPr>
        <w:t>中性</w:t>
      </w:r>
    </w:p>
    <w:p>
      <w:pPr>
        <w:spacing w:before="0" w:line="3562" w:lineRule="exact"/>
        <w:ind w:left="283" w:right="0" w:firstLine="0"/>
        <w:jc w:val="left"/>
        <w:rPr>
          <w:sz w:val="27"/>
        </w:rPr>
        <w:sectPr>
          <w:type w:val="nextPage"/>
          <w:pgSz w:w="17860" w:h="25260"/>
          <w:pgMar w:top="2420" w:right="1160" w:bottom="280" w:left="2300" w:header="708" w:footer="708"/>
          <w:pgNumType w:start="30"/>
          <w:cols w:num="2" w:space="708" w:equalWidth="0">
            <w:col w:w="2126" w:space="40"/>
            <w:col w:w="12234" w:space="0"/>
          </w:cols>
          <w:titlePg w:val="0"/>
        </w:sectPr>
      </w:pPr>
      <w:r>
        <w:rPr>
          <w:sz w:val="27"/>
        </w:rPr>
        <w:t>果有任何影响，也将是非常小的。</w:t>
      </w:r>
    </w:p>
    <w:p>
      <w:pPr>
        <w:spacing w:before="0" w:line="4030" w:lineRule="exact"/>
        <w:ind w:left="283" w:right="0" w:firstLine="0"/>
        <w:jc w:val="left"/>
        <w:rPr>
          <w:rFonts w:ascii="黑体" w:eastAsia="黑体" w:hint="eastAsia"/>
          <w:sz w:val="27"/>
        </w:rPr>
      </w:pPr>
      <w:r>
        <w:rPr>
          <w:sz w:val="27"/>
        </w:rPr>
        <w:t xml:space="preserve">进口受到登记制的控制。这种作法在西方国家也很常见，主要是用来保证一定的医疗标准。 </w:t>
      </w:r>
      <w:r>
        <w:rPr>
          <w:rFonts w:ascii="黑体" w:eastAsia="黑体" w:hint="eastAsia"/>
          <w:sz w:val="27"/>
        </w:rPr>
        <w:t>中性</w:t>
      </w:r>
    </w:p>
    <w:p>
      <w:pPr>
        <w:spacing w:before="0" w:line="4498" w:lineRule="exact"/>
        <w:ind w:left="283" w:right="0" w:firstLine="0"/>
        <w:jc w:val="left"/>
        <w:rPr>
          <w:sz w:val="27"/>
        </w:rPr>
      </w:pPr>
      <w:r>
        <w:rPr>
          <w:sz w:val="27"/>
        </w:rPr>
        <w:t>此外，医疗保险和医药保健也将抑制医院对昂贵进口药品的需求。</w:t>
      </w:r>
    </w:p>
    <w:p>
      <w:pPr>
        <w:tabs>
          <w:tab w:val="left" w:pos="11248"/>
        </w:tabs>
        <w:spacing w:before="0" w:line="4966" w:lineRule="exact"/>
        <w:ind w:left="283" w:right="0" w:firstLine="0"/>
        <w:jc w:val="left"/>
        <w:rPr>
          <w:rFonts w:ascii="黑体" w:eastAsia="黑体" w:hint="eastAsia"/>
          <w:sz w:val="27"/>
        </w:rPr>
      </w:pPr>
      <w:r>
        <w:rPr>
          <w:sz w:val="27"/>
        </w:rPr>
        <w:t>目前，外国投资已经有限地参与国内港口建设。国内港口目前吞吐能力过剩，因而竞争激</w:t>
        <w:tab/>
      </w:r>
      <w:r>
        <w:rPr>
          <w:rFonts w:ascii="黑体" w:eastAsia="黑体" w:hint="eastAsia"/>
          <w:sz w:val="27"/>
        </w:rPr>
        <w:t>正面</w:t>
      </w:r>
    </w:p>
    <w:p>
      <w:pPr>
        <w:spacing w:after="0" w:line="4966" w:lineRule="exact"/>
        <w:jc w:val="left"/>
        <w:rPr>
          <w:rFonts w:ascii="黑体" w:eastAsia="黑体" w:hint="eastAsia"/>
          <w:sz w:val="27"/>
        </w:rPr>
        <w:sectPr>
          <w:type w:val="nextPage"/>
          <w:pgSz w:w="17860" w:h="25260"/>
          <w:pgMar w:top="2420" w:right="1160" w:bottom="280" w:left="2300" w:header="708" w:footer="708"/>
          <w:pgNumType w:start="31"/>
          <w:cols w:num="2" w:space="708" w:equalWidth="0">
            <w:col w:w="2126" w:space="40"/>
            <w:col w:w="12234" w:space="0"/>
          </w:cols>
          <w:titlePg w:val="0"/>
        </w:sectPr>
      </w:pPr>
    </w:p>
    <w:p>
      <w:pPr>
        <w:pStyle w:val="BodyText"/>
        <w:rPr>
          <w:rFonts w:ascii="黑体"/>
          <w:sz w:val="26"/>
        </w:rPr>
      </w:pPr>
    </w:p>
    <w:p>
      <w:pPr>
        <w:pStyle w:val="BodyText"/>
        <w:rPr>
          <w:rFonts w:ascii="黑体"/>
          <w:sz w:val="26"/>
        </w:rPr>
      </w:pPr>
    </w:p>
    <w:p>
      <w:pPr>
        <w:pStyle w:val="BodyText"/>
        <w:spacing w:before="10"/>
        <w:rPr>
          <w:rFonts w:ascii="黑体"/>
          <w:sz w:val="24"/>
        </w:rPr>
      </w:pPr>
    </w:p>
    <w:p>
      <w:pPr>
        <w:pStyle w:val="ListParagraph"/>
        <w:numPr>
          <w:ilvl w:val="0"/>
          <w:numId w:val="5"/>
        </w:numPr>
        <w:tabs>
          <w:tab w:val="left" w:pos="1098"/>
          <w:tab w:val="left" w:pos="1099"/>
        </w:tabs>
        <w:spacing w:before="1" w:after="0" w:line="240" w:lineRule="auto"/>
        <w:ind w:left="1099" w:right="0" w:hanging="702"/>
        <w:jc w:val="left"/>
        <w:rPr>
          <w:rFonts w:ascii="黑体" w:eastAsia="黑体" w:hint="eastAsia"/>
          <w:sz w:val="27"/>
        </w:rPr>
      </w:pPr>
      <w:r>
        <w:rPr>
          <w:rFonts w:ascii="黑体" w:eastAsia="黑体" w:hint="eastAsia"/>
          <w:sz w:val="27"/>
        </w:rPr>
        <w:t>电力</w:t>
      </w:r>
    </w:p>
    <w:p>
      <w:pPr>
        <w:pStyle w:val="ListParagraph"/>
        <w:numPr>
          <w:ilvl w:val="0"/>
          <w:numId w:val="5"/>
        </w:numPr>
        <w:tabs>
          <w:tab w:val="left" w:pos="1098"/>
          <w:tab w:val="left" w:pos="1099"/>
          <w:tab w:val="left" w:pos="1854"/>
        </w:tabs>
        <w:spacing w:before="122" w:after="0" w:line="324" w:lineRule="auto"/>
        <w:ind w:left="1098" w:right="0" w:hanging="702"/>
        <w:jc w:val="left"/>
        <w:rPr>
          <w:rFonts w:ascii="黑体" w:eastAsia="黑体" w:hint="eastAsia"/>
          <w:sz w:val="27"/>
        </w:rPr>
      </w:pPr>
      <w:r>
        <w:rPr>
          <w:rFonts w:ascii="黑体" w:eastAsia="黑体" w:hint="eastAsia"/>
          <w:sz w:val="27"/>
        </w:rPr>
        <w:t>发电</w:t>
        <w:tab/>
      </w:r>
      <w:r>
        <w:rPr>
          <w:rFonts w:ascii="黑体" w:eastAsia="黑体" w:hint="eastAsia"/>
          <w:spacing w:val="-19"/>
          <w:sz w:val="27"/>
        </w:rPr>
        <w:t>设</w:t>
      </w:r>
      <w:r>
        <w:rPr>
          <w:rFonts w:ascii="黑体" w:eastAsia="黑体" w:hint="eastAsia"/>
          <w:sz w:val="27"/>
        </w:rPr>
        <w:t>备</w:t>
      </w:r>
    </w:p>
    <w:p>
      <w:pPr>
        <w:pStyle w:val="ListParagraph"/>
        <w:numPr>
          <w:ilvl w:val="0"/>
          <w:numId w:val="5"/>
        </w:numPr>
        <w:tabs>
          <w:tab w:val="left" w:pos="1098"/>
          <w:tab w:val="left" w:pos="1099"/>
        </w:tabs>
        <w:spacing w:before="2" w:after="0" w:line="240" w:lineRule="auto"/>
        <w:ind w:left="1099" w:right="0" w:hanging="702"/>
        <w:jc w:val="left"/>
        <w:rPr>
          <w:rFonts w:ascii="黑体" w:eastAsia="黑体" w:hint="eastAsia"/>
          <w:sz w:val="27"/>
        </w:rPr>
      </w:pPr>
      <w:r>
        <w:rPr>
          <w:rFonts w:ascii="黑体" w:eastAsia="黑体" w:hint="eastAsia"/>
          <w:sz w:val="27"/>
        </w:rPr>
        <w:t>造船</w:t>
      </w:r>
    </w:p>
    <w:p>
      <w:pPr>
        <w:pStyle w:val="BodyText"/>
        <w:rPr>
          <w:rFonts w:ascii="黑体"/>
          <w:sz w:val="26"/>
        </w:rPr>
      </w:pPr>
    </w:p>
    <w:p>
      <w:pPr>
        <w:pStyle w:val="BodyText"/>
        <w:rPr>
          <w:rFonts w:ascii="黑体"/>
          <w:sz w:val="26"/>
        </w:rPr>
      </w:pPr>
    </w:p>
    <w:p>
      <w:pPr>
        <w:pStyle w:val="BodyText"/>
        <w:spacing w:before="7"/>
        <w:rPr>
          <w:rFonts w:ascii="黑体"/>
          <w:sz w:val="30"/>
        </w:rPr>
      </w:pPr>
    </w:p>
    <w:p>
      <w:pPr>
        <w:pStyle w:val="ListParagraph"/>
        <w:numPr>
          <w:ilvl w:val="0"/>
          <w:numId w:val="5"/>
        </w:numPr>
        <w:tabs>
          <w:tab w:val="left" w:pos="1098"/>
          <w:tab w:val="left" w:pos="1099"/>
        </w:tabs>
        <w:spacing w:before="0" w:after="0" w:line="240" w:lineRule="auto"/>
        <w:ind w:left="1099" w:right="0" w:hanging="702"/>
        <w:jc w:val="left"/>
        <w:rPr>
          <w:rFonts w:ascii="黑体" w:eastAsia="黑体" w:hint="eastAsia"/>
          <w:sz w:val="27"/>
        </w:rPr>
      </w:pPr>
      <w:r>
        <w:rPr>
          <w:rFonts w:ascii="黑体" w:eastAsia="黑体" w:hint="eastAsia"/>
          <w:sz w:val="27"/>
        </w:rPr>
        <w:t>船运</w:t>
      </w:r>
    </w:p>
    <w:p>
      <w:pPr>
        <w:pStyle w:val="BodyText"/>
        <w:rPr>
          <w:rFonts w:ascii="黑体"/>
          <w:sz w:val="26"/>
        </w:rPr>
      </w:pPr>
    </w:p>
    <w:p>
      <w:pPr>
        <w:pStyle w:val="BodyText"/>
        <w:spacing w:before="1"/>
        <w:rPr>
          <w:rFonts w:ascii="黑体"/>
          <w:sz w:val="20"/>
        </w:rPr>
      </w:pPr>
    </w:p>
    <w:p>
      <w:pPr>
        <w:pStyle w:val="ListParagraph"/>
        <w:numPr>
          <w:ilvl w:val="0"/>
          <w:numId w:val="5"/>
        </w:numPr>
        <w:tabs>
          <w:tab w:val="left" w:pos="1098"/>
          <w:tab w:val="left" w:pos="1099"/>
        </w:tabs>
        <w:spacing w:before="0" w:after="0" w:line="240" w:lineRule="auto"/>
        <w:ind w:left="1099" w:right="0" w:hanging="702"/>
        <w:jc w:val="left"/>
        <w:rPr>
          <w:rFonts w:ascii="黑体" w:eastAsia="黑体" w:hint="eastAsia"/>
          <w:sz w:val="27"/>
        </w:rPr>
      </w:pPr>
      <w:r>
        <w:rPr>
          <w:rFonts w:ascii="黑体" w:eastAsia="黑体" w:hint="eastAsia"/>
          <w:sz w:val="27"/>
        </w:rPr>
        <w:t>钢铁</w:t>
      </w:r>
    </w:p>
    <w:p>
      <w:pPr>
        <w:pStyle w:val="BodyText"/>
        <w:rPr>
          <w:rFonts w:ascii="黑体"/>
          <w:sz w:val="26"/>
        </w:rPr>
      </w:pPr>
    </w:p>
    <w:p>
      <w:pPr>
        <w:pStyle w:val="BodyText"/>
        <w:spacing w:before="1"/>
        <w:rPr>
          <w:rFonts w:ascii="黑体"/>
          <w:sz w:val="20"/>
        </w:rPr>
      </w:pPr>
    </w:p>
    <w:p>
      <w:pPr>
        <w:pStyle w:val="ListParagraph"/>
        <w:numPr>
          <w:ilvl w:val="0"/>
          <w:numId w:val="5"/>
        </w:numPr>
        <w:tabs>
          <w:tab w:val="left" w:pos="1098"/>
          <w:tab w:val="left" w:pos="1099"/>
        </w:tabs>
        <w:spacing w:before="0" w:after="0" w:line="240" w:lineRule="auto"/>
        <w:ind w:left="1099" w:right="0" w:hanging="702"/>
        <w:jc w:val="left"/>
        <w:rPr>
          <w:rFonts w:ascii="黑体" w:eastAsia="黑体" w:hint="eastAsia"/>
          <w:sz w:val="27"/>
        </w:rPr>
      </w:pPr>
      <w:r>
        <w:rPr>
          <w:rFonts w:ascii="黑体" w:eastAsia="黑体" w:hint="eastAsia"/>
          <w:sz w:val="27"/>
        </w:rPr>
        <w:t>纺织</w:t>
      </w:r>
    </w:p>
    <w:p>
      <w:pPr>
        <w:pStyle w:val="ListParagraph"/>
        <w:numPr>
          <w:ilvl w:val="0"/>
          <w:numId w:val="5"/>
        </w:numPr>
        <w:tabs>
          <w:tab w:val="left" w:pos="1098"/>
          <w:tab w:val="left" w:pos="1099"/>
        </w:tabs>
        <w:spacing w:before="122" w:after="0" w:line="240" w:lineRule="auto"/>
        <w:ind w:left="1099" w:right="0" w:hanging="702"/>
        <w:jc w:val="left"/>
        <w:rPr>
          <w:rFonts w:ascii="黑体" w:eastAsia="黑体" w:hint="eastAsia"/>
          <w:sz w:val="27"/>
        </w:rPr>
      </w:pPr>
      <w:r>
        <w:rPr>
          <w:rFonts w:ascii="黑体" w:eastAsia="黑体" w:hint="eastAsia"/>
          <w:sz w:val="27"/>
        </w:rPr>
        <w:t>消费品</w:t>
      </w:r>
    </w:p>
    <w:p>
      <w:pPr>
        <w:spacing w:before="48" w:line="324" w:lineRule="auto"/>
        <w:ind w:left="283" w:right="1309" w:firstLine="0"/>
        <w:jc w:val="both"/>
        <w:rPr>
          <w:sz w:val="27"/>
        </w:rPr>
      </w:pPr>
      <w:r>
        <w:br w:type="column"/>
      </w:r>
      <w:r>
        <w:rPr>
          <w:spacing w:val="-1"/>
          <w:sz w:val="27"/>
        </w:rPr>
        <w:t xml:space="preserve">烈。主要是由于在过去的几年里建设过多的缘故。加入 </w:t>
      </w:r>
      <w:r>
        <w:rPr>
          <w:sz w:val="27"/>
        </w:rPr>
        <w:t>WTO</w:t>
      </w:r>
      <w:r>
        <w:rPr>
          <w:spacing w:val="-5"/>
          <w:sz w:val="27"/>
        </w:rPr>
        <w:t xml:space="preserve"> 将促进贸易额增长，因而会对</w:t>
      </w:r>
      <w:r>
        <w:rPr>
          <w:sz w:val="27"/>
        </w:rPr>
        <w:t>港口经营者有利。</w:t>
      </w:r>
    </w:p>
    <w:p>
      <w:pPr>
        <w:tabs>
          <w:tab w:val="left" w:pos="11248"/>
        </w:tabs>
        <w:spacing w:before="2" w:line="324" w:lineRule="auto"/>
        <w:ind w:left="283" w:right="444" w:firstLine="0"/>
        <w:jc w:val="both"/>
        <w:rPr>
          <w:sz w:val="27"/>
        </w:rPr>
      </w:pPr>
      <w:r>
        <w:rPr>
          <w:sz w:val="27"/>
        </w:rPr>
        <w:t>进口的竞争将会导致更多的国有企业破产，减少工业用电需求。</w:t>
        <w:tab/>
      </w:r>
      <w:r>
        <w:rPr>
          <w:rFonts w:ascii="黑体" w:eastAsia="黑体" w:hint="eastAsia"/>
          <w:sz w:val="27"/>
        </w:rPr>
        <w:t>负</w:t>
      </w:r>
      <w:r>
        <w:rPr>
          <w:rFonts w:ascii="黑体" w:eastAsia="黑体" w:hint="eastAsia"/>
          <w:spacing w:val="-18"/>
          <w:sz w:val="27"/>
        </w:rPr>
        <w:t>面</w:t>
      </w:r>
      <w:r>
        <w:rPr>
          <w:sz w:val="27"/>
        </w:rPr>
        <w:t>鉴于国外设备价格远远高于国内产品</w:t>
      </w:r>
      <w:r>
        <w:rPr>
          <w:spacing w:val="-83"/>
          <w:sz w:val="27"/>
        </w:rPr>
        <w:t>，</w:t>
      </w:r>
      <w:r>
        <w:rPr>
          <w:sz w:val="27"/>
        </w:rPr>
        <w:t>因此进口竞争将不大可能加剧</w:t>
      </w:r>
      <w:r>
        <w:rPr>
          <w:spacing w:val="-80"/>
          <w:sz w:val="27"/>
        </w:rPr>
        <w:t>。</w:t>
      </w:r>
      <w:r>
        <w:rPr>
          <w:sz w:val="27"/>
        </w:rPr>
        <w:t>实际上中国加入</w:t>
      </w:r>
      <w:r>
        <w:rPr>
          <w:spacing w:val="3"/>
          <w:sz w:val="27"/>
        </w:rPr>
        <w:t xml:space="preserve"> </w:t>
      </w:r>
      <w:r>
        <w:rPr>
          <w:sz w:val="27"/>
        </w:rPr>
        <w:t>WTO</w:t>
      </w:r>
      <w:r>
        <w:rPr>
          <w:spacing w:val="54"/>
          <w:sz w:val="27"/>
        </w:rPr>
        <w:t xml:space="preserve"> </w:t>
      </w:r>
      <w:r>
        <w:rPr>
          <w:rFonts w:ascii="黑体" w:eastAsia="黑体" w:hint="eastAsia"/>
          <w:sz w:val="27"/>
        </w:rPr>
        <w:t>正</w:t>
      </w:r>
      <w:r>
        <w:rPr>
          <w:rFonts w:ascii="黑体" w:eastAsia="黑体" w:hint="eastAsia"/>
          <w:spacing w:val="-17"/>
          <w:sz w:val="27"/>
        </w:rPr>
        <w:t>面</w:t>
      </w:r>
      <w:r>
        <w:rPr>
          <w:sz w:val="27"/>
        </w:rPr>
        <w:t>有助于为国内设备生产厂商扩大出口市场。</w:t>
      </w:r>
    </w:p>
    <w:p>
      <w:pPr>
        <w:spacing w:before="3"/>
        <w:ind w:left="283" w:right="0" w:firstLine="0"/>
        <w:jc w:val="both"/>
        <w:rPr>
          <w:rFonts w:ascii="黑体" w:eastAsia="黑体" w:hint="eastAsia"/>
          <w:sz w:val="27"/>
        </w:rPr>
      </w:pPr>
      <w:r>
        <w:rPr>
          <w:sz w:val="27"/>
        </w:rPr>
        <w:t xml:space="preserve">中国航运公司所购买的船只中只有 50%是进口的，而中国制造的船舶 50%用于出口。由于拥 </w:t>
      </w:r>
      <w:r>
        <w:rPr>
          <w:rFonts w:ascii="黑体" w:eastAsia="黑体" w:hint="eastAsia"/>
          <w:sz w:val="27"/>
        </w:rPr>
        <w:t>正面</w:t>
      </w:r>
    </w:p>
    <w:p>
      <w:pPr>
        <w:spacing w:before="122" w:line="324" w:lineRule="auto"/>
        <w:ind w:left="283" w:right="1255" w:firstLine="0"/>
        <w:jc w:val="left"/>
        <w:rPr>
          <w:sz w:val="27"/>
        </w:rPr>
      </w:pPr>
      <w:r>
        <w:rPr>
          <w:sz w:val="27"/>
        </w:rPr>
        <w:t>有有竞争力的劳动力，以及生产能力和技术的提高，加入 WTO 后中国造船商应该能为他们的船舶找到更大的市场。</w:t>
      </w:r>
    </w:p>
    <w:p>
      <w:pPr>
        <w:tabs>
          <w:tab w:val="left" w:pos="11248"/>
        </w:tabs>
        <w:spacing w:before="2"/>
        <w:ind w:left="283" w:right="0" w:firstLine="0"/>
        <w:jc w:val="left"/>
        <w:rPr>
          <w:rFonts w:ascii="黑体" w:eastAsia="黑体" w:hint="eastAsia"/>
          <w:sz w:val="27"/>
        </w:rPr>
      </w:pPr>
      <w:r>
        <w:rPr>
          <w:sz w:val="27"/>
        </w:rPr>
        <w:t>加入</w:t>
      </w:r>
      <w:r>
        <w:rPr>
          <w:spacing w:val="-13"/>
          <w:sz w:val="27"/>
        </w:rPr>
        <w:t xml:space="preserve"> </w:t>
      </w:r>
      <w:r>
        <w:rPr>
          <w:sz w:val="27"/>
        </w:rPr>
        <w:t>WTO</w:t>
      </w:r>
      <w:r>
        <w:rPr>
          <w:spacing w:val="-10"/>
          <w:sz w:val="27"/>
        </w:rPr>
        <w:t xml:space="preserve"> </w:t>
      </w:r>
      <w:r>
        <w:rPr>
          <w:sz w:val="27"/>
        </w:rPr>
        <w:t>应该创造贸易额增加的船运需求。中国同其他国家的商业海上运输市场将逐渐开</w:t>
        <w:tab/>
      </w:r>
      <w:r>
        <w:rPr>
          <w:rFonts w:ascii="黑体" w:eastAsia="黑体" w:hint="eastAsia"/>
          <w:sz w:val="27"/>
        </w:rPr>
        <w:t>正面</w:t>
      </w:r>
    </w:p>
    <w:p>
      <w:pPr>
        <w:spacing w:before="122"/>
        <w:ind w:left="283" w:right="0" w:firstLine="0"/>
        <w:jc w:val="left"/>
        <w:rPr>
          <w:sz w:val="27"/>
        </w:rPr>
      </w:pPr>
      <w:r>
        <w:rPr>
          <w:sz w:val="27"/>
        </w:rPr>
        <w:t>放。国内市场的开放将逐渐对国内的船运公司形成压力。</w:t>
      </w:r>
    </w:p>
    <w:p>
      <w:pPr>
        <w:tabs>
          <w:tab w:val="left" w:pos="11248"/>
        </w:tabs>
        <w:spacing w:before="122"/>
        <w:ind w:left="283" w:right="0" w:firstLine="0"/>
        <w:jc w:val="left"/>
        <w:rPr>
          <w:rFonts w:ascii="黑体" w:eastAsia="黑体" w:hint="eastAsia"/>
          <w:sz w:val="27"/>
        </w:rPr>
      </w:pPr>
      <w:r>
        <w:rPr>
          <w:sz w:val="27"/>
        </w:rPr>
        <w:t>目前进口关税相对较低，进一步降低关税无疑对国内生产厂商不利，因为他们将面临更激</w:t>
        <w:tab/>
      </w:r>
      <w:r>
        <w:rPr>
          <w:rFonts w:ascii="黑体" w:eastAsia="黑体" w:hint="eastAsia"/>
          <w:sz w:val="27"/>
        </w:rPr>
        <w:t>轻</w:t>
      </w:r>
      <w:r>
        <w:rPr>
          <w:rFonts w:ascii="黑体" w:eastAsia="黑体" w:hint="eastAsia"/>
          <w:spacing w:val="9"/>
          <w:sz w:val="27"/>
        </w:rPr>
        <w:t xml:space="preserve"> </w:t>
      </w:r>
      <w:r>
        <w:rPr>
          <w:rFonts w:ascii="黑体" w:eastAsia="黑体" w:hint="eastAsia"/>
          <w:sz w:val="27"/>
        </w:rPr>
        <w:t>微</w:t>
      </w:r>
    </w:p>
    <w:p>
      <w:pPr>
        <w:tabs>
          <w:tab w:val="left" w:pos="11248"/>
        </w:tabs>
        <w:spacing w:before="122"/>
        <w:ind w:left="283" w:right="0" w:firstLine="0"/>
        <w:jc w:val="left"/>
        <w:rPr>
          <w:rFonts w:ascii="黑体" w:eastAsia="黑体" w:hint="eastAsia"/>
          <w:sz w:val="27"/>
        </w:rPr>
      </w:pPr>
      <w:r>
        <w:rPr>
          <w:sz w:val="27"/>
        </w:rPr>
        <w:t>烈的进口钢材价格的竞争。</w:t>
        <w:tab/>
      </w:r>
      <w:r>
        <w:rPr>
          <w:rFonts w:ascii="黑体" w:eastAsia="黑体" w:hint="eastAsia"/>
          <w:sz w:val="27"/>
        </w:rPr>
        <w:t>负面</w:t>
      </w:r>
    </w:p>
    <w:p>
      <w:pPr>
        <w:tabs>
          <w:tab w:val="left" w:pos="11248"/>
        </w:tabs>
        <w:spacing w:before="124"/>
        <w:ind w:left="283" w:right="0" w:firstLine="0"/>
        <w:jc w:val="left"/>
        <w:rPr>
          <w:rFonts w:ascii="黑体" w:eastAsia="黑体" w:hint="eastAsia"/>
          <w:sz w:val="27"/>
        </w:rPr>
      </w:pPr>
      <w:r>
        <w:rPr>
          <w:sz w:val="27"/>
        </w:rPr>
        <w:t>纺织产品出口商将会从减少贸易配额限制中受益。</w:t>
        <w:tab/>
      </w:r>
      <w:r>
        <w:rPr>
          <w:rFonts w:ascii="黑体" w:eastAsia="黑体" w:hint="eastAsia"/>
          <w:sz w:val="27"/>
        </w:rPr>
        <w:t>正面</w:t>
      </w:r>
    </w:p>
    <w:p>
      <w:pPr>
        <w:tabs>
          <w:tab w:val="left" w:pos="11248"/>
        </w:tabs>
        <w:spacing w:before="122"/>
        <w:ind w:left="283" w:right="0" w:firstLine="0"/>
        <w:jc w:val="left"/>
        <w:rPr>
          <w:rFonts w:ascii="黑体" w:eastAsia="黑体" w:hint="eastAsia"/>
          <w:sz w:val="27"/>
        </w:rPr>
      </w:pPr>
      <w:r>
        <w:rPr>
          <w:sz w:val="27"/>
        </w:rPr>
        <w:t>这个市场已经由中外合资企业和国内企业所控制，关税降低并不一定会导致进口增加，因</w:t>
        <w:tab/>
      </w:r>
      <w:r>
        <w:rPr>
          <w:rFonts w:ascii="黑体" w:eastAsia="黑体" w:hint="eastAsia"/>
          <w:sz w:val="27"/>
        </w:rPr>
        <w:t>轻</w:t>
      </w:r>
      <w:r>
        <w:rPr>
          <w:rFonts w:ascii="黑体" w:eastAsia="黑体" w:hint="eastAsia"/>
          <w:spacing w:val="9"/>
          <w:sz w:val="27"/>
        </w:rPr>
        <w:t xml:space="preserve"> </w:t>
      </w:r>
      <w:r>
        <w:rPr>
          <w:rFonts w:ascii="黑体" w:eastAsia="黑体" w:hint="eastAsia"/>
          <w:sz w:val="27"/>
        </w:rPr>
        <w:t>微</w:t>
      </w:r>
    </w:p>
    <w:p>
      <w:pPr>
        <w:spacing w:after="0"/>
        <w:jc w:val="left"/>
        <w:rPr>
          <w:rFonts w:ascii="黑体" w:eastAsia="黑体" w:hint="eastAsia"/>
          <w:sz w:val="27"/>
        </w:rPr>
        <w:sectPr>
          <w:pgSz w:w="17860" w:h="25260"/>
          <w:pgMar w:top="1920" w:right="1160" w:bottom="280" w:left="2300" w:header="708" w:footer="708"/>
          <w:pgNumType w:start="32"/>
          <w:cols w:num="2" w:space="708" w:equalWidth="0">
            <w:col w:w="2126" w:space="40"/>
            <w:col w:w="12234" w:space="0"/>
          </w:cols>
        </w:sectPr>
      </w:pPr>
    </w:p>
    <w:p>
      <w:pPr>
        <w:spacing w:before="122"/>
        <w:ind w:left="2448" w:right="0" w:firstLine="0"/>
        <w:jc w:val="left"/>
        <w:rPr>
          <w:rFonts w:ascii="黑体" w:eastAsia="黑体" w:hint="eastAsia"/>
          <w:sz w:val="27"/>
        </w:rPr>
      </w:pPr>
      <w:r>
        <w:rPr>
          <w:sz w:val="27"/>
        </w:rPr>
        <w:t xml:space="preserve">为进口产品运输成本高，并且售后服务通常不好。但是，关税降低会降低进口部件的成本， </w:t>
      </w:r>
      <w:r>
        <w:rPr>
          <w:rFonts w:ascii="黑体" w:eastAsia="黑体" w:hint="eastAsia"/>
          <w:sz w:val="27"/>
        </w:rPr>
        <w:t>正面</w:t>
      </w:r>
    </w:p>
    <w:p>
      <w:pPr>
        <w:spacing w:before="122"/>
        <w:ind w:left="2448" w:right="0" w:firstLine="0"/>
        <w:jc w:val="left"/>
        <w:rPr>
          <w:sz w:val="27"/>
        </w:rPr>
      </w:pPr>
      <w:r>
        <w:rPr>
          <w:sz w:val="27"/>
        </w:rPr>
        <w:t>增强国内生产商的价格竞争力。</w:t>
      </w:r>
    </w:p>
    <w:p>
      <w:pPr>
        <w:pStyle w:val="BodyText"/>
        <w:spacing w:line="46" w:lineRule="exact"/>
        <w:ind w:left="200"/>
        <w:rPr>
          <w:sz w:val="4"/>
        </w:rPr>
      </w:pPr>
      <w:r>
        <w:rPr>
          <w:position w:val="0"/>
          <w:sz w:val="4"/>
        </w:rPr>
        <w:drawing>
          <wp:inline distT="0" distB="0" distL="0" distR="0">
            <wp:extent cx="8930662" cy="29718"/>
            <wp:effectExtent l="0" t="0" r="0" b="0"/>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9" cstate="print"/>
                    <a:stretch>
                      <a:fillRect/>
                    </a:stretch>
                  </pic:blipFill>
                  <pic:spPr>
                    <a:xfrm>
                      <a:off x="0" y="0"/>
                      <a:ext cx="8930662" cy="29718"/>
                    </a:xfrm>
                    <a:prstGeom prst="rect">
                      <a:avLst/>
                    </a:prstGeom>
                  </pic:spPr>
                </pic:pic>
              </a:graphicData>
            </a:graphic>
          </wp:inline>
        </w:drawing>
      </w:r>
    </w:p>
    <w:p>
      <w:pPr>
        <w:spacing w:before="119"/>
        <w:ind w:left="397" w:right="0" w:firstLine="0"/>
        <w:jc w:val="left"/>
        <w:rPr>
          <w:sz w:val="27"/>
        </w:rPr>
      </w:pPr>
      <w:r>
        <w:rPr>
          <w:spacing w:val="4"/>
          <w:sz w:val="27"/>
        </w:rPr>
        <w:t>资料来源：选自陈兴动“中国加入</w:t>
      </w:r>
      <w:r>
        <w:rPr>
          <w:sz w:val="27"/>
        </w:rPr>
        <w:t>WTO</w:t>
      </w:r>
      <w:r>
        <w:rPr>
          <w:spacing w:val="-24"/>
          <w:sz w:val="27"/>
        </w:rPr>
        <w:t xml:space="preserve"> 问题”，载于胡鞍钢主编：《中国走向》，浙江人民出版社，</w:t>
      </w:r>
      <w:r>
        <w:rPr>
          <w:sz w:val="27"/>
        </w:rPr>
        <w:t>2000</w:t>
      </w:r>
      <w:r>
        <w:rPr>
          <w:spacing w:val="-22"/>
          <w:sz w:val="27"/>
        </w:rPr>
        <w:t xml:space="preserve"> 年。</w:t>
      </w:r>
    </w:p>
    <w:p>
      <w:pPr>
        <w:pStyle w:val="BodyText"/>
        <w:rPr>
          <w:sz w:val="20"/>
        </w:rPr>
      </w:pPr>
    </w:p>
    <w:p>
      <w:pPr>
        <w:pStyle w:val="Heading1"/>
        <w:spacing w:before="199"/>
        <w:ind w:left="1408"/>
      </w:pPr>
      <w:r>
        <w:t>五、对策建议：以加入 WTO 为契机，把握机遇，完成国有企业改革</w:t>
      </w:r>
    </w:p>
    <w:p>
      <w:pPr>
        <w:pStyle w:val="BodyText"/>
        <w:rPr>
          <w:rFonts w:ascii="黑体"/>
          <w:sz w:val="43"/>
        </w:rPr>
      </w:pPr>
    </w:p>
    <w:p>
      <w:pPr>
        <w:pStyle w:val="BodyText"/>
        <w:ind w:left="936"/>
        <w:rPr>
          <w:rFonts w:ascii="黑体" w:eastAsia="黑体" w:hint="eastAsia"/>
        </w:rPr>
      </w:pPr>
      <w:r>
        <w:rPr>
          <w:rFonts w:ascii="黑体" w:eastAsia="黑体" w:hint="eastAsia"/>
        </w:rPr>
        <w:t>1、国有企业改革的正确方向：剥离政策性负担</w:t>
      </w:r>
    </w:p>
    <w:p>
      <w:pPr>
        <w:pStyle w:val="BodyText"/>
        <w:spacing w:before="71" w:line="283" w:lineRule="auto"/>
        <w:ind w:left="397" w:right="1348" w:firstLine="539"/>
      </w:pPr>
      <w:r>
        <w:t>基于前述分析可以看出，今后国有企业改革的正确方向（</w:t>
      </w:r>
      <w:r>
        <w:rPr>
          <w:spacing w:val="-3"/>
        </w:rPr>
        <w:t>林毅夫等，</w:t>
      </w:r>
      <w:r>
        <w:rPr>
          <w:spacing w:val="-13"/>
        </w:rPr>
        <w:t>1997）</w:t>
      </w:r>
      <w:r>
        <w:t xml:space="preserve">在于，巩固 </w:t>
      </w:r>
      <w:r>
        <w:rPr>
          <w:spacing w:val="-13"/>
        </w:rPr>
        <w:t>已有的改革成果，并将改革的着力点转向消除企业的政策性负担</w:t>
      </w:r>
      <w:r>
        <w:rPr>
          <w:spacing w:val="-17"/>
        </w:rPr>
        <w:t xml:space="preserve">，建立公平竞争的市场环境， </w:t>
      </w:r>
      <w:r>
        <w:rPr>
          <w:spacing w:val="-8"/>
        </w:rPr>
        <w:t xml:space="preserve">解决国有企业与国家之间的信息不对称问题上来，进而解决委托－代理问题，完成国有企业 </w:t>
      </w:r>
      <w:r>
        <w:rPr>
          <w:spacing w:val="-15"/>
        </w:rPr>
        <w:t>改革。为此，国家应当剥离国有企业的各种战略性和社会性政策负担，扭转其不利的竞争地 位，硬化国有企业的预算约束。</w:t>
      </w:r>
    </w:p>
    <w:p>
      <w:pPr>
        <w:pStyle w:val="BodyText"/>
        <w:spacing w:line="283" w:lineRule="auto"/>
        <w:ind w:left="397" w:right="1482" w:firstLine="539"/>
      </w:pPr>
      <w:r>
        <w:t xml:space="preserve">完善国有企业的外部竞争环境带来的制度创新效应还会惠及非国有企业。改革开放以  </w:t>
      </w:r>
      <w:r>
        <w:rPr>
          <w:spacing w:val="-13"/>
        </w:rPr>
        <w:t>来，已有不少非国有企业发展壮大，也产生了委托－理问题。而且可以预见还会有越来越多</w:t>
      </w:r>
      <w:r>
        <w:rPr>
          <w:spacing w:val="-19"/>
        </w:rPr>
        <w:t>的非国有企业成长为现代企业。从而委托－代理问题会成为国有和非国有企业共同面临的问</w:t>
      </w:r>
      <w:r>
        <w:rPr>
          <w:spacing w:val="-13"/>
        </w:rPr>
        <w:t xml:space="preserve">题。如果国有企业的公平竞争环境不能建立，必然对非国有企业产生负的外部效应，影响整 </w:t>
      </w:r>
      <w:r>
        <w:rPr>
          <w:spacing w:val="-18"/>
        </w:rPr>
        <w:t>个经济中所有企业的绩效。如果国有企业的公平竞争环境得以建立，必将对非国有企业产生正的外部效应。</w:t>
      </w:r>
    </w:p>
    <w:p>
      <w:pPr>
        <w:pStyle w:val="BodyText"/>
        <w:spacing w:line="393" w:lineRule="exact"/>
        <w:ind w:left="936"/>
        <w:rPr>
          <w:rFonts w:ascii="黑体" w:eastAsia="黑体" w:hint="eastAsia"/>
        </w:rPr>
      </w:pPr>
      <w:r>
        <w:rPr>
          <w:rFonts w:ascii="黑体" w:eastAsia="黑体" w:hint="eastAsia"/>
        </w:rPr>
        <w:t>2、消除国有企业的战略性政策负担，从根本上提高国有企业自生能力</w:t>
      </w:r>
    </w:p>
    <w:p>
      <w:pPr>
        <w:pStyle w:val="ListParagraph"/>
        <w:numPr>
          <w:ilvl w:val="1"/>
          <w:numId w:val="4"/>
        </w:numPr>
        <w:tabs>
          <w:tab w:val="left" w:pos="1571"/>
        </w:tabs>
        <w:spacing w:before="68" w:after="0" w:line="240" w:lineRule="auto"/>
        <w:ind w:left="1570" w:right="0" w:hanging="635"/>
        <w:jc w:val="left"/>
        <w:rPr>
          <w:sz w:val="31"/>
        </w:rPr>
      </w:pPr>
      <w:r>
        <w:rPr>
          <w:sz w:val="31"/>
        </w:rPr>
        <w:t>需要转变的观念</w:t>
      </w:r>
    </w:p>
    <w:p>
      <w:pPr>
        <w:pStyle w:val="BodyText"/>
        <w:spacing w:before="71" w:line="283" w:lineRule="auto"/>
        <w:ind w:left="397" w:right="1422" w:firstLine="539"/>
      </w:pPr>
      <w:r>
        <w:rPr>
          <w:spacing w:val="-1"/>
        </w:rPr>
        <w:t>传统的重工业优先发展的赶超战略的弊端，已为人们所认识。目前需要引起注意的是以</w:t>
      </w:r>
      <w:r>
        <w:rPr>
          <w:spacing w:val="-10"/>
        </w:rPr>
        <w:t>新的形式表现出来的赶超思想和做法。包括两种：以非市场的方式超前地追求先进技术，和 企业规模的扩大。</w:t>
      </w:r>
    </w:p>
    <w:p>
      <w:pPr>
        <w:pStyle w:val="BodyText"/>
        <w:spacing w:line="283" w:lineRule="auto"/>
        <w:ind w:left="397" w:right="1416" w:firstLine="539"/>
      </w:pPr>
      <w:r>
        <w:t xml:space="preserve">技术水平低固然是落后的标志，但一个国家的技术结构决定于这个国家的要素禀赋结  </w:t>
      </w:r>
      <w:r>
        <w:rPr>
          <w:spacing w:val="-15"/>
        </w:rPr>
        <w:t xml:space="preserve">构。除非提高了禀赋结构，否则难于提高一个国家的技术结构水平。技术上的后进其实恰恰 </w:t>
      </w:r>
      <w:r>
        <w:rPr>
          <w:spacing w:val="-22"/>
        </w:rPr>
        <w:t xml:space="preserve">正是落后国家经济高速增长的潜在源泉。日本和东亚的新兴工业化国家，就是凭借和发达国 </w:t>
      </w:r>
      <w:r>
        <w:rPr>
          <w:spacing w:val="-21"/>
        </w:rPr>
        <w:t xml:space="preserve">家的技术差距保持了长达 </w:t>
      </w:r>
      <w:r>
        <w:t>40－50 年的高速增长。这是因为后进国家无须投入巨资进行高风</w:t>
      </w:r>
      <w:r>
        <w:rPr>
          <w:spacing w:val="43"/>
        </w:rPr>
        <w:t xml:space="preserve">险的 </w:t>
      </w:r>
      <w:r>
        <w:t>R&amp;D</w:t>
      </w:r>
      <w:r>
        <w:rPr>
          <w:spacing w:val="-1"/>
        </w:rPr>
        <w:t>，只须以较低的成本从发达国家引进已经证明有商业价值的、符合自身比较优势的</w:t>
      </w:r>
      <w:r>
        <w:rPr>
          <w:w w:val="102"/>
        </w:rPr>
        <w:t>适用技术（</w:t>
      </w:r>
      <w:r>
        <w:rPr>
          <w:spacing w:val="-2"/>
          <w:w w:val="102"/>
        </w:rPr>
        <w:t>林毅夫等，</w:t>
      </w:r>
      <w:r>
        <w:rPr>
          <w:w w:val="102"/>
        </w:rPr>
        <w:t>199</w:t>
      </w:r>
      <w:r>
        <w:rPr>
          <w:spacing w:val="-7"/>
          <w:w w:val="102"/>
        </w:rPr>
        <w:t>9</w:t>
      </w:r>
      <w:r>
        <w:rPr>
          <w:spacing w:val="-159"/>
          <w:w w:val="102"/>
        </w:rPr>
        <w:t>）</w:t>
      </w:r>
      <w:r>
        <w:rPr>
          <w:w w:val="102"/>
        </w:rPr>
        <w:t>。而这些技术往往是发达国家中丧失比较优势、需要转移出去</w:t>
      </w:r>
      <w:r>
        <w:rPr>
          <w:spacing w:val="2"/>
        </w:rPr>
        <w:t xml:space="preserve">的。中国未来 </w:t>
      </w:r>
      <w:r>
        <w:t>20－30 年内高速增长的潜力所在，也是和发达国家的技术差距。中国只有通</w:t>
      </w:r>
    </w:p>
    <w:p>
      <w:pPr>
        <w:spacing w:after="0" w:line="283" w:lineRule="auto"/>
        <w:sectPr>
          <w:type w:val="continuous"/>
          <w:pgSz w:w="17860" w:h="25260"/>
          <w:pgMar w:top="2420" w:right="1160" w:bottom="280" w:left="2300" w:header="708" w:footer="708"/>
          <w:pgNumType w:start="33"/>
          <w:cols w:space="708"/>
        </w:sectPr>
      </w:pPr>
    </w:p>
    <w:p>
      <w:pPr>
        <w:pStyle w:val="BodyText"/>
        <w:spacing w:before="49" w:line="283" w:lineRule="auto"/>
        <w:ind w:left="339" w:right="1328"/>
        <w:jc w:val="right"/>
      </w:pPr>
      <w:r>
        <w:t>过引进能充分发挥自己比较优势的技术，才能赚取最大的利润，以“小步快跑”的方式缩短与发达国家要素禀赋结构的差距。要素禀赋结构差距缩小后，技术上的差距才会相应缩小。同样道理，企业规模大是市场竞争的结果，而不是参与竞争的必要前提。企业的竞争力</w:t>
      </w:r>
    </w:p>
    <w:p>
      <w:pPr>
        <w:pStyle w:val="BodyText"/>
        <w:spacing w:line="283" w:lineRule="auto"/>
        <w:ind w:left="397" w:right="1328"/>
      </w:pPr>
      <w:r>
        <w:rPr>
          <w:spacing w:val="-14"/>
        </w:rPr>
        <w:t xml:space="preserve">取决于成本水平，而不是企业规模的大小；而成本水平归根结底取决于技术水平和要素结构 </w:t>
      </w:r>
      <w:r>
        <w:rPr>
          <w:spacing w:val="-15"/>
        </w:rPr>
        <w:t>的吻合程度。发达国家跨国公司较大的规模，是横向一体化、纵向一体化、经营多样化的结</w:t>
      </w:r>
      <w:r>
        <w:rPr>
          <w:spacing w:val="-13"/>
        </w:rPr>
        <w:t xml:space="preserve">果。横向一体化旨在追求同一产品的最优经济规模；纵向一体化旨在克服上下游生产环节之 </w:t>
      </w:r>
      <w:r>
        <w:rPr>
          <w:spacing w:val="-18"/>
        </w:rPr>
        <w:t xml:space="preserve">间的交易不确定性，减低重大投资的风险；经营多样化的目的，是高资本密集度企业为规避 </w:t>
      </w:r>
      <w:r>
        <w:rPr>
          <w:spacing w:val="-25"/>
        </w:rPr>
        <w:t xml:space="preserve">单业经营的风险。中国未来相当一段时间内，劳动密集产业将占主导地位。劳动密集产业中， </w:t>
      </w:r>
      <w:r>
        <w:rPr>
          <w:spacing w:val="-23"/>
        </w:rPr>
        <w:t xml:space="preserve">同一产品的最优规模小，横向一体化的经济意义不大；上下游之间的交易联系不太紧密，企  </w:t>
      </w:r>
      <w:r>
        <w:rPr>
          <w:spacing w:val="-25"/>
        </w:rPr>
        <w:t>业进行大规模投资的必要性并不明显，风险较小；企业转产转业比较容易，也无须通过多样  化经营分散风险。所以，不顾现实条件片面追求企业规模扩大，不具有经济合理性。</w:t>
      </w:r>
    </w:p>
    <w:p>
      <w:pPr>
        <w:pStyle w:val="BodyText"/>
        <w:spacing w:line="283" w:lineRule="auto"/>
        <w:ind w:left="397" w:right="1309" w:firstLine="539"/>
      </w:pPr>
      <w:r>
        <w:t>发展先进技术和扩大企业规模，一定要建立在市场规律之上，由企业自主按照价格信号 和经营需要来决策。各级政府任何拔苗助长般的赶超行为，都会欲速不达，适得其反。通过</w:t>
      </w:r>
      <w:r>
        <w:rPr>
          <w:spacing w:val="-3"/>
        </w:rPr>
        <w:t>比较韩国和台湾的情形有助于说明这一点。</w:t>
      </w:r>
      <w:r>
        <w:t>1970</w:t>
      </w:r>
      <w:r>
        <w:rPr>
          <w:spacing w:val="1"/>
        </w:rPr>
        <w:t xml:space="preserve"> 年代之前，该二者都以劳动密集产业为主， </w:t>
      </w:r>
      <w:r>
        <w:rPr>
          <w:spacing w:val="-13"/>
        </w:rPr>
        <w:t xml:space="preserve">发挥了资源比较优势。然而后来两者采用了不尽相同的发展战略。韩国政府大力扶持资本密  </w:t>
      </w:r>
      <w:r>
        <w:rPr>
          <w:spacing w:val="-18"/>
        </w:rPr>
        <w:t xml:space="preserve">集的超大规模企业集团。而台湾仍旧发展劳动密集产业。一旦政府赋予企业特定的目标，企  </w:t>
      </w:r>
      <w:r>
        <w:rPr>
          <w:spacing w:val="-20"/>
        </w:rPr>
        <w:t>业行为总会有某些扭曲。事实证明，韩国企业的负债率畸高，过高的资本密集度严重背离了  资源比较优势，降低了企业的竞争能力。众所周知，</w:t>
      </w:r>
      <w:r>
        <w:rPr>
          <w:spacing w:val="-5"/>
        </w:rPr>
        <w:t>1997</w:t>
      </w:r>
      <w:r>
        <w:t xml:space="preserve">  年金融危机爆发后，韩国的大企业都受到了严重的冲击。相反，台湾的企业所受冲击则小得多。</w:t>
      </w:r>
    </w:p>
    <w:p>
      <w:pPr>
        <w:pStyle w:val="ListParagraph"/>
        <w:numPr>
          <w:ilvl w:val="1"/>
          <w:numId w:val="4"/>
        </w:numPr>
        <w:tabs>
          <w:tab w:val="left" w:pos="1571"/>
        </w:tabs>
        <w:spacing w:before="0" w:after="0" w:line="393" w:lineRule="exact"/>
        <w:ind w:left="1570" w:right="0" w:hanging="635"/>
        <w:jc w:val="left"/>
        <w:rPr>
          <w:sz w:val="31"/>
        </w:rPr>
      </w:pPr>
      <w:r>
        <w:rPr>
          <w:spacing w:val="-2"/>
          <w:sz w:val="31"/>
        </w:rPr>
        <w:t>按比较优势原则对国有企业资产存量进行转产、 转制和地区间重组</w:t>
      </w:r>
    </w:p>
    <w:p>
      <w:pPr>
        <w:pStyle w:val="BodyText"/>
        <w:spacing w:before="64" w:line="283" w:lineRule="auto"/>
        <w:ind w:left="397" w:right="1477" w:firstLine="539"/>
        <w:jc w:val="both"/>
      </w:pPr>
      <w:r>
        <w:rPr>
          <w:spacing w:val="-8"/>
        </w:rPr>
        <w:t>遵循市场导向，按比较优势调整国有企业的资产存量是提高现有国有企业竞争力的主要</w:t>
      </w:r>
      <w:r>
        <w:rPr>
          <w:spacing w:val="-15"/>
        </w:rPr>
        <w:t xml:space="preserve">途径。为此先要理顺价格体系。可贸易品价格应尽快和国际市场接轨；非贸易品价格的行政 </w:t>
      </w:r>
      <w:r>
        <w:rPr>
          <w:spacing w:val="-17"/>
        </w:rPr>
        <w:t>控制也要取消，由市场决定；对数量较少的既非贸易品又具有垄断性质的企业，在政府管制 下实行成本加成定价。</w:t>
      </w:r>
    </w:p>
    <w:p>
      <w:pPr>
        <w:pStyle w:val="BodyText"/>
        <w:spacing w:line="283" w:lineRule="auto"/>
        <w:ind w:left="397" w:right="1381" w:firstLine="539"/>
      </w:pPr>
      <w:r>
        <w:t>理顺价格体系后，允许企业自由转产转业，分别不同情况，调整国有企业的产业、地区</w:t>
      </w:r>
      <w:r>
        <w:rPr>
          <w:spacing w:val="-13"/>
        </w:rPr>
        <w:t xml:space="preserve">分布，卸除国有企业的战略性政策负担，提高企业自生能力和竞争能力。为此要按比较优势 </w:t>
      </w:r>
      <w:r>
        <w:rPr>
          <w:spacing w:val="-17"/>
        </w:rPr>
        <w:t>原则进行结构调整，转产转制。对于极少量的关系国防安全的企业，其高资本密集度带来的 负担仍由财政负担。除此而外的其他企业，分三种情况区别对待</w:t>
      </w:r>
      <w:r>
        <w:rPr>
          <w:spacing w:val="-287"/>
        </w:rPr>
        <w:t>。</w:t>
      </w:r>
      <w:r>
        <w:t>（</w:t>
      </w:r>
      <w:r>
        <w:rPr>
          <w:rFonts w:ascii="Arial" w:eastAsia="Arial"/>
        </w:rPr>
        <w:t>1</w:t>
      </w:r>
      <w:r>
        <w:t>）转产。对那些产品业 已没有国内市场前景的企业，应按市场导向转入符合比较优势的产业中</w:t>
      </w:r>
      <w:r>
        <w:rPr>
          <w:spacing w:val="-208"/>
        </w:rPr>
        <w:t>。</w:t>
      </w:r>
      <w:r>
        <w:t>（</w:t>
      </w:r>
      <w:r>
        <w:rPr>
          <w:rFonts w:ascii="Arial" w:eastAsia="Arial"/>
        </w:rPr>
        <w:t>2</w:t>
      </w:r>
      <w:r>
        <w:t>）</w:t>
      </w:r>
      <w:r>
        <w:rPr>
          <w:spacing w:val="-3"/>
        </w:rPr>
        <w:t xml:space="preserve">地区间重组， </w:t>
      </w:r>
      <w:r>
        <w:rPr>
          <w:spacing w:val="-12"/>
        </w:rPr>
        <w:t xml:space="preserve">形成梯度产业结构，充分发挥比较优势。我国东部地区比中西部地区经济发展水平高，资本 </w:t>
      </w:r>
      <w:r>
        <w:rPr>
          <w:spacing w:val="-16"/>
        </w:rPr>
        <w:t>存量相对多。所以合乎比较优势的产业结构地区布局是，东部地区从事资本密集度相对高于 中西部地区的产业。具体来讲，加入WTO</w:t>
      </w:r>
      <w:r>
        <w:t xml:space="preserve"> 后，东部地区承接外国输入的适用技术。同时，有</w:t>
      </w:r>
      <w:r>
        <w:rPr>
          <w:spacing w:val="-12"/>
        </w:rPr>
        <w:t xml:space="preserve">一些劳动密集产业，如纺织业和一些轻加工业，原来在东部地区具有比较优势，但因为经济 </w:t>
      </w:r>
      <w:r>
        <w:rPr>
          <w:spacing w:val="-19"/>
        </w:rPr>
        <w:t xml:space="preserve">发展和资源禀赋的提升，工资水平提高，这些产业不再具有自生能力。这些产业要向中西部 </w:t>
      </w:r>
      <w:r>
        <w:rPr>
          <w:spacing w:val="-17"/>
        </w:rPr>
        <w:t xml:space="preserve">转移，以获得持久的比较优势。随着经济发展和资本积累，东部和中西部的要素禀赋结构都 </w:t>
      </w:r>
      <w:r>
        <w:rPr>
          <w:spacing w:val="-16"/>
        </w:rPr>
        <w:t xml:space="preserve">会提升，东部引进技术水平更高一级的产业，并向中西部转移落后于比较优势的产业。这种 </w:t>
      </w:r>
      <w:r>
        <w:rPr>
          <w:spacing w:val="-22"/>
        </w:rPr>
        <w:t xml:space="preserve">梯度产业结构是实现党中央提出的西部开发战略的根本途径。所以对那些东部地区的劳动密 </w:t>
      </w:r>
      <w:r>
        <w:rPr>
          <w:spacing w:val="-17"/>
        </w:rPr>
        <w:t>集产业，如有市场前景，而又因东部劳动力成本高而自生能力低的产业，可纳入西部大开发 的战略，向中、西部劳动密集、工资水平低的地区转移，进行地区间结构调整</w:t>
      </w:r>
      <w:r>
        <w:rPr>
          <w:spacing w:val="-211"/>
        </w:rPr>
        <w:t>。</w:t>
      </w:r>
      <w:r>
        <w:t>（</w:t>
      </w:r>
      <w:r>
        <w:rPr>
          <w:rFonts w:ascii="Arial" w:eastAsia="Arial"/>
        </w:rPr>
        <w:t>3</w:t>
      </w:r>
      <w:r>
        <w:t>）</w:t>
      </w:r>
      <w:r>
        <w:rPr>
          <w:spacing w:val="-5"/>
        </w:rPr>
        <w:t>引资、</w:t>
      </w:r>
      <w:r>
        <w:rPr>
          <w:spacing w:val="-13"/>
        </w:rPr>
        <w:t xml:space="preserve">转制。对那些产品有很大的国内市场，但资本密集度过高、完全超前于我国资本稀缺禀赋结 </w:t>
      </w:r>
      <w:r>
        <w:rPr>
          <w:spacing w:val="-19"/>
        </w:rPr>
        <w:t>构状况的产业和企业，其最终出路在于通过合资，或到境外上市筹资的方式吸引外资，弥合 其高资本密集度与我国要素禀赋状况之间的矛盾，提高其自生能力。</w:t>
      </w:r>
    </w:p>
    <w:p>
      <w:pPr>
        <w:pStyle w:val="ListParagraph"/>
        <w:numPr>
          <w:ilvl w:val="1"/>
          <w:numId w:val="4"/>
        </w:numPr>
        <w:tabs>
          <w:tab w:val="left" w:pos="1571"/>
        </w:tabs>
        <w:spacing w:before="0" w:after="0" w:line="386" w:lineRule="exact"/>
        <w:ind w:left="1570" w:right="0" w:hanging="635"/>
        <w:jc w:val="left"/>
        <w:rPr>
          <w:sz w:val="31"/>
        </w:rPr>
      </w:pPr>
      <w:r>
        <w:rPr>
          <w:sz w:val="31"/>
        </w:rPr>
        <w:t>鼓励现有的中小企业继续发展劳动密集产业</w:t>
      </w:r>
    </w:p>
    <w:p>
      <w:pPr>
        <w:pStyle w:val="BodyText"/>
        <w:spacing w:before="69"/>
        <w:ind w:left="936"/>
      </w:pPr>
      <w:r>
        <w:t>改革以来，大量的中小型劳动密集企业从无到有，从小到大，日渐成为国民经济中一支</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https://d.book118.com/088126007077006024</w:t>
        </w:r>
      </w:hyperlink>
    </w:p>
    <w:p>
      <w:pPr>
        <w:spacing w:after="0"/>
      </w:pPr>
    </w:p>
    <w:sectPr>
      <w:pgSz w:w="17860" w:h="25260"/>
      <w:pgMar w:top="1860" w:right="1160" w:bottom="280" w:left="2300" w:header="708" w:footer="708"/>
      <w:pgNumType w:start="3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23C18"/>
    <w:multiLevelType w:val="hybridMultilevel"/>
    <w:tmpl w:val="00000000"/>
    <w:lvl w:ilvl="0">
      <w:start w:val="4"/>
      <w:numFmt w:val="decimal"/>
      <w:lvlText w:val="%1"/>
      <w:lvlJc w:val="left"/>
      <w:pPr>
        <w:ind w:left="1491" w:hanging="555"/>
        <w:jc w:val="left"/>
      </w:pPr>
      <w:rPr>
        <w:rFonts w:hint="default"/>
      </w:rPr>
    </w:lvl>
    <w:lvl w:ilvl="1">
      <w:start w:val="1"/>
      <w:numFmt w:val="decimal"/>
      <w:lvlText w:val="%1.%2"/>
      <w:lvlJc w:val="left"/>
      <w:pPr>
        <w:ind w:left="1491" w:hanging="555"/>
        <w:jc w:val="left"/>
      </w:pPr>
      <w:rPr>
        <w:rFonts w:hint="default"/>
        <w:w w:val="102"/>
      </w:rPr>
    </w:lvl>
    <w:lvl w:ilvl="2">
      <w:start w:val="0"/>
      <w:numFmt w:val="bullet"/>
      <w:lvlText w:val="•"/>
      <w:lvlJc w:val="left"/>
      <w:pPr>
        <w:ind w:left="4079" w:hanging="555"/>
      </w:pPr>
      <w:rPr>
        <w:rFonts w:hint="default"/>
      </w:rPr>
    </w:lvl>
    <w:lvl w:ilvl="3">
      <w:start w:val="0"/>
      <w:numFmt w:val="bullet"/>
      <w:lvlText w:val="•"/>
      <w:lvlJc w:val="left"/>
      <w:pPr>
        <w:ind w:left="5369" w:hanging="555"/>
      </w:pPr>
      <w:rPr>
        <w:rFonts w:hint="default"/>
      </w:rPr>
    </w:lvl>
    <w:lvl w:ilvl="4">
      <w:start w:val="0"/>
      <w:numFmt w:val="bullet"/>
      <w:lvlText w:val="•"/>
      <w:lvlJc w:val="left"/>
      <w:pPr>
        <w:ind w:left="6659" w:hanging="555"/>
      </w:pPr>
      <w:rPr>
        <w:rFonts w:hint="default"/>
      </w:rPr>
    </w:lvl>
    <w:lvl w:ilvl="5">
      <w:start w:val="0"/>
      <w:numFmt w:val="bullet"/>
      <w:lvlText w:val="•"/>
      <w:lvlJc w:val="left"/>
      <w:pPr>
        <w:ind w:left="7949" w:hanging="555"/>
      </w:pPr>
      <w:rPr>
        <w:rFonts w:hint="default"/>
      </w:rPr>
    </w:lvl>
    <w:lvl w:ilvl="6">
      <w:start w:val="0"/>
      <w:numFmt w:val="bullet"/>
      <w:lvlText w:val="•"/>
      <w:lvlJc w:val="left"/>
      <w:pPr>
        <w:ind w:left="9239" w:hanging="555"/>
      </w:pPr>
      <w:rPr>
        <w:rFonts w:hint="default"/>
      </w:rPr>
    </w:lvl>
    <w:lvl w:ilvl="7">
      <w:start w:val="0"/>
      <w:numFmt w:val="bullet"/>
      <w:lvlText w:val="•"/>
      <w:lvlJc w:val="left"/>
      <w:pPr>
        <w:ind w:left="10529" w:hanging="555"/>
      </w:pPr>
      <w:rPr>
        <w:rFonts w:hint="default"/>
      </w:rPr>
    </w:lvl>
    <w:lvl w:ilvl="8">
      <w:start w:val="0"/>
      <w:numFmt w:val="bullet"/>
      <w:lvlText w:val="•"/>
      <w:lvlJc w:val="left"/>
      <w:pPr>
        <w:ind w:left="11819" w:hanging="555"/>
      </w:pPr>
      <w:rPr>
        <w:rFonts w:hint="default"/>
      </w:rPr>
    </w:lvl>
  </w:abstractNum>
  <w:abstractNum w:abstractNumId="1">
    <w:nsid w:val="19352A0C"/>
    <w:multiLevelType w:val="hybridMultilevel"/>
    <w:tmpl w:val="00000000"/>
    <w:lvl w:ilvl="0">
      <w:start w:val="11"/>
      <w:numFmt w:val="decimal"/>
      <w:lvlText w:val="%1"/>
      <w:lvlJc w:val="left"/>
      <w:pPr>
        <w:ind w:left="713" w:hanging="317"/>
        <w:jc w:val="left"/>
      </w:pPr>
      <w:rPr>
        <w:rFonts w:ascii="Arial" w:eastAsia="Arial" w:hAnsi="Arial" w:cs="Arial" w:hint="default"/>
        <w:w w:val="89"/>
        <w:position w:val="4"/>
        <w:sz w:val="18"/>
        <w:szCs w:val="18"/>
      </w:rPr>
    </w:lvl>
    <w:lvl w:ilvl="1">
      <w:start w:val="0"/>
      <w:numFmt w:val="bullet"/>
      <w:lvlText w:val="•"/>
      <w:lvlJc w:val="left"/>
      <w:pPr>
        <w:ind w:left="2087" w:hanging="317"/>
      </w:pPr>
      <w:rPr>
        <w:rFonts w:hint="default"/>
      </w:rPr>
    </w:lvl>
    <w:lvl w:ilvl="2">
      <w:start w:val="0"/>
      <w:numFmt w:val="bullet"/>
      <w:lvlText w:val="•"/>
      <w:lvlJc w:val="left"/>
      <w:pPr>
        <w:ind w:left="3455" w:hanging="317"/>
      </w:pPr>
      <w:rPr>
        <w:rFonts w:hint="default"/>
      </w:rPr>
    </w:lvl>
    <w:lvl w:ilvl="3">
      <w:start w:val="0"/>
      <w:numFmt w:val="bullet"/>
      <w:lvlText w:val="•"/>
      <w:lvlJc w:val="left"/>
      <w:pPr>
        <w:ind w:left="4823" w:hanging="317"/>
      </w:pPr>
      <w:rPr>
        <w:rFonts w:hint="default"/>
      </w:rPr>
    </w:lvl>
    <w:lvl w:ilvl="4">
      <w:start w:val="0"/>
      <w:numFmt w:val="bullet"/>
      <w:lvlText w:val="•"/>
      <w:lvlJc w:val="left"/>
      <w:pPr>
        <w:ind w:left="6191" w:hanging="317"/>
      </w:pPr>
      <w:rPr>
        <w:rFonts w:hint="default"/>
      </w:rPr>
    </w:lvl>
    <w:lvl w:ilvl="5">
      <w:start w:val="0"/>
      <w:numFmt w:val="bullet"/>
      <w:lvlText w:val="•"/>
      <w:lvlJc w:val="left"/>
      <w:pPr>
        <w:ind w:left="7559" w:hanging="317"/>
      </w:pPr>
      <w:rPr>
        <w:rFonts w:hint="default"/>
      </w:rPr>
    </w:lvl>
    <w:lvl w:ilvl="6">
      <w:start w:val="0"/>
      <w:numFmt w:val="bullet"/>
      <w:lvlText w:val="•"/>
      <w:lvlJc w:val="left"/>
      <w:pPr>
        <w:ind w:left="8927" w:hanging="317"/>
      </w:pPr>
      <w:rPr>
        <w:rFonts w:hint="default"/>
      </w:rPr>
    </w:lvl>
    <w:lvl w:ilvl="7">
      <w:start w:val="0"/>
      <w:numFmt w:val="bullet"/>
      <w:lvlText w:val="•"/>
      <w:lvlJc w:val="left"/>
      <w:pPr>
        <w:ind w:left="10295" w:hanging="317"/>
      </w:pPr>
      <w:rPr>
        <w:rFonts w:hint="default"/>
      </w:rPr>
    </w:lvl>
    <w:lvl w:ilvl="8">
      <w:start w:val="0"/>
      <w:numFmt w:val="bullet"/>
      <w:lvlText w:val="•"/>
      <w:lvlJc w:val="left"/>
      <w:pPr>
        <w:ind w:left="11663" w:hanging="317"/>
      </w:pPr>
      <w:rPr>
        <w:rFonts w:hint="default"/>
      </w:rPr>
    </w:lvl>
  </w:abstractNum>
  <w:abstractNum w:abstractNumId="2">
    <w:nsid w:val="1AEE1766"/>
    <w:multiLevelType w:val="hybridMultilevel"/>
    <w:tmpl w:val="00000000"/>
    <w:lvl w:ilvl="0">
      <w:start w:val="1"/>
      <w:numFmt w:val="decimal"/>
      <w:lvlText w:val="%1"/>
      <w:lvlJc w:val="left"/>
      <w:pPr>
        <w:ind w:left="1567" w:hanging="630"/>
        <w:jc w:val="left"/>
      </w:pPr>
      <w:rPr>
        <w:rFonts w:hint="default"/>
      </w:rPr>
    </w:lvl>
    <w:lvl w:ilvl="1">
      <w:start w:val="1"/>
      <w:numFmt w:val="decimal"/>
      <w:lvlText w:val="%1.%2"/>
      <w:lvlJc w:val="left"/>
      <w:pPr>
        <w:ind w:left="1567" w:hanging="630"/>
        <w:jc w:val="left"/>
      </w:pPr>
      <w:rPr>
        <w:rFonts w:ascii="宋体" w:eastAsia="宋体" w:hAnsi="宋体" w:cs="宋体" w:hint="default"/>
        <w:w w:val="102"/>
        <w:sz w:val="31"/>
        <w:szCs w:val="31"/>
      </w:rPr>
    </w:lvl>
    <w:lvl w:ilvl="2">
      <w:start w:val="0"/>
      <w:numFmt w:val="bullet"/>
      <w:lvlText w:val="•"/>
      <w:lvlJc w:val="left"/>
      <w:pPr>
        <w:ind w:left="4127" w:hanging="630"/>
      </w:pPr>
      <w:rPr>
        <w:rFonts w:hint="default"/>
      </w:rPr>
    </w:lvl>
    <w:lvl w:ilvl="3">
      <w:start w:val="0"/>
      <w:numFmt w:val="bullet"/>
      <w:lvlText w:val="•"/>
      <w:lvlJc w:val="left"/>
      <w:pPr>
        <w:ind w:left="5411" w:hanging="630"/>
      </w:pPr>
      <w:rPr>
        <w:rFonts w:hint="default"/>
      </w:rPr>
    </w:lvl>
    <w:lvl w:ilvl="4">
      <w:start w:val="0"/>
      <w:numFmt w:val="bullet"/>
      <w:lvlText w:val="•"/>
      <w:lvlJc w:val="left"/>
      <w:pPr>
        <w:ind w:left="6695" w:hanging="630"/>
      </w:pPr>
      <w:rPr>
        <w:rFonts w:hint="default"/>
      </w:rPr>
    </w:lvl>
    <w:lvl w:ilvl="5">
      <w:start w:val="0"/>
      <w:numFmt w:val="bullet"/>
      <w:lvlText w:val="•"/>
      <w:lvlJc w:val="left"/>
      <w:pPr>
        <w:ind w:left="7979" w:hanging="630"/>
      </w:pPr>
      <w:rPr>
        <w:rFonts w:hint="default"/>
      </w:rPr>
    </w:lvl>
    <w:lvl w:ilvl="6">
      <w:start w:val="0"/>
      <w:numFmt w:val="bullet"/>
      <w:lvlText w:val="•"/>
      <w:lvlJc w:val="left"/>
      <w:pPr>
        <w:ind w:left="9263" w:hanging="630"/>
      </w:pPr>
      <w:rPr>
        <w:rFonts w:hint="default"/>
      </w:rPr>
    </w:lvl>
    <w:lvl w:ilvl="7">
      <w:start w:val="0"/>
      <w:numFmt w:val="bullet"/>
      <w:lvlText w:val="•"/>
      <w:lvlJc w:val="left"/>
      <w:pPr>
        <w:ind w:left="10547" w:hanging="630"/>
      </w:pPr>
      <w:rPr>
        <w:rFonts w:hint="default"/>
      </w:rPr>
    </w:lvl>
    <w:lvl w:ilvl="8">
      <w:start w:val="0"/>
      <w:numFmt w:val="bullet"/>
      <w:lvlText w:val="•"/>
      <w:lvlJc w:val="left"/>
      <w:pPr>
        <w:ind w:left="11831" w:hanging="630"/>
      </w:pPr>
      <w:rPr>
        <w:rFonts w:hint="default"/>
      </w:rPr>
    </w:lvl>
  </w:abstractNum>
  <w:abstractNum w:abstractNumId="3">
    <w:nsid w:val="1FE248B5"/>
    <w:multiLevelType w:val="hybridMultilevel"/>
    <w:tmpl w:val="00000000"/>
    <w:lvl w:ilvl="0">
      <w:start w:val="1"/>
      <w:numFmt w:val="decimal"/>
      <w:lvlText w:val="%1"/>
      <w:lvlJc w:val="left"/>
      <w:pPr>
        <w:ind w:left="1099" w:hanging="702"/>
        <w:jc w:val="left"/>
      </w:pPr>
      <w:rPr>
        <w:rFonts w:ascii="黑体" w:eastAsia="黑体" w:hAnsi="黑体" w:cs="黑体" w:hint="default"/>
        <w:w w:val="100"/>
        <w:sz w:val="27"/>
        <w:szCs w:val="27"/>
      </w:rPr>
    </w:lvl>
    <w:lvl w:ilvl="1">
      <w:start w:val="0"/>
      <w:numFmt w:val="bullet"/>
      <w:lvlText w:val="•"/>
      <w:lvlJc w:val="left"/>
      <w:pPr>
        <w:ind w:left="1157" w:hanging="702"/>
      </w:pPr>
      <w:rPr>
        <w:rFonts w:hint="default"/>
      </w:rPr>
    </w:lvl>
    <w:lvl w:ilvl="2">
      <w:start w:val="0"/>
      <w:numFmt w:val="bullet"/>
      <w:lvlText w:val="•"/>
      <w:lvlJc w:val="left"/>
      <w:pPr>
        <w:ind w:left="1215" w:hanging="702"/>
      </w:pPr>
      <w:rPr>
        <w:rFonts w:hint="default"/>
      </w:rPr>
    </w:lvl>
    <w:lvl w:ilvl="3">
      <w:start w:val="0"/>
      <w:numFmt w:val="bullet"/>
      <w:lvlText w:val="•"/>
      <w:lvlJc w:val="left"/>
      <w:pPr>
        <w:ind w:left="1273" w:hanging="702"/>
      </w:pPr>
      <w:rPr>
        <w:rFonts w:hint="default"/>
      </w:rPr>
    </w:lvl>
    <w:lvl w:ilvl="4">
      <w:start w:val="0"/>
      <w:numFmt w:val="bullet"/>
      <w:lvlText w:val="•"/>
      <w:lvlJc w:val="left"/>
      <w:pPr>
        <w:ind w:left="1331" w:hanging="702"/>
      </w:pPr>
      <w:rPr>
        <w:rFonts w:hint="default"/>
      </w:rPr>
    </w:lvl>
    <w:lvl w:ilvl="5">
      <w:start w:val="0"/>
      <w:numFmt w:val="bullet"/>
      <w:lvlText w:val="•"/>
      <w:lvlJc w:val="left"/>
      <w:pPr>
        <w:ind w:left="1389" w:hanging="702"/>
      </w:pPr>
      <w:rPr>
        <w:rFonts w:hint="default"/>
      </w:rPr>
    </w:lvl>
    <w:lvl w:ilvl="6">
      <w:start w:val="0"/>
      <w:numFmt w:val="bullet"/>
      <w:lvlText w:val="•"/>
      <w:lvlJc w:val="left"/>
      <w:pPr>
        <w:ind w:left="1447" w:hanging="702"/>
      </w:pPr>
      <w:rPr>
        <w:rFonts w:hint="default"/>
      </w:rPr>
    </w:lvl>
    <w:lvl w:ilvl="7">
      <w:start w:val="0"/>
      <w:numFmt w:val="bullet"/>
      <w:lvlText w:val="•"/>
      <w:lvlJc w:val="left"/>
      <w:pPr>
        <w:ind w:left="1505" w:hanging="702"/>
      </w:pPr>
      <w:rPr>
        <w:rFonts w:hint="default"/>
      </w:rPr>
    </w:lvl>
    <w:lvl w:ilvl="8">
      <w:start w:val="0"/>
      <w:numFmt w:val="bullet"/>
      <w:lvlText w:val="•"/>
      <w:lvlJc w:val="left"/>
      <w:pPr>
        <w:ind w:left="1563" w:hanging="702"/>
      </w:pPr>
      <w:rPr>
        <w:rFonts w:hint="default"/>
      </w:rPr>
    </w:lvl>
  </w:abstractNum>
  <w:abstractNum w:abstractNumId="4">
    <w:nsid w:val="2EACC066"/>
    <w:multiLevelType w:val="hybridMultilevel"/>
    <w:tmpl w:val="00000000"/>
    <w:lvl w:ilvl="0">
      <w:start w:val="3"/>
      <w:numFmt w:val="decimal"/>
      <w:lvlText w:val="%1"/>
      <w:lvlJc w:val="left"/>
      <w:pPr>
        <w:ind w:left="1570" w:hanging="634"/>
        <w:jc w:val="left"/>
      </w:pPr>
      <w:rPr>
        <w:rFonts w:hint="default"/>
      </w:rPr>
    </w:lvl>
    <w:lvl w:ilvl="1">
      <w:start w:val="1"/>
      <w:numFmt w:val="decimal"/>
      <w:lvlText w:val="%1.%2"/>
      <w:lvlJc w:val="left"/>
      <w:pPr>
        <w:ind w:left="1570" w:hanging="634"/>
        <w:jc w:val="left"/>
      </w:pPr>
      <w:rPr>
        <w:rFonts w:ascii="宋体" w:eastAsia="宋体" w:hAnsi="宋体" w:cs="宋体" w:hint="default"/>
        <w:w w:val="102"/>
        <w:sz w:val="31"/>
        <w:szCs w:val="31"/>
      </w:rPr>
    </w:lvl>
    <w:lvl w:ilvl="2">
      <w:start w:val="0"/>
      <w:numFmt w:val="bullet"/>
      <w:lvlText w:val="•"/>
      <w:lvlJc w:val="left"/>
      <w:pPr>
        <w:ind w:left="4143" w:hanging="634"/>
      </w:pPr>
      <w:rPr>
        <w:rFonts w:hint="default"/>
      </w:rPr>
    </w:lvl>
    <w:lvl w:ilvl="3">
      <w:start w:val="0"/>
      <w:numFmt w:val="bullet"/>
      <w:lvlText w:val="•"/>
      <w:lvlJc w:val="left"/>
      <w:pPr>
        <w:ind w:left="5425" w:hanging="634"/>
      </w:pPr>
      <w:rPr>
        <w:rFonts w:hint="default"/>
      </w:rPr>
    </w:lvl>
    <w:lvl w:ilvl="4">
      <w:start w:val="0"/>
      <w:numFmt w:val="bullet"/>
      <w:lvlText w:val="•"/>
      <w:lvlJc w:val="left"/>
      <w:pPr>
        <w:ind w:left="6707" w:hanging="634"/>
      </w:pPr>
      <w:rPr>
        <w:rFonts w:hint="default"/>
      </w:rPr>
    </w:lvl>
    <w:lvl w:ilvl="5">
      <w:start w:val="0"/>
      <w:numFmt w:val="bullet"/>
      <w:lvlText w:val="•"/>
      <w:lvlJc w:val="left"/>
      <w:pPr>
        <w:ind w:left="7989" w:hanging="634"/>
      </w:pPr>
      <w:rPr>
        <w:rFonts w:hint="default"/>
      </w:rPr>
    </w:lvl>
    <w:lvl w:ilvl="6">
      <w:start w:val="0"/>
      <w:numFmt w:val="bullet"/>
      <w:lvlText w:val="•"/>
      <w:lvlJc w:val="left"/>
      <w:pPr>
        <w:ind w:left="9271" w:hanging="634"/>
      </w:pPr>
      <w:rPr>
        <w:rFonts w:hint="default"/>
      </w:rPr>
    </w:lvl>
    <w:lvl w:ilvl="7">
      <w:start w:val="0"/>
      <w:numFmt w:val="bullet"/>
      <w:lvlText w:val="•"/>
      <w:lvlJc w:val="left"/>
      <w:pPr>
        <w:ind w:left="10553" w:hanging="634"/>
      </w:pPr>
      <w:rPr>
        <w:rFonts w:hint="default"/>
      </w:rPr>
    </w:lvl>
    <w:lvl w:ilvl="8">
      <w:start w:val="0"/>
      <w:numFmt w:val="bullet"/>
      <w:lvlText w:val="•"/>
      <w:lvlJc w:val="left"/>
      <w:pPr>
        <w:ind w:left="11835" w:hanging="634"/>
      </w:pPr>
      <w:rPr>
        <w:rFonts w:hint="default"/>
      </w:rPr>
    </w:lvl>
  </w:abstractNum>
  <w:abstractNum w:abstractNumId="5">
    <w:nsid w:val="3317FC76"/>
    <w:multiLevelType w:val="hybridMultilevel"/>
    <w:tmpl w:val="00000000"/>
    <w:lvl w:ilvl="0">
      <w:start w:val="7"/>
      <w:numFmt w:val="decimal"/>
      <w:lvlText w:val="%1"/>
      <w:lvlJc w:val="left"/>
      <w:pPr>
        <w:ind w:left="624" w:hanging="227"/>
        <w:jc w:val="left"/>
      </w:pPr>
      <w:rPr>
        <w:rFonts w:hint="default"/>
        <w:w w:val="89"/>
        <w:position w:val="4"/>
      </w:rPr>
    </w:lvl>
    <w:lvl w:ilvl="1">
      <w:start w:val="0"/>
      <w:numFmt w:val="bullet"/>
      <w:lvlText w:val="•"/>
      <w:lvlJc w:val="left"/>
      <w:pPr>
        <w:ind w:left="1997" w:hanging="227"/>
      </w:pPr>
      <w:rPr>
        <w:rFonts w:hint="default"/>
      </w:rPr>
    </w:lvl>
    <w:lvl w:ilvl="2">
      <w:start w:val="0"/>
      <w:numFmt w:val="bullet"/>
      <w:lvlText w:val="•"/>
      <w:lvlJc w:val="left"/>
      <w:pPr>
        <w:ind w:left="3375" w:hanging="227"/>
      </w:pPr>
      <w:rPr>
        <w:rFonts w:hint="default"/>
      </w:rPr>
    </w:lvl>
    <w:lvl w:ilvl="3">
      <w:start w:val="0"/>
      <w:numFmt w:val="bullet"/>
      <w:lvlText w:val="•"/>
      <w:lvlJc w:val="left"/>
      <w:pPr>
        <w:ind w:left="4753" w:hanging="227"/>
      </w:pPr>
      <w:rPr>
        <w:rFonts w:hint="default"/>
      </w:rPr>
    </w:lvl>
    <w:lvl w:ilvl="4">
      <w:start w:val="0"/>
      <w:numFmt w:val="bullet"/>
      <w:lvlText w:val="•"/>
      <w:lvlJc w:val="left"/>
      <w:pPr>
        <w:ind w:left="6131" w:hanging="227"/>
      </w:pPr>
      <w:rPr>
        <w:rFonts w:hint="default"/>
      </w:rPr>
    </w:lvl>
    <w:lvl w:ilvl="5">
      <w:start w:val="0"/>
      <w:numFmt w:val="bullet"/>
      <w:lvlText w:val="•"/>
      <w:lvlJc w:val="left"/>
      <w:pPr>
        <w:ind w:left="7509" w:hanging="227"/>
      </w:pPr>
      <w:rPr>
        <w:rFonts w:hint="default"/>
      </w:rPr>
    </w:lvl>
    <w:lvl w:ilvl="6">
      <w:start w:val="0"/>
      <w:numFmt w:val="bullet"/>
      <w:lvlText w:val="•"/>
      <w:lvlJc w:val="left"/>
      <w:pPr>
        <w:ind w:left="8887" w:hanging="227"/>
      </w:pPr>
      <w:rPr>
        <w:rFonts w:hint="default"/>
      </w:rPr>
    </w:lvl>
    <w:lvl w:ilvl="7">
      <w:start w:val="0"/>
      <w:numFmt w:val="bullet"/>
      <w:lvlText w:val="•"/>
      <w:lvlJc w:val="left"/>
      <w:pPr>
        <w:ind w:left="10265" w:hanging="227"/>
      </w:pPr>
      <w:rPr>
        <w:rFonts w:hint="default"/>
      </w:rPr>
    </w:lvl>
    <w:lvl w:ilvl="8">
      <w:start w:val="0"/>
      <w:numFmt w:val="bullet"/>
      <w:lvlText w:val="•"/>
      <w:lvlJc w:val="left"/>
      <w:pPr>
        <w:ind w:left="11643" w:hanging="227"/>
      </w:pPr>
      <w:rPr>
        <w:rFonts w:hint="default"/>
      </w:rPr>
    </w:lvl>
  </w:abstractNum>
  <w:abstractNum w:abstractNumId="6">
    <w:nsid w:val="34635706"/>
    <w:multiLevelType w:val="hybridMultilevel"/>
    <w:tmpl w:val="00000000"/>
    <w:lvl w:ilvl="0">
      <w:start w:val="3"/>
      <w:numFmt w:val="decimal"/>
      <w:lvlText w:val="%1"/>
      <w:lvlJc w:val="left"/>
      <w:pPr>
        <w:ind w:left="2474" w:hanging="728"/>
        <w:jc w:val="left"/>
      </w:pPr>
      <w:rPr>
        <w:rFonts w:hint="default"/>
      </w:rPr>
    </w:lvl>
    <w:lvl w:ilvl="1">
      <w:start w:val="1"/>
      <w:numFmt w:val="decimal"/>
      <w:lvlText w:val="%1.%2"/>
      <w:lvlJc w:val="left"/>
      <w:pPr>
        <w:ind w:left="2474" w:hanging="728"/>
        <w:jc w:val="left"/>
      </w:pPr>
      <w:rPr>
        <w:rFonts w:ascii="黑体" w:eastAsia="黑体" w:hAnsi="黑体" w:cs="黑体" w:hint="default"/>
        <w:w w:val="100"/>
        <w:position w:val="4"/>
        <w:sz w:val="36"/>
        <w:szCs w:val="36"/>
      </w:rPr>
    </w:lvl>
    <w:lvl w:ilvl="2">
      <w:start w:val="0"/>
      <w:numFmt w:val="bullet"/>
      <w:lvlText w:val="•"/>
      <w:lvlJc w:val="left"/>
      <w:pPr>
        <w:ind w:left="4863" w:hanging="728"/>
      </w:pPr>
      <w:rPr>
        <w:rFonts w:hint="default"/>
      </w:rPr>
    </w:lvl>
    <w:lvl w:ilvl="3">
      <w:start w:val="0"/>
      <w:numFmt w:val="bullet"/>
      <w:lvlText w:val="•"/>
      <w:lvlJc w:val="left"/>
      <w:pPr>
        <w:ind w:left="6055" w:hanging="728"/>
      </w:pPr>
      <w:rPr>
        <w:rFonts w:hint="default"/>
      </w:rPr>
    </w:lvl>
    <w:lvl w:ilvl="4">
      <w:start w:val="0"/>
      <w:numFmt w:val="bullet"/>
      <w:lvlText w:val="•"/>
      <w:lvlJc w:val="left"/>
      <w:pPr>
        <w:ind w:left="7247" w:hanging="728"/>
      </w:pPr>
      <w:rPr>
        <w:rFonts w:hint="default"/>
      </w:rPr>
    </w:lvl>
    <w:lvl w:ilvl="5">
      <w:start w:val="0"/>
      <w:numFmt w:val="bullet"/>
      <w:lvlText w:val="•"/>
      <w:lvlJc w:val="left"/>
      <w:pPr>
        <w:ind w:left="8439" w:hanging="728"/>
      </w:pPr>
      <w:rPr>
        <w:rFonts w:hint="default"/>
      </w:rPr>
    </w:lvl>
    <w:lvl w:ilvl="6">
      <w:start w:val="0"/>
      <w:numFmt w:val="bullet"/>
      <w:lvlText w:val="•"/>
      <w:lvlJc w:val="left"/>
      <w:pPr>
        <w:ind w:left="9631" w:hanging="728"/>
      </w:pPr>
      <w:rPr>
        <w:rFonts w:hint="default"/>
      </w:rPr>
    </w:lvl>
    <w:lvl w:ilvl="7">
      <w:start w:val="0"/>
      <w:numFmt w:val="bullet"/>
      <w:lvlText w:val="•"/>
      <w:lvlJc w:val="left"/>
      <w:pPr>
        <w:ind w:left="10823" w:hanging="728"/>
      </w:pPr>
      <w:rPr>
        <w:rFonts w:hint="default"/>
      </w:rPr>
    </w:lvl>
    <w:lvl w:ilvl="8">
      <w:start w:val="0"/>
      <w:numFmt w:val="bullet"/>
      <w:lvlText w:val="•"/>
      <w:lvlJc w:val="left"/>
      <w:pPr>
        <w:ind w:left="12015" w:hanging="728"/>
      </w:pPr>
      <w:rPr>
        <w:rFonts w:hint="default"/>
      </w:rPr>
    </w:lvl>
  </w:abstractNum>
  <w:abstractNum w:abstractNumId="7">
    <w:nsid w:val="3AB1CCB8"/>
    <w:multiLevelType w:val="hybridMultilevel"/>
    <w:tmpl w:val="00000000"/>
    <w:lvl w:ilvl="0">
      <w:start w:val="1"/>
      <w:numFmt w:val="decimal"/>
      <w:lvlText w:val="%1"/>
      <w:lvlJc w:val="left"/>
      <w:pPr>
        <w:ind w:left="2474" w:hanging="728"/>
        <w:jc w:val="left"/>
      </w:pPr>
      <w:rPr>
        <w:rFonts w:hint="default"/>
      </w:rPr>
    </w:lvl>
    <w:lvl w:ilvl="1">
      <w:start w:val="1"/>
      <w:numFmt w:val="decimal"/>
      <w:lvlText w:val="%1.%2"/>
      <w:lvlJc w:val="left"/>
      <w:pPr>
        <w:ind w:left="2474" w:hanging="728"/>
        <w:jc w:val="left"/>
      </w:pPr>
      <w:rPr>
        <w:rFonts w:ascii="黑体" w:eastAsia="黑体" w:hAnsi="黑体" w:cs="黑体" w:hint="default"/>
        <w:w w:val="100"/>
        <w:position w:val="4"/>
        <w:sz w:val="36"/>
        <w:szCs w:val="36"/>
      </w:rPr>
    </w:lvl>
    <w:lvl w:ilvl="2">
      <w:start w:val="0"/>
      <w:numFmt w:val="bullet"/>
      <w:lvlText w:val="•"/>
      <w:lvlJc w:val="left"/>
      <w:pPr>
        <w:ind w:left="4863" w:hanging="728"/>
      </w:pPr>
      <w:rPr>
        <w:rFonts w:hint="default"/>
      </w:rPr>
    </w:lvl>
    <w:lvl w:ilvl="3">
      <w:start w:val="0"/>
      <w:numFmt w:val="bullet"/>
      <w:lvlText w:val="•"/>
      <w:lvlJc w:val="left"/>
      <w:pPr>
        <w:ind w:left="6055" w:hanging="728"/>
      </w:pPr>
      <w:rPr>
        <w:rFonts w:hint="default"/>
      </w:rPr>
    </w:lvl>
    <w:lvl w:ilvl="4">
      <w:start w:val="0"/>
      <w:numFmt w:val="bullet"/>
      <w:lvlText w:val="•"/>
      <w:lvlJc w:val="left"/>
      <w:pPr>
        <w:ind w:left="7247" w:hanging="728"/>
      </w:pPr>
      <w:rPr>
        <w:rFonts w:hint="default"/>
      </w:rPr>
    </w:lvl>
    <w:lvl w:ilvl="5">
      <w:start w:val="0"/>
      <w:numFmt w:val="bullet"/>
      <w:lvlText w:val="•"/>
      <w:lvlJc w:val="left"/>
      <w:pPr>
        <w:ind w:left="8439" w:hanging="728"/>
      </w:pPr>
      <w:rPr>
        <w:rFonts w:hint="default"/>
      </w:rPr>
    </w:lvl>
    <w:lvl w:ilvl="6">
      <w:start w:val="0"/>
      <w:numFmt w:val="bullet"/>
      <w:lvlText w:val="•"/>
      <w:lvlJc w:val="left"/>
      <w:pPr>
        <w:ind w:left="9631" w:hanging="728"/>
      </w:pPr>
      <w:rPr>
        <w:rFonts w:hint="default"/>
      </w:rPr>
    </w:lvl>
    <w:lvl w:ilvl="7">
      <w:start w:val="0"/>
      <w:numFmt w:val="bullet"/>
      <w:lvlText w:val="•"/>
      <w:lvlJc w:val="left"/>
      <w:pPr>
        <w:ind w:left="10823" w:hanging="728"/>
      </w:pPr>
      <w:rPr>
        <w:rFonts w:hint="default"/>
      </w:rPr>
    </w:lvl>
    <w:lvl w:ilvl="8">
      <w:start w:val="0"/>
      <w:numFmt w:val="bullet"/>
      <w:lvlText w:val="•"/>
      <w:lvlJc w:val="left"/>
      <w:pPr>
        <w:ind w:left="12015" w:hanging="728"/>
      </w:pPr>
      <w:rPr>
        <w:rFonts w:hint="default"/>
      </w:rPr>
    </w:lvl>
  </w:abstractNum>
  <w:abstractNum w:abstractNumId="8">
    <w:nsid w:val="3C919CBB"/>
    <w:multiLevelType w:val="hybridMultilevel"/>
    <w:tmpl w:val="00000000"/>
    <w:lvl w:ilvl="0">
      <w:start w:val="2"/>
      <w:numFmt w:val="decimal"/>
      <w:lvlText w:val="%1"/>
      <w:lvlJc w:val="left"/>
      <w:pPr>
        <w:ind w:left="2495" w:hanging="749"/>
        <w:jc w:val="left"/>
      </w:pPr>
      <w:rPr>
        <w:rFonts w:hint="default"/>
      </w:rPr>
    </w:lvl>
    <w:lvl w:ilvl="1">
      <w:start w:val="1"/>
      <w:numFmt w:val="decimal"/>
      <w:lvlText w:val="%1.%2"/>
      <w:lvlJc w:val="left"/>
      <w:pPr>
        <w:ind w:left="2495" w:hanging="749"/>
        <w:jc w:val="left"/>
      </w:pPr>
      <w:rPr>
        <w:rFonts w:ascii="黑体" w:eastAsia="黑体" w:hAnsi="黑体" w:cs="黑体" w:hint="default"/>
        <w:w w:val="100"/>
        <w:position w:val="4"/>
        <w:sz w:val="36"/>
        <w:szCs w:val="36"/>
      </w:rPr>
    </w:lvl>
    <w:lvl w:ilvl="2">
      <w:start w:val="0"/>
      <w:numFmt w:val="bullet"/>
      <w:lvlText w:val="•"/>
      <w:lvlJc w:val="left"/>
      <w:pPr>
        <w:ind w:left="4879" w:hanging="749"/>
      </w:pPr>
      <w:rPr>
        <w:rFonts w:hint="default"/>
      </w:rPr>
    </w:lvl>
    <w:lvl w:ilvl="3">
      <w:start w:val="0"/>
      <w:numFmt w:val="bullet"/>
      <w:lvlText w:val="•"/>
      <w:lvlJc w:val="left"/>
      <w:pPr>
        <w:ind w:left="6069" w:hanging="749"/>
      </w:pPr>
      <w:rPr>
        <w:rFonts w:hint="default"/>
      </w:rPr>
    </w:lvl>
    <w:lvl w:ilvl="4">
      <w:start w:val="0"/>
      <w:numFmt w:val="bullet"/>
      <w:lvlText w:val="•"/>
      <w:lvlJc w:val="left"/>
      <w:pPr>
        <w:ind w:left="7259" w:hanging="749"/>
      </w:pPr>
      <w:rPr>
        <w:rFonts w:hint="default"/>
      </w:rPr>
    </w:lvl>
    <w:lvl w:ilvl="5">
      <w:start w:val="0"/>
      <w:numFmt w:val="bullet"/>
      <w:lvlText w:val="•"/>
      <w:lvlJc w:val="left"/>
      <w:pPr>
        <w:ind w:left="8449" w:hanging="749"/>
      </w:pPr>
      <w:rPr>
        <w:rFonts w:hint="default"/>
      </w:rPr>
    </w:lvl>
    <w:lvl w:ilvl="6">
      <w:start w:val="0"/>
      <w:numFmt w:val="bullet"/>
      <w:lvlText w:val="•"/>
      <w:lvlJc w:val="left"/>
      <w:pPr>
        <w:ind w:left="9639" w:hanging="749"/>
      </w:pPr>
      <w:rPr>
        <w:rFonts w:hint="default"/>
      </w:rPr>
    </w:lvl>
    <w:lvl w:ilvl="7">
      <w:start w:val="0"/>
      <w:numFmt w:val="bullet"/>
      <w:lvlText w:val="•"/>
      <w:lvlJc w:val="left"/>
      <w:pPr>
        <w:ind w:left="10829" w:hanging="749"/>
      </w:pPr>
      <w:rPr>
        <w:rFonts w:hint="default"/>
      </w:rPr>
    </w:lvl>
    <w:lvl w:ilvl="8">
      <w:start w:val="0"/>
      <w:numFmt w:val="bullet"/>
      <w:lvlText w:val="•"/>
      <w:lvlJc w:val="left"/>
      <w:pPr>
        <w:ind w:left="12019" w:hanging="749"/>
      </w:pPr>
      <w:rPr>
        <w:rFonts w:hint="default"/>
      </w:rPr>
    </w:lvl>
  </w:abstractNum>
  <w:abstractNum w:abstractNumId="9">
    <w:nsid w:val="3CBB024D"/>
    <w:multiLevelType w:val="hybridMultilevel"/>
    <w:tmpl w:val="00000000"/>
    <w:lvl w:ilvl="0">
      <w:start w:val="3"/>
      <w:numFmt w:val="decimal"/>
      <w:lvlText w:val="%1"/>
      <w:lvlJc w:val="left"/>
      <w:pPr>
        <w:ind w:left="1570" w:hanging="634"/>
        <w:jc w:val="left"/>
      </w:pPr>
      <w:rPr>
        <w:rFonts w:hint="default"/>
      </w:rPr>
    </w:lvl>
    <w:lvl w:ilvl="1">
      <w:start w:val="1"/>
      <w:numFmt w:val="decimal"/>
      <w:lvlText w:val="%1.%2"/>
      <w:lvlJc w:val="left"/>
      <w:pPr>
        <w:ind w:left="1570" w:hanging="634"/>
        <w:jc w:val="left"/>
      </w:pPr>
      <w:rPr>
        <w:rFonts w:hint="default"/>
        <w:w w:val="102"/>
      </w:rPr>
    </w:lvl>
    <w:lvl w:ilvl="2">
      <w:start w:val="0"/>
      <w:numFmt w:val="bullet"/>
      <w:lvlText w:val="•"/>
      <w:lvlJc w:val="left"/>
      <w:pPr>
        <w:ind w:left="4143" w:hanging="634"/>
      </w:pPr>
      <w:rPr>
        <w:rFonts w:hint="default"/>
      </w:rPr>
    </w:lvl>
    <w:lvl w:ilvl="3">
      <w:start w:val="0"/>
      <w:numFmt w:val="bullet"/>
      <w:lvlText w:val="•"/>
      <w:lvlJc w:val="left"/>
      <w:pPr>
        <w:ind w:left="5425" w:hanging="634"/>
      </w:pPr>
      <w:rPr>
        <w:rFonts w:hint="default"/>
      </w:rPr>
    </w:lvl>
    <w:lvl w:ilvl="4">
      <w:start w:val="0"/>
      <w:numFmt w:val="bullet"/>
      <w:lvlText w:val="•"/>
      <w:lvlJc w:val="left"/>
      <w:pPr>
        <w:ind w:left="6707" w:hanging="634"/>
      </w:pPr>
      <w:rPr>
        <w:rFonts w:hint="default"/>
      </w:rPr>
    </w:lvl>
    <w:lvl w:ilvl="5">
      <w:start w:val="0"/>
      <w:numFmt w:val="bullet"/>
      <w:lvlText w:val="•"/>
      <w:lvlJc w:val="left"/>
      <w:pPr>
        <w:ind w:left="7989" w:hanging="634"/>
      </w:pPr>
      <w:rPr>
        <w:rFonts w:hint="default"/>
      </w:rPr>
    </w:lvl>
    <w:lvl w:ilvl="6">
      <w:start w:val="0"/>
      <w:numFmt w:val="bullet"/>
      <w:lvlText w:val="•"/>
      <w:lvlJc w:val="left"/>
      <w:pPr>
        <w:ind w:left="9271" w:hanging="634"/>
      </w:pPr>
      <w:rPr>
        <w:rFonts w:hint="default"/>
      </w:rPr>
    </w:lvl>
    <w:lvl w:ilvl="7">
      <w:start w:val="0"/>
      <w:numFmt w:val="bullet"/>
      <w:lvlText w:val="•"/>
      <w:lvlJc w:val="left"/>
      <w:pPr>
        <w:ind w:left="10553" w:hanging="634"/>
      </w:pPr>
      <w:rPr>
        <w:rFonts w:hint="default"/>
      </w:rPr>
    </w:lvl>
    <w:lvl w:ilvl="8">
      <w:start w:val="0"/>
      <w:numFmt w:val="bullet"/>
      <w:lvlText w:val="•"/>
      <w:lvlJc w:val="left"/>
      <w:pPr>
        <w:ind w:left="11835" w:hanging="634"/>
      </w:pPr>
      <w:rPr>
        <w:rFonts w:hint="default"/>
      </w:rPr>
    </w:lvl>
  </w:abstractNum>
  <w:abstractNum w:abstractNumId="10">
    <w:nsid w:val="3D81F8CA"/>
    <w:multiLevelType w:val="hybridMultilevel"/>
    <w:tmpl w:val="00000000"/>
    <w:lvl w:ilvl="0">
      <w:start w:val="2"/>
      <w:numFmt w:val="decimal"/>
      <w:lvlText w:val="%1"/>
      <w:lvlJc w:val="left"/>
      <w:pPr>
        <w:ind w:left="1570" w:hanging="634"/>
        <w:jc w:val="left"/>
      </w:pPr>
      <w:rPr>
        <w:rFonts w:hint="default"/>
      </w:rPr>
    </w:lvl>
    <w:lvl w:ilvl="1">
      <w:start w:val="1"/>
      <w:numFmt w:val="decimal"/>
      <w:lvlText w:val="%1.%2"/>
      <w:lvlJc w:val="left"/>
      <w:pPr>
        <w:ind w:left="1570" w:hanging="634"/>
        <w:jc w:val="left"/>
      </w:pPr>
      <w:rPr>
        <w:rFonts w:ascii="宋体" w:eastAsia="宋体" w:hAnsi="宋体" w:cs="宋体" w:hint="default"/>
        <w:w w:val="102"/>
        <w:sz w:val="31"/>
        <w:szCs w:val="31"/>
      </w:rPr>
    </w:lvl>
    <w:lvl w:ilvl="2">
      <w:start w:val="0"/>
      <w:numFmt w:val="bullet"/>
      <w:lvlText w:val="•"/>
      <w:lvlJc w:val="left"/>
      <w:pPr>
        <w:ind w:left="4143" w:hanging="634"/>
      </w:pPr>
      <w:rPr>
        <w:rFonts w:hint="default"/>
      </w:rPr>
    </w:lvl>
    <w:lvl w:ilvl="3">
      <w:start w:val="0"/>
      <w:numFmt w:val="bullet"/>
      <w:lvlText w:val="•"/>
      <w:lvlJc w:val="left"/>
      <w:pPr>
        <w:ind w:left="5425" w:hanging="634"/>
      </w:pPr>
      <w:rPr>
        <w:rFonts w:hint="default"/>
      </w:rPr>
    </w:lvl>
    <w:lvl w:ilvl="4">
      <w:start w:val="0"/>
      <w:numFmt w:val="bullet"/>
      <w:lvlText w:val="•"/>
      <w:lvlJc w:val="left"/>
      <w:pPr>
        <w:ind w:left="6707" w:hanging="634"/>
      </w:pPr>
      <w:rPr>
        <w:rFonts w:hint="default"/>
      </w:rPr>
    </w:lvl>
    <w:lvl w:ilvl="5">
      <w:start w:val="0"/>
      <w:numFmt w:val="bullet"/>
      <w:lvlText w:val="•"/>
      <w:lvlJc w:val="left"/>
      <w:pPr>
        <w:ind w:left="7989" w:hanging="634"/>
      </w:pPr>
      <w:rPr>
        <w:rFonts w:hint="default"/>
      </w:rPr>
    </w:lvl>
    <w:lvl w:ilvl="6">
      <w:start w:val="0"/>
      <w:numFmt w:val="bullet"/>
      <w:lvlText w:val="•"/>
      <w:lvlJc w:val="left"/>
      <w:pPr>
        <w:ind w:left="9271" w:hanging="634"/>
      </w:pPr>
      <w:rPr>
        <w:rFonts w:hint="default"/>
      </w:rPr>
    </w:lvl>
    <w:lvl w:ilvl="7">
      <w:start w:val="0"/>
      <w:numFmt w:val="bullet"/>
      <w:lvlText w:val="•"/>
      <w:lvlJc w:val="left"/>
      <w:pPr>
        <w:ind w:left="10553" w:hanging="634"/>
      </w:pPr>
      <w:rPr>
        <w:rFonts w:hint="default"/>
      </w:rPr>
    </w:lvl>
    <w:lvl w:ilvl="8">
      <w:start w:val="0"/>
      <w:numFmt w:val="bullet"/>
      <w:lvlText w:val="•"/>
      <w:lvlJc w:val="left"/>
      <w:pPr>
        <w:ind w:left="11835" w:hanging="634"/>
      </w:pPr>
      <w:rPr>
        <w:rFonts w:hint="default"/>
      </w:rPr>
    </w:lvl>
  </w:abstractNum>
  <w:abstractNum w:abstractNumId="11">
    <w:nsid w:val="3D8B6178"/>
    <w:multiLevelType w:val="hybridMultilevel"/>
    <w:tmpl w:val="00000000"/>
    <w:lvl w:ilvl="0">
      <w:start w:val="2"/>
      <w:numFmt w:val="decimal"/>
      <w:lvlText w:val="%1"/>
      <w:lvlJc w:val="left"/>
      <w:pPr>
        <w:ind w:left="1570" w:hanging="634"/>
        <w:jc w:val="left"/>
      </w:pPr>
      <w:rPr>
        <w:rFonts w:hint="default"/>
      </w:rPr>
    </w:lvl>
    <w:lvl w:ilvl="1">
      <w:start w:val="1"/>
      <w:numFmt w:val="decimal"/>
      <w:lvlText w:val="%1.%2"/>
      <w:lvlJc w:val="left"/>
      <w:pPr>
        <w:ind w:left="1570" w:hanging="634"/>
        <w:jc w:val="left"/>
      </w:pPr>
      <w:rPr>
        <w:rFonts w:ascii="宋体" w:eastAsia="宋体" w:hAnsi="宋体" w:cs="宋体" w:hint="default"/>
        <w:w w:val="102"/>
        <w:sz w:val="31"/>
        <w:szCs w:val="31"/>
      </w:rPr>
    </w:lvl>
    <w:lvl w:ilvl="2">
      <w:start w:val="0"/>
      <w:numFmt w:val="bullet"/>
      <w:lvlText w:val="•"/>
      <w:lvlJc w:val="left"/>
      <w:pPr>
        <w:ind w:left="4143" w:hanging="634"/>
      </w:pPr>
      <w:rPr>
        <w:rFonts w:hint="default"/>
      </w:rPr>
    </w:lvl>
    <w:lvl w:ilvl="3">
      <w:start w:val="0"/>
      <w:numFmt w:val="bullet"/>
      <w:lvlText w:val="•"/>
      <w:lvlJc w:val="left"/>
      <w:pPr>
        <w:ind w:left="5425" w:hanging="634"/>
      </w:pPr>
      <w:rPr>
        <w:rFonts w:hint="default"/>
      </w:rPr>
    </w:lvl>
    <w:lvl w:ilvl="4">
      <w:start w:val="0"/>
      <w:numFmt w:val="bullet"/>
      <w:lvlText w:val="•"/>
      <w:lvlJc w:val="left"/>
      <w:pPr>
        <w:ind w:left="6707" w:hanging="634"/>
      </w:pPr>
      <w:rPr>
        <w:rFonts w:hint="default"/>
      </w:rPr>
    </w:lvl>
    <w:lvl w:ilvl="5">
      <w:start w:val="0"/>
      <w:numFmt w:val="bullet"/>
      <w:lvlText w:val="•"/>
      <w:lvlJc w:val="left"/>
      <w:pPr>
        <w:ind w:left="7989" w:hanging="634"/>
      </w:pPr>
      <w:rPr>
        <w:rFonts w:hint="default"/>
      </w:rPr>
    </w:lvl>
    <w:lvl w:ilvl="6">
      <w:start w:val="0"/>
      <w:numFmt w:val="bullet"/>
      <w:lvlText w:val="•"/>
      <w:lvlJc w:val="left"/>
      <w:pPr>
        <w:ind w:left="9271" w:hanging="634"/>
      </w:pPr>
      <w:rPr>
        <w:rFonts w:hint="default"/>
      </w:rPr>
    </w:lvl>
    <w:lvl w:ilvl="7">
      <w:start w:val="0"/>
      <w:numFmt w:val="bullet"/>
      <w:lvlText w:val="•"/>
      <w:lvlJc w:val="left"/>
      <w:pPr>
        <w:ind w:left="10553" w:hanging="634"/>
      </w:pPr>
      <w:rPr>
        <w:rFonts w:hint="default"/>
      </w:rPr>
    </w:lvl>
    <w:lvl w:ilvl="8">
      <w:start w:val="0"/>
      <w:numFmt w:val="bullet"/>
      <w:lvlText w:val="•"/>
      <w:lvlJc w:val="left"/>
      <w:pPr>
        <w:ind w:left="11835" w:hanging="634"/>
      </w:pPr>
      <w:rPr>
        <w:rFonts w:hint="default"/>
      </w:rPr>
    </w:lvl>
  </w:abstractNum>
  <w:abstractNum w:abstractNumId="12">
    <w:nsid w:val="4A272B91"/>
    <w:multiLevelType w:val="hybridMultilevel"/>
    <w:tmpl w:val="00000000"/>
    <w:lvl w:ilvl="0">
      <w:start w:val="1"/>
      <w:numFmt w:val="decimal"/>
      <w:lvlText w:val="%1"/>
      <w:lvlJc w:val="left"/>
      <w:pPr>
        <w:ind w:left="1099" w:hanging="702"/>
        <w:jc w:val="left"/>
      </w:pPr>
      <w:rPr>
        <w:rFonts w:ascii="黑体" w:eastAsia="黑体" w:hAnsi="黑体" w:cs="黑体" w:hint="default"/>
        <w:w w:val="100"/>
        <w:sz w:val="27"/>
        <w:szCs w:val="27"/>
      </w:rPr>
    </w:lvl>
    <w:lvl w:ilvl="1">
      <w:start w:val="0"/>
      <w:numFmt w:val="bullet"/>
      <w:lvlText w:val="•"/>
      <w:lvlJc w:val="left"/>
      <w:pPr>
        <w:ind w:left="1157" w:hanging="702"/>
      </w:pPr>
      <w:rPr>
        <w:rFonts w:hint="default"/>
      </w:rPr>
    </w:lvl>
    <w:lvl w:ilvl="2">
      <w:start w:val="0"/>
      <w:numFmt w:val="bullet"/>
      <w:lvlText w:val="•"/>
      <w:lvlJc w:val="left"/>
      <w:pPr>
        <w:ind w:left="1215" w:hanging="702"/>
      </w:pPr>
      <w:rPr>
        <w:rFonts w:hint="default"/>
      </w:rPr>
    </w:lvl>
    <w:lvl w:ilvl="3">
      <w:start w:val="0"/>
      <w:numFmt w:val="bullet"/>
      <w:lvlText w:val="•"/>
      <w:lvlJc w:val="left"/>
      <w:pPr>
        <w:ind w:left="1273" w:hanging="702"/>
      </w:pPr>
      <w:rPr>
        <w:rFonts w:hint="default"/>
      </w:rPr>
    </w:lvl>
    <w:lvl w:ilvl="4">
      <w:start w:val="0"/>
      <w:numFmt w:val="bullet"/>
      <w:lvlText w:val="•"/>
      <w:lvlJc w:val="left"/>
      <w:pPr>
        <w:ind w:left="1331" w:hanging="702"/>
      </w:pPr>
      <w:rPr>
        <w:rFonts w:hint="default"/>
      </w:rPr>
    </w:lvl>
    <w:lvl w:ilvl="5">
      <w:start w:val="0"/>
      <w:numFmt w:val="bullet"/>
      <w:lvlText w:val="•"/>
      <w:lvlJc w:val="left"/>
      <w:pPr>
        <w:ind w:left="1389" w:hanging="702"/>
      </w:pPr>
      <w:rPr>
        <w:rFonts w:hint="default"/>
      </w:rPr>
    </w:lvl>
    <w:lvl w:ilvl="6">
      <w:start w:val="0"/>
      <w:numFmt w:val="bullet"/>
      <w:lvlText w:val="•"/>
      <w:lvlJc w:val="left"/>
      <w:pPr>
        <w:ind w:left="1447" w:hanging="702"/>
      </w:pPr>
      <w:rPr>
        <w:rFonts w:hint="default"/>
      </w:rPr>
    </w:lvl>
    <w:lvl w:ilvl="7">
      <w:start w:val="0"/>
      <w:numFmt w:val="bullet"/>
      <w:lvlText w:val="•"/>
      <w:lvlJc w:val="left"/>
      <w:pPr>
        <w:ind w:left="1505" w:hanging="702"/>
      </w:pPr>
      <w:rPr>
        <w:rFonts w:hint="default"/>
      </w:rPr>
    </w:lvl>
    <w:lvl w:ilvl="8">
      <w:start w:val="0"/>
      <w:numFmt w:val="bullet"/>
      <w:lvlText w:val="•"/>
      <w:lvlJc w:val="left"/>
      <w:pPr>
        <w:ind w:left="1563" w:hanging="702"/>
      </w:pPr>
      <w:rPr>
        <w:rFonts w:hint="default"/>
      </w:rPr>
    </w:lvl>
  </w:abstractNum>
  <w:abstractNum w:abstractNumId="13">
    <w:nsid w:val="4EFA8956"/>
    <w:multiLevelType w:val="hybridMultilevel"/>
    <w:tmpl w:val="00000000"/>
    <w:lvl w:ilvl="0">
      <w:start w:val="1"/>
      <w:numFmt w:val="decimal"/>
      <w:lvlText w:val="（%1）"/>
      <w:lvlJc w:val="left"/>
      <w:pPr>
        <w:ind w:left="397" w:hanging="793"/>
        <w:jc w:val="left"/>
      </w:pPr>
      <w:rPr>
        <w:rFonts w:ascii="宋体" w:eastAsia="宋体" w:hAnsi="宋体" w:cs="宋体" w:hint="default"/>
        <w:spacing w:val="-1"/>
        <w:w w:val="102"/>
        <w:sz w:val="29"/>
        <w:szCs w:val="29"/>
      </w:rPr>
    </w:lvl>
    <w:lvl w:ilvl="1">
      <w:start w:val="0"/>
      <w:numFmt w:val="bullet"/>
      <w:lvlText w:val="•"/>
      <w:lvlJc w:val="left"/>
      <w:pPr>
        <w:ind w:left="1799" w:hanging="793"/>
      </w:pPr>
      <w:rPr>
        <w:rFonts w:hint="default"/>
      </w:rPr>
    </w:lvl>
    <w:lvl w:ilvl="2">
      <w:start w:val="0"/>
      <w:numFmt w:val="bullet"/>
      <w:lvlText w:val="•"/>
      <w:lvlJc w:val="left"/>
      <w:pPr>
        <w:ind w:left="3199" w:hanging="793"/>
      </w:pPr>
      <w:rPr>
        <w:rFonts w:hint="default"/>
      </w:rPr>
    </w:lvl>
    <w:lvl w:ilvl="3">
      <w:start w:val="0"/>
      <w:numFmt w:val="bullet"/>
      <w:lvlText w:val="•"/>
      <w:lvlJc w:val="left"/>
      <w:pPr>
        <w:ind w:left="4599" w:hanging="793"/>
      </w:pPr>
      <w:rPr>
        <w:rFonts w:hint="default"/>
      </w:rPr>
    </w:lvl>
    <w:lvl w:ilvl="4">
      <w:start w:val="0"/>
      <w:numFmt w:val="bullet"/>
      <w:lvlText w:val="•"/>
      <w:lvlJc w:val="left"/>
      <w:pPr>
        <w:ind w:left="5999" w:hanging="793"/>
      </w:pPr>
      <w:rPr>
        <w:rFonts w:hint="default"/>
      </w:rPr>
    </w:lvl>
    <w:lvl w:ilvl="5">
      <w:start w:val="0"/>
      <w:numFmt w:val="bullet"/>
      <w:lvlText w:val="•"/>
      <w:lvlJc w:val="left"/>
      <w:pPr>
        <w:ind w:left="7399" w:hanging="793"/>
      </w:pPr>
      <w:rPr>
        <w:rFonts w:hint="default"/>
      </w:rPr>
    </w:lvl>
    <w:lvl w:ilvl="6">
      <w:start w:val="0"/>
      <w:numFmt w:val="bullet"/>
      <w:lvlText w:val="•"/>
      <w:lvlJc w:val="left"/>
      <w:pPr>
        <w:ind w:left="8799" w:hanging="793"/>
      </w:pPr>
      <w:rPr>
        <w:rFonts w:hint="default"/>
      </w:rPr>
    </w:lvl>
    <w:lvl w:ilvl="7">
      <w:start w:val="0"/>
      <w:numFmt w:val="bullet"/>
      <w:lvlText w:val="•"/>
      <w:lvlJc w:val="left"/>
      <w:pPr>
        <w:ind w:left="10199" w:hanging="793"/>
      </w:pPr>
      <w:rPr>
        <w:rFonts w:hint="default"/>
      </w:rPr>
    </w:lvl>
    <w:lvl w:ilvl="8">
      <w:start w:val="0"/>
      <w:numFmt w:val="bullet"/>
      <w:lvlText w:val="•"/>
      <w:lvlJc w:val="left"/>
      <w:pPr>
        <w:ind w:left="11599" w:hanging="793"/>
      </w:pPr>
      <w:rPr>
        <w:rFonts w:hint="default"/>
      </w:rPr>
    </w:lvl>
  </w:abstractNum>
  <w:abstractNum w:abstractNumId="14">
    <w:nsid w:val="4F4B8C08"/>
    <w:multiLevelType w:val="hybridMultilevel"/>
    <w:tmpl w:val="00000000"/>
    <w:lvl w:ilvl="0">
      <w:start w:val="2"/>
      <w:numFmt w:val="decimal"/>
      <w:lvlText w:val="%1"/>
      <w:lvlJc w:val="left"/>
      <w:pPr>
        <w:ind w:left="2488" w:hanging="742"/>
        <w:jc w:val="left"/>
      </w:pPr>
      <w:rPr>
        <w:rFonts w:hint="default"/>
      </w:rPr>
    </w:lvl>
    <w:lvl w:ilvl="1">
      <w:start w:val="1"/>
      <w:numFmt w:val="decimal"/>
      <w:lvlText w:val="%1.%2"/>
      <w:lvlJc w:val="left"/>
      <w:pPr>
        <w:ind w:left="2488" w:hanging="742"/>
        <w:jc w:val="left"/>
      </w:pPr>
      <w:rPr>
        <w:rFonts w:ascii="黑体" w:eastAsia="黑体" w:hAnsi="黑体" w:cs="黑体" w:hint="default"/>
        <w:w w:val="100"/>
        <w:position w:val="4"/>
        <w:sz w:val="36"/>
        <w:szCs w:val="36"/>
      </w:rPr>
    </w:lvl>
    <w:lvl w:ilvl="2">
      <w:start w:val="0"/>
      <w:numFmt w:val="bullet"/>
      <w:lvlText w:val="•"/>
      <w:lvlJc w:val="left"/>
      <w:pPr>
        <w:ind w:left="4863" w:hanging="742"/>
      </w:pPr>
      <w:rPr>
        <w:rFonts w:hint="default"/>
      </w:rPr>
    </w:lvl>
    <w:lvl w:ilvl="3">
      <w:start w:val="0"/>
      <w:numFmt w:val="bullet"/>
      <w:lvlText w:val="•"/>
      <w:lvlJc w:val="left"/>
      <w:pPr>
        <w:ind w:left="6055" w:hanging="742"/>
      </w:pPr>
      <w:rPr>
        <w:rFonts w:hint="default"/>
      </w:rPr>
    </w:lvl>
    <w:lvl w:ilvl="4">
      <w:start w:val="0"/>
      <w:numFmt w:val="bullet"/>
      <w:lvlText w:val="•"/>
      <w:lvlJc w:val="left"/>
      <w:pPr>
        <w:ind w:left="7247" w:hanging="742"/>
      </w:pPr>
      <w:rPr>
        <w:rFonts w:hint="default"/>
      </w:rPr>
    </w:lvl>
    <w:lvl w:ilvl="5">
      <w:start w:val="0"/>
      <w:numFmt w:val="bullet"/>
      <w:lvlText w:val="•"/>
      <w:lvlJc w:val="left"/>
      <w:pPr>
        <w:ind w:left="8439" w:hanging="742"/>
      </w:pPr>
      <w:rPr>
        <w:rFonts w:hint="default"/>
      </w:rPr>
    </w:lvl>
    <w:lvl w:ilvl="6">
      <w:start w:val="0"/>
      <w:numFmt w:val="bullet"/>
      <w:lvlText w:val="•"/>
      <w:lvlJc w:val="left"/>
      <w:pPr>
        <w:ind w:left="9631" w:hanging="742"/>
      </w:pPr>
      <w:rPr>
        <w:rFonts w:hint="default"/>
      </w:rPr>
    </w:lvl>
    <w:lvl w:ilvl="7">
      <w:start w:val="0"/>
      <w:numFmt w:val="bullet"/>
      <w:lvlText w:val="•"/>
      <w:lvlJc w:val="left"/>
      <w:pPr>
        <w:ind w:left="10823" w:hanging="742"/>
      </w:pPr>
      <w:rPr>
        <w:rFonts w:hint="default"/>
      </w:rPr>
    </w:lvl>
    <w:lvl w:ilvl="8">
      <w:start w:val="0"/>
      <w:numFmt w:val="bullet"/>
      <w:lvlText w:val="•"/>
      <w:lvlJc w:val="left"/>
      <w:pPr>
        <w:ind w:left="12015" w:hanging="742"/>
      </w:pPr>
      <w:rPr>
        <w:rFonts w:hint="default"/>
      </w:rPr>
    </w:lvl>
  </w:abstractNum>
  <w:abstractNum w:abstractNumId="15">
    <w:nsid w:val="5038A3C5"/>
    <w:multiLevelType w:val="hybridMultilevel"/>
    <w:tmpl w:val="00000000"/>
    <w:lvl w:ilvl="0">
      <w:start w:val="2"/>
      <w:numFmt w:val="decimal"/>
      <w:lvlText w:val="%1"/>
      <w:lvlJc w:val="left"/>
      <w:pPr>
        <w:ind w:left="667" w:hanging="227"/>
        <w:jc w:val="left"/>
      </w:pPr>
      <w:rPr>
        <w:rFonts w:ascii="Arial" w:eastAsia="Arial" w:hAnsi="Arial" w:cs="Arial" w:hint="default"/>
        <w:w w:val="89"/>
        <w:position w:val="4"/>
        <w:sz w:val="18"/>
        <w:szCs w:val="18"/>
      </w:rPr>
    </w:lvl>
    <w:lvl w:ilvl="1">
      <w:start w:val="0"/>
      <w:numFmt w:val="bullet"/>
      <w:lvlText w:val="•"/>
      <w:lvlJc w:val="left"/>
      <w:pPr>
        <w:ind w:left="2033" w:hanging="227"/>
      </w:pPr>
      <w:rPr>
        <w:rFonts w:hint="default"/>
      </w:rPr>
    </w:lvl>
    <w:lvl w:ilvl="2">
      <w:start w:val="0"/>
      <w:numFmt w:val="bullet"/>
      <w:lvlText w:val="•"/>
      <w:lvlJc w:val="left"/>
      <w:pPr>
        <w:ind w:left="3407" w:hanging="227"/>
      </w:pPr>
      <w:rPr>
        <w:rFonts w:hint="default"/>
      </w:rPr>
    </w:lvl>
    <w:lvl w:ilvl="3">
      <w:start w:val="0"/>
      <w:numFmt w:val="bullet"/>
      <w:lvlText w:val="•"/>
      <w:lvlJc w:val="left"/>
      <w:pPr>
        <w:ind w:left="4781" w:hanging="227"/>
      </w:pPr>
      <w:rPr>
        <w:rFonts w:hint="default"/>
      </w:rPr>
    </w:lvl>
    <w:lvl w:ilvl="4">
      <w:start w:val="0"/>
      <w:numFmt w:val="bullet"/>
      <w:lvlText w:val="•"/>
      <w:lvlJc w:val="left"/>
      <w:pPr>
        <w:ind w:left="6155" w:hanging="227"/>
      </w:pPr>
      <w:rPr>
        <w:rFonts w:hint="default"/>
      </w:rPr>
    </w:lvl>
    <w:lvl w:ilvl="5">
      <w:start w:val="0"/>
      <w:numFmt w:val="bullet"/>
      <w:lvlText w:val="•"/>
      <w:lvlJc w:val="left"/>
      <w:pPr>
        <w:ind w:left="7529" w:hanging="227"/>
      </w:pPr>
      <w:rPr>
        <w:rFonts w:hint="default"/>
      </w:rPr>
    </w:lvl>
    <w:lvl w:ilvl="6">
      <w:start w:val="0"/>
      <w:numFmt w:val="bullet"/>
      <w:lvlText w:val="•"/>
      <w:lvlJc w:val="left"/>
      <w:pPr>
        <w:ind w:left="8903" w:hanging="227"/>
      </w:pPr>
      <w:rPr>
        <w:rFonts w:hint="default"/>
      </w:rPr>
    </w:lvl>
    <w:lvl w:ilvl="7">
      <w:start w:val="0"/>
      <w:numFmt w:val="bullet"/>
      <w:lvlText w:val="•"/>
      <w:lvlJc w:val="left"/>
      <w:pPr>
        <w:ind w:left="10277" w:hanging="227"/>
      </w:pPr>
      <w:rPr>
        <w:rFonts w:hint="default"/>
      </w:rPr>
    </w:lvl>
    <w:lvl w:ilvl="8">
      <w:start w:val="0"/>
      <w:numFmt w:val="bullet"/>
      <w:lvlText w:val="•"/>
      <w:lvlJc w:val="left"/>
      <w:pPr>
        <w:ind w:left="11651" w:hanging="227"/>
      </w:pPr>
      <w:rPr>
        <w:rFonts w:hint="default"/>
      </w:rPr>
    </w:lvl>
  </w:abstractNum>
  <w:abstractNum w:abstractNumId="16">
    <w:nsid w:val="505485B4"/>
    <w:multiLevelType w:val="hybridMultilevel"/>
    <w:tmpl w:val="00000000"/>
    <w:lvl w:ilvl="0">
      <w:start w:val="4"/>
      <w:numFmt w:val="decimal"/>
      <w:lvlText w:val="%1"/>
      <w:lvlJc w:val="left"/>
      <w:pPr>
        <w:ind w:left="2485" w:hanging="738"/>
        <w:jc w:val="left"/>
      </w:pPr>
      <w:rPr>
        <w:rFonts w:hint="default"/>
      </w:rPr>
    </w:lvl>
    <w:lvl w:ilvl="1">
      <w:start w:val="1"/>
      <w:numFmt w:val="decimal"/>
      <w:lvlText w:val="%1.%2"/>
      <w:lvlJc w:val="left"/>
      <w:pPr>
        <w:ind w:left="2485" w:hanging="738"/>
        <w:jc w:val="left"/>
      </w:pPr>
      <w:rPr>
        <w:rFonts w:ascii="黑体" w:eastAsia="黑体" w:hAnsi="黑体" w:cs="黑体" w:hint="default"/>
        <w:w w:val="100"/>
        <w:position w:val="4"/>
        <w:sz w:val="36"/>
        <w:szCs w:val="36"/>
      </w:rPr>
    </w:lvl>
    <w:lvl w:ilvl="2">
      <w:start w:val="0"/>
      <w:numFmt w:val="bullet"/>
      <w:lvlText w:val="•"/>
      <w:lvlJc w:val="left"/>
      <w:pPr>
        <w:ind w:left="4863" w:hanging="738"/>
      </w:pPr>
      <w:rPr>
        <w:rFonts w:hint="default"/>
      </w:rPr>
    </w:lvl>
    <w:lvl w:ilvl="3">
      <w:start w:val="0"/>
      <w:numFmt w:val="bullet"/>
      <w:lvlText w:val="•"/>
      <w:lvlJc w:val="left"/>
      <w:pPr>
        <w:ind w:left="6055" w:hanging="738"/>
      </w:pPr>
      <w:rPr>
        <w:rFonts w:hint="default"/>
      </w:rPr>
    </w:lvl>
    <w:lvl w:ilvl="4">
      <w:start w:val="0"/>
      <w:numFmt w:val="bullet"/>
      <w:lvlText w:val="•"/>
      <w:lvlJc w:val="left"/>
      <w:pPr>
        <w:ind w:left="7247" w:hanging="738"/>
      </w:pPr>
      <w:rPr>
        <w:rFonts w:hint="default"/>
      </w:rPr>
    </w:lvl>
    <w:lvl w:ilvl="5">
      <w:start w:val="0"/>
      <w:numFmt w:val="bullet"/>
      <w:lvlText w:val="•"/>
      <w:lvlJc w:val="left"/>
      <w:pPr>
        <w:ind w:left="8439" w:hanging="738"/>
      </w:pPr>
      <w:rPr>
        <w:rFonts w:hint="default"/>
      </w:rPr>
    </w:lvl>
    <w:lvl w:ilvl="6">
      <w:start w:val="0"/>
      <w:numFmt w:val="bullet"/>
      <w:lvlText w:val="•"/>
      <w:lvlJc w:val="left"/>
      <w:pPr>
        <w:ind w:left="9631" w:hanging="738"/>
      </w:pPr>
      <w:rPr>
        <w:rFonts w:hint="default"/>
      </w:rPr>
    </w:lvl>
    <w:lvl w:ilvl="7">
      <w:start w:val="0"/>
      <w:numFmt w:val="bullet"/>
      <w:lvlText w:val="•"/>
      <w:lvlJc w:val="left"/>
      <w:pPr>
        <w:ind w:left="10823" w:hanging="738"/>
      </w:pPr>
      <w:rPr>
        <w:rFonts w:hint="default"/>
      </w:rPr>
    </w:lvl>
    <w:lvl w:ilvl="8">
      <w:start w:val="0"/>
      <w:numFmt w:val="bullet"/>
      <w:lvlText w:val="•"/>
      <w:lvlJc w:val="left"/>
      <w:pPr>
        <w:ind w:left="12015" w:hanging="738"/>
      </w:pPr>
      <w:rPr>
        <w:rFonts w:hint="default"/>
      </w:rPr>
    </w:lvl>
  </w:abstractNum>
  <w:abstractNum w:abstractNumId="17">
    <w:nsid w:val="50665299"/>
    <w:multiLevelType w:val="hybridMultilevel"/>
    <w:tmpl w:val="00000000"/>
    <w:lvl w:ilvl="0">
      <w:start w:val="7"/>
      <w:numFmt w:val="decimal"/>
      <w:lvlText w:val="%1"/>
      <w:lvlJc w:val="left"/>
      <w:pPr>
        <w:ind w:left="624" w:hanging="227"/>
        <w:jc w:val="left"/>
      </w:pPr>
      <w:rPr>
        <w:rFonts w:hint="default"/>
        <w:w w:val="89"/>
        <w:position w:val="4"/>
      </w:rPr>
    </w:lvl>
    <w:lvl w:ilvl="1">
      <w:start w:val="0"/>
      <w:numFmt w:val="bullet"/>
      <w:lvlText w:val="•"/>
      <w:lvlJc w:val="left"/>
      <w:pPr>
        <w:ind w:left="1997" w:hanging="227"/>
      </w:pPr>
      <w:rPr>
        <w:rFonts w:hint="default"/>
      </w:rPr>
    </w:lvl>
    <w:lvl w:ilvl="2">
      <w:start w:val="0"/>
      <w:numFmt w:val="bullet"/>
      <w:lvlText w:val="•"/>
      <w:lvlJc w:val="left"/>
      <w:pPr>
        <w:ind w:left="3375" w:hanging="227"/>
      </w:pPr>
      <w:rPr>
        <w:rFonts w:hint="default"/>
      </w:rPr>
    </w:lvl>
    <w:lvl w:ilvl="3">
      <w:start w:val="0"/>
      <w:numFmt w:val="bullet"/>
      <w:lvlText w:val="•"/>
      <w:lvlJc w:val="left"/>
      <w:pPr>
        <w:ind w:left="4753" w:hanging="227"/>
      </w:pPr>
      <w:rPr>
        <w:rFonts w:hint="default"/>
      </w:rPr>
    </w:lvl>
    <w:lvl w:ilvl="4">
      <w:start w:val="0"/>
      <w:numFmt w:val="bullet"/>
      <w:lvlText w:val="•"/>
      <w:lvlJc w:val="left"/>
      <w:pPr>
        <w:ind w:left="6131" w:hanging="227"/>
      </w:pPr>
      <w:rPr>
        <w:rFonts w:hint="default"/>
      </w:rPr>
    </w:lvl>
    <w:lvl w:ilvl="5">
      <w:start w:val="0"/>
      <w:numFmt w:val="bullet"/>
      <w:lvlText w:val="•"/>
      <w:lvlJc w:val="left"/>
      <w:pPr>
        <w:ind w:left="7509" w:hanging="227"/>
      </w:pPr>
      <w:rPr>
        <w:rFonts w:hint="default"/>
      </w:rPr>
    </w:lvl>
    <w:lvl w:ilvl="6">
      <w:start w:val="0"/>
      <w:numFmt w:val="bullet"/>
      <w:lvlText w:val="•"/>
      <w:lvlJc w:val="left"/>
      <w:pPr>
        <w:ind w:left="8887" w:hanging="227"/>
      </w:pPr>
      <w:rPr>
        <w:rFonts w:hint="default"/>
      </w:rPr>
    </w:lvl>
    <w:lvl w:ilvl="7">
      <w:start w:val="0"/>
      <w:numFmt w:val="bullet"/>
      <w:lvlText w:val="•"/>
      <w:lvlJc w:val="left"/>
      <w:pPr>
        <w:ind w:left="10265" w:hanging="227"/>
      </w:pPr>
      <w:rPr>
        <w:rFonts w:hint="default"/>
      </w:rPr>
    </w:lvl>
    <w:lvl w:ilvl="8">
      <w:start w:val="0"/>
      <w:numFmt w:val="bullet"/>
      <w:lvlText w:val="•"/>
      <w:lvlJc w:val="left"/>
      <w:pPr>
        <w:ind w:left="11643" w:hanging="227"/>
      </w:pPr>
      <w:rPr>
        <w:rFonts w:hint="default"/>
      </w:rPr>
    </w:lvl>
  </w:abstractNum>
  <w:abstractNum w:abstractNumId="18">
    <w:nsid w:val="55D7F0EA"/>
    <w:multiLevelType w:val="hybridMultilevel"/>
    <w:tmpl w:val="00000000"/>
    <w:lvl w:ilvl="0">
      <w:start w:val="1"/>
      <w:numFmt w:val="decimal"/>
      <w:lvlText w:val="%1"/>
      <w:lvlJc w:val="left"/>
      <w:pPr>
        <w:ind w:left="1570" w:hanging="634"/>
        <w:jc w:val="left"/>
      </w:pPr>
      <w:rPr>
        <w:rFonts w:hint="default"/>
      </w:rPr>
    </w:lvl>
    <w:lvl w:ilvl="1">
      <w:start w:val="1"/>
      <w:numFmt w:val="decimal"/>
      <w:lvlText w:val="%1.%2"/>
      <w:lvlJc w:val="left"/>
      <w:pPr>
        <w:ind w:left="1570" w:hanging="634"/>
        <w:jc w:val="left"/>
      </w:pPr>
      <w:rPr>
        <w:rFonts w:ascii="宋体" w:eastAsia="宋体" w:hAnsi="宋体" w:cs="宋体" w:hint="default"/>
        <w:w w:val="102"/>
        <w:sz w:val="31"/>
        <w:szCs w:val="31"/>
      </w:rPr>
    </w:lvl>
    <w:lvl w:ilvl="2">
      <w:start w:val="0"/>
      <w:numFmt w:val="bullet"/>
      <w:lvlText w:val="•"/>
      <w:lvlJc w:val="left"/>
      <w:pPr>
        <w:ind w:left="4143" w:hanging="634"/>
      </w:pPr>
      <w:rPr>
        <w:rFonts w:hint="default"/>
      </w:rPr>
    </w:lvl>
    <w:lvl w:ilvl="3">
      <w:start w:val="0"/>
      <w:numFmt w:val="bullet"/>
      <w:lvlText w:val="•"/>
      <w:lvlJc w:val="left"/>
      <w:pPr>
        <w:ind w:left="5425" w:hanging="634"/>
      </w:pPr>
      <w:rPr>
        <w:rFonts w:hint="default"/>
      </w:rPr>
    </w:lvl>
    <w:lvl w:ilvl="4">
      <w:start w:val="0"/>
      <w:numFmt w:val="bullet"/>
      <w:lvlText w:val="•"/>
      <w:lvlJc w:val="left"/>
      <w:pPr>
        <w:ind w:left="6707" w:hanging="634"/>
      </w:pPr>
      <w:rPr>
        <w:rFonts w:hint="default"/>
      </w:rPr>
    </w:lvl>
    <w:lvl w:ilvl="5">
      <w:start w:val="0"/>
      <w:numFmt w:val="bullet"/>
      <w:lvlText w:val="•"/>
      <w:lvlJc w:val="left"/>
      <w:pPr>
        <w:ind w:left="7989" w:hanging="634"/>
      </w:pPr>
      <w:rPr>
        <w:rFonts w:hint="default"/>
      </w:rPr>
    </w:lvl>
    <w:lvl w:ilvl="6">
      <w:start w:val="0"/>
      <w:numFmt w:val="bullet"/>
      <w:lvlText w:val="•"/>
      <w:lvlJc w:val="left"/>
      <w:pPr>
        <w:ind w:left="9271" w:hanging="634"/>
      </w:pPr>
      <w:rPr>
        <w:rFonts w:hint="default"/>
      </w:rPr>
    </w:lvl>
    <w:lvl w:ilvl="7">
      <w:start w:val="0"/>
      <w:numFmt w:val="bullet"/>
      <w:lvlText w:val="•"/>
      <w:lvlJc w:val="left"/>
      <w:pPr>
        <w:ind w:left="10553" w:hanging="634"/>
      </w:pPr>
      <w:rPr>
        <w:rFonts w:hint="default"/>
      </w:rPr>
    </w:lvl>
    <w:lvl w:ilvl="8">
      <w:start w:val="0"/>
      <w:numFmt w:val="bullet"/>
      <w:lvlText w:val="•"/>
      <w:lvlJc w:val="left"/>
      <w:pPr>
        <w:ind w:left="11835" w:hanging="634"/>
      </w:pPr>
      <w:rPr>
        <w:rFonts w:hint="default"/>
      </w:rPr>
    </w:lvl>
  </w:abstractNum>
  <w:abstractNum w:abstractNumId="19">
    <w:nsid w:val="56906E27"/>
    <w:multiLevelType w:val="hybridMultilevel"/>
    <w:tmpl w:val="00000000"/>
    <w:lvl w:ilvl="0">
      <w:start w:val="3"/>
      <w:numFmt w:val="decimal"/>
      <w:lvlText w:val="%1"/>
      <w:lvlJc w:val="left"/>
      <w:pPr>
        <w:ind w:left="2477" w:hanging="731"/>
        <w:jc w:val="left"/>
      </w:pPr>
      <w:rPr>
        <w:rFonts w:hint="default"/>
      </w:rPr>
    </w:lvl>
    <w:lvl w:ilvl="1">
      <w:start w:val="1"/>
      <w:numFmt w:val="decimal"/>
      <w:lvlText w:val="%1.%2"/>
      <w:lvlJc w:val="left"/>
      <w:pPr>
        <w:ind w:left="2477" w:hanging="731"/>
        <w:jc w:val="left"/>
      </w:pPr>
      <w:rPr>
        <w:rFonts w:ascii="黑体" w:eastAsia="黑体" w:hAnsi="黑体" w:cs="黑体" w:hint="default"/>
        <w:w w:val="100"/>
        <w:position w:val="4"/>
        <w:sz w:val="36"/>
        <w:szCs w:val="36"/>
      </w:rPr>
    </w:lvl>
    <w:lvl w:ilvl="2">
      <w:start w:val="0"/>
      <w:numFmt w:val="bullet"/>
      <w:lvlText w:val="•"/>
      <w:lvlJc w:val="left"/>
      <w:pPr>
        <w:ind w:left="4863" w:hanging="731"/>
      </w:pPr>
      <w:rPr>
        <w:rFonts w:hint="default"/>
      </w:rPr>
    </w:lvl>
    <w:lvl w:ilvl="3">
      <w:start w:val="0"/>
      <w:numFmt w:val="bullet"/>
      <w:lvlText w:val="•"/>
      <w:lvlJc w:val="left"/>
      <w:pPr>
        <w:ind w:left="6055" w:hanging="731"/>
      </w:pPr>
      <w:rPr>
        <w:rFonts w:hint="default"/>
      </w:rPr>
    </w:lvl>
    <w:lvl w:ilvl="4">
      <w:start w:val="0"/>
      <w:numFmt w:val="bullet"/>
      <w:lvlText w:val="•"/>
      <w:lvlJc w:val="left"/>
      <w:pPr>
        <w:ind w:left="7247" w:hanging="731"/>
      </w:pPr>
      <w:rPr>
        <w:rFonts w:hint="default"/>
      </w:rPr>
    </w:lvl>
    <w:lvl w:ilvl="5">
      <w:start w:val="0"/>
      <w:numFmt w:val="bullet"/>
      <w:lvlText w:val="•"/>
      <w:lvlJc w:val="left"/>
      <w:pPr>
        <w:ind w:left="8439" w:hanging="731"/>
      </w:pPr>
      <w:rPr>
        <w:rFonts w:hint="default"/>
      </w:rPr>
    </w:lvl>
    <w:lvl w:ilvl="6">
      <w:start w:val="0"/>
      <w:numFmt w:val="bullet"/>
      <w:lvlText w:val="•"/>
      <w:lvlJc w:val="left"/>
      <w:pPr>
        <w:ind w:left="9631" w:hanging="731"/>
      </w:pPr>
      <w:rPr>
        <w:rFonts w:hint="default"/>
      </w:rPr>
    </w:lvl>
    <w:lvl w:ilvl="7">
      <w:start w:val="0"/>
      <w:numFmt w:val="bullet"/>
      <w:lvlText w:val="•"/>
      <w:lvlJc w:val="left"/>
      <w:pPr>
        <w:ind w:left="10823" w:hanging="731"/>
      </w:pPr>
      <w:rPr>
        <w:rFonts w:hint="default"/>
      </w:rPr>
    </w:lvl>
    <w:lvl w:ilvl="8">
      <w:start w:val="0"/>
      <w:numFmt w:val="bullet"/>
      <w:lvlText w:val="•"/>
      <w:lvlJc w:val="left"/>
      <w:pPr>
        <w:ind w:left="12015" w:hanging="731"/>
      </w:pPr>
      <w:rPr>
        <w:rFonts w:hint="default"/>
      </w:rPr>
    </w:lvl>
  </w:abstractNum>
  <w:abstractNum w:abstractNumId="20">
    <w:nsid w:val="57D9C598"/>
    <w:multiLevelType w:val="hybridMultilevel"/>
    <w:tmpl w:val="00000000"/>
    <w:lvl w:ilvl="0">
      <w:start w:val="2"/>
      <w:numFmt w:val="decimal"/>
      <w:lvlText w:val="%1"/>
      <w:lvlJc w:val="left"/>
      <w:pPr>
        <w:ind w:left="667" w:hanging="227"/>
        <w:jc w:val="left"/>
      </w:pPr>
      <w:rPr>
        <w:rFonts w:ascii="Arial" w:eastAsia="Arial" w:hAnsi="Arial" w:cs="Arial" w:hint="default"/>
        <w:w w:val="89"/>
        <w:position w:val="4"/>
        <w:sz w:val="18"/>
        <w:szCs w:val="18"/>
      </w:rPr>
    </w:lvl>
    <w:lvl w:ilvl="1">
      <w:start w:val="0"/>
      <w:numFmt w:val="bullet"/>
      <w:lvlText w:val="•"/>
      <w:lvlJc w:val="left"/>
      <w:pPr>
        <w:ind w:left="2033" w:hanging="227"/>
      </w:pPr>
      <w:rPr>
        <w:rFonts w:hint="default"/>
      </w:rPr>
    </w:lvl>
    <w:lvl w:ilvl="2">
      <w:start w:val="0"/>
      <w:numFmt w:val="bullet"/>
      <w:lvlText w:val="•"/>
      <w:lvlJc w:val="left"/>
      <w:pPr>
        <w:ind w:left="3407" w:hanging="227"/>
      </w:pPr>
      <w:rPr>
        <w:rFonts w:hint="default"/>
      </w:rPr>
    </w:lvl>
    <w:lvl w:ilvl="3">
      <w:start w:val="0"/>
      <w:numFmt w:val="bullet"/>
      <w:lvlText w:val="•"/>
      <w:lvlJc w:val="left"/>
      <w:pPr>
        <w:ind w:left="4781" w:hanging="227"/>
      </w:pPr>
      <w:rPr>
        <w:rFonts w:hint="default"/>
      </w:rPr>
    </w:lvl>
    <w:lvl w:ilvl="4">
      <w:start w:val="0"/>
      <w:numFmt w:val="bullet"/>
      <w:lvlText w:val="•"/>
      <w:lvlJc w:val="left"/>
      <w:pPr>
        <w:ind w:left="6155" w:hanging="227"/>
      </w:pPr>
      <w:rPr>
        <w:rFonts w:hint="default"/>
      </w:rPr>
    </w:lvl>
    <w:lvl w:ilvl="5">
      <w:start w:val="0"/>
      <w:numFmt w:val="bullet"/>
      <w:lvlText w:val="•"/>
      <w:lvlJc w:val="left"/>
      <w:pPr>
        <w:ind w:left="7529" w:hanging="227"/>
      </w:pPr>
      <w:rPr>
        <w:rFonts w:hint="default"/>
      </w:rPr>
    </w:lvl>
    <w:lvl w:ilvl="6">
      <w:start w:val="0"/>
      <w:numFmt w:val="bullet"/>
      <w:lvlText w:val="•"/>
      <w:lvlJc w:val="left"/>
      <w:pPr>
        <w:ind w:left="8903" w:hanging="227"/>
      </w:pPr>
      <w:rPr>
        <w:rFonts w:hint="default"/>
      </w:rPr>
    </w:lvl>
    <w:lvl w:ilvl="7">
      <w:start w:val="0"/>
      <w:numFmt w:val="bullet"/>
      <w:lvlText w:val="•"/>
      <w:lvlJc w:val="left"/>
      <w:pPr>
        <w:ind w:left="10277" w:hanging="227"/>
      </w:pPr>
      <w:rPr>
        <w:rFonts w:hint="default"/>
      </w:rPr>
    </w:lvl>
    <w:lvl w:ilvl="8">
      <w:start w:val="0"/>
      <w:numFmt w:val="bullet"/>
      <w:lvlText w:val="•"/>
      <w:lvlJc w:val="left"/>
      <w:pPr>
        <w:ind w:left="11651" w:hanging="227"/>
      </w:pPr>
      <w:rPr>
        <w:rFonts w:hint="default"/>
      </w:rPr>
    </w:lvl>
  </w:abstractNum>
  <w:abstractNum w:abstractNumId="21">
    <w:nsid w:val="58FB1FF7"/>
    <w:multiLevelType w:val="hybridMultilevel"/>
    <w:tmpl w:val="00000000"/>
    <w:lvl w:ilvl="0">
      <w:start w:val="2"/>
      <w:numFmt w:val="decimal"/>
      <w:lvlText w:val="%1"/>
      <w:lvlJc w:val="left"/>
      <w:pPr>
        <w:ind w:left="2474" w:hanging="728"/>
        <w:jc w:val="left"/>
      </w:pPr>
      <w:rPr>
        <w:rFonts w:hint="default"/>
      </w:rPr>
    </w:lvl>
    <w:lvl w:ilvl="1">
      <w:start w:val="1"/>
      <w:numFmt w:val="decimal"/>
      <w:lvlText w:val="%1.%2"/>
      <w:lvlJc w:val="left"/>
      <w:pPr>
        <w:ind w:left="2474" w:hanging="728"/>
        <w:jc w:val="left"/>
      </w:pPr>
      <w:rPr>
        <w:rFonts w:ascii="黑体" w:eastAsia="黑体" w:hAnsi="黑体" w:cs="黑体" w:hint="default"/>
        <w:w w:val="100"/>
        <w:position w:val="4"/>
        <w:sz w:val="36"/>
        <w:szCs w:val="36"/>
      </w:rPr>
    </w:lvl>
    <w:lvl w:ilvl="2">
      <w:start w:val="0"/>
      <w:numFmt w:val="bullet"/>
      <w:lvlText w:val="•"/>
      <w:lvlJc w:val="left"/>
      <w:pPr>
        <w:ind w:left="4863" w:hanging="728"/>
      </w:pPr>
      <w:rPr>
        <w:rFonts w:hint="default"/>
      </w:rPr>
    </w:lvl>
    <w:lvl w:ilvl="3">
      <w:start w:val="0"/>
      <w:numFmt w:val="bullet"/>
      <w:lvlText w:val="•"/>
      <w:lvlJc w:val="left"/>
      <w:pPr>
        <w:ind w:left="6055" w:hanging="728"/>
      </w:pPr>
      <w:rPr>
        <w:rFonts w:hint="default"/>
      </w:rPr>
    </w:lvl>
    <w:lvl w:ilvl="4">
      <w:start w:val="0"/>
      <w:numFmt w:val="bullet"/>
      <w:lvlText w:val="•"/>
      <w:lvlJc w:val="left"/>
      <w:pPr>
        <w:ind w:left="7247" w:hanging="728"/>
      </w:pPr>
      <w:rPr>
        <w:rFonts w:hint="default"/>
      </w:rPr>
    </w:lvl>
    <w:lvl w:ilvl="5">
      <w:start w:val="0"/>
      <w:numFmt w:val="bullet"/>
      <w:lvlText w:val="•"/>
      <w:lvlJc w:val="left"/>
      <w:pPr>
        <w:ind w:left="8439" w:hanging="728"/>
      </w:pPr>
      <w:rPr>
        <w:rFonts w:hint="default"/>
      </w:rPr>
    </w:lvl>
    <w:lvl w:ilvl="6">
      <w:start w:val="0"/>
      <w:numFmt w:val="bullet"/>
      <w:lvlText w:val="•"/>
      <w:lvlJc w:val="left"/>
      <w:pPr>
        <w:ind w:left="9631" w:hanging="728"/>
      </w:pPr>
      <w:rPr>
        <w:rFonts w:hint="default"/>
      </w:rPr>
    </w:lvl>
    <w:lvl w:ilvl="7">
      <w:start w:val="0"/>
      <w:numFmt w:val="bullet"/>
      <w:lvlText w:val="•"/>
      <w:lvlJc w:val="left"/>
      <w:pPr>
        <w:ind w:left="10823" w:hanging="728"/>
      </w:pPr>
      <w:rPr>
        <w:rFonts w:hint="default"/>
      </w:rPr>
    </w:lvl>
    <w:lvl w:ilvl="8">
      <w:start w:val="0"/>
      <w:numFmt w:val="bullet"/>
      <w:lvlText w:val="•"/>
      <w:lvlJc w:val="left"/>
      <w:pPr>
        <w:ind w:left="12015" w:hanging="728"/>
      </w:pPr>
      <w:rPr>
        <w:rFonts w:hint="default"/>
      </w:rPr>
    </w:lvl>
  </w:abstractNum>
  <w:abstractNum w:abstractNumId="22">
    <w:nsid w:val="5A27E090"/>
    <w:multiLevelType w:val="hybridMultilevel"/>
    <w:tmpl w:val="00000000"/>
    <w:lvl w:ilvl="0">
      <w:start w:val="1"/>
      <w:numFmt w:val="decimal"/>
      <w:lvlText w:val="%1"/>
      <w:lvlJc w:val="left"/>
      <w:pPr>
        <w:ind w:left="2492" w:hanging="746"/>
        <w:jc w:val="left"/>
      </w:pPr>
      <w:rPr>
        <w:rFonts w:hint="default"/>
      </w:rPr>
    </w:lvl>
    <w:lvl w:ilvl="1">
      <w:start w:val="1"/>
      <w:numFmt w:val="decimal"/>
      <w:lvlText w:val="%1.%2"/>
      <w:lvlJc w:val="left"/>
      <w:pPr>
        <w:ind w:left="2492" w:hanging="746"/>
        <w:jc w:val="left"/>
      </w:pPr>
      <w:rPr>
        <w:rFonts w:ascii="黑体" w:eastAsia="黑体" w:hAnsi="黑体" w:cs="黑体" w:hint="default"/>
        <w:w w:val="100"/>
        <w:position w:val="4"/>
        <w:sz w:val="36"/>
        <w:szCs w:val="36"/>
      </w:rPr>
    </w:lvl>
    <w:lvl w:ilvl="2">
      <w:start w:val="0"/>
      <w:numFmt w:val="bullet"/>
      <w:lvlText w:val="•"/>
      <w:lvlJc w:val="left"/>
      <w:pPr>
        <w:ind w:left="4879" w:hanging="746"/>
      </w:pPr>
      <w:rPr>
        <w:rFonts w:hint="default"/>
      </w:rPr>
    </w:lvl>
    <w:lvl w:ilvl="3">
      <w:start w:val="0"/>
      <w:numFmt w:val="bullet"/>
      <w:lvlText w:val="•"/>
      <w:lvlJc w:val="left"/>
      <w:pPr>
        <w:ind w:left="6069" w:hanging="746"/>
      </w:pPr>
      <w:rPr>
        <w:rFonts w:hint="default"/>
      </w:rPr>
    </w:lvl>
    <w:lvl w:ilvl="4">
      <w:start w:val="0"/>
      <w:numFmt w:val="bullet"/>
      <w:lvlText w:val="•"/>
      <w:lvlJc w:val="left"/>
      <w:pPr>
        <w:ind w:left="7259" w:hanging="746"/>
      </w:pPr>
      <w:rPr>
        <w:rFonts w:hint="default"/>
      </w:rPr>
    </w:lvl>
    <w:lvl w:ilvl="5">
      <w:start w:val="0"/>
      <w:numFmt w:val="bullet"/>
      <w:lvlText w:val="•"/>
      <w:lvlJc w:val="left"/>
      <w:pPr>
        <w:ind w:left="8449" w:hanging="746"/>
      </w:pPr>
      <w:rPr>
        <w:rFonts w:hint="default"/>
      </w:rPr>
    </w:lvl>
    <w:lvl w:ilvl="6">
      <w:start w:val="0"/>
      <w:numFmt w:val="bullet"/>
      <w:lvlText w:val="•"/>
      <w:lvlJc w:val="left"/>
      <w:pPr>
        <w:ind w:left="9639" w:hanging="746"/>
      </w:pPr>
      <w:rPr>
        <w:rFonts w:hint="default"/>
      </w:rPr>
    </w:lvl>
    <w:lvl w:ilvl="7">
      <w:start w:val="0"/>
      <w:numFmt w:val="bullet"/>
      <w:lvlText w:val="•"/>
      <w:lvlJc w:val="left"/>
      <w:pPr>
        <w:ind w:left="10829" w:hanging="746"/>
      </w:pPr>
      <w:rPr>
        <w:rFonts w:hint="default"/>
      </w:rPr>
    </w:lvl>
    <w:lvl w:ilvl="8">
      <w:start w:val="0"/>
      <w:numFmt w:val="bullet"/>
      <w:lvlText w:val="•"/>
      <w:lvlJc w:val="left"/>
      <w:pPr>
        <w:ind w:left="12019" w:hanging="746"/>
      </w:pPr>
      <w:rPr>
        <w:rFonts w:hint="default"/>
      </w:rPr>
    </w:lvl>
  </w:abstractNum>
  <w:abstractNum w:abstractNumId="23">
    <w:nsid w:val="5FBFBD7C"/>
    <w:multiLevelType w:val="hybridMultilevel"/>
    <w:tmpl w:val="00000000"/>
    <w:lvl w:ilvl="0">
      <w:start w:val="1"/>
      <w:numFmt w:val="decimal"/>
      <w:lvlText w:val="%1"/>
      <w:lvlJc w:val="left"/>
      <w:pPr>
        <w:ind w:left="1570" w:hanging="634"/>
        <w:jc w:val="left"/>
      </w:pPr>
      <w:rPr>
        <w:rFonts w:hint="default"/>
      </w:rPr>
    </w:lvl>
    <w:lvl w:ilvl="1">
      <w:start w:val="1"/>
      <w:numFmt w:val="decimal"/>
      <w:lvlText w:val="%1.%2"/>
      <w:lvlJc w:val="left"/>
      <w:pPr>
        <w:ind w:left="1570" w:hanging="634"/>
        <w:jc w:val="left"/>
      </w:pPr>
      <w:rPr>
        <w:rFonts w:ascii="宋体" w:eastAsia="宋体" w:hAnsi="宋体" w:cs="宋体" w:hint="default"/>
        <w:w w:val="102"/>
        <w:sz w:val="31"/>
        <w:szCs w:val="31"/>
      </w:rPr>
    </w:lvl>
    <w:lvl w:ilvl="2">
      <w:start w:val="0"/>
      <w:numFmt w:val="bullet"/>
      <w:lvlText w:val="•"/>
      <w:lvlJc w:val="left"/>
      <w:pPr>
        <w:ind w:left="4143" w:hanging="634"/>
      </w:pPr>
      <w:rPr>
        <w:rFonts w:hint="default"/>
      </w:rPr>
    </w:lvl>
    <w:lvl w:ilvl="3">
      <w:start w:val="0"/>
      <w:numFmt w:val="bullet"/>
      <w:lvlText w:val="•"/>
      <w:lvlJc w:val="left"/>
      <w:pPr>
        <w:ind w:left="5425" w:hanging="634"/>
      </w:pPr>
      <w:rPr>
        <w:rFonts w:hint="default"/>
      </w:rPr>
    </w:lvl>
    <w:lvl w:ilvl="4">
      <w:start w:val="0"/>
      <w:numFmt w:val="bullet"/>
      <w:lvlText w:val="•"/>
      <w:lvlJc w:val="left"/>
      <w:pPr>
        <w:ind w:left="6707" w:hanging="634"/>
      </w:pPr>
      <w:rPr>
        <w:rFonts w:hint="default"/>
      </w:rPr>
    </w:lvl>
    <w:lvl w:ilvl="5">
      <w:start w:val="0"/>
      <w:numFmt w:val="bullet"/>
      <w:lvlText w:val="•"/>
      <w:lvlJc w:val="left"/>
      <w:pPr>
        <w:ind w:left="7989" w:hanging="634"/>
      </w:pPr>
      <w:rPr>
        <w:rFonts w:hint="default"/>
      </w:rPr>
    </w:lvl>
    <w:lvl w:ilvl="6">
      <w:start w:val="0"/>
      <w:numFmt w:val="bullet"/>
      <w:lvlText w:val="•"/>
      <w:lvlJc w:val="left"/>
      <w:pPr>
        <w:ind w:left="9271" w:hanging="634"/>
      </w:pPr>
      <w:rPr>
        <w:rFonts w:hint="default"/>
      </w:rPr>
    </w:lvl>
    <w:lvl w:ilvl="7">
      <w:start w:val="0"/>
      <w:numFmt w:val="bullet"/>
      <w:lvlText w:val="•"/>
      <w:lvlJc w:val="left"/>
      <w:pPr>
        <w:ind w:left="10553" w:hanging="634"/>
      </w:pPr>
      <w:rPr>
        <w:rFonts w:hint="default"/>
      </w:rPr>
    </w:lvl>
    <w:lvl w:ilvl="8">
      <w:start w:val="0"/>
      <w:numFmt w:val="bullet"/>
      <w:lvlText w:val="•"/>
      <w:lvlJc w:val="left"/>
      <w:pPr>
        <w:ind w:left="11835" w:hanging="634"/>
      </w:pPr>
      <w:rPr>
        <w:rFonts w:hint="default"/>
      </w:rPr>
    </w:lvl>
  </w:abstractNum>
  <w:abstractNum w:abstractNumId="24">
    <w:nsid w:val="64B84F76"/>
    <w:multiLevelType w:val="hybridMultilevel"/>
    <w:tmpl w:val="00000000"/>
    <w:lvl w:ilvl="0">
      <w:start w:val="3"/>
      <w:numFmt w:val="decimal"/>
      <w:lvlText w:val="%1"/>
      <w:lvlJc w:val="left"/>
      <w:pPr>
        <w:ind w:left="2474" w:hanging="728"/>
        <w:jc w:val="left"/>
      </w:pPr>
      <w:rPr>
        <w:rFonts w:hint="default"/>
      </w:rPr>
    </w:lvl>
    <w:lvl w:ilvl="1">
      <w:start w:val="1"/>
      <w:numFmt w:val="decimal"/>
      <w:lvlText w:val="%1.%2"/>
      <w:lvlJc w:val="left"/>
      <w:pPr>
        <w:ind w:left="2474" w:hanging="728"/>
        <w:jc w:val="left"/>
      </w:pPr>
      <w:rPr>
        <w:rFonts w:ascii="黑体" w:eastAsia="黑体" w:hAnsi="黑体" w:cs="黑体" w:hint="default"/>
        <w:w w:val="100"/>
        <w:position w:val="4"/>
        <w:sz w:val="36"/>
        <w:szCs w:val="36"/>
      </w:rPr>
    </w:lvl>
    <w:lvl w:ilvl="2">
      <w:start w:val="0"/>
      <w:numFmt w:val="bullet"/>
      <w:lvlText w:val="•"/>
      <w:lvlJc w:val="left"/>
      <w:pPr>
        <w:ind w:left="4863" w:hanging="728"/>
      </w:pPr>
      <w:rPr>
        <w:rFonts w:hint="default"/>
      </w:rPr>
    </w:lvl>
    <w:lvl w:ilvl="3">
      <w:start w:val="0"/>
      <w:numFmt w:val="bullet"/>
      <w:lvlText w:val="•"/>
      <w:lvlJc w:val="left"/>
      <w:pPr>
        <w:ind w:left="6055" w:hanging="728"/>
      </w:pPr>
      <w:rPr>
        <w:rFonts w:hint="default"/>
      </w:rPr>
    </w:lvl>
    <w:lvl w:ilvl="4">
      <w:start w:val="0"/>
      <w:numFmt w:val="bullet"/>
      <w:lvlText w:val="•"/>
      <w:lvlJc w:val="left"/>
      <w:pPr>
        <w:ind w:left="7247" w:hanging="728"/>
      </w:pPr>
      <w:rPr>
        <w:rFonts w:hint="default"/>
      </w:rPr>
    </w:lvl>
    <w:lvl w:ilvl="5">
      <w:start w:val="0"/>
      <w:numFmt w:val="bullet"/>
      <w:lvlText w:val="•"/>
      <w:lvlJc w:val="left"/>
      <w:pPr>
        <w:ind w:left="8439" w:hanging="728"/>
      </w:pPr>
      <w:rPr>
        <w:rFonts w:hint="default"/>
      </w:rPr>
    </w:lvl>
    <w:lvl w:ilvl="6">
      <w:start w:val="0"/>
      <w:numFmt w:val="bullet"/>
      <w:lvlText w:val="•"/>
      <w:lvlJc w:val="left"/>
      <w:pPr>
        <w:ind w:left="9631" w:hanging="728"/>
      </w:pPr>
      <w:rPr>
        <w:rFonts w:hint="default"/>
      </w:rPr>
    </w:lvl>
    <w:lvl w:ilvl="7">
      <w:start w:val="0"/>
      <w:numFmt w:val="bullet"/>
      <w:lvlText w:val="•"/>
      <w:lvlJc w:val="left"/>
      <w:pPr>
        <w:ind w:left="10823" w:hanging="728"/>
      </w:pPr>
      <w:rPr>
        <w:rFonts w:hint="default"/>
      </w:rPr>
    </w:lvl>
    <w:lvl w:ilvl="8">
      <w:start w:val="0"/>
      <w:numFmt w:val="bullet"/>
      <w:lvlText w:val="•"/>
      <w:lvlJc w:val="left"/>
      <w:pPr>
        <w:ind w:left="12015" w:hanging="728"/>
      </w:pPr>
      <w:rPr>
        <w:rFonts w:hint="default"/>
      </w:rPr>
    </w:lvl>
  </w:abstractNum>
  <w:abstractNum w:abstractNumId="25">
    <w:nsid w:val="726CE2E9"/>
    <w:multiLevelType w:val="hybridMultilevel"/>
    <w:tmpl w:val="00000000"/>
    <w:lvl w:ilvl="0">
      <w:start w:val="1"/>
      <w:numFmt w:val="decimal"/>
      <w:lvlText w:val="%1"/>
      <w:lvlJc w:val="left"/>
      <w:pPr>
        <w:ind w:left="1567" w:hanging="630"/>
        <w:jc w:val="left"/>
      </w:pPr>
      <w:rPr>
        <w:rFonts w:hint="default"/>
      </w:rPr>
    </w:lvl>
    <w:lvl w:ilvl="1">
      <w:start w:val="1"/>
      <w:numFmt w:val="decimal"/>
      <w:lvlText w:val="%1.%2"/>
      <w:lvlJc w:val="left"/>
      <w:pPr>
        <w:ind w:left="1567" w:hanging="630"/>
        <w:jc w:val="left"/>
      </w:pPr>
      <w:rPr>
        <w:rFonts w:ascii="宋体" w:eastAsia="宋体" w:hAnsi="宋体" w:cs="宋体" w:hint="default"/>
        <w:w w:val="102"/>
        <w:sz w:val="31"/>
        <w:szCs w:val="31"/>
      </w:rPr>
    </w:lvl>
    <w:lvl w:ilvl="2">
      <w:start w:val="0"/>
      <w:numFmt w:val="bullet"/>
      <w:lvlText w:val="•"/>
      <w:lvlJc w:val="left"/>
      <w:pPr>
        <w:ind w:left="4127" w:hanging="630"/>
      </w:pPr>
      <w:rPr>
        <w:rFonts w:hint="default"/>
      </w:rPr>
    </w:lvl>
    <w:lvl w:ilvl="3">
      <w:start w:val="0"/>
      <w:numFmt w:val="bullet"/>
      <w:lvlText w:val="•"/>
      <w:lvlJc w:val="left"/>
      <w:pPr>
        <w:ind w:left="5411" w:hanging="630"/>
      </w:pPr>
      <w:rPr>
        <w:rFonts w:hint="default"/>
      </w:rPr>
    </w:lvl>
    <w:lvl w:ilvl="4">
      <w:start w:val="0"/>
      <w:numFmt w:val="bullet"/>
      <w:lvlText w:val="•"/>
      <w:lvlJc w:val="left"/>
      <w:pPr>
        <w:ind w:left="6695" w:hanging="630"/>
      </w:pPr>
      <w:rPr>
        <w:rFonts w:hint="default"/>
      </w:rPr>
    </w:lvl>
    <w:lvl w:ilvl="5">
      <w:start w:val="0"/>
      <w:numFmt w:val="bullet"/>
      <w:lvlText w:val="•"/>
      <w:lvlJc w:val="left"/>
      <w:pPr>
        <w:ind w:left="7979" w:hanging="630"/>
      </w:pPr>
      <w:rPr>
        <w:rFonts w:hint="default"/>
      </w:rPr>
    </w:lvl>
    <w:lvl w:ilvl="6">
      <w:start w:val="0"/>
      <w:numFmt w:val="bullet"/>
      <w:lvlText w:val="•"/>
      <w:lvlJc w:val="left"/>
      <w:pPr>
        <w:ind w:left="9263" w:hanging="630"/>
      </w:pPr>
      <w:rPr>
        <w:rFonts w:hint="default"/>
      </w:rPr>
    </w:lvl>
    <w:lvl w:ilvl="7">
      <w:start w:val="0"/>
      <w:numFmt w:val="bullet"/>
      <w:lvlText w:val="•"/>
      <w:lvlJc w:val="left"/>
      <w:pPr>
        <w:ind w:left="10547" w:hanging="630"/>
      </w:pPr>
      <w:rPr>
        <w:rFonts w:hint="default"/>
      </w:rPr>
    </w:lvl>
    <w:lvl w:ilvl="8">
      <w:start w:val="0"/>
      <w:numFmt w:val="bullet"/>
      <w:lvlText w:val="•"/>
      <w:lvlJc w:val="left"/>
      <w:pPr>
        <w:ind w:left="11831" w:hanging="630"/>
      </w:pPr>
      <w:rPr>
        <w:rFonts w:hint="default"/>
      </w:rPr>
    </w:lvl>
  </w:abstractNum>
  <w:abstractNum w:abstractNumId="26">
    <w:nsid w:val="73D82FEF"/>
    <w:multiLevelType w:val="hybridMultilevel"/>
    <w:tmpl w:val="00000000"/>
    <w:lvl w:ilvl="0">
      <w:start w:val="1"/>
      <w:numFmt w:val="decimal"/>
      <w:lvlText w:val="%1"/>
      <w:lvlJc w:val="left"/>
      <w:pPr>
        <w:ind w:left="2474" w:hanging="728"/>
        <w:jc w:val="left"/>
      </w:pPr>
      <w:rPr>
        <w:rFonts w:hint="default"/>
      </w:rPr>
    </w:lvl>
    <w:lvl w:ilvl="1">
      <w:start w:val="1"/>
      <w:numFmt w:val="decimal"/>
      <w:lvlText w:val="%1.%2"/>
      <w:lvlJc w:val="left"/>
      <w:pPr>
        <w:ind w:left="2474" w:hanging="728"/>
        <w:jc w:val="left"/>
      </w:pPr>
      <w:rPr>
        <w:rFonts w:ascii="黑体" w:eastAsia="黑体" w:hAnsi="黑体" w:cs="黑体" w:hint="default"/>
        <w:w w:val="100"/>
        <w:position w:val="4"/>
        <w:sz w:val="36"/>
        <w:szCs w:val="36"/>
      </w:rPr>
    </w:lvl>
    <w:lvl w:ilvl="2">
      <w:start w:val="0"/>
      <w:numFmt w:val="bullet"/>
      <w:lvlText w:val="•"/>
      <w:lvlJc w:val="left"/>
      <w:pPr>
        <w:ind w:left="4863" w:hanging="728"/>
      </w:pPr>
      <w:rPr>
        <w:rFonts w:hint="default"/>
      </w:rPr>
    </w:lvl>
    <w:lvl w:ilvl="3">
      <w:start w:val="0"/>
      <w:numFmt w:val="bullet"/>
      <w:lvlText w:val="•"/>
      <w:lvlJc w:val="left"/>
      <w:pPr>
        <w:ind w:left="6055" w:hanging="728"/>
      </w:pPr>
      <w:rPr>
        <w:rFonts w:hint="default"/>
      </w:rPr>
    </w:lvl>
    <w:lvl w:ilvl="4">
      <w:start w:val="0"/>
      <w:numFmt w:val="bullet"/>
      <w:lvlText w:val="•"/>
      <w:lvlJc w:val="left"/>
      <w:pPr>
        <w:ind w:left="7247" w:hanging="728"/>
      </w:pPr>
      <w:rPr>
        <w:rFonts w:hint="default"/>
      </w:rPr>
    </w:lvl>
    <w:lvl w:ilvl="5">
      <w:start w:val="0"/>
      <w:numFmt w:val="bullet"/>
      <w:lvlText w:val="•"/>
      <w:lvlJc w:val="left"/>
      <w:pPr>
        <w:ind w:left="8439" w:hanging="728"/>
      </w:pPr>
      <w:rPr>
        <w:rFonts w:hint="default"/>
      </w:rPr>
    </w:lvl>
    <w:lvl w:ilvl="6">
      <w:start w:val="0"/>
      <w:numFmt w:val="bullet"/>
      <w:lvlText w:val="•"/>
      <w:lvlJc w:val="left"/>
      <w:pPr>
        <w:ind w:left="9631" w:hanging="728"/>
      </w:pPr>
      <w:rPr>
        <w:rFonts w:hint="default"/>
      </w:rPr>
    </w:lvl>
    <w:lvl w:ilvl="7">
      <w:start w:val="0"/>
      <w:numFmt w:val="bullet"/>
      <w:lvlText w:val="•"/>
      <w:lvlJc w:val="left"/>
      <w:pPr>
        <w:ind w:left="10823" w:hanging="728"/>
      </w:pPr>
      <w:rPr>
        <w:rFonts w:hint="default"/>
      </w:rPr>
    </w:lvl>
    <w:lvl w:ilvl="8">
      <w:start w:val="0"/>
      <w:numFmt w:val="bullet"/>
      <w:lvlText w:val="•"/>
      <w:lvlJc w:val="left"/>
      <w:pPr>
        <w:ind w:left="12015" w:hanging="728"/>
      </w:pPr>
      <w:rPr>
        <w:rFonts w:hint="default"/>
      </w:rPr>
    </w:lvl>
  </w:abstractNum>
  <w:abstractNum w:abstractNumId="27">
    <w:nsid w:val="74D91F07"/>
    <w:multiLevelType w:val="hybridMultilevel"/>
    <w:tmpl w:val="00000000"/>
    <w:lvl w:ilvl="0">
      <w:start w:val="2"/>
      <w:numFmt w:val="decimal"/>
      <w:lvlText w:val="%1"/>
      <w:lvlJc w:val="left"/>
      <w:pPr>
        <w:ind w:left="1570" w:hanging="634"/>
        <w:jc w:val="left"/>
      </w:pPr>
      <w:rPr>
        <w:rFonts w:hint="default"/>
      </w:rPr>
    </w:lvl>
    <w:lvl w:ilvl="1">
      <w:start w:val="1"/>
      <w:numFmt w:val="decimal"/>
      <w:lvlText w:val="%1.%2"/>
      <w:lvlJc w:val="left"/>
      <w:pPr>
        <w:ind w:left="1570" w:hanging="634"/>
        <w:jc w:val="left"/>
      </w:pPr>
      <w:rPr>
        <w:rFonts w:ascii="宋体" w:eastAsia="宋体" w:hAnsi="宋体" w:cs="宋体" w:hint="default"/>
        <w:w w:val="102"/>
        <w:sz w:val="31"/>
        <w:szCs w:val="31"/>
      </w:rPr>
    </w:lvl>
    <w:lvl w:ilvl="2">
      <w:start w:val="0"/>
      <w:numFmt w:val="bullet"/>
      <w:lvlText w:val="•"/>
      <w:lvlJc w:val="left"/>
      <w:pPr>
        <w:ind w:left="4143" w:hanging="634"/>
      </w:pPr>
      <w:rPr>
        <w:rFonts w:hint="default"/>
      </w:rPr>
    </w:lvl>
    <w:lvl w:ilvl="3">
      <w:start w:val="0"/>
      <w:numFmt w:val="bullet"/>
      <w:lvlText w:val="•"/>
      <w:lvlJc w:val="left"/>
      <w:pPr>
        <w:ind w:left="5425" w:hanging="634"/>
      </w:pPr>
      <w:rPr>
        <w:rFonts w:hint="default"/>
      </w:rPr>
    </w:lvl>
    <w:lvl w:ilvl="4">
      <w:start w:val="0"/>
      <w:numFmt w:val="bullet"/>
      <w:lvlText w:val="•"/>
      <w:lvlJc w:val="left"/>
      <w:pPr>
        <w:ind w:left="6707" w:hanging="634"/>
      </w:pPr>
      <w:rPr>
        <w:rFonts w:hint="default"/>
      </w:rPr>
    </w:lvl>
    <w:lvl w:ilvl="5">
      <w:start w:val="0"/>
      <w:numFmt w:val="bullet"/>
      <w:lvlText w:val="•"/>
      <w:lvlJc w:val="left"/>
      <w:pPr>
        <w:ind w:left="7989" w:hanging="634"/>
      </w:pPr>
      <w:rPr>
        <w:rFonts w:hint="default"/>
      </w:rPr>
    </w:lvl>
    <w:lvl w:ilvl="6">
      <w:start w:val="0"/>
      <w:numFmt w:val="bullet"/>
      <w:lvlText w:val="•"/>
      <w:lvlJc w:val="left"/>
      <w:pPr>
        <w:ind w:left="9271" w:hanging="634"/>
      </w:pPr>
      <w:rPr>
        <w:rFonts w:hint="default"/>
      </w:rPr>
    </w:lvl>
    <w:lvl w:ilvl="7">
      <w:start w:val="0"/>
      <w:numFmt w:val="bullet"/>
      <w:lvlText w:val="•"/>
      <w:lvlJc w:val="left"/>
      <w:pPr>
        <w:ind w:left="10553" w:hanging="634"/>
      </w:pPr>
      <w:rPr>
        <w:rFonts w:hint="default"/>
      </w:rPr>
    </w:lvl>
    <w:lvl w:ilvl="8">
      <w:start w:val="0"/>
      <w:numFmt w:val="bullet"/>
      <w:lvlText w:val="•"/>
      <w:lvlJc w:val="left"/>
      <w:pPr>
        <w:ind w:left="11835" w:hanging="634"/>
      </w:pPr>
      <w:rPr>
        <w:rFonts w:hint="default"/>
      </w:rPr>
    </w:lvl>
  </w:abstractNum>
  <w:abstractNum w:abstractNumId="28">
    <w:nsid w:val="7F7FAA99"/>
    <w:multiLevelType w:val="hybridMultilevel"/>
    <w:tmpl w:val="00000000"/>
    <w:lvl w:ilvl="0">
      <w:start w:val="3"/>
      <w:numFmt w:val="decimal"/>
      <w:lvlText w:val="%1"/>
      <w:lvlJc w:val="left"/>
      <w:pPr>
        <w:ind w:left="1660" w:hanging="634"/>
        <w:jc w:val="left"/>
      </w:pPr>
      <w:rPr>
        <w:rFonts w:hint="default"/>
      </w:rPr>
    </w:lvl>
    <w:lvl w:ilvl="1">
      <w:start w:val="1"/>
      <w:numFmt w:val="decimal"/>
      <w:lvlText w:val="%1.%2"/>
      <w:lvlJc w:val="left"/>
      <w:pPr>
        <w:ind w:left="1660" w:hanging="634"/>
        <w:jc w:val="left"/>
      </w:pPr>
      <w:rPr>
        <w:rFonts w:ascii="宋体" w:eastAsia="宋体" w:hAnsi="宋体" w:cs="宋体" w:hint="default"/>
        <w:w w:val="102"/>
        <w:sz w:val="31"/>
        <w:szCs w:val="31"/>
      </w:rPr>
    </w:lvl>
    <w:lvl w:ilvl="2">
      <w:start w:val="0"/>
      <w:numFmt w:val="bullet"/>
      <w:lvlText w:val="•"/>
      <w:lvlJc w:val="left"/>
      <w:pPr>
        <w:ind w:left="4207" w:hanging="634"/>
      </w:pPr>
      <w:rPr>
        <w:rFonts w:hint="default"/>
      </w:rPr>
    </w:lvl>
    <w:lvl w:ilvl="3">
      <w:start w:val="0"/>
      <w:numFmt w:val="bullet"/>
      <w:lvlText w:val="•"/>
      <w:lvlJc w:val="left"/>
      <w:pPr>
        <w:ind w:left="5481" w:hanging="634"/>
      </w:pPr>
      <w:rPr>
        <w:rFonts w:hint="default"/>
      </w:rPr>
    </w:lvl>
    <w:lvl w:ilvl="4">
      <w:start w:val="0"/>
      <w:numFmt w:val="bullet"/>
      <w:lvlText w:val="•"/>
      <w:lvlJc w:val="left"/>
      <w:pPr>
        <w:ind w:left="6755" w:hanging="634"/>
      </w:pPr>
      <w:rPr>
        <w:rFonts w:hint="default"/>
      </w:rPr>
    </w:lvl>
    <w:lvl w:ilvl="5">
      <w:start w:val="0"/>
      <w:numFmt w:val="bullet"/>
      <w:lvlText w:val="•"/>
      <w:lvlJc w:val="left"/>
      <w:pPr>
        <w:ind w:left="8029" w:hanging="634"/>
      </w:pPr>
      <w:rPr>
        <w:rFonts w:hint="default"/>
      </w:rPr>
    </w:lvl>
    <w:lvl w:ilvl="6">
      <w:start w:val="0"/>
      <w:numFmt w:val="bullet"/>
      <w:lvlText w:val="•"/>
      <w:lvlJc w:val="left"/>
      <w:pPr>
        <w:ind w:left="9303" w:hanging="634"/>
      </w:pPr>
      <w:rPr>
        <w:rFonts w:hint="default"/>
      </w:rPr>
    </w:lvl>
    <w:lvl w:ilvl="7">
      <w:start w:val="0"/>
      <w:numFmt w:val="bullet"/>
      <w:lvlText w:val="•"/>
      <w:lvlJc w:val="left"/>
      <w:pPr>
        <w:ind w:left="10577" w:hanging="634"/>
      </w:pPr>
      <w:rPr>
        <w:rFonts w:hint="default"/>
      </w:rPr>
    </w:lvl>
    <w:lvl w:ilvl="8">
      <w:start w:val="0"/>
      <w:numFmt w:val="bullet"/>
      <w:lvlText w:val="•"/>
      <w:lvlJc w:val="left"/>
      <w:pPr>
        <w:ind w:left="11851" w:hanging="634"/>
      </w:pPr>
      <w:rPr>
        <w:rFonts w:hint="default"/>
      </w:rPr>
    </w:lvl>
  </w:abstractNum>
  <w:num w:numId="1">
    <w:abstractNumId w:val="0"/>
  </w:num>
  <w:num w:numId="2">
    <w:abstractNumId w:val="1"/>
  </w:num>
  <w:num w:numId="3">
    <w:abstractNumId w:val="9"/>
  </w:num>
  <w:num w:numId="4">
    <w:abstractNumId w:val="27"/>
  </w:num>
  <w:num w:numId="5">
    <w:abstractNumId w:val="3"/>
  </w:num>
  <w:num w:numId="6">
    <w:abstractNumId w:val="11"/>
  </w:num>
  <w:num w:numId="7">
    <w:abstractNumId w:val="2"/>
  </w:num>
  <w:num w:numId="8">
    <w:abstractNumId w:val="28"/>
  </w:num>
  <w:num w:numId="9">
    <w:abstractNumId w:val="13"/>
  </w:num>
  <w:num w:numId="10">
    <w:abstractNumId w:val="17"/>
  </w:num>
  <w:num w:numId="11">
    <w:abstractNumId w:val="10"/>
  </w:num>
  <w:num w:numId="12">
    <w:abstractNumId w:val="23"/>
  </w:num>
  <w:num w:numId="13">
    <w:abstractNumId w:val="4"/>
  </w:num>
  <w:num w:numId="14">
    <w:abstractNumId w:val="20"/>
  </w:num>
  <w:num w:numId="15">
    <w:abstractNumId w:val="16"/>
  </w:num>
  <w:num w:numId="16">
    <w:abstractNumId w:val="19"/>
  </w:num>
  <w:num w:numId="17">
    <w:abstractNumId w:val="8"/>
  </w:num>
  <w:num w:numId="18">
    <w:abstractNumId w:val="14"/>
  </w:num>
  <w:num w:numId="19">
    <w:abstractNumId w:val="22"/>
  </w:num>
  <w:num w:numId="20">
    <w:abstractNumId w:val="24"/>
  </w:num>
  <w:num w:numId="21">
    <w:abstractNumId w:val="21"/>
  </w:num>
  <w:num w:numId="22">
    <w:abstractNumId w:val="7"/>
  </w:num>
  <w:num w:numId="23">
    <w:abstractNumId w:val="6"/>
  </w:num>
  <w:num w:numId="24">
    <w:abstractNumId w:val="26"/>
  </w:num>
  <w:num w:numId="25">
    <w:abstractNumId w:val="15"/>
  </w:num>
  <w:num w:numId="26">
    <w:abstractNumId w:val="18"/>
  </w:num>
  <w:num w:numId="27">
    <w:abstractNumId w:val="5"/>
  </w:num>
  <w:num w:numId="28">
    <w:abstractNumId w:val="25"/>
  </w:num>
  <w:num w:numId="2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97"/>
      <w:outlineLvl w:val="0"/>
    </w:pPr>
    <w:rPr>
      <w:rFonts w:ascii="黑体" w:eastAsia="黑体" w:hAnsi="黑体" w:cs="黑体"/>
      <w:sz w:val="36"/>
      <w:szCs w:val="36"/>
    </w:rPr>
  </w:style>
  <w:style w:type="paragraph" w:styleId="Heading2">
    <w:name w:val="heading 2"/>
    <w:basedOn w:val="Normal"/>
    <w:uiPriority w:val="1"/>
    <w:qFormat/>
    <w:pPr>
      <w:ind w:left="397"/>
      <w:outlineLvl w:val="1"/>
    </w:pPr>
    <w:rPr>
      <w:rFonts w:ascii="黑体" w:eastAsia="黑体" w:hAnsi="黑体" w:cs="黑体"/>
      <w:sz w:val="33"/>
      <w:szCs w:val="33"/>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24"/>
      <w:ind w:right="1140"/>
      <w:jc w:val="center"/>
    </w:pPr>
    <w:rPr>
      <w:rFonts w:ascii="黑体" w:eastAsia="黑体" w:hAnsi="黑体" w:cs="黑体"/>
      <w:sz w:val="54"/>
      <w:szCs w:val="54"/>
    </w:rPr>
  </w:style>
  <w:style w:type="paragraph" w:styleId="ListParagraph">
    <w:name w:val="List Paragraph"/>
    <w:basedOn w:val="Normal"/>
    <w:uiPriority w:val="1"/>
    <w:qFormat/>
    <w:pPr>
      <w:ind w:left="1099" w:hanging="702"/>
    </w:pPr>
    <w:rPr>
      <w:rFonts w:ascii="宋体" w:eastAsia="宋体" w:hAnsi="宋体" w:cs="宋体"/>
    </w:rPr>
  </w:style>
  <w:style w:type="paragraph" w:customStyle="1" w:styleId="TableParagraph">
    <w:name w:val="Table Paragraph"/>
    <w:basedOn w:val="Normal"/>
    <w:uiPriority w:val="1"/>
    <w:qFormat/>
    <w:pPr>
      <w:spacing w:before="61"/>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hyperlink" Target="https://d.book118.com/088126007077006024"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2023-12-09T04:31:24Z</dcterms:created>
  <dcterms:modified xsi:type="dcterms:W3CDTF">2023-12-09T04:31:24Z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2022-10-18T00:00:00Z</vt:filetime>
  </property>
  <property fmtid="{D5CDD505-2E9C-101B-9397-08002B2CF9AE}" pid="3" name="LastSaved">
    <vt:filetime>2023-12-09T00:00:00Z</vt:filetime>
  </property>
</Properties>
</file>