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高纯砷及氧化砷相关行业公司成立报告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1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08" w:history="1">
        <w:r>
          <w:rPr>
            <w:rFonts w:ascii="仿宋" w:eastAsia="仿宋" w:hAnsi="仿宋" w:cs="仿宋" w:hint="eastAsia"/>
            <w:lang w:eastAsia="zh-CN"/>
          </w:rPr>
          <w:t>一、高纯砷及氧化砷筹建公司基本信息</w:t>
        </w:r>
        <w:r>
          <w:tab/>
        </w:r>
        <w:r>
          <w:fldChar w:fldCharType="begin"/>
        </w:r>
        <w:r>
          <w:instrText xml:space="preserve"> PAGEREF _Toc30508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_Toc24292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_Toc8296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_Toc12034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_Toc4655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_Toc25195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_Toc20576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_Toc18101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_Toc20105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_Toc13379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_Toc4708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_Toc30014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_Toc4971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_Toc26985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_Toc30103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_Toc4789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_Toc9264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0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_Toc16703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_Toc9148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_Toc29178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_Toc32272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_Toc11660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_Toc15178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0" w:history="1">
        <w:r>
          <w:rPr>
            <w:rFonts w:ascii="仿宋" w:eastAsia="仿宋" w:hAnsi="仿宋" w:cs="仿宋" w:hint="eastAsia"/>
            <w:lang w:eastAsia="zh-CN"/>
          </w:rPr>
          <w:t>(一)、高纯砷及氧化砷项目选址原则</w:t>
        </w:r>
        <w:r>
          <w:tab/>
        </w:r>
        <w:r>
          <w:fldChar w:fldCharType="begin"/>
        </w:r>
        <w:r>
          <w:instrText xml:space="preserve"> PAGEREF _Toc14120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_Toc10039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_Toc29507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_Toc9447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6" w:history="1">
        <w:r>
          <w:rPr>
            <w:rFonts w:ascii="仿宋" w:eastAsia="仿宋" w:hAnsi="仿宋" w:cs="仿宋" w:hint="eastAsia"/>
            <w:lang w:eastAsia="zh-CN"/>
          </w:rPr>
          <w:t>(五)、高纯砷及氧化砷项目选址综合评价</w:t>
        </w:r>
        <w:r>
          <w:tab/>
        </w:r>
        <w:r>
          <w:fldChar w:fldCharType="begin"/>
        </w:r>
        <w:r>
          <w:instrText xml:space="preserve"> PAGEREF _Toc20306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7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_Toc20478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_Toc21606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_Toc24919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_Toc9141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_Toc14840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_Toc21581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_Toc20068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_Toc9096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_Toc15828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_Toc13816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71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_Toc31710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_Toc21737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_Toc26757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_Toc20959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_Toc29208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_Toc29601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_Toc10908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_Toc27731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9" w:history="1">
        <w:r>
          <w:rPr>
            <w:rFonts w:ascii="仿宋" w:eastAsia="仿宋" w:hAnsi="仿宋" w:cs="仿宋" w:hint="eastAsia"/>
            <w:lang w:eastAsia="zh-CN"/>
          </w:rPr>
          <w:t>(五)、高纯砷及氧化砷项目总投资</w:t>
        </w:r>
        <w:r>
          <w:tab/>
        </w:r>
        <w:r>
          <w:fldChar w:fldCharType="begin"/>
        </w:r>
        <w:r>
          <w:instrText xml:space="preserve"> PAGEREF _Toc26339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_Toc7431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_Toc6738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_Toc20408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_Toc16993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_Toc8645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_Toc19886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31" w:history="1">
        <w:r>
          <w:rPr>
            <w:rFonts w:ascii="仿宋" w:eastAsia="仿宋" w:hAnsi="仿宋" w:cs="仿宋" w:hint="eastAsia"/>
            <w:lang w:eastAsia="zh-CN"/>
          </w:rPr>
          <w:t>九、高纯砷及氧化砷项目经济效益</w:t>
        </w:r>
        <w:r>
          <w:tab/>
        </w:r>
        <w:r>
          <w:fldChar w:fldCharType="begin"/>
        </w:r>
        <w:r>
          <w:instrText xml:space="preserve"> PAGEREF _Toc23331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_Toc28899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_Toc24633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8" w:history="1">
        <w:r>
          <w:rPr>
            <w:rFonts w:ascii="仿宋" w:eastAsia="仿宋" w:hAnsi="仿宋" w:cs="仿宋" w:hint="eastAsia"/>
            <w:lang w:eastAsia="zh-CN"/>
          </w:rPr>
          <w:t>(三)、高纯砷及氧化砷项目盈利能力分析</w:t>
        </w:r>
        <w:r>
          <w:tab/>
        </w:r>
        <w:r>
          <w:fldChar w:fldCharType="begin"/>
        </w:r>
        <w:r>
          <w:instrText xml:space="preserve"> PAGEREF _Toc32678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_Toc7044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_Toc21032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_Toc25974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23" w:history="1">
        <w:r>
          <w:rPr>
            <w:rFonts w:ascii="仿宋" w:eastAsia="仿宋" w:hAnsi="仿宋" w:cs="仿宋" w:hint="eastAsia"/>
            <w:lang w:eastAsia="zh-CN"/>
          </w:rPr>
          <w:t>十、高纯砷及氧化砷项目风险分析</w:t>
        </w:r>
        <w:r>
          <w:tab/>
        </w:r>
        <w:r>
          <w:fldChar w:fldCharType="begin"/>
        </w:r>
        <w:r>
          <w:instrText xml:space="preserve"> PAGEREF _Toc17423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2" w:history="1">
        <w:r>
          <w:rPr>
            <w:rFonts w:ascii="仿宋" w:eastAsia="仿宋" w:hAnsi="仿宋" w:cs="仿宋" w:hint="eastAsia"/>
            <w:lang w:eastAsia="zh-CN"/>
          </w:rPr>
          <w:t>(一)、高纯砷及氧化砷项目风险分析</w:t>
        </w:r>
        <w:r>
          <w:tab/>
        </w:r>
        <w:r>
          <w:fldChar w:fldCharType="begin"/>
        </w:r>
        <w:r>
          <w:instrText xml:space="preserve"> PAGEREF _Toc25642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0" w:history="1">
        <w:r>
          <w:rPr>
            <w:rFonts w:ascii="仿宋" w:eastAsia="仿宋" w:hAnsi="仿宋" w:cs="仿宋" w:hint="eastAsia"/>
            <w:lang w:eastAsia="zh-CN"/>
          </w:rPr>
          <w:t>(二)、高纯砷及氧化砷项目风险对策</w:t>
        </w:r>
        <w:r>
          <w:tab/>
        </w:r>
        <w:r>
          <w:fldChar w:fldCharType="begin"/>
        </w:r>
        <w:r>
          <w:instrText xml:space="preserve"> PAGEREF _Toc32720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_Toc27112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_Toc8627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_Toc20618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7" w:history="1">
        <w:r>
          <w:rPr>
            <w:rFonts w:ascii="仿宋" w:eastAsia="仿宋" w:hAnsi="仿宋" w:cs="仿宋" w:hint="eastAsia"/>
            <w:lang w:eastAsia="zh-CN"/>
          </w:rPr>
          <w:t>十二、高纯砷及氧化砷项目总结分析</w:t>
        </w:r>
        <w:r>
          <w:tab/>
        </w:r>
        <w:r>
          <w:fldChar w:fldCharType="begin"/>
        </w:r>
        <w:r>
          <w:instrText xml:space="preserve"> PAGEREF _Toc22547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1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508"/>
      <w:r>
        <w:rPr>
          <w:rFonts w:ascii="仿宋" w:eastAsia="仿宋" w:hAnsi="仿宋" w:cs="仿宋" w:hint="eastAsia"/>
          <w:sz w:val="28"/>
          <w:lang w:eastAsia="zh-CN"/>
        </w:rPr>
        <w:t>一、高纯砷及氧化砷筹建公司基本信息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29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29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03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65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19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经营范围：从事XXX相关业务(企业依法自主选择经营高纯砷及氧化砷项目，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开展经营活动；依法须经批准的高纯砷及氧化砷项目，经相关部门批准后依批准的内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容开展经营活动；不得从事本市产业政策禁止和限制类高纯砷及氧化砷项目的经营活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57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https://d.book118.com/095012222331011043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高纯砷及氧化砷相关行业公司成立报告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高纯砷及氧化砷相关行业公司成立报告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高纯砷及氧化砷相关行业公司成立报告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高纯砷及氧化砷相关行业公司成立报告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高纯砷及氧化砷相关行业公司成立报告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5012222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2024-01-17T03:07:00Z</dcterms:created>
  <dcterms:modified xsi:type="dcterms:W3CDTF">2024-01-17T03:07:35Z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DDA7736E9FC14B08B32703D71E3F4066_11</vt:lpwstr>
  </property>
  <property fmtid="{D5CDD505-2E9C-101B-9397-08002B2CF9AE}" pid="3" name="KSOProductBuildVer">
    <vt:lpwstr>2052-12.1.0.16120</vt:lpwstr>
  </property>
</Properties>
</file>