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rPr>
          <w:rFonts w:ascii="Times New Roman"/>
          <w:sz w:val="32"/>
          <w:szCs w:val="32"/>
        </w:rPr>
      </w:pPr>
      <w:bookmarkStart w:id="0" w:name="_GoBack"/>
      <w:bookmarkEnd w:id="0"/>
      <w:r>
        <w:rPr>
          <w:rFonts w:ascii="Times New Roman"/>
          <w:sz w:val="32"/>
          <w:szCs w:val="32"/>
        </w:rPr>
        <w:t>目 录</w:t>
      </w:r>
    </w:p>
    <w:p>
      <w:pPr>
        <w:pStyle w:val="TOC1"/>
        <w:rPr>
          <w:rFonts w:ascii="Times New Roman"/>
        </w:rPr>
      </w:pPr>
      <w:r>
        <w:rPr>
          <w:rFonts w:ascii="Times New Roman"/>
        </w:rPr>
        <w:fldChar w:fldCharType="begin"/>
      </w:r>
      <w:r>
        <w:rPr>
          <w:rFonts w:ascii="Times New Roman"/>
        </w:rPr>
        <w:instrText xml:space="preserve"> TOC \o "1-2" \h \z \u </w:instrText>
      </w:r>
      <w:r>
        <w:rPr>
          <w:rFonts w:ascii="Times New Roman"/>
        </w:rPr>
        <w:fldChar w:fldCharType="separate"/>
      </w:r>
      <w:hyperlink w:anchor="_Toc244922110" w:history="1">
        <w:r>
          <w:rPr>
            <w:rStyle w:val="Hyperlink"/>
            <w:rFonts w:ascii="Times New Roman" w:eastAsia="仿宋_GB2312"/>
          </w:rPr>
          <w:t>1  总  论</w:t>
        </w:r>
        <w:r>
          <w:rPr>
            <w:rFonts w:ascii="Times New Roman"/>
          </w:rPr>
          <w:tab/>
        </w:r>
        <w:r>
          <w:rPr>
            <w:rFonts w:ascii="Times New Roman"/>
          </w:rPr>
          <w:fldChar w:fldCharType="begin"/>
        </w:r>
        <w:r>
          <w:rPr>
            <w:rFonts w:ascii="Times New Roman"/>
          </w:rPr>
          <w:instrText xml:space="preserve"> PAGEREF _Toc244922110 \h </w:instrText>
        </w:r>
        <w:r>
          <w:rPr>
            <w:rFonts w:ascii="Times New Roman"/>
          </w:rPr>
          <w:fldChar w:fldCharType="separate"/>
        </w:r>
        <w:r>
          <w:rPr>
            <w:rFonts w:ascii="Times New Roman"/>
          </w:rPr>
          <w:t>1</w:t>
        </w:r>
        <w:r>
          <w:rPr>
            <w:rFonts w:ascii="Times New Roman"/>
          </w:rPr>
          <w:fldChar w:fldCharType="end"/>
        </w:r>
      </w:hyperlink>
    </w:p>
    <w:p>
      <w:pPr>
        <w:pStyle w:val="TOC2"/>
        <w:tabs>
          <w:tab w:val="right" w:leader="dot" w:pos="8296"/>
        </w:tabs>
        <w:rPr>
          <w:smallCaps w:val="0"/>
          <w:sz w:val="21"/>
          <w:szCs w:val="24"/>
        </w:rPr>
      </w:pPr>
      <w:hyperlink w:anchor="_Toc244922111" w:history="1">
        <w:r>
          <w:rPr>
            <w:rStyle w:val="Hyperlink"/>
            <w:bCs/>
          </w:rPr>
          <w:t>1.1 基本情况</w:t>
        </w:r>
        <w:r>
          <w:tab/>
        </w:r>
        <w:r>
          <w:fldChar w:fldCharType="begin"/>
        </w:r>
        <w:r>
          <w:instrText xml:space="preserve"> PAGEREF _Toc244922111 \h </w:instrText>
        </w:r>
        <w:r>
          <w:fldChar w:fldCharType="separate"/>
        </w:r>
        <w:r>
          <w:t>1</w:t>
        </w:r>
        <w:r>
          <w:fldChar w:fldCharType="end"/>
        </w:r>
      </w:hyperlink>
    </w:p>
    <w:p>
      <w:pPr>
        <w:pStyle w:val="TOC2"/>
        <w:tabs>
          <w:tab w:val="right" w:leader="dot" w:pos="8296"/>
        </w:tabs>
        <w:rPr>
          <w:smallCaps w:val="0"/>
          <w:sz w:val="21"/>
          <w:szCs w:val="24"/>
        </w:rPr>
      </w:pPr>
      <w:hyperlink w:anchor="_Toc244922112" w:history="1">
        <w:r>
          <w:rPr>
            <w:rStyle w:val="Hyperlink"/>
            <w:bCs/>
          </w:rPr>
          <w:t>1.2 业主简介</w:t>
        </w:r>
        <w:r>
          <w:tab/>
        </w:r>
        <w:r>
          <w:fldChar w:fldCharType="begin"/>
        </w:r>
        <w:r>
          <w:instrText xml:space="preserve"> PAGEREF _Toc244922112 \h </w:instrText>
        </w:r>
        <w:r>
          <w:fldChar w:fldCharType="separate"/>
        </w:r>
        <w:r>
          <w:t>2</w:t>
        </w:r>
        <w:r>
          <w:fldChar w:fldCharType="end"/>
        </w:r>
      </w:hyperlink>
    </w:p>
    <w:p>
      <w:pPr>
        <w:pStyle w:val="TOC2"/>
        <w:tabs>
          <w:tab w:val="right" w:leader="dot" w:pos="8296"/>
        </w:tabs>
        <w:rPr>
          <w:smallCaps w:val="0"/>
          <w:sz w:val="21"/>
          <w:szCs w:val="24"/>
        </w:rPr>
      </w:pPr>
      <w:hyperlink w:anchor="_Toc244922113" w:history="1">
        <w:r>
          <w:rPr>
            <w:rStyle w:val="Hyperlink"/>
            <w:bCs/>
          </w:rPr>
          <w:t>1.3 编制依据及研究范围</w:t>
        </w:r>
        <w:r>
          <w:tab/>
        </w:r>
        <w:r>
          <w:fldChar w:fldCharType="begin"/>
        </w:r>
        <w:r>
          <w:instrText xml:space="preserve"> PAGEREF _Toc244922113 \h </w:instrText>
        </w:r>
        <w:r>
          <w:fldChar w:fldCharType="separate"/>
        </w:r>
        <w:r>
          <w:t>2</w:t>
        </w:r>
        <w:r>
          <w:fldChar w:fldCharType="end"/>
        </w:r>
      </w:hyperlink>
    </w:p>
    <w:p>
      <w:pPr>
        <w:pStyle w:val="TOC2"/>
        <w:tabs>
          <w:tab w:val="right" w:leader="dot" w:pos="8296"/>
        </w:tabs>
        <w:rPr>
          <w:smallCaps w:val="0"/>
          <w:sz w:val="21"/>
          <w:szCs w:val="24"/>
        </w:rPr>
      </w:pPr>
      <w:hyperlink w:anchor="_Toc244922114" w:history="1">
        <w:r>
          <w:rPr>
            <w:rStyle w:val="Hyperlink"/>
            <w:bCs/>
          </w:rPr>
          <w:t>1.4 主要技术经济指标</w:t>
        </w:r>
        <w:r>
          <w:tab/>
        </w:r>
        <w:r>
          <w:fldChar w:fldCharType="begin"/>
        </w:r>
        <w:r>
          <w:instrText xml:space="preserve"> PAGEREF _Toc244922114 \h </w:instrText>
        </w:r>
        <w:r>
          <w:fldChar w:fldCharType="separate"/>
        </w:r>
        <w:r>
          <w:t>3</w:t>
        </w:r>
        <w:r>
          <w:fldChar w:fldCharType="end"/>
        </w:r>
      </w:hyperlink>
    </w:p>
    <w:p>
      <w:pPr>
        <w:pStyle w:val="TOC2"/>
        <w:tabs>
          <w:tab w:val="right" w:leader="dot" w:pos="8296"/>
        </w:tabs>
        <w:rPr>
          <w:smallCaps w:val="0"/>
          <w:sz w:val="21"/>
          <w:szCs w:val="24"/>
        </w:rPr>
      </w:pPr>
      <w:hyperlink w:anchor="_Toc244922115" w:history="1">
        <w:r>
          <w:rPr>
            <w:rStyle w:val="Hyperlink"/>
            <w:bCs/>
          </w:rPr>
          <w:t>1.5 简要结论</w:t>
        </w:r>
        <w:r>
          <w:tab/>
        </w:r>
        <w:r>
          <w:fldChar w:fldCharType="begin"/>
        </w:r>
        <w:r>
          <w:instrText xml:space="preserve"> PAGEREF _Toc244922115 \h </w:instrText>
        </w:r>
        <w:r>
          <w:fldChar w:fldCharType="separate"/>
        </w:r>
        <w:r>
          <w:t>4</w:t>
        </w:r>
        <w:r>
          <w:fldChar w:fldCharType="end"/>
        </w:r>
      </w:hyperlink>
    </w:p>
    <w:p>
      <w:pPr>
        <w:pStyle w:val="TOC1"/>
        <w:rPr>
          <w:rStyle w:val="Hyperlink"/>
          <w:rFonts w:ascii="Times New Roman" w:eastAsia="仿宋_GB2312"/>
        </w:rPr>
      </w:pPr>
      <w:hyperlink w:anchor="_Toc244922116" w:history="1">
        <w:r>
          <w:rPr>
            <w:rStyle w:val="Hyperlink"/>
            <w:rFonts w:ascii="Times New Roman" w:eastAsia="仿宋_GB2312"/>
          </w:rPr>
          <w:t xml:space="preserve">2  </w:t>
        </w:r>
        <w:r>
          <w:rPr>
            <w:rStyle w:val="Hyperlink"/>
            <w:rFonts w:ascii="Times New Roman" w:eastAsia="仿宋_GB2312" w:hint="eastAsia"/>
            <w:lang w:eastAsia="zh-CN"/>
          </w:rPr>
          <w:t>相关项目</w:t>
        </w:r>
        <w:r>
          <w:rPr>
            <w:rStyle w:val="Hyperlink"/>
            <w:rFonts w:ascii="Times New Roman" w:eastAsia="仿宋_GB2312"/>
          </w:rPr>
          <w:t>建设的背景及必要性</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_Toc244922116 \h </w:instrText>
        </w:r>
        <w:r>
          <w:rPr>
            <w:rStyle w:val="Hyperlink"/>
            <w:rFonts w:ascii="Times New Roman" w:eastAsia="仿宋_GB2312"/>
          </w:rPr>
          <w:fldChar w:fldCharType="separate"/>
        </w:r>
        <w:r>
          <w:rPr>
            <w:rStyle w:val="Hyperlink"/>
            <w:rFonts w:ascii="Times New Roman" w:eastAsia="仿宋_GB2312"/>
          </w:rPr>
          <w:t>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17" w:history="1">
        <w:r>
          <w:rPr>
            <w:rStyle w:val="Hyperlink"/>
            <w:bCs/>
          </w:rPr>
          <w:t xml:space="preserve">2.1 </w:t>
        </w:r>
        <w:r>
          <w:rPr>
            <w:rStyle w:val="Hyperlink"/>
            <w:rFonts w:hint="eastAsia"/>
            <w:bCs/>
            <w:lang w:eastAsia="zh-CN"/>
          </w:rPr>
          <w:t>相关项目</w:t>
        </w:r>
        <w:r>
          <w:rPr>
            <w:rStyle w:val="Hyperlink"/>
            <w:bCs/>
          </w:rPr>
          <w:t>建设背景</w:t>
        </w:r>
        <w:r>
          <w:tab/>
        </w:r>
        <w:r>
          <w:fldChar w:fldCharType="begin"/>
        </w:r>
        <w:r>
          <w:instrText xml:space="preserve"> PAGEREF _Toc244922117 \h </w:instrText>
        </w:r>
        <w:r>
          <w:fldChar w:fldCharType="separate"/>
        </w:r>
        <w:r>
          <w:t>5</w:t>
        </w:r>
        <w:r>
          <w:fldChar w:fldCharType="end"/>
        </w:r>
      </w:hyperlink>
    </w:p>
    <w:p>
      <w:pPr>
        <w:pStyle w:val="TOC2"/>
        <w:tabs>
          <w:tab w:val="right" w:leader="dot" w:pos="8296"/>
        </w:tabs>
        <w:rPr>
          <w:smallCaps w:val="0"/>
          <w:sz w:val="21"/>
          <w:szCs w:val="24"/>
        </w:rPr>
      </w:pPr>
      <w:hyperlink w:anchor="_Toc244922118" w:history="1">
        <w:r>
          <w:rPr>
            <w:rStyle w:val="Hyperlink"/>
            <w:bCs/>
          </w:rPr>
          <w:t xml:space="preserve">2.2 </w:t>
        </w:r>
        <w:r>
          <w:rPr>
            <w:rStyle w:val="Hyperlink"/>
            <w:rFonts w:hint="eastAsia"/>
            <w:bCs/>
            <w:lang w:eastAsia="zh-CN"/>
          </w:rPr>
          <w:t>相关项目</w:t>
        </w:r>
        <w:r>
          <w:rPr>
            <w:rStyle w:val="Hyperlink"/>
            <w:bCs/>
          </w:rPr>
          <w:t>建设必要性</w:t>
        </w:r>
        <w:r>
          <w:tab/>
        </w:r>
        <w:r>
          <w:fldChar w:fldCharType="begin"/>
        </w:r>
        <w:r>
          <w:instrText xml:space="preserve"> PAGEREF _Toc244922118 \h </w:instrText>
        </w:r>
        <w:r>
          <w:fldChar w:fldCharType="separate"/>
        </w:r>
        <w:r>
          <w:t>11</w:t>
        </w:r>
        <w:r>
          <w:fldChar w:fldCharType="end"/>
        </w:r>
      </w:hyperlink>
    </w:p>
    <w:p>
      <w:pPr>
        <w:pStyle w:val="TOC1"/>
        <w:rPr>
          <w:rStyle w:val="Hyperlink"/>
          <w:rFonts w:ascii="Times New Roman" w:eastAsia="仿宋_GB2312"/>
        </w:rPr>
      </w:pPr>
      <w:hyperlink w:anchor="_Toc244922119" w:history="1">
        <w:r>
          <w:rPr>
            <w:rStyle w:val="Hyperlink"/>
            <w:rFonts w:ascii="Times New Roman" w:eastAsia="仿宋_GB2312"/>
          </w:rPr>
          <w:t xml:space="preserve">3  </w:t>
        </w:r>
        <w:r>
          <w:rPr>
            <w:rStyle w:val="Hyperlink"/>
            <w:rFonts w:ascii="Times New Roman" w:eastAsia="仿宋_GB2312" w:hint="eastAsia"/>
            <w:lang w:eastAsia="zh-CN"/>
          </w:rPr>
          <w:t>相关项目</w:t>
        </w:r>
        <w:r>
          <w:rPr>
            <w:rStyle w:val="Hyperlink"/>
            <w:rFonts w:ascii="Times New Roman" w:eastAsia="仿宋_GB2312"/>
          </w:rPr>
          <w:t>市场分析</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_Toc244922119 \h </w:instrText>
        </w:r>
        <w:r>
          <w:rPr>
            <w:rStyle w:val="Hyperlink"/>
            <w:rFonts w:ascii="Times New Roman" w:eastAsia="仿宋_GB2312"/>
          </w:rPr>
          <w:fldChar w:fldCharType="separate"/>
        </w:r>
        <w:r>
          <w:rPr>
            <w:rStyle w:val="Hyperlink"/>
            <w:rFonts w:ascii="Times New Roman" w:eastAsia="仿宋_GB2312"/>
          </w:rPr>
          <w:t>13</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0" w:history="1">
        <w:r>
          <w:rPr>
            <w:rStyle w:val="Hyperlink"/>
            <w:bCs/>
          </w:rPr>
          <w:t xml:space="preserve">3.1 </w:t>
        </w:r>
        <w:r>
          <w:rPr>
            <w:rStyle w:val="Hyperlink"/>
            <w:rFonts w:hint="eastAsia"/>
            <w:bCs/>
            <w:lang w:eastAsia="zh-CN"/>
          </w:rPr>
          <w:t>相关项目</w:t>
        </w:r>
        <w:r>
          <w:rPr>
            <w:rStyle w:val="Hyperlink"/>
            <w:bCs/>
          </w:rPr>
          <w:t>定位</w:t>
        </w:r>
        <w:r>
          <w:tab/>
        </w:r>
        <w:r>
          <w:fldChar w:fldCharType="begin"/>
        </w:r>
        <w:r>
          <w:instrText xml:space="preserve"> PAGEREF _Toc244922120 \h </w:instrText>
        </w:r>
        <w:r>
          <w:fldChar w:fldCharType="separate"/>
        </w:r>
        <w:r>
          <w:t>13</w:t>
        </w:r>
        <w:r>
          <w:fldChar w:fldCharType="end"/>
        </w:r>
      </w:hyperlink>
    </w:p>
    <w:p>
      <w:pPr>
        <w:pStyle w:val="TOC2"/>
        <w:tabs>
          <w:tab w:val="right" w:leader="dot" w:pos="8296"/>
        </w:tabs>
        <w:rPr>
          <w:smallCaps w:val="0"/>
          <w:sz w:val="21"/>
          <w:szCs w:val="24"/>
        </w:rPr>
      </w:pPr>
      <w:hyperlink w:anchor="_Toc244922121" w:history="1">
        <w:r>
          <w:rPr>
            <w:rStyle w:val="Hyperlink"/>
            <w:bCs/>
          </w:rPr>
          <w:t xml:space="preserve">3.2 </w:t>
        </w:r>
        <w:r>
          <w:rPr>
            <w:rStyle w:val="Hyperlink"/>
            <w:rFonts w:hint="eastAsia"/>
            <w:bCs/>
            <w:lang w:eastAsia="zh-CN"/>
          </w:rPr>
          <w:t>相关项目</w:t>
        </w:r>
        <w:r>
          <w:rPr>
            <w:rStyle w:val="Hyperlink"/>
            <w:bCs/>
          </w:rPr>
          <w:t>前景分析</w:t>
        </w:r>
        <w:r>
          <w:tab/>
        </w:r>
        <w:r>
          <w:fldChar w:fldCharType="begin"/>
        </w:r>
        <w:r>
          <w:instrText xml:space="preserve"> PAGEREF _Toc244922121 \h </w:instrText>
        </w:r>
        <w:r>
          <w:fldChar w:fldCharType="separate"/>
        </w:r>
        <w:r>
          <w:t>14</w:t>
        </w:r>
        <w:r>
          <w:fldChar w:fldCharType="end"/>
        </w:r>
      </w:hyperlink>
    </w:p>
    <w:p>
      <w:pPr>
        <w:pStyle w:val="TOC1"/>
        <w:rPr>
          <w:rStyle w:val="Hyperlink"/>
          <w:rFonts w:ascii="Times New Roman" w:eastAsia="仿宋_GB2312"/>
        </w:rPr>
      </w:pPr>
      <w:hyperlink w:anchor="_Toc244922122" w:history="1">
        <w:r>
          <w:rPr>
            <w:rStyle w:val="Hyperlink"/>
            <w:rFonts w:ascii="Times New Roman" w:eastAsia="仿宋_GB2312"/>
          </w:rPr>
          <w:t>4  建设</w:t>
        </w:r>
        <w:r>
          <w:rPr>
            <w:rStyle w:val="Hyperlink"/>
            <w:rFonts w:ascii="Times New Roman" w:eastAsia="仿宋_GB2312" w:hint="eastAsia"/>
            <w:lang w:eastAsia="zh-CN"/>
          </w:rPr>
          <w:t>合适的内容</w:t>
        </w:r>
        <w:r>
          <w:rPr>
            <w:rStyle w:val="Hyperlink"/>
            <w:rFonts w:ascii="Times New Roman" w:eastAsia="仿宋_GB2312"/>
          </w:rPr>
          <w:t>与规模</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_Toc244922122 \h </w:instrText>
        </w:r>
        <w:r>
          <w:rPr>
            <w:rStyle w:val="Hyperlink"/>
            <w:rFonts w:ascii="Times New Roman" w:eastAsia="仿宋_GB2312"/>
          </w:rPr>
          <w:fldChar w:fldCharType="separate"/>
        </w:r>
        <w:r>
          <w:rPr>
            <w:rStyle w:val="Hyperlink"/>
            <w:rFonts w:ascii="Times New Roman" w:eastAsia="仿宋_GB2312"/>
          </w:rPr>
          <w:t>16</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3" w:history="1">
        <w:r>
          <w:rPr>
            <w:rStyle w:val="Hyperlink"/>
          </w:rPr>
          <w:t>4.1 建设</w:t>
        </w:r>
        <w:r>
          <w:rPr>
            <w:rStyle w:val="Hyperlink"/>
            <w:rFonts w:hint="eastAsia"/>
            <w:lang w:eastAsia="zh-CN"/>
          </w:rPr>
          <w:t>合适的内容</w:t>
        </w:r>
        <w:r>
          <w:tab/>
        </w:r>
        <w:r>
          <w:fldChar w:fldCharType="begin"/>
        </w:r>
        <w:r>
          <w:instrText xml:space="preserve"> PAGEREF _Toc244922123 \h </w:instrText>
        </w:r>
        <w:r>
          <w:fldChar w:fldCharType="separate"/>
        </w:r>
        <w:r>
          <w:t>16</w:t>
        </w:r>
        <w:r>
          <w:fldChar w:fldCharType="end"/>
        </w:r>
      </w:hyperlink>
    </w:p>
    <w:p>
      <w:pPr>
        <w:pStyle w:val="TOC2"/>
        <w:tabs>
          <w:tab w:val="right" w:leader="dot" w:pos="8296"/>
        </w:tabs>
        <w:rPr>
          <w:smallCaps w:val="0"/>
          <w:sz w:val="21"/>
          <w:szCs w:val="24"/>
        </w:rPr>
      </w:pPr>
      <w:hyperlink w:anchor="_Toc244922124" w:history="1">
        <w:r>
          <w:rPr>
            <w:rStyle w:val="Hyperlink"/>
          </w:rPr>
          <w:t>4.2 建设规模</w:t>
        </w:r>
        <w:r>
          <w:tab/>
        </w:r>
        <w:r>
          <w:fldChar w:fldCharType="begin"/>
        </w:r>
        <w:r>
          <w:instrText xml:space="preserve"> PAGEREF _Toc244922124 \h </w:instrText>
        </w:r>
        <w:r>
          <w:fldChar w:fldCharType="separate"/>
        </w:r>
        <w:r>
          <w:t>16</w:t>
        </w:r>
        <w:r>
          <w:fldChar w:fldCharType="end"/>
        </w:r>
      </w:hyperlink>
    </w:p>
    <w:p>
      <w:pPr>
        <w:pStyle w:val="TOC2"/>
        <w:tabs>
          <w:tab w:val="right" w:leader="dot" w:pos="8296"/>
        </w:tabs>
        <w:rPr>
          <w:smallCaps w:val="0"/>
          <w:sz w:val="21"/>
          <w:szCs w:val="24"/>
        </w:rPr>
      </w:pPr>
      <w:hyperlink w:anchor="_Toc244922125" w:history="1">
        <w:r>
          <w:rPr>
            <w:rStyle w:val="Hyperlink"/>
          </w:rPr>
          <w:t>4.3主要建设规模指标</w:t>
        </w:r>
        <w:r>
          <w:tab/>
        </w:r>
        <w:r>
          <w:fldChar w:fldCharType="begin"/>
        </w:r>
        <w:r>
          <w:instrText xml:space="preserve"> PAGEREF _Toc244922125 \h </w:instrText>
        </w:r>
        <w:r>
          <w:fldChar w:fldCharType="separate"/>
        </w:r>
        <w:r>
          <w:t>16</w:t>
        </w:r>
        <w:r>
          <w:fldChar w:fldCharType="end"/>
        </w:r>
      </w:hyperlink>
    </w:p>
    <w:p>
      <w:pPr>
        <w:pStyle w:val="TOC1"/>
        <w:rPr>
          <w:rStyle w:val="Hyperlink"/>
          <w:rFonts w:ascii="Times New Roman" w:eastAsia="仿宋_GB2312"/>
        </w:rPr>
      </w:pPr>
      <w:hyperlink w:anchor="_Toc244922126" w:history="1">
        <w:r>
          <w:rPr>
            <w:rStyle w:val="Hyperlink"/>
            <w:rFonts w:ascii="Times New Roman" w:eastAsia="仿宋_GB2312"/>
          </w:rPr>
          <w:t xml:space="preserve">5  </w:t>
        </w:r>
        <w:r>
          <w:rPr>
            <w:rStyle w:val="Hyperlink"/>
            <w:rFonts w:ascii="Times New Roman" w:eastAsia="仿宋_GB2312" w:hint="eastAsia"/>
            <w:lang w:eastAsia="zh-CN"/>
          </w:rPr>
          <w:t>相关项目</w:t>
        </w:r>
        <w:r>
          <w:rPr>
            <w:rStyle w:val="Hyperlink"/>
            <w:rFonts w:ascii="Times New Roman" w:eastAsia="仿宋_GB2312"/>
          </w:rPr>
          <w:t>场址条件</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_Toc244922126 \h </w:instrText>
        </w:r>
        <w:r>
          <w:rPr>
            <w:rStyle w:val="Hyperlink"/>
            <w:rFonts w:ascii="Times New Roman" w:eastAsia="仿宋_GB2312"/>
          </w:rPr>
          <w:fldChar w:fldCharType="separate"/>
        </w:r>
        <w:r>
          <w:rPr>
            <w:rStyle w:val="Hyperlink"/>
            <w:rFonts w:ascii="Times New Roman" w:eastAsia="仿宋_GB2312"/>
          </w:rPr>
          <w:t>18</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7" w:history="1">
        <w:r>
          <w:rPr>
            <w:rStyle w:val="Hyperlink"/>
          </w:rPr>
          <w:t>5.1 建设场地现状</w:t>
        </w:r>
        <w:r>
          <w:tab/>
        </w:r>
        <w:r>
          <w:fldChar w:fldCharType="begin"/>
        </w:r>
        <w:r>
          <w:instrText xml:space="preserve"> PAGEREF _Toc244922127 \h </w:instrText>
        </w:r>
        <w:r>
          <w:fldChar w:fldCharType="separate"/>
        </w:r>
        <w:r>
          <w:t>18</w:t>
        </w:r>
        <w:r>
          <w:fldChar w:fldCharType="end"/>
        </w:r>
      </w:hyperlink>
    </w:p>
    <w:p>
      <w:pPr>
        <w:pStyle w:val="TOC2"/>
        <w:tabs>
          <w:tab w:val="right" w:leader="dot" w:pos="8296"/>
        </w:tabs>
        <w:rPr>
          <w:smallCaps w:val="0"/>
          <w:sz w:val="21"/>
          <w:szCs w:val="24"/>
        </w:rPr>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NumType w:fmt="upperRoman" w:start="1"/>
          <w:cols w:num="1" w:space="425"/>
          <w:docGrid w:type="lines" w:linePitch="312" w:charSpace="0"/>
        </w:sectPr>
      </w:pPr>
      <w:hyperlink w:anchor="_Toc244922128" w:history="1">
        <w:r>
          <w:rPr>
            <w:rStyle w:val="Hyperlink"/>
          </w:rPr>
          <w:t>5.2 场地建设条件</w:t>
        </w:r>
        <w:r>
          <w:tab/>
        </w:r>
        <w:r>
          <w:fldChar w:fldCharType="begin"/>
        </w:r>
        <w:r>
          <w:instrText xml:space="preserve"> PAGEREF _Toc244922128 \h </w:instrText>
        </w:r>
        <w:r>
          <w:fldChar w:fldCharType="separate"/>
        </w:r>
        <w:r>
          <w:t>18</w:t>
        </w:r>
        <w:r>
          <w:fldChar w:fldCharType="end"/>
        </w:r>
      </w:hyperlink>
    </w:p>
    <w:p>
      <w:pPr>
        <w:pStyle w:val="TOC1"/>
        <w:rPr>
          <w:rStyle w:val="Hyperlink"/>
          <w:rFonts w:ascii="Times New Roman" w:eastAsia="仿宋_GB2312"/>
        </w:rPr>
      </w:pPr>
      <w:hyperlink w:anchor="_Toc244922129" w:history="1">
        <w:r>
          <w:rPr>
            <w:rStyle w:val="Hyperlink"/>
            <w:rFonts w:ascii="Times New Roman" w:eastAsia="仿宋_GB2312"/>
          </w:rPr>
          <w:t>6  建设</w:t>
        </w:r>
        <w:r>
          <w:rPr>
            <w:rStyle w:val="Hyperlink"/>
            <w:rFonts w:ascii="Times New Roman" w:eastAsia="仿宋_GB2312" w:hint="eastAsia"/>
            <w:lang w:eastAsia="zh-CN"/>
          </w:rPr>
          <w:t>合适的方案</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_Toc244922129 \h </w:instrText>
        </w:r>
        <w:r>
          <w:rPr>
            <w:rStyle w:val="Hyperlink"/>
            <w:rFonts w:ascii="Times New Roman" w:eastAsia="仿宋_GB2312"/>
          </w:rPr>
          <w:fldChar w:fldCharType="separate"/>
        </w:r>
        <w:r>
          <w:rPr>
            <w:rStyle w:val="Hyperlink"/>
            <w:rFonts w:ascii="Times New Roman" w:eastAsia="仿宋_GB2312"/>
          </w:rPr>
          <w:t>21</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30" w:history="1">
        <w:r>
          <w:rPr>
            <w:rStyle w:val="Hyperlink"/>
          </w:rPr>
          <w:t>6.1 规划设计理念及原则</w:t>
        </w:r>
        <w:r>
          <w:tab/>
        </w:r>
        <w:r>
          <w:fldChar w:fldCharType="begin"/>
        </w:r>
        <w:r>
          <w:instrText xml:space="preserve"> PAGEREF _Toc244922130 \h </w:instrText>
        </w:r>
        <w:r>
          <w:fldChar w:fldCharType="separate"/>
        </w:r>
        <w:r>
          <w:t>21</w:t>
        </w:r>
        <w:r>
          <w:fldChar w:fldCharType="end"/>
        </w:r>
      </w:hyperlink>
    </w:p>
    <w:p>
      <w:pPr>
        <w:pStyle w:val="TOC2"/>
        <w:tabs>
          <w:tab w:val="right" w:leader="dot" w:pos="8296"/>
        </w:tabs>
        <w:rPr>
          <w:smallCaps w:val="0"/>
          <w:sz w:val="21"/>
          <w:szCs w:val="24"/>
        </w:rPr>
      </w:pPr>
      <w:hyperlink w:anchor="_Toc244922131" w:history="1">
        <w:r>
          <w:rPr>
            <w:rStyle w:val="Hyperlink"/>
          </w:rPr>
          <w:t>6.2 设计构思</w:t>
        </w:r>
        <w:r>
          <w:tab/>
        </w:r>
        <w:r>
          <w:fldChar w:fldCharType="begin"/>
        </w:r>
        <w:r>
          <w:instrText xml:space="preserve"> PAGEREF _Toc244922131 \h </w:instrText>
        </w:r>
        <w:r>
          <w:fldChar w:fldCharType="separate"/>
        </w:r>
        <w:r>
          <w:t>22</w:t>
        </w:r>
        <w:r>
          <w:fldChar w:fldCharType="end"/>
        </w:r>
      </w:hyperlink>
    </w:p>
    <w:p>
      <w:pPr>
        <w:pStyle w:val="TOC2"/>
        <w:tabs>
          <w:tab w:val="right" w:leader="dot" w:pos="8296"/>
        </w:tabs>
        <w:rPr>
          <w:smallCaps w:val="0"/>
          <w:sz w:val="21"/>
          <w:szCs w:val="24"/>
        </w:rPr>
      </w:pPr>
      <w:hyperlink w:anchor="_Toc244922132" w:history="1">
        <w:r>
          <w:rPr>
            <w:rStyle w:val="Hyperlink"/>
          </w:rPr>
          <w:t>6.3平面布置</w:t>
        </w:r>
        <w:r>
          <w:tab/>
        </w:r>
        <w:r>
          <w:fldChar w:fldCharType="begin"/>
        </w:r>
        <w:r>
          <w:instrText xml:space="preserve"> PAGEREF _Toc244922132 \h </w:instrText>
        </w:r>
        <w:r>
          <w:fldChar w:fldCharType="separate"/>
        </w:r>
        <w:r>
          <w:t>22</w:t>
        </w:r>
        <w:r>
          <w:fldChar w:fldCharType="end"/>
        </w:r>
      </w:hyperlink>
    </w:p>
    <w:p>
      <w:pPr>
        <w:pStyle w:val="TOC2"/>
        <w:tabs>
          <w:tab w:val="right" w:leader="dot" w:pos="8296"/>
        </w:tabs>
        <w:rPr>
          <w:smallCaps w:val="0"/>
          <w:sz w:val="21"/>
          <w:szCs w:val="24"/>
        </w:rPr>
      </w:pPr>
      <w:hyperlink w:anchor="_Toc244922133" w:history="1">
        <w:r>
          <w:rPr>
            <w:rStyle w:val="Hyperlink"/>
          </w:rPr>
          <w:t>6.4建筑单体设计</w:t>
        </w:r>
        <w:r>
          <w:tab/>
        </w:r>
        <w:r>
          <w:fldChar w:fldCharType="begin"/>
        </w:r>
        <w:r>
          <w:instrText xml:space="preserve"> PAGEREF _Toc244922133 \h </w:instrText>
        </w:r>
        <w:r>
          <w:fldChar w:fldCharType="separate"/>
        </w:r>
        <w:r>
          <w:t>23</w:t>
        </w:r>
        <w:r>
          <w:fldChar w:fldCharType="end"/>
        </w:r>
      </w:hyperlink>
    </w:p>
    <w:p>
      <w:pPr>
        <w:pStyle w:val="TOC2"/>
        <w:tabs>
          <w:tab w:val="right" w:leader="dot" w:pos="8296"/>
        </w:tabs>
        <w:rPr>
          <w:smallCaps w:val="0"/>
          <w:sz w:val="21"/>
          <w:szCs w:val="24"/>
        </w:rPr>
      </w:pPr>
      <w:hyperlink w:anchor="_Toc244922134" w:history="1">
        <w:r>
          <w:rPr>
            <w:rStyle w:val="Hyperlink"/>
          </w:rPr>
          <w:t>6.5结构设计</w:t>
        </w:r>
        <w:r>
          <w:tab/>
        </w:r>
        <w:r>
          <w:fldChar w:fldCharType="begin"/>
        </w:r>
        <w:r>
          <w:instrText xml:space="preserve"> PAGEREF _Toc244922134 \h </w:instrText>
        </w:r>
        <w:r>
          <w:fldChar w:fldCharType="separate"/>
        </w:r>
        <w:r>
          <w:t>24</w:t>
        </w:r>
        <w:r>
          <w:fldChar w:fldCharType="end"/>
        </w:r>
      </w:hyperlink>
    </w:p>
    <w:p>
      <w:pPr>
        <w:pStyle w:val="TOC2"/>
        <w:tabs>
          <w:tab w:val="right" w:leader="dot" w:pos="8296"/>
        </w:tabs>
        <w:rPr>
          <w:smallCaps w:val="0"/>
          <w:sz w:val="21"/>
          <w:szCs w:val="24"/>
        </w:rPr>
      </w:pPr>
      <w:hyperlink w:anchor="_Toc244922135" w:history="1">
        <w:r>
          <w:rPr>
            <w:rStyle w:val="Hyperlink"/>
          </w:rPr>
          <w:t>6.6 公用设施设计</w:t>
        </w:r>
        <w:r>
          <w:rPr>
            <w:rStyle w:val="Hyperlink"/>
            <w:rFonts w:hint="eastAsia"/>
            <w:lang w:eastAsia="zh-CN"/>
          </w:rPr>
          <w:t>合适的方案</w:t>
        </w:r>
        <w:r>
          <w:tab/>
        </w:r>
        <w:r>
          <w:fldChar w:fldCharType="begin"/>
        </w:r>
        <w:r>
          <w:instrText xml:space="preserve"> PAGEREF _Toc244922135 \h </w:instrText>
        </w:r>
        <w:r>
          <w:fldChar w:fldCharType="separate"/>
        </w:r>
        <w:r>
          <w:t>26</w:t>
        </w:r>
        <w:r>
          <w:fldChar w:fldCharType="end"/>
        </w:r>
      </w:hyperlink>
    </w:p>
    <w:p>
      <w:pPr>
        <w:pStyle w:val="TOC2"/>
        <w:tabs>
          <w:tab w:val="right" w:leader="dot" w:pos="8296"/>
        </w:tabs>
        <w:rPr>
          <w:smallCaps w:val="0"/>
          <w:sz w:val="21"/>
          <w:szCs w:val="24"/>
        </w:rPr>
      </w:pPr>
      <w:hyperlink w:anchor="_Toc244922136" w:history="1">
        <w:r>
          <w:rPr>
            <w:rStyle w:val="Hyperlink"/>
          </w:rPr>
          <w:t>6.6.5消防设计</w:t>
        </w:r>
        <w:r>
          <w:tab/>
        </w:r>
        <w:r>
          <w:fldChar w:fldCharType="begin"/>
        </w:r>
        <w:r>
          <w:instrText xml:space="preserve"> PAGEREF _Toc244922136 \h </w:instrText>
        </w:r>
        <w:r>
          <w:fldChar w:fldCharType="separate"/>
        </w:r>
        <w:r>
          <w:t>31</w:t>
        </w:r>
        <w:r>
          <w:fldChar w:fldCharType="end"/>
        </w:r>
      </w:hyperlink>
    </w:p>
    <w:p>
      <w:pPr>
        <w:pStyle w:val="TOC1"/>
        <w:rPr>
          <w:rStyle w:val="Hyperlink"/>
          <w:rFonts w:ascii="Times New Roman" w:eastAsia="仿宋_GB2312"/>
        </w:rPr>
      </w:pPr>
      <w:hyperlink w:anchor="_Toc244922137" w:history="1">
        <w:r>
          <w:rPr>
            <w:rStyle w:val="Hyperlink"/>
            <w:rFonts w:ascii="Times New Roman" w:eastAsia="仿宋_GB2312"/>
          </w:rPr>
          <w:t>7  节能、绿化及环保</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_Toc244922137 \h </w:instrText>
        </w:r>
        <w:r>
          <w:rPr>
            <w:rStyle w:val="Hyperlink"/>
            <w:rFonts w:ascii="Times New Roman" w:eastAsia="仿宋_GB2312"/>
          </w:rPr>
          <w:fldChar w:fldCharType="separate"/>
        </w:r>
        <w:r>
          <w:rPr>
            <w:rStyle w:val="Hyperlink"/>
            <w:rFonts w:ascii="Times New Roman" w:eastAsia="仿宋_GB2312"/>
          </w:rPr>
          <w:t>35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38" w:history="1">
        <w:r>
          <w:rPr>
            <w:rStyle w:val="Hyperlink"/>
          </w:rPr>
          <w:t>7.1节能</w:t>
        </w:r>
        <w:r>
          <w:tab/>
        </w:r>
        <w:r>
          <w:fldChar w:fldCharType="begin"/>
        </w:r>
        <w:r>
          <w:instrText xml:space="preserve"> PAGEREF _Toc244922138 \h </w:instrText>
        </w:r>
        <w:r>
          <w:fldChar w:fldCharType="separate"/>
        </w:r>
        <w:r>
          <w:t>35</w:t>
        </w:r>
        <w:r>
          <w:fldChar w:fldCharType="end"/>
        </w:r>
      </w:hyperlink>
    </w:p>
    <w:p>
      <w:pPr>
        <w:pStyle w:val="TOC2"/>
        <w:tabs>
          <w:tab w:val="right" w:leader="dot" w:pos="8296"/>
        </w:tabs>
        <w:rPr>
          <w:smallCaps w:val="0"/>
          <w:sz w:val="21"/>
          <w:szCs w:val="24"/>
        </w:rPr>
      </w:pPr>
      <w:hyperlink w:anchor="_Toc244922139" w:history="1">
        <w:r>
          <w:rPr>
            <w:rStyle w:val="Hyperlink"/>
          </w:rPr>
          <w:t>7.2绿化</w:t>
        </w:r>
        <w:r>
          <w:tab/>
        </w:r>
        <w:r>
          <w:fldChar w:fldCharType="begin"/>
        </w:r>
        <w:r>
          <w:instrText xml:space="preserve"> PAGEREF _Toc244922139 \h </w:instrText>
        </w:r>
        <w:r>
          <w:fldChar w:fldCharType="separate"/>
        </w:r>
        <w:r>
          <w:t>35</w:t>
        </w:r>
        <w:r>
          <w:fldChar w:fldCharType="end"/>
        </w:r>
      </w:hyperlink>
    </w:p>
    <w:p>
      <w:pPr>
        <w:pStyle w:val="TOC2"/>
        <w:tabs>
          <w:tab w:val="right" w:leader="dot" w:pos="8296"/>
        </w:tabs>
        <w:rPr>
          <w:smallCaps w:val="0"/>
          <w:sz w:val="21"/>
          <w:szCs w:val="24"/>
        </w:rPr>
      </w:pPr>
      <w:hyperlink w:anchor="_Toc244922140" w:history="1">
        <w:r>
          <w:rPr>
            <w:rStyle w:val="Hyperlink"/>
          </w:rPr>
          <w:t>7.3环保</w:t>
        </w:r>
        <w:r>
          <w:tab/>
        </w:r>
        <w:r>
          <w:fldChar w:fldCharType="begin"/>
        </w:r>
        <w:r>
          <w:instrText xml:space="preserve"> PAGEREF _Toc244922140 \h </w:instrText>
        </w:r>
        <w:r>
          <w:fldChar w:fldCharType="separate"/>
        </w:r>
        <w:r>
          <w:t>36</w:t>
        </w:r>
        <w:r>
          <w:fldChar w:fldCharType="end"/>
        </w:r>
      </w:hyperlink>
    </w:p>
    <w:p>
      <w:pPr>
        <w:pStyle w:val="TOC1"/>
        <w:rPr>
          <w:rStyle w:val="Hyperlink"/>
          <w:rFonts w:ascii="Times New Roman" w:eastAsia="仿宋_GB2312"/>
        </w:rPr>
      </w:pPr>
      <w:hyperlink w:anchor="_Toc244922141" w:history="1">
        <w:r>
          <w:rPr>
            <w:rStyle w:val="Hyperlink"/>
            <w:rFonts w:ascii="Times New Roman" w:eastAsia="仿宋_GB2312"/>
          </w:rPr>
          <w:t>8  机构设置与人力资源配置</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_Toc244922141 \h </w:instrText>
        </w:r>
        <w:r>
          <w:rPr>
            <w:rStyle w:val="Hyperlink"/>
            <w:rFonts w:ascii="Times New Roman" w:eastAsia="仿宋_GB2312"/>
          </w:rPr>
          <w:fldChar w:fldCharType="separate"/>
        </w:r>
        <w:r>
          <w:rPr>
            <w:rStyle w:val="Hyperlink"/>
            <w:rFonts w:ascii="Times New Roman" w:eastAsia="仿宋_GB2312"/>
          </w:rPr>
          <w:t>42</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2" w:history="1">
        <w:r>
          <w:rPr>
            <w:rStyle w:val="Hyperlink"/>
          </w:rPr>
          <w:t xml:space="preserve">8.1 </w:t>
        </w:r>
        <w:r>
          <w:rPr>
            <w:rStyle w:val="Hyperlink"/>
            <w:rFonts w:hint="eastAsia"/>
            <w:lang w:eastAsia="zh-CN"/>
          </w:rPr>
          <w:t>相关项目</w:t>
        </w:r>
        <w:r>
          <w:rPr>
            <w:rStyle w:val="Hyperlink"/>
          </w:rPr>
          <w:t>建设</w:t>
        </w:r>
        <w:r>
          <w:rPr>
            <w:rStyle w:val="Hyperlink"/>
            <w:rFonts w:hint="eastAsia"/>
            <w:lang w:eastAsia="zh-CN"/>
          </w:rPr>
          <w:t>管理管控</w:t>
        </w:r>
        <w:r>
          <w:rPr>
            <w:rStyle w:val="Hyperlink"/>
          </w:rPr>
          <w:t>机构</w:t>
        </w:r>
        <w:r>
          <w:tab/>
        </w:r>
        <w:r>
          <w:fldChar w:fldCharType="begin"/>
        </w:r>
        <w:r>
          <w:instrText xml:space="preserve"> PAGEREF _Toc244922142 \h </w:instrText>
        </w:r>
        <w:r>
          <w:fldChar w:fldCharType="separate"/>
        </w:r>
        <w:r>
          <w:t>42</w:t>
        </w:r>
        <w:r>
          <w:fldChar w:fldCharType="end"/>
        </w:r>
      </w:hyperlink>
    </w:p>
    <w:p>
      <w:pPr>
        <w:pStyle w:val="TOC2"/>
        <w:tabs>
          <w:tab w:val="right" w:leader="dot" w:pos="8296"/>
        </w:tabs>
        <w:rPr>
          <w:smallCaps w:val="0"/>
          <w:sz w:val="21"/>
          <w:szCs w:val="24"/>
        </w:rPr>
      </w:pPr>
      <w:hyperlink w:anchor="_Toc244922143" w:history="1">
        <w:r>
          <w:rPr>
            <w:rStyle w:val="Hyperlink"/>
          </w:rPr>
          <w:t xml:space="preserve">8.2 </w:t>
        </w:r>
        <w:r>
          <w:rPr>
            <w:rStyle w:val="Hyperlink"/>
            <w:rFonts w:hint="eastAsia"/>
            <w:lang w:eastAsia="zh-CN"/>
          </w:rPr>
          <w:t>相关项目</w:t>
        </w:r>
        <w:r>
          <w:rPr>
            <w:rStyle w:val="Hyperlink"/>
          </w:rPr>
          <w:t>人员配置</w:t>
        </w:r>
        <w:r>
          <w:tab/>
        </w:r>
        <w:r>
          <w:fldChar w:fldCharType="begin"/>
        </w:r>
        <w:r>
          <w:instrText xml:space="preserve"> PAGEREF _Toc244922143 \h </w:instrText>
        </w:r>
        <w:r>
          <w:fldChar w:fldCharType="separate"/>
        </w:r>
        <w:r>
          <w:t>42</w:t>
        </w:r>
        <w:r>
          <w:fldChar w:fldCharType="end"/>
        </w:r>
      </w:hyperlink>
    </w:p>
    <w:p>
      <w:pPr>
        <w:pStyle w:val="TOC1"/>
        <w:rPr>
          <w:rStyle w:val="Hyperlink"/>
          <w:rFonts w:ascii="Times New Roman" w:eastAsia="仿宋_GB2312"/>
        </w:rPr>
      </w:pPr>
      <w:hyperlink w:anchor="_Toc244922144" w:history="1">
        <w:r>
          <w:rPr>
            <w:rStyle w:val="Hyperlink"/>
            <w:rFonts w:ascii="Times New Roman" w:eastAsia="仿宋_GB2312"/>
          </w:rPr>
          <w:t xml:space="preserve">9  </w:t>
        </w:r>
        <w:r>
          <w:rPr>
            <w:rStyle w:val="Hyperlink"/>
            <w:rFonts w:ascii="Times New Roman" w:eastAsia="仿宋_GB2312" w:hint="eastAsia"/>
            <w:lang w:eastAsia="zh-CN"/>
          </w:rPr>
          <w:t>相关项目</w:t>
        </w:r>
        <w:r>
          <w:rPr>
            <w:rStyle w:val="Hyperlink"/>
            <w:rFonts w:ascii="Times New Roman" w:eastAsia="仿宋_GB2312"/>
          </w:rPr>
          <w:t>建设进度</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_Toc244922144 \h </w:instrText>
        </w:r>
        <w:r>
          <w:rPr>
            <w:rStyle w:val="Hyperlink"/>
            <w:rFonts w:ascii="Times New Roman" w:eastAsia="仿宋_GB2312"/>
          </w:rPr>
          <w:fldChar w:fldCharType="separate"/>
        </w:r>
        <w:r>
          <w:rPr>
            <w:rStyle w:val="Hyperlink"/>
            <w:rFonts w:ascii="Times New Roman" w:eastAsia="仿宋_GB2312"/>
          </w:rPr>
          <w:t>44</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5" w:history="1">
        <w:r>
          <w:rPr>
            <w:rStyle w:val="Hyperlink"/>
          </w:rPr>
          <w:t>9.1 建设工期</w:t>
        </w:r>
        <w:r>
          <w:tab/>
        </w:r>
        <w:r>
          <w:fldChar w:fldCharType="begin"/>
        </w:r>
        <w:r>
          <w:instrText xml:space="preserve"> PAGEREF _Toc244922145 \h </w:instrText>
        </w:r>
        <w:r>
          <w:fldChar w:fldCharType="separate"/>
        </w:r>
        <w:r>
          <w:t>44</w:t>
        </w:r>
        <w:r>
          <w:fldChar w:fldCharType="end"/>
        </w:r>
      </w:hyperlink>
    </w:p>
    <w:p>
      <w:pPr>
        <w:pStyle w:val="TOC2"/>
        <w:tabs>
          <w:tab w:val="right" w:leader="dot" w:pos="8296"/>
        </w:tabs>
        <w:rPr>
          <w:smallCaps w:val="0"/>
          <w:sz w:val="21"/>
          <w:szCs w:val="24"/>
        </w:rPr>
      </w:pPr>
      <w:hyperlink w:anchor="_Toc244922146" w:history="1">
        <w:r>
          <w:rPr>
            <w:rStyle w:val="Hyperlink"/>
          </w:rPr>
          <w:t>9.2 建设进度</w:t>
        </w:r>
        <w:r>
          <w:rPr>
            <w:rStyle w:val="Hyperlink"/>
            <w:rFonts w:hint="eastAsia"/>
            <w:lang w:eastAsia="zh-CN"/>
          </w:rPr>
          <w:t>相关计划</w:t>
        </w:r>
        <w:r>
          <w:tab/>
        </w:r>
        <w:r>
          <w:fldChar w:fldCharType="begin"/>
        </w:r>
        <w:r>
          <w:instrText xml:space="preserve"> PAGEREF _Toc244922146 \h </w:instrText>
        </w:r>
        <w:r>
          <w:fldChar w:fldCharType="separate"/>
        </w:r>
        <w:r>
          <w:t>44</w:t>
        </w:r>
        <w:r>
          <w:fldChar w:fldCharType="end"/>
        </w:r>
      </w:hyperlink>
    </w:p>
    <w:p>
      <w:pPr>
        <w:pStyle w:val="TOC2"/>
        <w:tabs>
          <w:tab w:val="right" w:leader="dot" w:pos="8296"/>
        </w:tabs>
        <w:rPr>
          <w:smallCaps w:val="0"/>
          <w:sz w:val="21"/>
          <w:szCs w:val="24"/>
        </w:rPr>
      </w:pPr>
      <w:hyperlink w:anchor="_Toc244922147" w:history="1">
        <w:r>
          <w:rPr>
            <w:rStyle w:val="Hyperlink"/>
          </w:rPr>
          <w:t>9.3</w:t>
        </w:r>
        <w:r>
          <w:rPr>
            <w:rStyle w:val="Hyperlink"/>
            <w:rFonts w:hint="eastAsia"/>
            <w:lang w:eastAsia="zh-CN"/>
          </w:rPr>
          <w:t>相关项目</w:t>
        </w:r>
        <w:r>
          <w:rPr>
            <w:rStyle w:val="Hyperlink"/>
          </w:rPr>
          <w:t>实施进度表</w:t>
        </w:r>
        <w:r>
          <w:tab/>
        </w:r>
        <w:r>
          <w:fldChar w:fldCharType="begin"/>
        </w:r>
        <w:r>
          <w:instrText xml:space="preserve"> PAGEREF _Toc244922147 \h </w:instrText>
        </w:r>
        <w:r>
          <w:fldChar w:fldCharType="separate"/>
        </w:r>
        <w:r>
          <w:t>44</w:t>
        </w:r>
        <w:r>
          <w:fldChar w:fldCharType="end"/>
        </w:r>
      </w:hyperlink>
    </w:p>
    <w:p>
      <w:pPr>
        <w:pStyle w:val="TOC1"/>
        <w:rPr>
          <w:rStyle w:val="Hyperlink"/>
          <w:rFonts w:ascii="Times New Roman" w:eastAsia="仿宋_GB2312"/>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fmt="upperRoman" w:start="2"/>
          <w:cols w:num="1" w:space="425"/>
          <w:titlePg w:val="0"/>
          <w:docGrid w:type="lines" w:linePitch="312" w:charSpace="0"/>
        </w:sectPr>
      </w:pPr>
      <w:hyperlink w:anchor="_Toc244922148" w:history="1">
        <w:r>
          <w:rPr>
            <w:rStyle w:val="Hyperlink"/>
            <w:rFonts w:ascii="Times New Roman" w:eastAsia="仿宋_GB2312"/>
          </w:rPr>
          <w:t>10  工程招投标</w:t>
        </w:r>
        <w:r>
          <w:rPr>
            <w:rStyle w:val="Hyperlink"/>
            <w:rFonts w:ascii="Times New Roman" w:eastAsia="仿宋_GB2312" w:hint="eastAsia"/>
            <w:lang w:eastAsia="zh-CN"/>
          </w:rPr>
          <w:t>合适的方案</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_Toc244922148 \h </w:instrText>
        </w:r>
        <w:r>
          <w:rPr>
            <w:rStyle w:val="Hyperlink"/>
            <w:rFonts w:ascii="Times New Roman" w:eastAsia="仿宋_GB2312"/>
          </w:rPr>
          <w:fldChar w:fldCharType="separate"/>
        </w:r>
        <w:r>
          <w:rPr>
            <w:rStyle w:val="Hyperlink"/>
            <w:rFonts w:ascii="Times New Roman" w:eastAsia="仿宋_GB2312"/>
          </w:rPr>
          <w:t>45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9" w:history="1">
        <w:r>
          <w:rPr>
            <w:rStyle w:val="Hyperlink"/>
          </w:rPr>
          <w:t>10.1 招标形式</w:t>
        </w:r>
        <w:r>
          <w:tab/>
        </w:r>
        <w:r>
          <w:fldChar w:fldCharType="begin"/>
        </w:r>
        <w:r>
          <w:instrText xml:space="preserve"> PAGEREF _Toc244922149 \h </w:instrText>
        </w:r>
        <w:r>
          <w:fldChar w:fldCharType="separate"/>
        </w:r>
        <w:r>
          <w:t>45</w:t>
        </w:r>
        <w:r>
          <w:fldChar w:fldCharType="end"/>
        </w:r>
      </w:hyperlink>
    </w:p>
    <w:p>
      <w:pPr>
        <w:pStyle w:val="TOC2"/>
        <w:tabs>
          <w:tab w:val="right" w:leader="dot" w:pos="8296"/>
        </w:tabs>
        <w:rPr>
          <w:smallCaps w:val="0"/>
          <w:sz w:val="21"/>
          <w:szCs w:val="24"/>
        </w:rPr>
      </w:pPr>
      <w:hyperlink w:anchor="_Toc244922150" w:history="1">
        <w:r>
          <w:rPr>
            <w:rStyle w:val="Hyperlink"/>
          </w:rPr>
          <w:t>10.2 资质要求</w:t>
        </w:r>
        <w:r>
          <w:tab/>
        </w:r>
        <w:r>
          <w:fldChar w:fldCharType="begin"/>
        </w:r>
        <w:r>
          <w:instrText xml:space="preserve"> PAGEREF _Toc244922150 \h </w:instrText>
        </w:r>
        <w:r>
          <w:fldChar w:fldCharType="separate"/>
        </w:r>
        <w:r>
          <w:t>45</w:t>
        </w:r>
        <w:r>
          <w:fldChar w:fldCharType="end"/>
        </w:r>
      </w:hyperlink>
    </w:p>
    <w:p>
      <w:pPr>
        <w:pStyle w:val="TOC2"/>
        <w:tabs>
          <w:tab w:val="right" w:leader="dot" w:pos="8296"/>
        </w:tabs>
        <w:rPr>
          <w:smallCaps w:val="0"/>
          <w:sz w:val="21"/>
          <w:szCs w:val="24"/>
        </w:rPr>
      </w:pPr>
      <w:hyperlink w:anchor="_Toc244922151" w:history="1">
        <w:r>
          <w:rPr>
            <w:rStyle w:val="Hyperlink"/>
          </w:rPr>
          <w:t>10.3 招标信息发布</w:t>
        </w:r>
        <w:r>
          <w:tab/>
        </w:r>
        <w:r>
          <w:fldChar w:fldCharType="begin"/>
        </w:r>
        <w:r>
          <w:instrText xml:space="preserve"> PAGEREF _Toc244922151 \h </w:instrText>
        </w:r>
        <w:r>
          <w:fldChar w:fldCharType="separate"/>
        </w:r>
        <w:r>
          <w:t>45</w:t>
        </w:r>
        <w:r>
          <w:fldChar w:fldCharType="end"/>
        </w:r>
      </w:hyperlink>
    </w:p>
    <w:p>
      <w:pPr>
        <w:pStyle w:val="TOC2"/>
        <w:tabs>
          <w:tab w:val="right" w:leader="dot" w:pos="8296"/>
        </w:tabs>
        <w:rPr>
          <w:smallCaps w:val="0"/>
          <w:sz w:val="21"/>
          <w:szCs w:val="24"/>
        </w:rPr>
      </w:pPr>
      <w:hyperlink w:anchor="_Toc244922152" w:history="1">
        <w:r>
          <w:rPr>
            <w:rStyle w:val="Hyperlink"/>
          </w:rPr>
          <w:t>10.4 招投标工作组织</w:t>
        </w:r>
        <w:r>
          <w:tab/>
        </w:r>
        <w:r>
          <w:fldChar w:fldCharType="begin"/>
        </w:r>
        <w:r>
          <w:instrText xml:space="preserve"> PAGEREF _Toc244922152 \h </w:instrText>
        </w:r>
        <w:r>
          <w:fldChar w:fldCharType="separate"/>
        </w:r>
        <w:r>
          <w:t>46</w:t>
        </w:r>
        <w:r>
          <w:fldChar w:fldCharType="end"/>
        </w:r>
      </w:hyperlink>
    </w:p>
    <w:p>
      <w:pPr>
        <w:pStyle w:val="TOC1"/>
        <w:rPr>
          <w:rStyle w:val="Hyperlink"/>
          <w:rFonts w:ascii="Times New Roman" w:eastAsia="仿宋_GB2312"/>
        </w:rPr>
      </w:pPr>
      <w:hyperlink w:anchor="_Toc244922153" w:history="1">
        <w:r>
          <w:rPr>
            <w:rStyle w:val="Hyperlink"/>
            <w:rFonts w:ascii="Times New Roman" w:eastAsia="仿宋_GB2312"/>
          </w:rPr>
          <w:t>11  投资估算与资金筹措</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_Toc244922153 \h </w:instrText>
        </w:r>
        <w:r>
          <w:rPr>
            <w:rStyle w:val="Hyperlink"/>
            <w:rFonts w:ascii="Times New Roman" w:eastAsia="仿宋_GB2312"/>
          </w:rPr>
          <w:fldChar w:fldCharType="separate"/>
        </w:r>
        <w:r>
          <w:rPr>
            <w:rStyle w:val="Hyperlink"/>
            <w:rFonts w:ascii="Times New Roman" w:eastAsia="仿宋_GB2312"/>
          </w:rPr>
          <w:t>47</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54" w:history="1">
        <w:r>
          <w:rPr>
            <w:rStyle w:val="Hyperlink"/>
          </w:rPr>
          <w:t>11.1 投资估算</w:t>
        </w:r>
        <w:r>
          <w:tab/>
        </w:r>
        <w:r>
          <w:fldChar w:fldCharType="begin"/>
        </w:r>
        <w:r>
          <w:instrText xml:space="preserve"> PAGEREF _Toc244922154 \h </w:instrText>
        </w:r>
        <w:r>
          <w:fldChar w:fldCharType="separate"/>
        </w:r>
        <w:r>
          <w:t>47</w:t>
        </w:r>
        <w:r>
          <w:fldChar w:fldCharType="end"/>
        </w:r>
      </w:hyperlink>
    </w:p>
    <w:p>
      <w:pPr>
        <w:pStyle w:val="TOC2"/>
        <w:tabs>
          <w:tab w:val="right" w:leader="dot" w:pos="8296"/>
        </w:tabs>
        <w:rPr>
          <w:smallCaps w:val="0"/>
          <w:sz w:val="21"/>
          <w:szCs w:val="24"/>
        </w:rPr>
      </w:pPr>
      <w:hyperlink w:anchor="_Toc244922155" w:history="1">
        <w:r>
          <w:rPr>
            <w:rStyle w:val="Hyperlink"/>
          </w:rPr>
          <w:t>11.2 资金筹措</w:t>
        </w:r>
        <w:r>
          <w:tab/>
        </w:r>
        <w:r>
          <w:fldChar w:fldCharType="begin"/>
        </w:r>
        <w:r>
          <w:instrText xml:space="preserve"> PAGEREF _Toc244922155 \h </w:instrText>
        </w:r>
        <w:r>
          <w:fldChar w:fldCharType="separate"/>
        </w:r>
        <w:r>
          <w:t>49</w:t>
        </w:r>
        <w:r>
          <w:fldChar w:fldCharType="end"/>
        </w:r>
      </w:hyperlink>
    </w:p>
    <w:p>
      <w:pPr>
        <w:pStyle w:val="TOC1"/>
        <w:rPr>
          <w:rStyle w:val="Hyperlink"/>
          <w:rFonts w:ascii="Times New Roman" w:eastAsia="仿宋_GB2312"/>
        </w:rPr>
      </w:pPr>
      <w:hyperlink w:anchor="_Toc244922156" w:history="1">
        <w:r>
          <w:rPr>
            <w:rStyle w:val="Hyperlink"/>
            <w:rFonts w:ascii="Times New Roman" w:eastAsia="仿宋_GB2312"/>
          </w:rPr>
          <w:t>12  经济评价</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_Toc244922156 \h </w:instrText>
        </w:r>
        <w:r>
          <w:rPr>
            <w:rStyle w:val="Hyperlink"/>
            <w:rFonts w:ascii="Times New Roman" w:eastAsia="仿宋_GB2312"/>
          </w:rPr>
          <w:fldChar w:fldCharType="separate"/>
        </w:r>
        <w:r>
          <w:rPr>
            <w:rStyle w:val="Hyperlink"/>
            <w:rFonts w:ascii="Times New Roman" w:eastAsia="仿宋_GB2312"/>
          </w:rPr>
          <w:t>50</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57" w:history="1">
        <w:r>
          <w:rPr>
            <w:rStyle w:val="Hyperlink"/>
          </w:rPr>
          <w:t>12.1 经济分析的依据、原则和方法</w:t>
        </w:r>
        <w:r>
          <w:tab/>
        </w:r>
        <w:r>
          <w:fldChar w:fldCharType="begin"/>
        </w:r>
        <w:r>
          <w:instrText xml:space="preserve"> PAGEREF _Toc244922157 \h </w:instrText>
        </w:r>
        <w:r>
          <w:fldChar w:fldCharType="separate"/>
        </w:r>
        <w:r>
          <w:t>50</w:t>
        </w:r>
        <w:r>
          <w:fldChar w:fldCharType="end"/>
        </w:r>
      </w:hyperlink>
    </w:p>
    <w:p>
      <w:pPr>
        <w:pStyle w:val="TOC2"/>
        <w:tabs>
          <w:tab w:val="right" w:leader="dot" w:pos="8296"/>
        </w:tabs>
        <w:rPr>
          <w:smallCaps w:val="0"/>
          <w:sz w:val="21"/>
          <w:szCs w:val="24"/>
        </w:rPr>
      </w:pPr>
      <w:hyperlink w:anchor="_Toc244922158" w:history="1">
        <w:r>
          <w:rPr>
            <w:rStyle w:val="Hyperlink"/>
            <w:bCs/>
          </w:rPr>
          <w:t>12.2 基础数据</w:t>
        </w:r>
        <w:r>
          <w:tab/>
        </w:r>
        <w:r>
          <w:fldChar w:fldCharType="begin"/>
        </w:r>
        <w:r>
          <w:instrText xml:space="preserve"> PAGEREF _Toc244922158 \h </w:instrText>
        </w:r>
        <w:r>
          <w:fldChar w:fldCharType="separate"/>
        </w:r>
        <w:r>
          <w:t>50</w:t>
        </w:r>
        <w:r>
          <w:fldChar w:fldCharType="end"/>
        </w:r>
      </w:hyperlink>
    </w:p>
    <w:p>
      <w:pPr>
        <w:pStyle w:val="TOC2"/>
        <w:tabs>
          <w:tab w:val="right" w:leader="dot" w:pos="8296"/>
        </w:tabs>
        <w:rPr>
          <w:smallCaps w:val="0"/>
          <w:sz w:val="21"/>
          <w:szCs w:val="24"/>
        </w:rPr>
      </w:pPr>
      <w:hyperlink w:anchor="_Toc244922159" w:history="1">
        <w:r>
          <w:rPr>
            <w:rStyle w:val="Hyperlink"/>
            <w:bCs/>
          </w:rPr>
          <w:t>12.3 财务评价</w:t>
        </w:r>
        <w:r>
          <w:tab/>
        </w:r>
        <w:r>
          <w:fldChar w:fldCharType="begin"/>
        </w:r>
        <w:r>
          <w:instrText xml:space="preserve"> PAGEREF _Toc244922159 \h </w:instrText>
        </w:r>
        <w:r>
          <w:fldChar w:fldCharType="separate"/>
        </w:r>
        <w:r>
          <w:t>51</w:t>
        </w:r>
        <w:r>
          <w:fldChar w:fldCharType="end"/>
        </w:r>
      </w:hyperlink>
    </w:p>
    <w:p>
      <w:pPr>
        <w:pStyle w:val="TOC1"/>
        <w:rPr>
          <w:rStyle w:val="Hyperlink"/>
          <w:rFonts w:ascii="Times New Roman" w:eastAsia="仿宋_GB2312"/>
        </w:rPr>
      </w:pPr>
      <w:hyperlink w:anchor="_Toc244922160" w:history="1">
        <w:r>
          <w:rPr>
            <w:rStyle w:val="Hyperlink"/>
            <w:rFonts w:ascii="Times New Roman" w:eastAsia="仿宋_GB2312"/>
          </w:rPr>
          <w:t>13社会评价</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_Toc244922160 \h </w:instrText>
        </w:r>
        <w:r>
          <w:rPr>
            <w:rStyle w:val="Hyperlink"/>
            <w:rFonts w:ascii="Times New Roman" w:eastAsia="仿宋_GB2312"/>
          </w:rPr>
          <w:fldChar w:fldCharType="separate"/>
        </w:r>
        <w:r>
          <w:rPr>
            <w:rStyle w:val="Hyperlink"/>
            <w:rFonts w:ascii="Times New Roman" w:eastAsia="仿宋_GB2312"/>
          </w:rPr>
          <w:t>53</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61" w:history="1">
        <w:r>
          <w:rPr>
            <w:rStyle w:val="Hyperlink"/>
            <w:bCs/>
          </w:rPr>
          <w:t>13.1 社会效益</w:t>
        </w:r>
        <w:r>
          <w:tab/>
        </w:r>
        <w:r>
          <w:fldChar w:fldCharType="begin"/>
        </w:r>
        <w:r>
          <w:instrText xml:space="preserve"> PAGEREF _Toc244922161 \h </w:instrText>
        </w:r>
        <w:r>
          <w:fldChar w:fldCharType="separate"/>
        </w:r>
        <w:r>
          <w:t>53</w:t>
        </w:r>
        <w:r>
          <w:fldChar w:fldCharType="end"/>
        </w:r>
      </w:hyperlink>
    </w:p>
    <w:p>
      <w:pPr>
        <w:pStyle w:val="TOC2"/>
        <w:tabs>
          <w:tab w:val="right" w:leader="dot" w:pos="8296"/>
        </w:tabs>
        <w:rPr>
          <w:smallCaps w:val="0"/>
          <w:sz w:val="21"/>
          <w:szCs w:val="24"/>
        </w:rPr>
      </w:pPr>
      <w:hyperlink w:anchor="_Toc244922162" w:history="1">
        <w:r>
          <w:rPr>
            <w:rStyle w:val="Hyperlink"/>
            <w:bCs/>
          </w:rPr>
          <w:t>13.2 社会影响分析</w:t>
        </w:r>
        <w:r>
          <w:tab/>
        </w:r>
        <w:r>
          <w:fldChar w:fldCharType="begin"/>
        </w:r>
        <w:r>
          <w:instrText xml:space="preserve"> PAGEREF _Toc244922162 \h </w:instrText>
        </w:r>
        <w:r>
          <w:fldChar w:fldCharType="separate"/>
        </w:r>
        <w:r>
          <w:t>53</w:t>
        </w:r>
        <w:r>
          <w:fldChar w:fldCharType="end"/>
        </w:r>
      </w:hyperlink>
    </w:p>
    <w:p>
      <w:pPr>
        <w:pStyle w:val="TOC2"/>
        <w:tabs>
          <w:tab w:val="right" w:leader="dot" w:pos="8296"/>
        </w:tabs>
        <w:rPr>
          <w:smallCaps w:val="0"/>
          <w:sz w:val="21"/>
          <w:szCs w:val="24"/>
        </w:rPr>
      </w:pPr>
      <w:hyperlink w:anchor="_Toc244922163" w:history="1">
        <w:r>
          <w:rPr>
            <w:rStyle w:val="Hyperlink"/>
            <w:bCs/>
          </w:rPr>
          <w:t>13.3 社会风险分析</w:t>
        </w:r>
        <w:r>
          <w:tab/>
        </w:r>
        <w:r>
          <w:fldChar w:fldCharType="begin"/>
        </w:r>
        <w:r>
          <w:instrText xml:space="preserve"> PAGEREF _Toc244922163 \h </w:instrText>
        </w:r>
        <w:r>
          <w:fldChar w:fldCharType="separate"/>
        </w:r>
        <w:r>
          <w:t>54</w:t>
        </w:r>
        <w:r>
          <w:fldChar w:fldCharType="end"/>
        </w:r>
      </w:hyperlink>
    </w:p>
    <w:p>
      <w:pPr>
        <w:pStyle w:val="TOC1"/>
        <w:rPr>
          <w:rStyle w:val="Hyperlink"/>
          <w:rFonts w:ascii="Times New Roman"/>
        </w:rPr>
      </w:pPr>
      <w:hyperlink w:anchor="_Toc244922164" w:history="1">
        <w:r>
          <w:rPr>
            <w:rStyle w:val="Hyperlink"/>
            <w:rFonts w:ascii="Times New Roman" w:eastAsia="仿宋_GB2312"/>
          </w:rPr>
          <w:t>14结论与建议</w:t>
        </w:r>
        <w:r>
          <w:rPr>
            <w:rStyle w:val="Hyperlink"/>
            <w:rFonts w:ascii="Times New Roman"/>
          </w:rPr>
          <w:tab/>
        </w:r>
        <w:r>
          <w:rPr>
            <w:rStyle w:val="Hyperlink"/>
            <w:rFonts w:ascii="Times New Roman"/>
          </w:rPr>
          <w:fldChar w:fldCharType="begin"/>
        </w:r>
        <w:r>
          <w:rPr>
            <w:rStyle w:val="Hyperlink"/>
            <w:rFonts w:ascii="Times New Roman"/>
          </w:rPr>
          <w:instrText xml:space="preserve"> PAGEREF _Toc244922164 \h </w:instrText>
        </w:r>
        <w:r>
          <w:rPr>
            <w:rStyle w:val="Hyperlink"/>
            <w:rFonts w:ascii="Times New Roman"/>
          </w:rPr>
          <w:fldChar w:fldCharType="separate"/>
        </w:r>
        <w:r>
          <w:rPr>
            <w:rStyle w:val="Hyperlink"/>
            <w:rFonts w:ascii="Times New Roman"/>
          </w:rPr>
          <w:t>55</w:t>
        </w:r>
        <w:r>
          <w:rPr>
            <w:rStyle w:val="Hyperlink"/>
            <w:rFonts w:ascii="Times New Roman"/>
          </w:rPr>
          <w:fldChar w:fldCharType="end"/>
        </w:r>
      </w:hyperlink>
    </w:p>
    <w:p>
      <w:pPr>
        <w:pStyle w:val="TOC2"/>
        <w:tabs>
          <w:tab w:val="right" w:leader="dot" w:pos="8296"/>
        </w:tabs>
        <w:rPr>
          <w:smallCaps w:val="0"/>
          <w:sz w:val="21"/>
          <w:szCs w:val="24"/>
        </w:rPr>
      </w:pPr>
      <w:hyperlink w:anchor="_Toc244922165" w:history="1">
        <w:r>
          <w:rPr>
            <w:rStyle w:val="Hyperlink"/>
            <w:bCs/>
          </w:rPr>
          <w:t>14.1 结论</w:t>
        </w:r>
        <w:r>
          <w:tab/>
        </w:r>
        <w:r>
          <w:fldChar w:fldCharType="begin"/>
        </w:r>
        <w:r>
          <w:instrText xml:space="preserve"> PAGEREF _Toc244922165 \h </w:instrText>
        </w:r>
        <w:r>
          <w:fldChar w:fldCharType="separate"/>
        </w:r>
        <w:r>
          <w:t>55</w:t>
        </w:r>
        <w:r>
          <w:fldChar w:fldCharType="end"/>
        </w:r>
      </w:hyperlink>
    </w:p>
    <w:p>
      <w:pPr>
        <w:pStyle w:val="TOC2"/>
        <w:tabs>
          <w:tab w:val="right" w:leader="dot" w:pos="8296"/>
        </w:tabs>
        <w:rPr>
          <w:smallCaps w:val="0"/>
          <w:sz w:val="21"/>
          <w:szCs w:val="24"/>
        </w:rPr>
      </w:pPr>
      <w:hyperlink w:anchor="_Toc244922166" w:history="1">
        <w:r>
          <w:rPr>
            <w:rStyle w:val="Hyperlink"/>
            <w:bCs/>
          </w:rPr>
          <w:t>14.2 建议</w:t>
        </w:r>
        <w:r>
          <w:tab/>
        </w:r>
        <w:r>
          <w:fldChar w:fldCharType="begin"/>
        </w:r>
        <w:r>
          <w:instrText xml:space="preserve"> PAGEREF _Toc244922166 \h </w:instrText>
        </w:r>
        <w:r>
          <w:fldChar w:fldCharType="separate"/>
        </w:r>
        <w:r>
          <w:t>56</w:t>
        </w:r>
        <w:r>
          <w:fldChar w:fldCharType="end"/>
        </w:r>
      </w:hyperlink>
    </w:p>
    <w:p>
      <w:pPr>
        <w:pStyle w:val="TOC1"/>
        <w:rPr>
          <w:rFonts w:ascii="Times New Roman"/>
          <w:sz w:val="21"/>
          <w:szCs w:val="24"/>
        </w:rPr>
      </w:pPr>
      <w:hyperlink w:anchor="_Toc244922167" w:history="1">
        <w:r>
          <w:rPr>
            <w:rStyle w:val="Hyperlink"/>
            <w:rFonts w:ascii="Times New Roman" w:eastAsia="仿宋_GB2312"/>
          </w:rPr>
          <w:t>附表</w:t>
        </w:r>
        <w:r>
          <w:rPr>
            <w:rFonts w:ascii="Times New Roman"/>
          </w:rPr>
          <w:tab/>
        </w:r>
        <w:r>
          <w:rPr>
            <w:rFonts w:ascii="Times New Roman"/>
          </w:rPr>
          <w:fldChar w:fldCharType="begin"/>
        </w:r>
        <w:r>
          <w:rPr>
            <w:rFonts w:ascii="Times New Roman"/>
          </w:rPr>
          <w:instrText xml:space="preserve"> PAGEREF _Toc244922167 \h </w:instrText>
        </w:r>
        <w:r>
          <w:rPr>
            <w:rFonts w:ascii="Times New Roman"/>
          </w:rPr>
          <w:fldChar w:fldCharType="separate"/>
        </w:r>
        <w:r>
          <w:rPr>
            <w:rFonts w:ascii="Times New Roman"/>
          </w:rPr>
          <w:t>57</w:t>
        </w:r>
        <w:r>
          <w:rPr>
            <w:rFonts w:ascii="Times New Roman"/>
          </w:rPr>
          <w:fldChar w:fldCharType="end"/>
        </w:r>
      </w:hyperlink>
    </w:p>
    <w:p>
      <w:pPr>
        <w:pStyle w:val="Normal0"/>
        <w:jc w:val="center"/>
        <w:rPr>
          <w:rFonts w:eastAsia="仿宋_GB2312"/>
          <w:sz w:val="30"/>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NumType w:fmt="upperRoman" w:start="3"/>
          <w:cols w:num="1" w:space="425"/>
          <w:titlePg w:val="0"/>
          <w:docGrid w:type="lines" w:linePitch="312" w:charSpace="0"/>
        </w:sectPr>
      </w:pPr>
      <w:r>
        <w:rPr>
          <w:rFonts w:eastAsia="仿宋_GB2312"/>
          <w:bCs/>
          <w:caps/>
          <w:sz w:val="30"/>
          <w:szCs w:val="20"/>
        </w:rPr>
        <w:fldChar w:fldCharType="end"/>
      </w:r>
      <w:r>
        <w:rPr>
          <w:rFonts w:eastAsia="仿宋_GB2312"/>
          <w:sz w:val="30"/>
        </w:rPr>
        <w:t xml:space="preserve"> </w:t>
      </w:r>
    </w:p>
    <w:p>
      <w:pPr>
        <w:pStyle w:val="Heading1"/>
        <w:jc w:val="center"/>
        <w:rPr>
          <w:rFonts w:eastAsia="黑体"/>
          <w:sz w:val="32"/>
          <w:szCs w:val="32"/>
        </w:rPr>
      </w:pPr>
      <w:r>
        <w:rPr>
          <w:rFonts w:eastAsia="黑体"/>
          <w:sz w:val="32"/>
          <w:szCs w:val="32"/>
        </w:rPr>
        <w:t xml:space="preserve"> </w:t>
      </w:r>
      <w:bookmarkStart w:id="1" w:name="_Toc244610481"/>
      <w:bookmarkStart w:id="2" w:name="_Toc244922110"/>
      <w:r>
        <w:rPr>
          <w:rFonts w:eastAsia="黑体"/>
          <w:sz w:val="32"/>
          <w:szCs w:val="32"/>
        </w:rPr>
        <w:t>1  总  论</w:t>
      </w:r>
      <w:bookmarkEnd w:id="1"/>
      <w:bookmarkEnd w:id="2"/>
    </w:p>
    <w:p>
      <w:pPr>
        <w:pStyle w:val="Heading2"/>
        <w:adjustRightInd/>
        <w:spacing w:line="416" w:lineRule="auto"/>
        <w:textAlignment w:val="auto"/>
        <w:rPr>
          <w:rFonts w:ascii="Times New Roman" w:hAnsi="Times New Roman"/>
          <w:b/>
          <w:bCs/>
        </w:rPr>
      </w:pPr>
      <w:bookmarkStart w:id="3" w:name="_Toc244610482"/>
      <w:bookmarkStart w:id="4" w:name="_Toc244922111"/>
      <w:r>
        <w:rPr>
          <w:rFonts w:ascii="Times New Roman" w:hAnsi="Times New Roman"/>
          <w:b/>
          <w:bCs/>
        </w:rPr>
        <w:t>1.1 基本情况</w:t>
      </w:r>
      <w:bookmarkEnd w:id="3"/>
      <w:bookmarkEnd w:id="4"/>
    </w:p>
    <w:p>
      <w:pPr>
        <w:pStyle w:val="Normal0"/>
        <w:spacing w:line="560" w:lineRule="exact"/>
        <w:ind w:firstLine="555"/>
        <w:rPr>
          <w:rFonts w:eastAsia="仿宋_GB2312" w:hint="eastAsia"/>
          <w:sz w:val="28"/>
        </w:rPr>
      </w:pPr>
      <w:r>
        <w:rPr>
          <w:rFonts w:eastAsia="仿宋_GB2312"/>
          <w:sz w:val="28"/>
        </w:rPr>
        <w:t>1.</w:t>
      </w:r>
      <w:r>
        <w:rPr>
          <w:rFonts w:eastAsia="仿宋_GB2312" w:hint="eastAsia"/>
          <w:sz w:val="28"/>
          <w:lang w:eastAsia="zh-CN"/>
        </w:rPr>
        <w:t>相关项目</w:t>
      </w:r>
      <w:r>
        <w:rPr>
          <w:rFonts w:eastAsia="仿宋_GB2312"/>
          <w:sz w:val="28"/>
        </w:rPr>
        <w:t>名称：磁8地块拆迁安置房建设</w:t>
      </w:r>
      <w:r>
        <w:rPr>
          <w:rFonts w:eastAsia="仿宋_GB2312" w:hint="eastAsia"/>
          <w:sz w:val="28"/>
          <w:lang w:eastAsia="zh-CN"/>
        </w:rPr>
        <w:t>相关项目</w:t>
      </w:r>
    </w:p>
    <w:p>
      <w:pPr>
        <w:pStyle w:val="Normal0"/>
        <w:spacing w:line="560" w:lineRule="exact"/>
        <w:ind w:firstLine="555"/>
        <w:rPr>
          <w:rFonts w:eastAsia="仿宋_GB2312"/>
          <w:b/>
          <w:bCs/>
          <w:color w:val="000000"/>
          <w:sz w:val="28"/>
        </w:rPr>
      </w:pPr>
      <w:r>
        <w:rPr>
          <w:rFonts w:eastAsia="仿宋_GB2312"/>
          <w:sz w:val="28"/>
        </w:rPr>
        <w:t>2.</w:t>
      </w:r>
      <w:r>
        <w:rPr>
          <w:rFonts w:eastAsia="仿宋_GB2312" w:hint="eastAsia"/>
          <w:sz w:val="28"/>
          <w:lang w:eastAsia="zh-CN"/>
        </w:rPr>
        <w:t>相关项目</w:t>
      </w:r>
      <w:r>
        <w:rPr>
          <w:rFonts w:eastAsia="仿宋_GB2312"/>
          <w:sz w:val="28"/>
        </w:rPr>
        <w:t>性质：新建</w:t>
      </w:r>
    </w:p>
    <w:p>
      <w:pPr>
        <w:pStyle w:val="Normal0"/>
        <w:spacing w:line="560" w:lineRule="exact"/>
        <w:ind w:firstLine="555"/>
        <w:rPr>
          <w:rFonts w:eastAsia="仿宋_GB2312"/>
          <w:sz w:val="28"/>
        </w:rPr>
      </w:pPr>
      <w:r>
        <w:rPr>
          <w:rFonts w:eastAsia="仿宋_GB2312"/>
          <w:sz w:val="28"/>
        </w:rPr>
        <w:t>3.建设地址：重庆市沙坪坝区童家桥街道童新一村</w:t>
      </w:r>
    </w:p>
    <w:p>
      <w:pPr>
        <w:pStyle w:val="Normal0"/>
        <w:spacing w:line="560" w:lineRule="exact"/>
        <w:ind w:firstLine="555"/>
        <w:rPr>
          <w:rFonts w:eastAsia="仿宋_GB2312" w:hint="eastAsia"/>
          <w:sz w:val="28"/>
        </w:rPr>
      </w:pPr>
      <w:r>
        <w:rPr>
          <w:rFonts w:eastAsia="仿宋_GB2312"/>
          <w:sz w:val="28"/>
        </w:rPr>
        <w:t>4.</w:t>
      </w:r>
      <w:r>
        <w:rPr>
          <w:rFonts w:eastAsia="仿宋_GB2312" w:hint="eastAsia"/>
          <w:sz w:val="28"/>
          <w:lang w:eastAsia="zh-CN"/>
        </w:rPr>
        <w:t>相关项目</w:t>
      </w:r>
      <w:r>
        <w:rPr>
          <w:rFonts w:eastAsia="仿宋_GB2312"/>
          <w:sz w:val="28"/>
        </w:rPr>
        <w:t>业主：</w:t>
      </w:r>
      <w:r>
        <w:rPr>
          <w:rFonts w:eastAsia="仿宋_GB2312" w:hint="eastAsia"/>
          <w:sz w:val="28"/>
        </w:rPr>
        <w:t>****</w:t>
      </w:r>
    </w:p>
    <w:p>
      <w:pPr>
        <w:pStyle w:val="Normal0"/>
        <w:spacing w:line="560" w:lineRule="exact"/>
        <w:ind w:firstLine="555"/>
        <w:rPr>
          <w:rFonts w:eastAsia="仿宋_GB2312"/>
          <w:sz w:val="28"/>
        </w:rPr>
      </w:pPr>
      <w:r>
        <w:rPr>
          <w:rFonts w:eastAsia="仿宋_GB2312"/>
          <w:sz w:val="28"/>
        </w:rPr>
        <w:t>5.业主地址：沙坪坝区西永微电子产业园</w:t>
      </w:r>
    </w:p>
    <w:p>
      <w:pPr>
        <w:pStyle w:val="Normal0"/>
        <w:spacing w:line="560" w:lineRule="exact"/>
        <w:ind w:firstLine="555"/>
        <w:rPr>
          <w:rFonts w:eastAsia="仿宋_GB2312" w:hint="eastAsia"/>
          <w:sz w:val="28"/>
        </w:rPr>
      </w:pPr>
      <w:r>
        <w:rPr>
          <w:rFonts w:eastAsia="仿宋_GB2312"/>
          <w:sz w:val="28"/>
        </w:rPr>
        <w:t>6.法人代表：</w:t>
      </w:r>
      <w:r>
        <w:rPr>
          <w:rFonts w:eastAsia="仿宋_GB2312" w:hint="eastAsia"/>
          <w:sz w:val="28"/>
        </w:rPr>
        <w:t>**</w:t>
      </w:r>
    </w:p>
    <w:p>
      <w:pPr>
        <w:pStyle w:val="Normal0"/>
        <w:spacing w:line="560" w:lineRule="exact"/>
        <w:ind w:firstLine="560" w:firstLineChars="200"/>
        <w:rPr>
          <w:rFonts w:eastAsia="仿宋_GB2312"/>
          <w:sz w:val="28"/>
        </w:rPr>
      </w:pPr>
      <w:r>
        <w:rPr>
          <w:rFonts w:eastAsia="仿宋_GB2312"/>
          <w:sz w:val="28"/>
        </w:rPr>
        <w:t>7.建设规模及</w:t>
      </w:r>
      <w:r>
        <w:rPr>
          <w:rFonts w:eastAsia="仿宋_GB2312" w:hint="eastAsia"/>
          <w:sz w:val="28"/>
          <w:lang w:eastAsia="zh-CN"/>
        </w:rPr>
        <w:t>合适的内容</w:t>
      </w:r>
      <w:r>
        <w:rPr>
          <w:rFonts w:eastAsia="仿宋_GB2312"/>
          <w:sz w:val="28"/>
        </w:rPr>
        <w:t>：</w:t>
      </w:r>
    </w:p>
    <w:p>
      <w:pPr>
        <w:pStyle w:val="Normal0"/>
        <w:spacing w:line="560" w:lineRule="exact"/>
        <w:ind w:firstLine="560" w:firstLineChars="200"/>
        <w:rPr>
          <w:rFonts w:eastAsia="仿宋_GB2312"/>
          <w:color w:val="000000"/>
          <w:sz w:val="28"/>
          <w:szCs w:val="28"/>
        </w:rPr>
      </w:pPr>
      <w:r>
        <w:rPr>
          <w:rFonts w:eastAsia="仿宋_GB2312"/>
          <w:color w:val="000000"/>
          <w:sz w:val="28"/>
          <w:szCs w:val="28"/>
        </w:rPr>
        <w:t>总用地面积4273.4平方米（约6.4亩），总建筑面积16347平方米，其中住宅建筑面积13500平方米，</w:t>
      </w:r>
      <w:r>
        <w:rPr>
          <w:rFonts w:eastAsia="仿宋_GB2312" w:hint="eastAsia"/>
          <w:color w:val="000000"/>
          <w:sz w:val="28"/>
          <w:szCs w:val="28"/>
        </w:rPr>
        <w:t>公共活动用房800平方米，</w:t>
      </w:r>
      <w:r>
        <w:rPr>
          <w:rFonts w:eastAsia="仿宋_GB2312"/>
          <w:color w:val="000000"/>
          <w:sz w:val="28"/>
          <w:szCs w:val="28"/>
        </w:rPr>
        <w:t>商业面积</w:t>
      </w:r>
      <w:r>
        <w:rPr>
          <w:rFonts w:eastAsia="仿宋_GB2312" w:hint="eastAsia"/>
          <w:color w:val="000000"/>
          <w:sz w:val="28"/>
          <w:szCs w:val="28"/>
        </w:rPr>
        <w:t>5</w:t>
      </w:r>
      <w:r>
        <w:rPr>
          <w:rFonts w:eastAsia="仿宋_GB2312"/>
          <w:color w:val="000000"/>
          <w:sz w:val="28"/>
          <w:szCs w:val="28"/>
        </w:rPr>
        <w:t>47平方米，地下车库及设备用房1500平方米。</w:t>
      </w:r>
    </w:p>
    <w:p>
      <w:pPr>
        <w:pStyle w:val="Normal0"/>
        <w:spacing w:line="560" w:lineRule="exact"/>
        <w:ind w:firstLine="560" w:firstLineChars="200"/>
        <w:rPr>
          <w:rFonts w:eastAsia="仿宋_GB2312" w:hint="eastAsia"/>
          <w:sz w:val="28"/>
        </w:rPr>
      </w:pPr>
      <w:r>
        <w:rPr>
          <w:rFonts w:eastAsia="仿宋_GB2312"/>
          <w:sz w:val="28"/>
        </w:rPr>
        <w:t>8.</w:t>
      </w:r>
      <w:r>
        <w:rPr>
          <w:rFonts w:eastAsia="仿宋_GB2312" w:hint="eastAsia"/>
          <w:sz w:val="28"/>
          <w:lang w:eastAsia="zh-CN"/>
        </w:rPr>
        <w:t>相关项目</w:t>
      </w:r>
      <w:r>
        <w:rPr>
          <w:rFonts w:eastAsia="仿宋_GB2312"/>
          <w:sz w:val="28"/>
        </w:rPr>
        <w:t>建设工期：</w:t>
      </w:r>
      <w:r>
        <w:rPr>
          <w:rFonts w:eastAsia="仿宋_GB2312" w:hint="eastAsia"/>
          <w:sz w:val="28"/>
        </w:rPr>
        <w:t>20</w:t>
      </w:r>
      <w:r>
        <w:rPr>
          <w:rFonts w:eastAsia="仿宋_GB2312"/>
          <w:sz w:val="28"/>
        </w:rPr>
        <w:t>个月</w:t>
      </w:r>
      <w:r>
        <w:rPr>
          <w:rFonts w:eastAsia="仿宋_GB2312" w:hint="eastAsia"/>
          <w:sz w:val="28"/>
        </w:rPr>
        <w:t>（2009.9—2011.4）</w:t>
      </w:r>
    </w:p>
    <w:p>
      <w:pPr>
        <w:pStyle w:val="Normal0"/>
        <w:spacing w:line="560" w:lineRule="exact"/>
        <w:rPr>
          <w:rFonts w:eastAsia="仿宋_GB2312"/>
          <w:sz w:val="28"/>
        </w:rPr>
      </w:pPr>
      <w:r>
        <w:rPr>
          <w:rFonts w:eastAsia="仿宋_GB2312"/>
          <w:sz w:val="28"/>
        </w:rPr>
        <w:t xml:space="preserve">    9.总投资:</w:t>
      </w:r>
    </w:p>
    <w:p>
      <w:pPr>
        <w:pStyle w:val="Normal0"/>
        <w:spacing w:line="560" w:lineRule="exact"/>
        <w:ind w:firstLine="560" w:firstLineChars="200"/>
        <w:rPr>
          <w:rFonts w:eastAsia="仿宋_GB2312"/>
          <w:sz w:val="28"/>
        </w:rPr>
      </w:pPr>
      <w:r>
        <w:rPr>
          <w:rFonts w:eastAsia="仿宋_GB2312" w:hint="eastAsia"/>
          <w:sz w:val="28"/>
          <w:lang w:eastAsia="zh-CN"/>
        </w:rPr>
        <w:t>相关项目</w:t>
      </w:r>
      <w:r>
        <w:rPr>
          <w:rFonts w:eastAsia="仿宋_GB2312"/>
          <w:sz w:val="28"/>
        </w:rPr>
        <w:t>开发建设总投入</w:t>
      </w:r>
      <w:r>
        <w:rPr>
          <w:rFonts w:eastAsia="仿宋_GB2312" w:hint="eastAsia"/>
          <w:sz w:val="28"/>
        </w:rPr>
        <w:t>5080</w:t>
      </w:r>
      <w:r>
        <w:rPr>
          <w:rFonts w:eastAsia="仿宋_GB2312"/>
          <w:sz w:val="28"/>
        </w:rPr>
        <w:t>万元，其中：工程费用</w:t>
      </w:r>
      <w:r>
        <w:rPr>
          <w:rFonts w:eastAsia="仿宋_GB2312" w:hint="eastAsia"/>
          <w:sz w:val="28"/>
        </w:rPr>
        <w:t>2965</w:t>
      </w:r>
      <w:r>
        <w:rPr>
          <w:rFonts w:eastAsia="仿宋_GB2312"/>
          <w:sz w:val="28"/>
        </w:rPr>
        <w:t>万元(包括建安工程费</w:t>
      </w:r>
      <w:r>
        <w:rPr>
          <w:rFonts w:eastAsia="仿宋_GB2312" w:hint="eastAsia"/>
          <w:sz w:val="28"/>
        </w:rPr>
        <w:t>2745</w:t>
      </w:r>
      <w:r>
        <w:rPr>
          <w:rFonts w:eastAsia="仿宋_GB2312"/>
          <w:sz w:val="28"/>
        </w:rPr>
        <w:t>万元，市政设施配套费</w:t>
      </w:r>
      <w:r>
        <w:rPr>
          <w:rFonts w:eastAsia="仿宋_GB2312" w:hint="eastAsia"/>
          <w:sz w:val="28"/>
        </w:rPr>
        <w:t>220</w:t>
      </w:r>
      <w:r>
        <w:rPr>
          <w:rFonts w:eastAsia="仿宋_GB2312"/>
          <w:sz w:val="28"/>
        </w:rPr>
        <w:t>万元)，工程建设其他费用</w:t>
      </w:r>
      <w:r>
        <w:rPr>
          <w:rFonts w:eastAsia="仿宋_GB2312" w:hint="eastAsia"/>
          <w:sz w:val="28"/>
        </w:rPr>
        <w:t>1670</w:t>
      </w:r>
      <w:r>
        <w:rPr>
          <w:rFonts w:eastAsia="仿宋_GB2312"/>
          <w:sz w:val="28"/>
        </w:rPr>
        <w:t>万元，预备费</w:t>
      </w:r>
      <w:r>
        <w:rPr>
          <w:rFonts w:eastAsia="仿宋_GB2312" w:hint="eastAsia"/>
          <w:sz w:val="28"/>
        </w:rPr>
        <w:t>226</w:t>
      </w:r>
      <w:r>
        <w:rPr>
          <w:rFonts w:eastAsia="仿宋_GB2312"/>
          <w:sz w:val="28"/>
        </w:rPr>
        <w:t>万元，建设期利息</w:t>
      </w:r>
      <w:r>
        <w:rPr>
          <w:rFonts w:eastAsia="仿宋_GB2312" w:hint="eastAsia"/>
          <w:sz w:val="28"/>
        </w:rPr>
        <w:t>167</w:t>
      </w:r>
      <w:r>
        <w:rPr>
          <w:rFonts w:eastAsia="仿宋_GB2312"/>
          <w:sz w:val="28"/>
        </w:rPr>
        <w:t>万元，期间费用</w:t>
      </w:r>
      <w:r>
        <w:rPr>
          <w:rFonts w:eastAsia="仿宋_GB2312" w:hint="eastAsia"/>
          <w:sz w:val="28"/>
        </w:rPr>
        <w:t>52</w:t>
      </w:r>
      <w:r>
        <w:rPr>
          <w:rFonts w:eastAsia="仿宋_GB2312"/>
          <w:sz w:val="28"/>
        </w:rPr>
        <w:t>万元。</w:t>
      </w:r>
    </w:p>
    <w:p>
      <w:pPr>
        <w:pStyle w:val="Normal0"/>
        <w:spacing w:line="560" w:lineRule="exact"/>
        <w:ind w:firstLine="560" w:firstLineChars="200"/>
        <w:rPr>
          <w:rFonts w:eastAsia="仿宋_GB2312"/>
          <w:sz w:val="28"/>
          <w:szCs w:val="28"/>
        </w:rPr>
      </w:pPr>
      <w:r>
        <w:rPr>
          <w:rFonts w:eastAsia="仿宋_GB2312"/>
          <w:sz w:val="28"/>
          <w:szCs w:val="28"/>
        </w:rPr>
        <w:t>10.资金筹措:</w:t>
      </w:r>
    </w:p>
    <w:p>
      <w:pPr>
        <w:pStyle w:val="Normal0"/>
        <w:spacing w:line="560" w:lineRule="exact"/>
        <w:ind w:firstLine="600"/>
        <w:rPr>
          <w:rFonts w:eastAsia="仿宋_GB2312"/>
          <w:sz w:val="28"/>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pgNumType w:start="1"/>
          <w:cols w:num="1" w:space="425"/>
          <w:docGrid w:type="lines" w:linePitch="312" w:charSpace="0"/>
        </w:sectPr>
      </w:pPr>
      <w:bookmarkStart w:id="5" w:name="_Toc177983628"/>
      <w:r>
        <w:rPr>
          <w:rFonts w:eastAsia="仿宋_GB2312"/>
          <w:sz w:val="28"/>
        </w:rPr>
        <w:t>资金来源：企业自筹资金</w:t>
      </w:r>
      <w:r>
        <w:rPr>
          <w:rFonts w:eastAsia="仿宋_GB2312" w:hint="eastAsia"/>
          <w:sz w:val="28"/>
        </w:rPr>
        <w:t>1580</w:t>
      </w:r>
      <w:r>
        <w:rPr>
          <w:rFonts w:eastAsia="仿宋_GB2312"/>
          <w:sz w:val="28"/>
        </w:rPr>
        <w:t>万元，占总投资的3</w:t>
      </w:r>
      <w:r>
        <w:rPr>
          <w:rFonts w:eastAsia="仿宋_GB2312" w:hint="eastAsia"/>
          <w:sz w:val="28"/>
        </w:rPr>
        <w:t>1</w:t>
      </w:r>
      <w:r>
        <w:rPr>
          <w:rFonts w:eastAsia="仿宋_GB2312"/>
          <w:sz w:val="28"/>
        </w:rPr>
        <w:t>%；申请银行贷款3</w:t>
      </w:r>
      <w:r>
        <w:rPr>
          <w:rFonts w:eastAsia="仿宋_GB2312" w:hint="eastAsia"/>
          <w:sz w:val="28"/>
        </w:rPr>
        <w:t>5</w:t>
      </w:r>
      <w:r>
        <w:rPr>
          <w:rFonts w:eastAsia="仿宋_GB2312"/>
          <w:sz w:val="28"/>
        </w:rPr>
        <w:t>00万元，占总投资的6</w:t>
      </w:r>
      <w:r>
        <w:rPr>
          <w:rFonts w:eastAsia="仿宋_GB2312" w:hint="eastAsia"/>
          <w:sz w:val="28"/>
        </w:rPr>
        <w:t>9</w:t>
      </w:r>
      <w:r>
        <w:rPr>
          <w:rFonts w:eastAsia="仿宋_GB2312"/>
          <w:sz w:val="28"/>
        </w:rPr>
        <w:t>%</w:t>
      </w:r>
      <w:r>
        <w:rPr>
          <w:rFonts w:eastAsia="仿宋_GB2312" w:hint="eastAsia"/>
          <w:sz w:val="28"/>
        </w:rPr>
        <w:t>，银行贷款偿还资金来源全部为当地财政资金</w:t>
      </w:r>
      <w:r>
        <w:rPr>
          <w:rFonts w:eastAsia="仿宋_GB2312"/>
          <w:sz w:val="28"/>
        </w:rPr>
        <w:t>。</w:t>
      </w:r>
    </w:p>
    <w:bookmarkEnd w:id="5"/>
    <w:p>
      <w:pPr>
        <w:pStyle w:val="Heading2"/>
        <w:adjustRightInd/>
        <w:spacing w:before="260" w:after="260" w:line="416" w:lineRule="auto"/>
        <w:textAlignment w:val="auto"/>
        <w:rPr>
          <w:rFonts w:ascii="Times New Roman" w:hAnsi="Times New Roman"/>
          <w:b/>
          <w:bCs/>
        </w:rPr>
      </w:pPr>
      <w:bookmarkStart w:id="6" w:name="_Toc244922113"/>
      <w:bookmarkStart w:id="7" w:name="_Toc244610484"/>
      <w:r>
        <w:rPr>
          <w:rFonts w:ascii="Times New Roman" w:hAnsi="Times New Roman"/>
          <w:b/>
          <w:bCs/>
        </w:rPr>
        <w:t>1.3 编制依据及研究范围</w:t>
      </w:r>
      <w:bookmarkEnd w:id="6"/>
      <w:bookmarkEnd w:id="7"/>
    </w:p>
    <w:p>
      <w:pPr>
        <w:pStyle w:val="Heading3"/>
        <w:rPr>
          <w:rFonts w:eastAsia="仿宋_GB2312"/>
          <w:b w:val="0"/>
          <w:sz w:val="28"/>
          <w:szCs w:val="28"/>
        </w:rPr>
      </w:pPr>
      <w:r>
        <w:rPr>
          <w:rFonts w:eastAsia="仿宋_GB2312"/>
          <w:b w:val="0"/>
          <w:sz w:val="28"/>
          <w:szCs w:val="28"/>
        </w:rPr>
        <w:t>1.3.1编制依据</w:t>
      </w:r>
    </w:p>
    <w:p>
      <w:pPr>
        <w:pStyle w:val="Normal0"/>
        <w:spacing w:line="360" w:lineRule="auto"/>
        <w:ind w:firstLine="560" w:firstLineChars="200"/>
        <w:rPr>
          <w:rFonts w:eastAsia="仿宋_GB2312"/>
          <w:color w:val="000000"/>
          <w:sz w:val="28"/>
          <w:szCs w:val="28"/>
        </w:rPr>
      </w:pPr>
      <w:r>
        <w:rPr>
          <w:rFonts w:eastAsia="仿宋_GB2312"/>
          <w:color w:val="000000"/>
          <w:sz w:val="28"/>
          <w:szCs w:val="28"/>
        </w:rPr>
        <w:t>1. 《关于印发沙坪坝区危旧房改造工作实施</w:t>
      </w:r>
      <w:r>
        <w:rPr>
          <w:rFonts w:eastAsia="仿宋_GB2312" w:hint="eastAsia"/>
          <w:color w:val="000000"/>
          <w:sz w:val="28"/>
          <w:szCs w:val="28"/>
          <w:lang w:eastAsia="zh-CN"/>
        </w:rPr>
        <w:t>合适的方案</w:t>
      </w:r>
      <w:r>
        <w:rPr>
          <w:rFonts w:eastAsia="仿宋_GB2312"/>
          <w:color w:val="000000"/>
          <w:sz w:val="28"/>
          <w:szCs w:val="28"/>
        </w:rPr>
        <w:t>的通知》（沙委发〔2008〕10号文）；</w:t>
      </w:r>
    </w:p>
    <w:p>
      <w:pPr>
        <w:pStyle w:val="Normal0"/>
        <w:spacing w:line="360" w:lineRule="auto"/>
        <w:ind w:firstLine="560" w:firstLineChars="200"/>
        <w:rPr>
          <w:rFonts w:eastAsia="仿宋_GB2312"/>
          <w:color w:val="000000"/>
          <w:sz w:val="28"/>
          <w:szCs w:val="28"/>
        </w:rPr>
      </w:pPr>
      <w:r>
        <w:rPr>
          <w:rFonts w:eastAsia="仿宋_GB2312"/>
          <w:color w:val="000000"/>
          <w:sz w:val="28"/>
          <w:szCs w:val="28"/>
        </w:rPr>
        <w:t>2.重庆磁器口历史街区保护规划与设计；</w:t>
      </w:r>
    </w:p>
    <w:p>
      <w:pPr>
        <w:pStyle w:val="Normal0"/>
        <w:ind w:firstLine="560" w:firstLineChars="200"/>
        <w:rPr>
          <w:rFonts w:eastAsia="仿宋_GB2312"/>
          <w:sz w:val="28"/>
        </w:rPr>
      </w:pPr>
      <w:r>
        <w:rPr>
          <w:rFonts w:eastAsia="仿宋_GB2312"/>
          <w:sz w:val="28"/>
        </w:rPr>
        <w:t>3.沙坪坝区用地规划；</w:t>
      </w:r>
    </w:p>
    <w:p>
      <w:pPr>
        <w:pStyle w:val="Normal0"/>
        <w:ind w:firstLine="560" w:firstLineChars="200"/>
        <w:rPr>
          <w:rFonts w:eastAsia="仿宋_GB2312"/>
          <w:color w:val="000000"/>
          <w:sz w:val="28"/>
          <w:szCs w:val="28"/>
        </w:rPr>
      </w:pPr>
      <w:r>
        <w:rPr>
          <w:rFonts w:eastAsia="仿宋_GB2312"/>
          <w:color w:val="000000"/>
          <w:sz w:val="28"/>
          <w:szCs w:val="28"/>
        </w:rPr>
        <w:t>4.《投资</w:t>
      </w:r>
      <w:r>
        <w:rPr>
          <w:rFonts w:eastAsia="仿宋_GB2312" w:hint="eastAsia"/>
          <w:color w:val="000000"/>
          <w:sz w:val="28"/>
          <w:szCs w:val="28"/>
          <w:lang w:eastAsia="zh-CN"/>
        </w:rPr>
        <w:t>相关项目</w:t>
      </w:r>
      <w:r>
        <w:rPr>
          <w:rFonts w:eastAsia="仿宋_GB2312"/>
          <w:color w:val="000000"/>
          <w:sz w:val="28"/>
          <w:szCs w:val="28"/>
        </w:rPr>
        <w:t>可行性研究指南》（试用版）；</w:t>
      </w:r>
    </w:p>
    <w:p>
      <w:pPr>
        <w:pStyle w:val="Normal0"/>
        <w:ind w:firstLine="560" w:firstLineChars="200"/>
        <w:rPr>
          <w:rFonts w:eastAsia="仿宋_GB2312"/>
          <w:color w:val="000000"/>
          <w:sz w:val="28"/>
          <w:szCs w:val="28"/>
        </w:rPr>
      </w:pPr>
      <w:r>
        <w:rPr>
          <w:rFonts w:eastAsia="仿宋_GB2312"/>
          <w:color w:val="000000"/>
          <w:sz w:val="28"/>
          <w:szCs w:val="28"/>
        </w:rPr>
        <w:t>5.《建设</w:t>
      </w:r>
      <w:r>
        <w:rPr>
          <w:rFonts w:eastAsia="仿宋_GB2312" w:hint="eastAsia"/>
          <w:color w:val="000000"/>
          <w:sz w:val="28"/>
          <w:szCs w:val="28"/>
          <w:lang w:eastAsia="zh-CN"/>
        </w:rPr>
        <w:t>相关项目</w:t>
      </w:r>
      <w:r>
        <w:rPr>
          <w:rFonts w:eastAsia="仿宋_GB2312"/>
          <w:color w:val="000000"/>
          <w:sz w:val="28"/>
          <w:szCs w:val="28"/>
        </w:rPr>
        <w:t>经济评价方法与参数》（第三版）；</w:t>
      </w:r>
    </w:p>
    <w:p>
      <w:pPr>
        <w:pStyle w:val="Normal0"/>
        <w:ind w:firstLine="560" w:firstLineChars="200"/>
        <w:rPr>
          <w:rFonts w:eastAsia="仿宋_GB2312"/>
          <w:color w:val="000000"/>
          <w:sz w:val="28"/>
          <w:szCs w:val="28"/>
        </w:rPr>
      </w:pPr>
      <w:r>
        <w:rPr>
          <w:rFonts w:eastAsia="仿宋_GB2312"/>
          <w:color w:val="000000"/>
          <w:sz w:val="28"/>
          <w:szCs w:val="28"/>
        </w:rPr>
        <w:t>6.业主提供的区域及园区社会、经济、人口、环境、土地、自然条件等基础性资料；</w:t>
      </w:r>
    </w:p>
    <w:p>
      <w:pPr>
        <w:pStyle w:val="Normal0"/>
        <w:ind w:firstLine="560" w:firstLineChars="200"/>
        <w:rPr>
          <w:rFonts w:eastAsia="仿宋_GB2312"/>
          <w:color w:val="000000"/>
          <w:sz w:val="28"/>
          <w:szCs w:val="28"/>
        </w:rPr>
      </w:pPr>
      <w:r>
        <w:rPr>
          <w:rFonts w:eastAsia="仿宋_GB2312"/>
          <w:color w:val="000000"/>
          <w:sz w:val="28"/>
          <w:szCs w:val="28"/>
        </w:rPr>
        <w:t>7.本</w:t>
      </w:r>
      <w:r>
        <w:rPr>
          <w:rFonts w:eastAsia="仿宋_GB2312" w:hint="eastAsia"/>
          <w:color w:val="000000"/>
          <w:sz w:val="28"/>
          <w:szCs w:val="28"/>
          <w:lang w:eastAsia="zh-CN"/>
        </w:rPr>
        <w:t>相关项目</w:t>
      </w:r>
      <w:r>
        <w:rPr>
          <w:rFonts w:eastAsia="仿宋_GB2312"/>
          <w:color w:val="000000"/>
          <w:sz w:val="28"/>
          <w:szCs w:val="28"/>
        </w:rPr>
        <w:t>适用的国家及地方标准、规范、法规等。</w:t>
      </w:r>
    </w:p>
    <w:p>
      <w:pPr>
        <w:pStyle w:val="Heading3"/>
        <w:spacing w:before="0" w:after="0"/>
        <w:rPr>
          <w:rFonts w:eastAsia="仿宋_GB2312"/>
          <w:b w:val="0"/>
          <w:sz w:val="28"/>
          <w:szCs w:val="28"/>
        </w:rPr>
      </w:pPr>
      <w:r>
        <w:rPr>
          <w:rFonts w:eastAsia="仿宋_GB2312"/>
          <w:b w:val="0"/>
          <w:sz w:val="28"/>
          <w:szCs w:val="28"/>
        </w:rPr>
        <w:t>1.3.2 研究范围</w:t>
      </w:r>
    </w:p>
    <w:p>
      <w:pPr>
        <w:pStyle w:val="Normal0"/>
        <w:ind w:firstLine="560" w:firstLineChars="200"/>
        <w:rPr>
          <w:rFonts w:eastAsia="仿宋_GB2312"/>
          <w:sz w:val="28"/>
        </w:rPr>
      </w:pPr>
      <w:r>
        <w:rPr>
          <w:rFonts w:eastAsia="仿宋_GB2312"/>
          <w:sz w:val="28"/>
        </w:rPr>
        <w:t>根据</w:t>
      </w:r>
      <w:r>
        <w:rPr>
          <w:rFonts w:eastAsia="仿宋_GB2312" w:hint="eastAsia"/>
          <w:sz w:val="28"/>
          <w:lang w:eastAsia="zh-CN"/>
        </w:rPr>
        <w:t>相关项目</w:t>
      </w:r>
      <w:r>
        <w:rPr>
          <w:rFonts w:eastAsia="仿宋_GB2312"/>
          <w:sz w:val="28"/>
        </w:rPr>
        <w:t>业主的委托要求，对本</w:t>
      </w:r>
      <w:r>
        <w:rPr>
          <w:rFonts w:eastAsia="仿宋_GB2312" w:hint="eastAsia"/>
          <w:sz w:val="28"/>
          <w:lang w:eastAsia="zh-CN"/>
        </w:rPr>
        <w:t>相关项目</w:t>
      </w:r>
      <w:r>
        <w:rPr>
          <w:rFonts w:eastAsia="仿宋_GB2312"/>
          <w:sz w:val="28"/>
        </w:rPr>
        <w:t>建设进行技术及经济方面的研究和论证，包括</w:t>
      </w:r>
      <w:r>
        <w:rPr>
          <w:rFonts w:eastAsia="仿宋_GB2312" w:hint="eastAsia"/>
          <w:sz w:val="28"/>
          <w:lang w:eastAsia="zh-CN"/>
        </w:rPr>
        <w:t>相关项目</w:t>
      </w:r>
      <w:r>
        <w:rPr>
          <w:rFonts w:eastAsia="仿宋_GB2312"/>
          <w:sz w:val="28"/>
        </w:rPr>
        <w:t>建设的必要性、建设规模与产品</w:t>
      </w:r>
      <w:r>
        <w:rPr>
          <w:rFonts w:eastAsia="仿宋_GB2312" w:hint="eastAsia"/>
          <w:sz w:val="28"/>
          <w:lang w:eastAsia="zh-CN"/>
        </w:rPr>
        <w:t>合适的方案</w:t>
      </w:r>
      <w:r>
        <w:rPr>
          <w:rFonts w:eastAsia="仿宋_GB2312"/>
          <w:sz w:val="28"/>
        </w:rPr>
        <w:t>、建设</w:t>
      </w:r>
      <w:r>
        <w:rPr>
          <w:rFonts w:eastAsia="仿宋_GB2312" w:hint="eastAsia"/>
          <w:sz w:val="28"/>
          <w:lang w:eastAsia="zh-CN"/>
        </w:rPr>
        <w:t>合适的方案</w:t>
      </w:r>
      <w:r>
        <w:rPr>
          <w:rFonts w:eastAsia="仿宋_GB2312"/>
          <w:sz w:val="28"/>
        </w:rPr>
        <w:t>、投资估算与资金筹措、组织机构与人力资源配置、</w:t>
      </w:r>
      <w:r>
        <w:rPr>
          <w:rFonts w:eastAsia="仿宋_GB2312" w:hint="eastAsia"/>
          <w:sz w:val="28"/>
          <w:lang w:eastAsia="zh-CN"/>
        </w:rPr>
        <w:t>相关项目</w:t>
      </w:r>
      <w:r>
        <w:rPr>
          <w:rFonts w:eastAsia="仿宋_GB2312"/>
          <w:sz w:val="28"/>
        </w:rPr>
        <w:t>进度</w:t>
      </w:r>
      <w:r>
        <w:rPr>
          <w:rFonts w:eastAsia="仿宋_GB2312" w:hint="eastAsia"/>
          <w:sz w:val="28"/>
          <w:lang w:eastAsia="zh-CN"/>
        </w:rPr>
        <w:t>相关计划</w:t>
      </w:r>
      <w:r>
        <w:rPr>
          <w:rFonts w:eastAsia="仿宋_GB2312"/>
          <w:sz w:val="28"/>
        </w:rPr>
        <w:t>安排、</w:t>
      </w:r>
      <w:r>
        <w:rPr>
          <w:rFonts w:eastAsia="仿宋_GB2312" w:hint="eastAsia"/>
          <w:sz w:val="28"/>
          <w:lang w:eastAsia="zh-CN"/>
        </w:rPr>
        <w:t>相关项目</w:t>
      </w:r>
      <w:r>
        <w:rPr>
          <w:rFonts w:eastAsia="仿宋_GB2312"/>
          <w:sz w:val="28"/>
        </w:rPr>
        <w:t>效益评价等。</w:t>
      </w:r>
    </w:p>
    <w:p>
      <w:pPr>
        <w:pStyle w:val="Heading2"/>
        <w:adjustRightInd/>
        <w:spacing w:line="416" w:lineRule="auto"/>
        <w:textAlignment w:val="auto"/>
        <w:rPr>
          <w:rFonts w:ascii="Times New Roman" w:hAnsi="Times New Roman"/>
          <w:b/>
          <w:bCs/>
        </w:rPr>
      </w:pPr>
      <w:bookmarkStart w:id="8" w:name="_Toc244922114"/>
      <w:bookmarkStart w:id="9" w:name="_Toc244610485"/>
      <w:r>
        <w:rPr>
          <w:rFonts w:ascii="Times New Roman" w:hAnsi="Times New Roman"/>
          <w:b/>
          <w:bCs/>
        </w:rPr>
        <w:t>1.4 主要技术经济指标</w:t>
      </w:r>
      <w:bookmarkEnd w:id="8"/>
      <w:bookmarkEnd w:id="9"/>
    </w:p>
    <w:p>
      <w:pPr>
        <w:pStyle w:val="Normal0"/>
        <w:jc w:val="center"/>
        <w:rPr>
          <w:rFonts w:eastAsia="黑体"/>
          <w:b/>
          <w:bCs/>
          <w:sz w:val="24"/>
        </w:rPr>
      </w:pPr>
      <w:r>
        <w:rPr>
          <w:rFonts w:eastAsia="黑体"/>
          <w:sz w:val="24"/>
        </w:rPr>
        <w:t xml:space="preserve">表1-1 </w:t>
      </w:r>
      <w:r>
        <w:rPr>
          <w:rFonts w:eastAsia="黑体"/>
          <w:b/>
          <w:bCs/>
          <w:sz w:val="24"/>
        </w:rPr>
        <w:t>主要技术经济指标表</w:t>
      </w:r>
    </w:p>
    <w:tbl>
      <w:tblPr>
        <w:tblStyle w:val="TableNormal"/>
        <w:tblW w:w="0" w:type="auto"/>
        <w:jc w:val="center"/>
        <w:tblLayout w:type="fixed"/>
        <w:tblCellMar>
          <w:top w:w="0" w:type="dxa"/>
          <w:left w:w="108" w:type="dxa"/>
          <w:bottom w:w="0" w:type="dxa"/>
          <w:right w:w="108" w:type="dxa"/>
        </w:tblCellMar>
      </w:tblPr>
      <w:tblGrid>
        <w:gridCol w:w="1056"/>
        <w:gridCol w:w="2376"/>
        <w:gridCol w:w="1025"/>
        <w:gridCol w:w="1001"/>
        <w:gridCol w:w="2486"/>
      </w:tblGrid>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single" w:sz="8" w:space="0" w:color="auto"/>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序号</w:t>
            </w:r>
          </w:p>
        </w:tc>
        <w:tc>
          <w:tcPr>
            <w:tcW w:w="2376"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lang w:eastAsia="zh-CN"/>
              </w:rPr>
              <w:t>相关项目</w:t>
            </w:r>
          </w:p>
        </w:tc>
        <w:tc>
          <w:tcPr>
            <w:tcW w:w="1025"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计量单位</w:t>
            </w:r>
          </w:p>
        </w:tc>
        <w:tc>
          <w:tcPr>
            <w:tcW w:w="1001"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数值</w:t>
            </w:r>
          </w:p>
        </w:tc>
        <w:tc>
          <w:tcPr>
            <w:tcW w:w="2486" w:type="dxa"/>
            <w:tcBorders>
              <w:top w:val="single" w:sz="8" w:space="0" w:color="auto"/>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备注</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一</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主要技术指标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1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总建设用地面积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4273.4</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约6.4亩</w:t>
            </w:r>
          </w:p>
        </w:tc>
      </w:tr>
      <w:tr>
        <w:tblPrEx>
          <w:tblW w:w="0" w:type="auto"/>
          <w:jc w:val="center"/>
          <w:tblLayout w:type="fixed"/>
          <w:tblCellMar>
            <w:top w:w="0" w:type="dxa"/>
            <w:left w:w="108" w:type="dxa"/>
            <w:bottom w:w="0" w:type="dxa"/>
            <w:right w:w="108" w:type="dxa"/>
          </w:tblCellMar>
        </w:tblPrEx>
        <w:trPr>
          <w:trHeight w:val="570"/>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居住人数</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人</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768</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每户按3.2人计算</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总建筑面积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16347</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100%</w:t>
            </w:r>
          </w:p>
        </w:tc>
      </w:tr>
    </w:tbl>
    <w:p>
      <w:p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0" w:type="auto"/>
        <w:jc w:val="center"/>
        <w:tblLayout w:type="fixed"/>
        <w:tblCellMar>
          <w:top w:w="0" w:type="dxa"/>
          <w:left w:w="108" w:type="dxa"/>
          <w:bottom w:w="0" w:type="dxa"/>
          <w:right w:w="108" w:type="dxa"/>
        </w:tblCellMar>
      </w:tblPr>
      <w:tblGrid>
        <w:gridCol w:w="1056"/>
        <w:gridCol w:w="2376"/>
        <w:gridCol w:w="1025"/>
        <w:gridCol w:w="1001"/>
        <w:gridCol w:w="2486"/>
      </w:tblGrid>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住宅建筑面积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13500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全部为安置房</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商业面积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5</w:t>
            </w:r>
            <w:r>
              <w:rPr>
                <w:kern w:val="0"/>
                <w:sz w:val="22"/>
                <w:szCs w:val="22"/>
              </w:rPr>
              <w:t>47</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可对外发售</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rFonts w:hint="eastAsia"/>
                <w:kern w:val="0"/>
                <w:sz w:val="22"/>
                <w:szCs w:val="22"/>
              </w:rPr>
            </w:pPr>
            <w:r>
              <w:rPr>
                <w:rFonts w:hint="eastAsia"/>
                <w:kern w:val="0"/>
                <w:sz w:val="22"/>
                <w:szCs w:val="22"/>
              </w:rPr>
              <w:t>3.3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rFonts w:hint="eastAsia"/>
                <w:kern w:val="0"/>
                <w:sz w:val="22"/>
                <w:szCs w:val="22"/>
              </w:rPr>
            </w:pPr>
            <w:r>
              <w:rPr>
                <w:rFonts w:hint="eastAsia"/>
                <w:kern w:val="0"/>
                <w:sz w:val="22"/>
                <w:szCs w:val="22"/>
                <w:lang w:eastAsia="zh-CN"/>
              </w:rPr>
              <w:t>管理管控</w:t>
            </w:r>
            <w:r>
              <w:rPr>
                <w:rFonts w:hint="eastAsia"/>
                <w:kern w:val="0"/>
                <w:sz w:val="22"/>
                <w:szCs w:val="22"/>
              </w:rPr>
              <w:t>与公共活动用房</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800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rFonts w:hint="eastAsia"/>
                <w:kern w:val="0"/>
                <w:sz w:val="22"/>
                <w:szCs w:val="22"/>
              </w:rPr>
            </w:pPr>
            <w:r>
              <w:rPr>
                <w:rFonts w:hint="eastAsia"/>
                <w:kern w:val="0"/>
                <w:sz w:val="22"/>
                <w:szCs w:val="22"/>
              </w:rPr>
              <w:t>3.4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color w:val="FF0000"/>
                <w:kern w:val="0"/>
                <w:sz w:val="22"/>
                <w:szCs w:val="22"/>
              </w:rPr>
              <w:t>底下</w:t>
            </w:r>
            <w:r>
              <w:rPr>
                <w:kern w:val="0"/>
                <w:sz w:val="22"/>
                <w:szCs w:val="22"/>
              </w:rPr>
              <w:t>车库及设备用房</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1500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停车泊位</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50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地面</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地下</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40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5</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容积率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3.5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6</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绿地率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35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7</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建设工期</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个月</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二</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主要经济指标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rFonts w:hint="eastAsia"/>
                <w:color w:val="000000"/>
                <w:kern w:val="0"/>
                <w:sz w:val="22"/>
                <w:szCs w:val="22"/>
                <w:lang w:eastAsia="zh-CN"/>
              </w:rPr>
              <w:t>相关项目</w:t>
            </w:r>
            <w:r>
              <w:rPr>
                <w:color w:val="000000"/>
                <w:kern w:val="0"/>
                <w:sz w:val="22"/>
                <w:szCs w:val="22"/>
              </w:rPr>
              <w:t>开发建设总投入</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5080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其中：自筹资金</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1580</w:t>
            </w:r>
            <w:r>
              <w:rPr>
                <w:kern w:val="0"/>
                <w:sz w:val="22"/>
                <w:szCs w:val="22"/>
              </w:rPr>
              <w:t xml:space="preserve">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占总投资</w:t>
            </w:r>
            <w:r>
              <w:rPr>
                <w:rFonts w:hint="eastAsia"/>
                <w:kern w:val="0"/>
                <w:sz w:val="22"/>
                <w:szCs w:val="22"/>
              </w:rPr>
              <w:t>31</w:t>
            </w:r>
            <w:r>
              <w:rPr>
                <w:kern w:val="0"/>
                <w:sz w:val="22"/>
                <w:szCs w:val="22"/>
              </w:rPr>
              <w:t>%</w:t>
            </w:r>
          </w:p>
        </w:tc>
      </w:tr>
      <w:tr>
        <w:tblPrEx>
          <w:tblW w:w="0" w:type="auto"/>
          <w:jc w:val="center"/>
          <w:tblLayout w:type="fixed"/>
          <w:tblCellMar>
            <w:top w:w="0" w:type="dxa"/>
            <w:left w:w="108" w:type="dxa"/>
            <w:bottom w:w="0" w:type="dxa"/>
            <w:right w:w="108" w:type="dxa"/>
          </w:tblCellMar>
        </w:tblPrEx>
        <w:trPr>
          <w:trHeight w:val="28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ind w:firstLine="660" w:firstLineChars="300"/>
              <w:jc w:val="left"/>
              <w:rPr>
                <w:color w:val="000000"/>
                <w:kern w:val="0"/>
                <w:sz w:val="22"/>
                <w:szCs w:val="22"/>
              </w:rPr>
            </w:pPr>
            <w:r>
              <w:rPr>
                <w:color w:val="000000"/>
                <w:kern w:val="0"/>
                <w:sz w:val="22"/>
                <w:szCs w:val="22"/>
              </w:rPr>
              <w:t>银行贷款</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3</w:t>
            </w:r>
            <w:r>
              <w:rPr>
                <w:rFonts w:hint="eastAsia"/>
                <w:kern w:val="0"/>
                <w:sz w:val="22"/>
                <w:szCs w:val="22"/>
              </w:rPr>
              <w:t>5</w:t>
            </w:r>
            <w:r>
              <w:rPr>
                <w:kern w:val="0"/>
                <w:sz w:val="22"/>
                <w:szCs w:val="22"/>
              </w:rPr>
              <w:t xml:space="preserve">00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占总投资6</w:t>
            </w:r>
            <w:r>
              <w:rPr>
                <w:rFonts w:hint="eastAsia"/>
                <w:kern w:val="0"/>
                <w:sz w:val="22"/>
                <w:szCs w:val="22"/>
              </w:rPr>
              <w:t>9</w:t>
            </w:r>
            <w:r>
              <w:rPr>
                <w:kern w:val="0"/>
                <w:sz w:val="22"/>
                <w:szCs w:val="22"/>
              </w:rPr>
              <w:t>%</w:t>
            </w:r>
          </w:p>
        </w:tc>
      </w:tr>
      <w:tr>
        <w:tblPrEx>
          <w:tblW w:w="0" w:type="auto"/>
          <w:jc w:val="center"/>
          <w:tblLayout w:type="fixed"/>
          <w:tblCellMar>
            <w:top w:w="0" w:type="dxa"/>
            <w:left w:w="108" w:type="dxa"/>
            <w:bottom w:w="0" w:type="dxa"/>
            <w:right w:w="108" w:type="dxa"/>
          </w:tblCellMar>
        </w:tblPrEx>
        <w:trPr>
          <w:trHeight w:val="28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销售收入</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438</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销售税金及附加</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24</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r>
      <w:tr>
        <w:tblPrEx>
          <w:tblW w:w="0" w:type="auto"/>
          <w:jc w:val="center"/>
          <w:tblLayout w:type="fixed"/>
          <w:tblCellMar>
            <w:top w:w="0" w:type="dxa"/>
            <w:left w:w="108" w:type="dxa"/>
            <w:bottom w:w="0" w:type="dxa"/>
            <w:right w:w="108" w:type="dxa"/>
          </w:tblCellMar>
        </w:tblPrEx>
        <w:trPr>
          <w:trHeight w:val="390"/>
          <w:jc w:val="center"/>
        </w:trPr>
        <w:tc>
          <w:tcPr>
            <w:tcW w:w="1056" w:type="dxa"/>
            <w:tcBorders>
              <w:top w:val="nil"/>
              <w:left w:val="single" w:sz="4" w:space="0" w:color="auto"/>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利润总额</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—4666</w:t>
            </w:r>
          </w:p>
        </w:tc>
        <w:tc>
          <w:tcPr>
            <w:tcW w:w="2486" w:type="dxa"/>
            <w:tcBorders>
              <w:top w:val="nil"/>
              <w:left w:val="nil"/>
              <w:bottom w:val="single" w:sz="8" w:space="0" w:color="auto"/>
              <w:right w:val="single" w:sz="8" w:space="0" w:color="auto"/>
            </w:tcBorders>
            <w:shd w:val="clear" w:color="auto" w:fill="auto"/>
            <w:noWrap/>
            <w:vAlign w:val="center"/>
          </w:tcPr>
          <w:p>
            <w:pPr>
              <w:pStyle w:val="Normal0"/>
              <w:widowControl/>
              <w:jc w:val="left"/>
              <w:rPr>
                <w:kern w:val="0"/>
                <w:sz w:val="22"/>
                <w:szCs w:val="22"/>
              </w:rPr>
            </w:pPr>
            <w:r>
              <w:rPr>
                <w:kern w:val="0"/>
                <w:sz w:val="22"/>
                <w:szCs w:val="22"/>
              </w:rPr>
              <w:t>　</w:t>
            </w:r>
          </w:p>
        </w:tc>
      </w:tr>
    </w:tbl>
    <w:p>
      <w:pPr>
        <w:pStyle w:val="Normal0"/>
        <w:jc w:val="center"/>
        <w:rPr>
          <w:rFonts w:eastAsia="黑体"/>
          <w:b/>
          <w:bCs/>
          <w:sz w:val="24"/>
        </w:rPr>
      </w:pPr>
    </w:p>
    <w:p>
      <w:pPr>
        <w:pStyle w:val="Heading2"/>
        <w:adjustRightInd/>
        <w:spacing w:before="260" w:after="260" w:line="416" w:lineRule="auto"/>
        <w:textAlignment w:val="auto"/>
        <w:rPr>
          <w:rFonts w:ascii="Times New Roman" w:hAnsi="Times New Roman"/>
          <w:b/>
          <w:bCs/>
        </w:rPr>
      </w:pPr>
      <w:bookmarkStart w:id="10" w:name="_Toc244610486"/>
      <w:bookmarkStart w:id="11" w:name="_Toc177983631"/>
      <w:bookmarkStart w:id="12" w:name="_Toc244922115"/>
      <w:r>
        <w:rPr>
          <w:rFonts w:ascii="Times New Roman" w:hAnsi="Times New Roman"/>
          <w:b/>
          <w:bCs/>
        </w:rPr>
        <w:t>1.5 简要结论</w:t>
      </w:r>
      <w:bookmarkEnd w:id="10"/>
      <w:bookmarkEnd w:id="11"/>
      <w:bookmarkEnd w:id="12"/>
    </w:p>
    <w:p>
      <w:pPr>
        <w:pStyle w:val="Normal0"/>
        <w:widowControl/>
        <w:ind w:firstLine="560" w:firstLineChars="200"/>
        <w:jc w:val="left"/>
        <w:rPr>
          <w:rFonts w:eastAsia="仿宋_GB2312"/>
          <w:kern w:val="0"/>
          <w:sz w:val="28"/>
          <w:szCs w:val="28"/>
        </w:rPr>
      </w:pP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所在地</w:t>
      </w:r>
      <w:r>
        <w:rPr>
          <w:rFonts w:eastAsia="仿宋_GB2312"/>
          <w:sz w:val="28"/>
          <w:szCs w:val="28"/>
        </w:rPr>
        <w:t>位于历史文化旅游区——磁器口古镇与红色旅游区——歌乐山烈士陵园之间，与两地相距甚近；该地块作为</w:t>
      </w:r>
      <w:r>
        <w:rPr>
          <w:rFonts w:eastAsia="仿宋_GB2312"/>
          <w:color w:val="000000"/>
          <w:sz w:val="28"/>
          <w:szCs w:val="28"/>
        </w:rPr>
        <w:t>磁器口古镇的风貌协调区，北临磁童路，南临双菱皮鞋厂，西临212国道，东临清水溪，</w:t>
      </w:r>
      <w:r>
        <w:rPr>
          <w:rFonts w:eastAsia="仿宋_GB2312"/>
          <w:sz w:val="28"/>
          <w:szCs w:val="28"/>
        </w:rPr>
        <w:t>交通条件优越。</w:t>
      </w:r>
      <w:r>
        <w:rPr>
          <w:rFonts w:eastAsia="仿宋_GB2312"/>
          <w:color w:val="000000"/>
          <w:sz w:val="28"/>
          <w:szCs w:val="28"/>
        </w:rPr>
        <w:t>地块周边</w:t>
      </w:r>
      <w:r>
        <w:rPr>
          <w:rFonts w:eastAsia="仿宋_GB2312"/>
          <w:sz w:val="28"/>
          <w:szCs w:val="28"/>
        </w:rPr>
        <w:t>配套完善、交通便利、居住环境优越，商业、文化氛围较浓，市场区位、交通区位、环境区位都比较好，未来发展前景看好。</w:t>
      </w:r>
    </w:p>
    <w:p>
      <w:pPr>
        <w:pStyle w:val="Normal0"/>
        <w:ind w:firstLine="600"/>
        <w:rPr>
          <w:rFonts w:eastAsia="仿宋_GB2312"/>
          <w:color w:val="000000"/>
          <w:sz w:val="28"/>
          <w:szCs w:val="28"/>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NumType w:start="3"/>
          <w:cols w:num="1" w:space="425"/>
          <w:titlePg w:val="0"/>
          <w:docGrid w:type="lines" w:linePitch="312" w:charSpace="0"/>
        </w:sectPr>
      </w:pP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建设规模较小、基本功能齐全，总体规划符合城市区域发展规划的要求，功能定位准确。</w:t>
      </w:r>
      <w:r>
        <w:rPr>
          <w:rFonts w:eastAsia="仿宋_GB2312" w:hint="eastAsia"/>
          <w:color w:val="000000"/>
          <w:sz w:val="28"/>
          <w:szCs w:val="28"/>
          <w:lang w:eastAsia="zh-CN"/>
        </w:rPr>
        <w:t>相关项目</w:t>
      </w:r>
      <w:r>
        <w:rPr>
          <w:rFonts w:eastAsia="仿宋_GB2312"/>
          <w:color w:val="000000"/>
          <w:sz w:val="28"/>
          <w:szCs w:val="28"/>
        </w:rPr>
        <w:t>建设的前置条件已具备，建设地交通便利，具有较好的建设条件。</w:t>
      </w:r>
      <w:r>
        <w:rPr>
          <w:rFonts w:eastAsia="仿宋_GB2312" w:hint="eastAsia"/>
          <w:color w:val="000000"/>
          <w:sz w:val="28"/>
          <w:szCs w:val="28"/>
          <w:lang w:eastAsia="zh-CN"/>
        </w:rPr>
        <w:t>相关项目</w:t>
      </w:r>
    </w:p>
    <w:p>
      <w:pPr>
        <w:pStyle w:val="Normal0"/>
        <w:ind w:firstLine="600"/>
        <w:rPr>
          <w:rFonts w:eastAsia="仿宋_GB2312"/>
          <w:color w:val="000000"/>
          <w:sz w:val="28"/>
          <w:szCs w:val="28"/>
        </w:rPr>
      </w:pPr>
      <w:r>
        <w:rPr>
          <w:rFonts w:eastAsia="仿宋_GB2312"/>
          <w:color w:val="000000"/>
          <w:sz w:val="28"/>
          <w:szCs w:val="28"/>
        </w:rPr>
        <w:t>建成后，将为240多拆迁户提供居住保障，</w:t>
      </w:r>
      <w:r>
        <w:rPr>
          <w:rFonts w:eastAsia="仿宋_GB2312"/>
          <w:sz w:val="28"/>
          <w:szCs w:val="28"/>
        </w:rPr>
        <w:t>大幅度改善、提高拆迁居民生活、居住条件；</w:t>
      </w:r>
      <w:r>
        <w:rPr>
          <w:rFonts w:eastAsia="仿宋_GB2312"/>
          <w:color w:val="000000"/>
          <w:sz w:val="28"/>
          <w:szCs w:val="28"/>
        </w:rPr>
        <w:t>有利于城乡统筹战略的实施，为和谐社会的构建提供积极的支持和强有力的保障，为进一步提升沙坪坝的城市形象做出一定贡献；有利于</w:t>
      </w:r>
      <w:r>
        <w:rPr>
          <w:rFonts w:eastAsia="仿宋_GB2312"/>
          <w:sz w:val="28"/>
          <w:szCs w:val="28"/>
        </w:rPr>
        <w:t>促进磁器口古镇风貌协调，美化古镇核心区周边形象。因此本</w:t>
      </w:r>
      <w:r>
        <w:rPr>
          <w:rFonts w:eastAsia="仿宋_GB2312" w:hint="eastAsia"/>
          <w:sz w:val="28"/>
          <w:szCs w:val="28"/>
          <w:lang w:eastAsia="zh-CN"/>
        </w:rPr>
        <w:t>相关项目</w:t>
      </w:r>
      <w:r>
        <w:rPr>
          <w:rFonts w:eastAsia="仿宋_GB2312"/>
          <w:color w:val="000000"/>
          <w:sz w:val="28"/>
          <w:szCs w:val="28"/>
        </w:rPr>
        <w:t>具有较好的社会效益。</w:t>
      </w:r>
    </w:p>
    <w:p>
      <w:pPr>
        <w:pStyle w:val="Normal0"/>
        <w:ind w:firstLine="600"/>
        <w:rPr>
          <w:rFonts w:eastAsia="仿宋_GB2312"/>
          <w:color w:val="000000"/>
          <w:sz w:val="28"/>
          <w:szCs w:val="28"/>
        </w:rPr>
      </w:pPr>
      <w:r>
        <w:rPr>
          <w:rFonts w:eastAsia="仿宋_GB2312"/>
          <w:color w:val="000000"/>
          <w:sz w:val="28"/>
          <w:szCs w:val="28"/>
        </w:rPr>
        <w:t>在经济效益方面，由于拆迁安置成本较大，收支缺口达到</w:t>
      </w:r>
      <w:r>
        <w:rPr>
          <w:rFonts w:eastAsia="仿宋_GB2312" w:hint="eastAsia"/>
          <w:color w:val="000000"/>
          <w:sz w:val="28"/>
          <w:szCs w:val="28"/>
        </w:rPr>
        <w:t>4666</w:t>
      </w:r>
      <w:r>
        <w:rPr>
          <w:rFonts w:eastAsia="仿宋_GB2312"/>
          <w:color w:val="000000"/>
          <w:sz w:val="28"/>
          <w:szCs w:val="28"/>
        </w:rPr>
        <w:t>万元，本工程属于政府民生工程，需要政府给予资金补助与支持</w:t>
      </w:r>
      <w:r>
        <w:rPr>
          <w:rFonts w:eastAsia="仿宋_GB2312" w:hint="eastAsia"/>
          <w:color w:val="000000"/>
          <w:sz w:val="28"/>
          <w:szCs w:val="28"/>
        </w:rPr>
        <w:t>保持收支平衡</w:t>
      </w:r>
      <w:r>
        <w:rPr>
          <w:rFonts w:eastAsia="仿宋_GB2312"/>
          <w:color w:val="000000"/>
          <w:sz w:val="28"/>
          <w:szCs w:val="28"/>
        </w:rPr>
        <w:t>。</w:t>
      </w:r>
    </w:p>
    <w:p>
      <w:pPr>
        <w:pStyle w:val="Heading1"/>
        <w:spacing w:before="0" w:after="0"/>
        <w:jc w:val="center"/>
        <w:rPr>
          <w:rFonts w:eastAsia="黑体"/>
          <w:sz w:val="32"/>
          <w:szCs w:val="32"/>
        </w:rPr>
      </w:pPr>
      <w:bookmarkStart w:id="13" w:name="_Toc244610487"/>
      <w:bookmarkStart w:id="14" w:name="_Toc244922116"/>
      <w:bookmarkStart w:id="15" w:name="_Toc135456685"/>
      <w:bookmarkStart w:id="16" w:name="_Toc177983632"/>
      <w:r>
        <w:rPr>
          <w:rFonts w:eastAsia="黑体"/>
          <w:b w:val="0"/>
          <w:bCs w:val="0"/>
          <w:sz w:val="32"/>
          <w:szCs w:val="32"/>
        </w:rPr>
        <w:t xml:space="preserve">2  </w:t>
      </w:r>
      <w:r>
        <w:rPr>
          <w:rFonts w:eastAsia="黑体" w:hint="eastAsia"/>
          <w:b w:val="0"/>
          <w:bCs w:val="0"/>
          <w:sz w:val="32"/>
          <w:szCs w:val="32"/>
          <w:lang w:eastAsia="zh-CN"/>
        </w:rPr>
        <w:t>相关项目</w:t>
      </w:r>
      <w:r>
        <w:rPr>
          <w:rFonts w:eastAsia="黑体"/>
          <w:b w:val="0"/>
          <w:bCs w:val="0"/>
          <w:sz w:val="32"/>
          <w:szCs w:val="32"/>
        </w:rPr>
        <w:t>建设的背景及必要性</w:t>
      </w:r>
      <w:bookmarkEnd w:id="13"/>
      <w:bookmarkEnd w:id="14"/>
    </w:p>
    <w:p>
      <w:pPr>
        <w:pStyle w:val="Heading2"/>
        <w:adjustRightInd/>
        <w:spacing w:before="260" w:after="260" w:line="416" w:lineRule="auto"/>
        <w:textAlignment w:val="auto"/>
        <w:rPr>
          <w:rFonts w:ascii="Times New Roman" w:hAnsi="Times New Roman"/>
          <w:b/>
          <w:bCs/>
        </w:rPr>
      </w:pPr>
      <w:bookmarkStart w:id="17" w:name="_Toc244610488"/>
      <w:bookmarkStart w:id="18" w:name="_Toc244922117"/>
      <w:r>
        <w:rPr>
          <w:rFonts w:ascii="Times New Roman" w:hAnsi="Times New Roman"/>
          <w:b/>
          <w:bCs/>
        </w:rPr>
        <w:t xml:space="preserve">2.1 </w:t>
      </w:r>
      <w:r>
        <w:rPr>
          <w:rFonts w:ascii="Times New Roman" w:hAnsi="Times New Roman" w:hint="eastAsia"/>
          <w:b/>
          <w:bCs/>
          <w:lang w:eastAsia="zh-CN"/>
        </w:rPr>
        <w:t>相关项目</w:t>
      </w:r>
      <w:r>
        <w:rPr>
          <w:rFonts w:ascii="Times New Roman" w:hAnsi="Times New Roman"/>
          <w:b/>
          <w:bCs/>
        </w:rPr>
        <w:t>建设背景</w:t>
      </w:r>
      <w:bookmarkEnd w:id="17"/>
      <w:bookmarkEnd w:id="18"/>
    </w:p>
    <w:p>
      <w:pPr>
        <w:pStyle w:val="Heading3"/>
        <w:rPr>
          <w:rFonts w:eastAsia="仿宋_GB2312"/>
          <w:b w:val="0"/>
          <w:sz w:val="28"/>
          <w:szCs w:val="28"/>
        </w:rPr>
      </w:pPr>
      <w:r>
        <w:rPr>
          <w:rFonts w:eastAsia="仿宋_GB2312"/>
          <w:b w:val="0"/>
          <w:sz w:val="28"/>
          <w:szCs w:val="28"/>
        </w:rPr>
        <w:t>2.1.1重庆市社会经济发展状况</w:t>
      </w:r>
    </w:p>
    <w:p>
      <w:pPr>
        <w:pStyle w:val="Normal0"/>
        <w:spacing w:line="360" w:lineRule="auto"/>
        <w:ind w:firstLine="560" w:firstLineChars="200"/>
        <w:rPr>
          <w:rFonts w:eastAsia="仿宋_GB2312"/>
          <w:sz w:val="28"/>
          <w:szCs w:val="28"/>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4"/>
          <w:cols w:num="1" w:space="425"/>
          <w:titlePg w:val="0"/>
          <w:docGrid w:type="lines" w:linePitch="312" w:charSpace="0"/>
        </w:sectPr>
      </w:pPr>
      <w:r>
        <w:rPr>
          <w:rFonts w:eastAsia="仿宋_GB2312"/>
          <w:sz w:val="28"/>
          <w:szCs w:val="28"/>
        </w:rPr>
        <w:t>自直辖以来，重庆市充分发挥直辖优势，紧紧抓住西部大开发这一历史性机遇，努力发展，经济社会发展取得了巨大成就。2000年开始，重庆市国内生产总值的快速增长直接推动了人均GDP的高速增长。虽然在05年和06年连续出现了增幅回落，但增速仍保持在13%以上，2000-2006年间的平均增幅更是达到14.13%，超过GDP同期平均增幅（13.82%）（图2-1），直辖十年，市人均GDP增长两倍，城乡居民收入整体上增加１倍多，经济实力、综合竞争力和人民生活水平迈上了新台阶。</w:t>
      </w:r>
    </w:p>
    <w:p>
      <w:pPr>
        <w:pStyle w:val="Normal0"/>
        <w:spacing w:line="360" w:lineRule="auto"/>
        <w:ind w:firstLine="179" w:firstLineChars="64"/>
        <w:jc w:val="center"/>
        <w:rPr>
          <w:color w:val="FF0000"/>
          <w:sz w:val="28"/>
        </w:rPr>
      </w:pPr>
      <w:r>
        <w:rPr>
          <w:color w:val="FF0000"/>
          <w:sz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75pt;height:153.65pt" o:ole="" coordsize="21600,21600" o:preferrelative="t" filled="f" stroked="f">
            <v:stroke joinstyle="miter"/>
            <v:imagedata r:id="rId47" o:title=""/>
            <o:lock v:ext="edit" aspectratio="t"/>
            <w10:anchorlock/>
          </v:shape>
          <o:OLEObject Type="Embed" ProgID="MSGraph.Chart.8" ShapeID="_x0000_i1025" DrawAspect="Content" ObjectID="_1468075725" r:id="rId48"/>
        </w:object>
      </w:r>
    </w:p>
    <w:p>
      <w:pPr>
        <w:pStyle w:val="Normal0"/>
        <w:spacing w:line="360" w:lineRule="auto"/>
        <w:ind w:firstLine="154" w:firstLineChars="64"/>
        <w:jc w:val="center"/>
        <w:rPr>
          <w:sz w:val="24"/>
        </w:rPr>
      </w:pPr>
      <w:r>
        <w:rPr>
          <w:rFonts w:eastAsia="黑体"/>
          <w:sz w:val="24"/>
        </w:rPr>
        <w:t>图2-1  1998年—2007年重庆市国内生产总值和同比增幅</w:t>
      </w:r>
    </w:p>
    <w:p>
      <w:pPr>
        <w:pStyle w:val="Normal0"/>
        <w:ind w:firstLine="560" w:firstLineChars="200"/>
        <w:rPr>
          <w:rFonts w:eastAsia="仿宋_GB2312"/>
          <w:sz w:val="28"/>
          <w:szCs w:val="28"/>
        </w:rPr>
      </w:pPr>
      <w:r>
        <w:rPr>
          <w:rFonts w:eastAsia="仿宋_GB2312"/>
          <w:sz w:val="28"/>
          <w:szCs w:val="28"/>
        </w:rPr>
        <w:t>随着重庆市经济的快速发展，居民生活水平的不断提高，城乡居民收入持续增长，民生不断改善，社会更加和谐。预计到2010年，人均GDP预计将达到18000 元，年均增幅保持在10%左右。到2020年，力争达到人均8000美元以上，重庆即迈入小康社会。收入是消费和投资的前提，是社会经济循环中的重要组成部分，近年来，重庆市经济高速增长，人均收入随之大幅度提升，整体消费、购买能力大大加强，消费方式不断增多，品质追求越来越高，直接拉动了国民消费需求对各行业的刺激，极大地推动社会经济的快速发展。</w:t>
      </w:r>
    </w:p>
    <w:p>
      <w:pPr>
        <w:pStyle w:val="Normal0"/>
        <w:ind w:firstLine="560" w:firstLineChars="200"/>
        <w:rPr>
          <w:rFonts w:eastAsia="仿宋_GB2312"/>
          <w:sz w:val="28"/>
          <w:szCs w:val="28"/>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800" w:bottom="1440" w:left="1800" w:header="851" w:footer="992" w:gutter="0"/>
          <w:pgNumType w:start="5"/>
          <w:cols w:num="1" w:space="425"/>
          <w:titlePg w:val="0"/>
          <w:docGrid w:type="lines" w:linePitch="312" w:charSpace="0"/>
        </w:sectPr>
      </w:pPr>
      <w:r>
        <w:rPr>
          <w:rFonts w:eastAsia="仿宋_GB2312"/>
          <w:sz w:val="28"/>
          <w:szCs w:val="28"/>
        </w:rPr>
        <w:t>2008年重庆市受国家宏观调控、金融危机影响，GDP增速放缓，前三季度重庆GDP3419.56亿，同比增长15.3%，预计2008年GDP增速在15%左右。2008年前三季度城镇居民人均可支配收入为11865元；人均消费性支出为8346元</w:t>
      </w:r>
      <w:r>
        <w:rPr>
          <w:rFonts w:eastAsia="仿宋_GB2312"/>
          <w:b/>
          <w:bCs/>
          <w:sz w:val="28"/>
          <w:szCs w:val="28"/>
        </w:rPr>
        <w:t xml:space="preserve"> </w:t>
      </w:r>
    </w:p>
    <w:p>
      <w:pPr>
        <w:pStyle w:val="Normal0"/>
        <w:ind w:firstLine="560" w:firstLineChars="200"/>
        <w:rPr>
          <w:rFonts w:eastAsia="仿宋_GB2312"/>
          <w:sz w:val="28"/>
          <w:szCs w:val="28"/>
        </w:rPr>
      </w:pPr>
      <w:r>
        <w:rPr>
          <w:rFonts w:eastAsia="仿宋_GB2312"/>
          <w:sz w:val="28"/>
          <w:szCs w:val="28"/>
        </w:rPr>
        <w:t>，增速回落4个百分点。居民购买能力受到一定影响。但是随着2008年10月出台的国十条政策进一步扩大内需促进经济平稳较快发展，无疑对今后提高民众信心，提振经济起到极大的推动作用。从国家扩大内需效果来看，全国2009年经济增长保8有望，重庆市前三季度增长率达到12%.5，发展势头强势。因此基于重庆历年社会经济发展良好的基础积累，可以乐观预计在2009之后一段时期，重庆乃至全国范围内社会经济发展仍将保持在一个比较稳定的水平。</w:t>
      </w:r>
    </w:p>
    <w:p>
      <w:pPr>
        <w:pStyle w:val="Heading3"/>
        <w:rPr>
          <w:rFonts w:eastAsia="仿宋_GB2312"/>
          <w:b w:val="0"/>
          <w:sz w:val="28"/>
          <w:szCs w:val="28"/>
        </w:rPr>
      </w:pPr>
      <w:r>
        <w:rPr>
          <w:rFonts w:eastAsia="仿宋_GB2312"/>
          <w:b w:val="0"/>
          <w:sz w:val="28"/>
          <w:szCs w:val="28"/>
        </w:rPr>
        <w:t>2.1.2主城区空间结构规划</w:t>
      </w:r>
    </w:p>
    <w:p>
      <w:pPr>
        <w:pStyle w:val="Normal0"/>
        <w:ind w:firstLine="560" w:firstLineChars="200"/>
        <w:rPr>
          <w:rFonts w:eastAsia="仿宋_GB2312"/>
          <w:sz w:val="28"/>
          <w:szCs w:val="28"/>
        </w:rPr>
      </w:pPr>
      <w:r>
        <w:rPr>
          <w:rFonts w:eastAsia="仿宋_GB2312"/>
          <w:sz w:val="28"/>
          <w:szCs w:val="28"/>
        </w:rPr>
        <w:t>为更好地维护和发展重庆特有的“多中心组团式”布局结构，《重庆市城市总体规划(2005—2020)》提出了“一城五片、多中心组团式”空间结构。“五片”指中部、北部、西部、南部和东部片区。“多中心”为一个城市中心和六个城市副中心，城市中心包括渝中半岛、江北城、弹子石在内的重庆CBD地区，六个城市副中心由上轮总体规划中的观音桥、沙坪坝、杨家坪、南岸中心区及新增的西永(即西部新城)、茶园中心区组成。</w:t>
      </w:r>
    </w:p>
    <w:p>
      <w:pPr>
        <w:pStyle w:val="Normal0"/>
        <w:ind w:firstLine="560" w:firstLineChars="200"/>
        <w:rPr>
          <w:rFonts w:eastAsia="仿宋_GB2312"/>
          <w:bCs/>
          <w:sz w:val="28"/>
        </w:rPr>
      </w:pPr>
      <w:r>
        <w:rPr>
          <w:rFonts w:eastAsia="仿宋_GB2312"/>
          <w:bCs/>
          <w:sz w:val="28"/>
        </w:rPr>
        <w:t>2005版城市总体规划在98版的基础上进行了四个方向的扩展，</w:t>
      </w:r>
    </w:p>
    <w:p>
      <w:pPr>
        <w:pStyle w:val="BodyTextIndent2"/>
        <w:rPr>
          <w:rFonts w:ascii="Times New Roman"/>
          <w:bCs/>
          <w:szCs w:val="28"/>
        </w:rPr>
      </w:pPr>
      <w:r>
        <w:rPr>
          <w:rFonts w:ascii="Times New Roman"/>
          <w:bCs/>
          <w:szCs w:val="28"/>
        </w:rPr>
        <w:t>1.向北拓展</w:t>
      </w:r>
    </w:p>
    <w:p>
      <w:pPr>
        <w:pStyle w:val="BodyTextIndent2"/>
        <w:ind w:firstLine="560" w:firstLineChars="200"/>
        <w:rPr>
          <w:rFonts w:ascii="Times New Roman"/>
          <w:szCs w:val="28"/>
        </w:rPr>
      </w:pPr>
      <w:r>
        <w:rPr>
          <w:rFonts w:ascii="Times New Roman"/>
          <w:szCs w:val="28"/>
        </w:rPr>
        <w:t>跨过内环线向北拓展。经土地适宜性分析，可发展区域的适宜城市建设用地约为338平方公里。自然条件良好，可拓展用地较大，依托城市建成区发展，没有大山大水的地形阻隔，拥有机场、码头、火车站等交通枢纽，区位条件良好，同时可依托北部新区的政策优势，有较强的发展动力；但用地海拔相对较高，地形以丘陵为主，用地相对较破碎。</w:t>
      </w:r>
    </w:p>
    <w:p>
      <w:pPr>
        <w:pStyle w:val="BodyTextIndent2"/>
        <w:rPr>
          <w:rFonts w:ascii="Times New Roman"/>
          <w:bCs/>
          <w:szCs w:val="28"/>
        </w:rPr>
      </w:pPr>
      <w:r>
        <w:rPr>
          <w:rFonts w:ascii="Times New Roman"/>
          <w:bCs/>
          <w:szCs w:val="28"/>
        </w:rPr>
        <w:t>2.向西拓展</w:t>
      </w:r>
    </w:p>
    <w:p>
      <w:pPr>
        <w:pStyle w:val="BodyTextIndent2"/>
        <w:ind w:firstLine="560" w:firstLineChars="200"/>
        <w:rPr>
          <w:rFonts w:ascii="Times New Roman"/>
          <w:szCs w:val="28"/>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800" w:bottom="1440" w:left="1800" w:header="851" w:footer="992" w:gutter="0"/>
          <w:pgNumType w:start="6"/>
          <w:cols w:num="1" w:space="425"/>
          <w:titlePg w:val="0"/>
          <w:docGrid w:type="lines" w:linePitch="312" w:charSpace="0"/>
        </w:sectPr>
      </w:pPr>
    </w:p>
    <w:p>
      <w:pPr>
        <w:pStyle w:val="BodyTextIndent2"/>
        <w:ind w:firstLine="560" w:firstLineChars="200"/>
        <w:rPr>
          <w:rFonts w:ascii="Times New Roman"/>
          <w:szCs w:val="28"/>
        </w:rPr>
      </w:pPr>
      <w:r>
        <w:rPr>
          <w:rFonts w:ascii="Times New Roman"/>
          <w:szCs w:val="28"/>
        </w:rPr>
        <w:t>跨过中梁山向西，发展中梁山、缙云山之间的区域。可发展区域的适宜城市建设用地约为293平方公里，西部新城也由此而生。西部用地平坦，条件较好，可拓展用地较大，具有区域辐射能力，能够辐射市域西部城镇及加强与成都方向的联系；但跨山发展，交通投入较大，生态环境比较脆弱，在缺乏水源供应的同时城市排水问题较大。如今过山隧道已经打通，与主城连通，出入十分便利，基础设施也已进入全面建设阶段。</w:t>
      </w:r>
    </w:p>
    <w:p>
      <w:pPr>
        <w:pStyle w:val="BodyTextIndent2"/>
        <w:rPr>
          <w:rFonts w:ascii="Times New Roman"/>
          <w:bCs/>
          <w:szCs w:val="28"/>
        </w:rPr>
      </w:pPr>
      <w:r>
        <w:rPr>
          <w:rFonts w:ascii="Times New Roman"/>
          <w:bCs/>
          <w:szCs w:val="28"/>
        </w:rPr>
        <w:t>3.向东拓展</w:t>
      </w:r>
    </w:p>
    <w:p>
      <w:pPr>
        <w:pStyle w:val="BodyTextIndent2"/>
        <w:ind w:firstLine="560" w:firstLineChars="200"/>
        <w:rPr>
          <w:rFonts w:ascii="Times New Roman"/>
          <w:szCs w:val="28"/>
        </w:rPr>
      </w:pPr>
      <w:r>
        <w:rPr>
          <w:rFonts w:ascii="Times New Roman"/>
          <w:szCs w:val="28"/>
        </w:rPr>
        <w:t>跨过铜锣山向东，发展铜锣山、明月山之间的区域。可发展区域的适宜城市建设用地约为390平方公里。处于城市下游区域，用地条件较好，生态环境影响较小，适宜发展工业，但跨山发展，交通投入较大，城市向北发展动力不足。尤其是鱼嘴以北的地区，由于该地区远离城市中心，且位于御临河上游地区，为生态涵养的重要区域，城市建设活动限制条件较多，发展门槛高，使得该地区虽然用地条件较好，但城市发展动力较差。因此，该区域未来城市发展区域主要在鱼嘴以南的地区。</w:t>
      </w:r>
    </w:p>
    <w:p>
      <w:pPr>
        <w:pStyle w:val="BodyTextIndent2"/>
        <w:rPr>
          <w:rFonts w:ascii="Times New Roman"/>
          <w:bCs/>
          <w:szCs w:val="28"/>
        </w:rPr>
      </w:pPr>
      <w:r>
        <w:rPr>
          <w:rFonts w:ascii="Times New Roman"/>
          <w:bCs/>
          <w:szCs w:val="28"/>
        </w:rPr>
        <w:t>4.向南拓展</w:t>
      </w:r>
    </w:p>
    <w:p>
      <w:pPr>
        <w:pStyle w:val="BodyTextIndent2"/>
        <w:ind w:firstLine="560" w:firstLineChars="200"/>
        <w:rPr>
          <w:rFonts w:ascii="Times New Roman"/>
          <w:szCs w:val="28"/>
        </w:rPr>
      </w:pPr>
      <w:r>
        <w:rPr>
          <w:rFonts w:ascii="Times New Roman"/>
          <w:szCs w:val="28"/>
        </w:rPr>
        <w:t>跨过内环线，发展中梁山、铜锣山之间的南部地区。可发展区域的适宜城市建设用地约为79平方公里，用地少，不宜作为城市未来的主要发展区域。</w:t>
      </w:r>
    </w:p>
    <w:p>
      <w:pPr>
        <w:pStyle w:val="BodyTextIndent2"/>
        <w:ind w:firstLine="560" w:firstLineChars="200"/>
        <w:rPr>
          <w:rFonts w:ascii="Times New Roman"/>
          <w:szCs w:val="28"/>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800" w:bottom="1440" w:left="1800" w:header="851" w:footer="992" w:gutter="0"/>
          <w:pgNumType w:start="7"/>
          <w:cols w:num="1" w:space="425"/>
          <w:titlePg w:val="0"/>
          <w:docGrid w:type="lines" w:linePitch="312" w:charSpace="0"/>
        </w:sectPr>
      </w:pPr>
      <w:r>
        <w:rPr>
          <w:rFonts w:ascii="Times New Roman"/>
          <w:szCs w:val="28"/>
        </w:rPr>
        <w:t>因此，重庆主城区面积由原来的600平方公里放量为2737平方公里。都市圈面积由原来的2500平方公里放量为5473平方公里。</w:t>
      </w:r>
    </w:p>
    <w:p>
      <w:pPr>
        <w:pStyle w:val="Heading3"/>
        <w:rPr>
          <w:rFonts w:eastAsia="仿宋_GB2312"/>
          <w:b w:val="0"/>
          <w:sz w:val="28"/>
          <w:szCs w:val="28"/>
        </w:rPr>
      </w:pPr>
      <w:r>
        <w:rPr>
          <w:rFonts w:eastAsia="仿宋_GB2312"/>
          <w:b w:val="0"/>
          <w:sz w:val="28"/>
          <w:szCs w:val="28"/>
        </w:rPr>
        <w:t>2.1.3 磁器口古镇旅游发展现状</w:t>
      </w:r>
    </w:p>
    <w:p>
      <w:pPr>
        <w:pStyle w:val="Normal0"/>
        <w:spacing w:line="360" w:lineRule="auto"/>
        <w:ind w:firstLine="560" w:firstLineChars="200"/>
        <w:rPr>
          <w:rFonts w:eastAsia="仿宋_GB2312"/>
          <w:bCs/>
          <w:sz w:val="28"/>
          <w:szCs w:val="28"/>
        </w:rPr>
      </w:pPr>
      <w:r>
        <w:rPr>
          <w:rFonts w:eastAsia="仿宋_GB2312"/>
          <w:bCs/>
          <w:sz w:val="28"/>
          <w:szCs w:val="28"/>
        </w:rPr>
        <w:t>近年来，沙坪坝区按照打造优秀旅游目的地的思路，着力景区开发 建设，使全区旅游得到了快速发展，2007接待游客量近925万人次，已成为全市名副其实的旅游大区。</w:t>
      </w:r>
      <w:r>
        <w:rPr>
          <w:rFonts w:eastAsia="仿宋_GB2312"/>
          <w:color w:val="000000"/>
          <w:sz w:val="28"/>
          <w:szCs w:val="28"/>
        </w:rPr>
        <w:t>磁器口作为重庆的“历史文化名片”，旅游核心区域之一，旅游地位不可撼动</w:t>
      </w:r>
      <w:r>
        <w:rPr>
          <w:rFonts w:eastAsia="仿宋_GB2312"/>
          <w:bCs/>
          <w:sz w:val="28"/>
          <w:szCs w:val="28"/>
        </w:rPr>
        <w:t>。磁器口古镇三山相依，两溪环绕，区位极佳，是重庆主城区规模最大、保存最完整的传统建筑格调的历史文化街区。在政府的大力保护、开发下，磁器口旅游日益兴旺，游客数量与日俱增，历年游客数量见表2-1。此外，沙区将红岩联线延长至磁器口古镇，实现了歌乐山烈士陵园与磁器口古镇红色旅游的资源整合，‘红’与‘绿’的有机结合，互为补充，交叉吸引游客，今后吸引游客数量定将大大超过当前水平。</w:t>
      </w:r>
    </w:p>
    <w:p>
      <w:pPr>
        <w:pStyle w:val="Normal0"/>
        <w:ind w:firstLine="480" w:firstLineChars="200"/>
        <w:jc w:val="center"/>
        <w:rPr>
          <w:rFonts w:eastAsia="黑体"/>
          <w:sz w:val="24"/>
        </w:rPr>
      </w:pPr>
      <w:r>
        <w:rPr>
          <w:rFonts w:eastAsia="黑体"/>
          <w:sz w:val="24"/>
        </w:rPr>
        <w:t>表2-1 磁器口古镇历年游客量</w:t>
      </w:r>
    </w:p>
    <w:tbl>
      <w:tblPr>
        <w:tblStyle w:val="TableNormal"/>
        <w:tblW w:w="6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48"/>
        <w:gridCol w:w="735"/>
        <w:gridCol w:w="735"/>
        <w:gridCol w:w="735"/>
        <w:gridCol w:w="735"/>
        <w:gridCol w:w="735"/>
        <w:gridCol w:w="735"/>
      </w:tblGrid>
      <w:tr>
        <w:tblPrEx>
          <w:tblW w:w="6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3"/>
          <w:jc w:val="center"/>
        </w:trPr>
        <w:tc>
          <w:tcPr>
            <w:tcW w:w="0" w:type="auto"/>
          </w:tcPr>
          <w:p>
            <w:pPr>
              <w:pStyle w:val="Normal0"/>
              <w:rPr>
                <w:rFonts w:eastAsia="仿宋_GB2312"/>
                <w:sz w:val="24"/>
              </w:rPr>
            </w:pPr>
            <w:r>
              <w:rPr>
                <w:rFonts w:eastAsia="仿宋_GB2312"/>
                <w:sz w:val="24"/>
              </w:rPr>
              <w:t>年份</w:t>
            </w:r>
          </w:p>
        </w:tc>
        <w:tc>
          <w:tcPr>
            <w:tcW w:w="0" w:type="auto"/>
          </w:tcPr>
          <w:p>
            <w:pPr>
              <w:pStyle w:val="Normal0"/>
              <w:rPr>
                <w:rFonts w:eastAsia="仿宋_GB2312"/>
                <w:sz w:val="24"/>
              </w:rPr>
            </w:pPr>
            <w:r>
              <w:rPr>
                <w:rFonts w:eastAsia="仿宋_GB2312"/>
                <w:sz w:val="24"/>
              </w:rPr>
              <w:t>2001</w:t>
            </w:r>
          </w:p>
        </w:tc>
        <w:tc>
          <w:tcPr>
            <w:tcW w:w="0" w:type="auto"/>
          </w:tcPr>
          <w:p>
            <w:pPr>
              <w:pStyle w:val="Normal0"/>
              <w:rPr>
                <w:rFonts w:eastAsia="仿宋_GB2312"/>
                <w:sz w:val="24"/>
              </w:rPr>
            </w:pPr>
            <w:r>
              <w:rPr>
                <w:rFonts w:eastAsia="仿宋_GB2312"/>
                <w:sz w:val="24"/>
              </w:rPr>
              <w:t>2002</w:t>
            </w:r>
          </w:p>
        </w:tc>
        <w:tc>
          <w:tcPr>
            <w:tcW w:w="0" w:type="auto"/>
          </w:tcPr>
          <w:p>
            <w:pPr>
              <w:pStyle w:val="Normal0"/>
              <w:rPr>
                <w:rFonts w:eastAsia="仿宋_GB2312"/>
                <w:sz w:val="24"/>
              </w:rPr>
            </w:pPr>
            <w:r>
              <w:rPr>
                <w:rFonts w:eastAsia="仿宋_GB2312"/>
                <w:sz w:val="24"/>
              </w:rPr>
              <w:t>2003</w:t>
            </w:r>
          </w:p>
        </w:tc>
        <w:tc>
          <w:tcPr>
            <w:tcW w:w="0" w:type="auto"/>
          </w:tcPr>
          <w:p>
            <w:pPr>
              <w:pStyle w:val="Normal0"/>
              <w:rPr>
                <w:rFonts w:eastAsia="仿宋_GB2312"/>
                <w:sz w:val="24"/>
              </w:rPr>
            </w:pPr>
            <w:r>
              <w:rPr>
                <w:rFonts w:eastAsia="仿宋_GB2312"/>
                <w:sz w:val="24"/>
              </w:rPr>
              <w:t>2004</w:t>
            </w:r>
          </w:p>
        </w:tc>
        <w:tc>
          <w:tcPr>
            <w:tcW w:w="0" w:type="auto"/>
          </w:tcPr>
          <w:p>
            <w:pPr>
              <w:pStyle w:val="Normal0"/>
              <w:rPr>
                <w:rFonts w:eastAsia="仿宋_GB2312"/>
                <w:sz w:val="24"/>
              </w:rPr>
            </w:pPr>
            <w:r>
              <w:rPr>
                <w:rFonts w:eastAsia="仿宋_GB2312"/>
                <w:sz w:val="24"/>
              </w:rPr>
              <w:t>2005</w:t>
            </w:r>
          </w:p>
        </w:tc>
        <w:tc>
          <w:tcPr>
            <w:tcW w:w="0" w:type="auto"/>
          </w:tcPr>
          <w:p>
            <w:pPr>
              <w:pStyle w:val="Normal0"/>
              <w:rPr>
                <w:rFonts w:eastAsia="仿宋_GB2312"/>
                <w:sz w:val="24"/>
              </w:rPr>
            </w:pPr>
            <w:r>
              <w:rPr>
                <w:rFonts w:eastAsia="仿宋_GB2312"/>
                <w:sz w:val="24"/>
              </w:rPr>
              <w:t>2006</w:t>
            </w:r>
          </w:p>
        </w:tc>
      </w:tr>
      <w:tr>
        <w:tblPrEx>
          <w:tblW w:w="6158" w:type="dxa"/>
          <w:jc w:val="center"/>
          <w:tblCellMar>
            <w:top w:w="0" w:type="dxa"/>
            <w:left w:w="108" w:type="dxa"/>
            <w:bottom w:w="0" w:type="dxa"/>
            <w:right w:w="108" w:type="dxa"/>
          </w:tblCellMar>
        </w:tblPrEx>
        <w:trPr>
          <w:trHeight w:val="372"/>
          <w:jc w:val="center"/>
        </w:trPr>
        <w:tc>
          <w:tcPr>
            <w:tcW w:w="0" w:type="auto"/>
          </w:tcPr>
          <w:p>
            <w:pPr>
              <w:pStyle w:val="Normal0"/>
              <w:rPr>
                <w:rFonts w:eastAsia="仿宋_GB2312"/>
                <w:sz w:val="24"/>
              </w:rPr>
            </w:pPr>
            <w:r>
              <w:rPr>
                <w:rFonts w:eastAsia="仿宋_GB2312"/>
                <w:sz w:val="24"/>
              </w:rPr>
              <w:t>人数（万人）</w:t>
            </w:r>
          </w:p>
        </w:tc>
        <w:tc>
          <w:tcPr>
            <w:tcW w:w="0" w:type="auto"/>
          </w:tcPr>
          <w:p>
            <w:pPr>
              <w:pStyle w:val="Normal0"/>
              <w:rPr>
                <w:rFonts w:eastAsia="仿宋_GB2312"/>
                <w:sz w:val="24"/>
              </w:rPr>
            </w:pPr>
            <w:r>
              <w:rPr>
                <w:rFonts w:eastAsia="仿宋_GB2312"/>
                <w:sz w:val="24"/>
              </w:rPr>
              <w:t>190</w:t>
            </w:r>
          </w:p>
        </w:tc>
        <w:tc>
          <w:tcPr>
            <w:tcW w:w="0" w:type="auto"/>
          </w:tcPr>
          <w:p>
            <w:pPr>
              <w:pStyle w:val="Normal0"/>
              <w:rPr>
                <w:rFonts w:eastAsia="仿宋_GB2312"/>
                <w:sz w:val="24"/>
              </w:rPr>
            </w:pPr>
            <w:r>
              <w:rPr>
                <w:rFonts w:eastAsia="仿宋_GB2312"/>
                <w:sz w:val="24"/>
              </w:rPr>
              <w:t>264</w:t>
            </w:r>
          </w:p>
        </w:tc>
        <w:tc>
          <w:tcPr>
            <w:tcW w:w="0" w:type="auto"/>
          </w:tcPr>
          <w:p>
            <w:pPr>
              <w:pStyle w:val="Normal0"/>
              <w:rPr>
                <w:rFonts w:eastAsia="仿宋_GB2312"/>
                <w:sz w:val="24"/>
              </w:rPr>
            </w:pPr>
            <w:r>
              <w:rPr>
                <w:rFonts w:eastAsia="仿宋_GB2312"/>
                <w:sz w:val="24"/>
              </w:rPr>
              <w:t>262</w:t>
            </w:r>
          </w:p>
        </w:tc>
        <w:tc>
          <w:tcPr>
            <w:tcW w:w="0" w:type="auto"/>
          </w:tcPr>
          <w:p>
            <w:pPr>
              <w:pStyle w:val="Normal0"/>
              <w:rPr>
                <w:rFonts w:eastAsia="仿宋_GB2312"/>
                <w:sz w:val="24"/>
              </w:rPr>
            </w:pPr>
            <w:r>
              <w:rPr>
                <w:rFonts w:eastAsia="仿宋_GB2312"/>
                <w:sz w:val="24"/>
              </w:rPr>
              <w:t>280</w:t>
            </w:r>
          </w:p>
        </w:tc>
        <w:tc>
          <w:tcPr>
            <w:tcW w:w="0" w:type="auto"/>
          </w:tcPr>
          <w:p>
            <w:pPr>
              <w:pStyle w:val="Normal0"/>
              <w:rPr>
                <w:rFonts w:eastAsia="仿宋_GB2312"/>
                <w:sz w:val="24"/>
              </w:rPr>
            </w:pPr>
            <w:r>
              <w:rPr>
                <w:rFonts w:eastAsia="仿宋_GB2312"/>
                <w:sz w:val="24"/>
              </w:rPr>
              <w:t>350</w:t>
            </w:r>
          </w:p>
        </w:tc>
        <w:tc>
          <w:tcPr>
            <w:tcW w:w="0" w:type="auto"/>
          </w:tcPr>
          <w:p>
            <w:pPr>
              <w:pStyle w:val="Normal0"/>
              <w:rPr>
                <w:rFonts w:eastAsia="仿宋_GB2312"/>
                <w:sz w:val="24"/>
              </w:rPr>
            </w:pPr>
            <w:r>
              <w:rPr>
                <w:rFonts w:eastAsia="仿宋_GB2312"/>
                <w:sz w:val="24"/>
              </w:rPr>
              <w:t>400</w:t>
            </w:r>
          </w:p>
        </w:tc>
      </w:tr>
    </w:tbl>
    <w:p>
      <w:pPr>
        <w:pStyle w:val="Normal0"/>
        <w:widowControl/>
        <w:spacing w:line="360" w:lineRule="auto"/>
        <w:ind w:firstLine="560" w:firstLineChars="200"/>
        <w:jc w:val="left"/>
        <w:rPr>
          <w:rFonts w:eastAsia="仿宋_GB2312"/>
          <w:bCs/>
          <w:sz w:val="28"/>
          <w:szCs w:val="28"/>
        </w:r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800" w:bottom="1440" w:left="1800" w:header="851" w:footer="992" w:gutter="0"/>
          <w:pgNumType w:start="8"/>
          <w:cols w:num="1" w:space="425"/>
          <w:titlePg w:val="0"/>
          <w:docGrid w:type="lines" w:linePitch="312" w:charSpace="0"/>
        </w:sectPr>
      </w:pPr>
    </w:p>
    <w:p>
      <w:pPr>
        <w:pStyle w:val="Normal0"/>
        <w:widowControl/>
        <w:spacing w:line="360" w:lineRule="auto"/>
        <w:ind w:firstLine="560" w:firstLineChars="200"/>
        <w:jc w:val="left"/>
        <w:rPr>
          <w:rFonts w:eastAsia="仿宋_GB2312"/>
          <w:bCs/>
          <w:sz w:val="28"/>
          <w:szCs w:val="28"/>
        </w:rPr>
      </w:pPr>
      <w:r>
        <w:rPr>
          <w:rFonts w:eastAsia="仿宋_GB2312"/>
          <w:bCs/>
          <w:sz w:val="28"/>
          <w:szCs w:val="28"/>
        </w:rPr>
        <w:t>虽然拥有400多万的旺盛游客量，但磁器口古镇旅游业呈现出的不足也显而易见，即“有人气、有市气但缺财气”；社会效益明显，但经济效益微弱等，在经济增长方式上表现为“高投入、低消费、不协调、低效率”。究其原由，结点在于古镇的商业配套不足，难以满足多元化，多层次的消费需求。古镇街内部商业均以小商铺构成，经营规模、档次较低，吸引力不够强，实现消费能力较差，对如此丰富的游客资源形成很大的浪费。同时古镇外部，商铺均沿干道分布，长度接近1公里，商业形态比较单一，主要以特色餐饮为主，缺乏必要的休闲娱乐业态支撑，但是除了少数几家中高档次门店之外，其余绝大部分档次依然较低，这就大大缩小了游客消费选择的范围，造成大量中高层以上水平消费人群的流失，而这一层次的消费才是拉动旅游经济发展的主动力之一。</w:t>
      </w:r>
      <w:r>
        <w:rPr>
          <w:rFonts w:eastAsia="仿宋_GB2312"/>
          <w:bCs/>
          <w:sz w:val="28"/>
          <w:szCs w:val="28"/>
        </w:rPr>
        <w:t xml:space="preserve"> </w:t>
      </w:r>
    </w:p>
    <w:p>
      <w:pPr>
        <w:pStyle w:val="Normal0"/>
        <w:widowControl/>
        <w:spacing w:line="360" w:lineRule="auto"/>
        <w:ind w:firstLine="560" w:firstLineChars="200"/>
        <w:jc w:val="left"/>
        <w:rPr>
          <w:rFonts w:eastAsia="仿宋_GB2312"/>
          <w:bCs/>
          <w:sz w:val="28"/>
          <w:szCs w:val="28"/>
        </w:rPr>
      </w:pPr>
      <w:r>
        <w:rPr>
          <w:rFonts w:eastAsia="仿宋_GB2312"/>
          <w:bCs/>
          <w:sz w:val="28"/>
          <w:szCs w:val="28"/>
        </w:rPr>
        <w:t>鉴于以上问题，目前沙区政府正着力规划，在5-10年内将磁器口全力打造成集旅游商品街、老重庆民俗风情餐饮街、休闲娱乐街、创意产业街和码头文化休闲街五大区域主题布局的新古镇，同时不断提升磁器口的档次和文化品味，解决当前政府高投入保护开发，却获得低旅游消费收入的局面，强力带动整个区域的旅游经济发展。</w:t>
      </w:r>
    </w:p>
    <w:p>
      <w:pPr>
        <w:pStyle w:val="Heading3"/>
        <w:rPr>
          <w:rFonts w:eastAsia="仿宋_GB2312"/>
          <w:b w:val="0"/>
          <w:sz w:val="28"/>
          <w:szCs w:val="28"/>
        </w:rPr>
      </w:pPr>
      <w:r>
        <w:rPr>
          <w:rFonts w:eastAsia="仿宋_GB2312"/>
          <w:b w:val="0"/>
          <w:sz w:val="28"/>
          <w:szCs w:val="28"/>
        </w:rPr>
        <w:t>2.1.4本</w:t>
      </w:r>
      <w:r>
        <w:rPr>
          <w:rFonts w:eastAsia="仿宋_GB2312" w:hint="eastAsia"/>
          <w:b w:val="0"/>
          <w:sz w:val="28"/>
          <w:szCs w:val="28"/>
          <w:lang w:eastAsia="zh-CN"/>
        </w:rPr>
        <w:t>相关项目</w:t>
      </w:r>
      <w:r>
        <w:rPr>
          <w:rFonts w:eastAsia="仿宋_GB2312"/>
          <w:b w:val="0"/>
          <w:sz w:val="28"/>
          <w:szCs w:val="28"/>
        </w:rPr>
        <w:t>提出的理由</w:t>
      </w:r>
    </w:p>
    <w:p>
      <w:pPr>
        <w:pStyle w:val="Normal0"/>
        <w:spacing w:line="360" w:lineRule="auto"/>
        <w:ind w:firstLine="560" w:firstLineChars="200"/>
        <w:rPr>
          <w:rFonts w:eastAsia="仿宋_GB2312"/>
          <w:sz w:val="28"/>
          <w:szCs w:val="28"/>
        </w:rPr>
      </w:pPr>
      <w:r>
        <w:rPr>
          <w:rFonts w:eastAsia="仿宋_GB2312"/>
          <w:color w:val="000000"/>
          <w:sz w:val="28"/>
          <w:szCs w:val="28"/>
        </w:rPr>
        <w:t>为进一步提高改善人民群众的生活居住条件，2008年重庆市对主城区1100多万平方米实施危旧房拆迁改造，将在三年内完成786万平方米的危旧房拆迁规模，五年内完成全部改造任务。拆迁、改造量空前巨大，使城市建筑、空间布局更为科学合理，人居环境得以提升，很大程度上美化了城市形象。另外，</w:t>
      </w:r>
      <w:r>
        <w:rPr>
          <w:rFonts w:eastAsia="仿宋_GB2312"/>
          <w:sz w:val="28"/>
          <w:szCs w:val="28"/>
        </w:rPr>
        <w:t>2009年重庆将会启动危旧住房改造第二个五年</w:t>
      </w:r>
      <w:r>
        <w:rPr>
          <w:rFonts w:eastAsia="仿宋_GB2312" w:hint="eastAsia"/>
          <w:sz w:val="28"/>
          <w:szCs w:val="28"/>
          <w:lang w:eastAsia="zh-CN"/>
        </w:rPr>
        <w:t>相关计划</w:t>
      </w:r>
      <w:r>
        <w:rPr>
          <w:rFonts w:eastAsia="仿宋_GB2312"/>
          <w:sz w:val="28"/>
          <w:szCs w:val="28"/>
        </w:rPr>
        <w:t>，根据重庆的经济发展状况，从2009年到2010年，改造的面积起码达到过去5年的总和，拆迁改造力度进一步扩大，住房改造的升级，至少让10万户市民受益。</w:t>
      </w:r>
    </w:p>
    <w:p>
      <w:pPr>
        <w:pStyle w:val="Normal0"/>
        <w:spacing w:line="360" w:lineRule="auto"/>
        <w:ind w:firstLine="560" w:firstLineChars="200"/>
        <w:rPr>
          <w:rFonts w:eastAsia="仿宋_GB2312"/>
          <w:color w:val="000000"/>
          <w:sz w:val="28"/>
          <w:szCs w:val="28"/>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800" w:bottom="1440" w:left="1800" w:header="851" w:footer="992" w:gutter="0"/>
          <w:pgNumType w:start="9"/>
          <w:cols w:num="1" w:space="425"/>
          <w:titlePg w:val="0"/>
          <w:docGrid w:type="lines" w:linePitch="312" w:charSpace="0"/>
        </w:sectPr>
      </w:pPr>
    </w:p>
    <w:p>
      <w:pPr>
        <w:pStyle w:val="Normal0"/>
        <w:spacing w:line="360" w:lineRule="auto"/>
        <w:ind w:firstLine="560" w:firstLineChars="200"/>
        <w:rPr>
          <w:rFonts w:eastAsia="仿宋_GB2312"/>
          <w:color w:val="000000"/>
          <w:sz w:val="28"/>
          <w:szCs w:val="28"/>
        </w:rPr>
      </w:pPr>
      <w:r>
        <w:rPr>
          <w:rFonts w:eastAsia="仿宋_GB2312"/>
          <w:color w:val="000000"/>
          <w:sz w:val="28"/>
          <w:szCs w:val="28"/>
        </w:rPr>
        <w:t>目前重庆城市改造的速度迅速加快。作为经济强区、科教文化名城，沙坪坝区是全市改造任务最重的区域之一，其拆迁改造的重点是围绕严重影响居住安全、所处地点比较密集、位于主干道两侧和窗口地区四个方面的地块。但是目前沙区政府面临着拆迁改造迫切和拆迁改造范围广、体量大、财力耗费过大等问题之间的矛盾。如何提高拆迁效率，尽量减少政府拆迁的财力改造投入，是本</w:t>
      </w:r>
      <w:r>
        <w:rPr>
          <w:rFonts w:eastAsia="仿宋_GB2312" w:hint="eastAsia"/>
          <w:color w:val="000000"/>
          <w:sz w:val="28"/>
          <w:szCs w:val="28"/>
          <w:lang w:eastAsia="zh-CN"/>
        </w:rPr>
        <w:t>相关项目</w:t>
      </w:r>
      <w:r>
        <w:rPr>
          <w:rFonts w:eastAsia="仿宋_GB2312"/>
          <w:color w:val="000000"/>
          <w:sz w:val="28"/>
          <w:szCs w:val="28"/>
        </w:rPr>
        <w:t>积极研究探讨、并很好实施完成的根本目标。</w:t>
      </w:r>
    </w:p>
    <w:p>
      <w:pPr>
        <w:pStyle w:val="Normal0"/>
        <w:spacing w:line="360" w:lineRule="auto"/>
        <w:ind w:firstLine="560" w:firstLineChars="200"/>
        <w:rPr>
          <w:rFonts w:eastAsia="仿宋_GB2312"/>
          <w:sz w:val="28"/>
          <w:szCs w:val="28"/>
        </w:rPr>
      </w:pPr>
      <w:r>
        <w:rPr>
          <w:rFonts w:eastAsia="仿宋_GB2312"/>
          <w:sz w:val="28"/>
          <w:szCs w:val="28"/>
        </w:rPr>
        <w:t>2006年底磁器口古镇荣获国家4A级旅游景区的称号，根据磁器口古镇旅游发展规划，2010年前，将磁器口要打造成为国家历史文化名镇。</w:t>
      </w:r>
      <w:r>
        <w:rPr>
          <w:rFonts w:eastAsia="仿宋_GB2312"/>
          <w:bCs/>
          <w:sz w:val="28"/>
          <w:szCs w:val="28"/>
        </w:rPr>
        <w:t>10年内，</w:t>
      </w:r>
      <w:r>
        <w:rPr>
          <w:rFonts w:eastAsia="仿宋_GB2312"/>
          <w:sz w:val="28"/>
          <w:szCs w:val="28"/>
        </w:rPr>
        <w:t>古镇磁器口将不再是如今的弹丸之地，将打造成占地32.5公顷、涵盖功能更广更全的新型古镇。目前的磁器口除了提升档次，提高品味外，更要求扩大空间。”根据2008年5月1日施行的《重庆市磁器口古镇保护暂行办法》规定，磁器口古镇将扩展至东临嘉陵江、南接沙坪坝区中心城区、西界童家桥、北临石井坡的区域。</w:t>
      </w: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地块位于国道和城市干道两侧，同时处于千年文化名镇——磁器口对面，根据磁器口古镇发展规划，将整体打造古镇风貌协调，全面提升古镇周边物业配套形象，促进古镇旅游产业的提档升级。因此本</w:t>
      </w:r>
      <w:r>
        <w:rPr>
          <w:rFonts w:eastAsia="仿宋_GB2312" w:hint="eastAsia"/>
          <w:color w:val="000000"/>
          <w:sz w:val="28"/>
          <w:szCs w:val="28"/>
          <w:lang w:eastAsia="zh-CN"/>
        </w:rPr>
        <w:t>相关项目</w:t>
      </w:r>
      <w:r>
        <w:rPr>
          <w:rFonts w:eastAsia="仿宋_GB2312"/>
          <w:color w:val="000000"/>
          <w:sz w:val="28"/>
          <w:szCs w:val="28"/>
        </w:rPr>
        <w:t>的提出一方面积极响应贯彻重庆市拆迁改造、美化城市</w:t>
      </w:r>
      <w:r>
        <w:rPr>
          <w:rFonts w:eastAsia="仿宋_GB2312" w:hint="eastAsia"/>
          <w:color w:val="000000"/>
          <w:sz w:val="28"/>
          <w:szCs w:val="28"/>
          <w:lang w:eastAsia="zh-CN"/>
        </w:rPr>
        <w:t>相关计划</w:t>
      </w:r>
      <w:r>
        <w:rPr>
          <w:rFonts w:eastAsia="仿宋_GB2312"/>
          <w:color w:val="000000"/>
          <w:sz w:val="28"/>
          <w:szCs w:val="28"/>
        </w:rPr>
        <w:t>，一方面满足、对应磁器口古镇的发展规划，该</w:t>
      </w:r>
      <w:r>
        <w:rPr>
          <w:rFonts w:eastAsia="仿宋_GB2312" w:hint="eastAsia"/>
          <w:color w:val="000000"/>
          <w:sz w:val="28"/>
          <w:szCs w:val="28"/>
          <w:lang w:eastAsia="zh-CN"/>
        </w:rPr>
        <w:t>相关项目</w:t>
      </w:r>
      <w:r>
        <w:rPr>
          <w:rFonts w:eastAsia="仿宋_GB2312"/>
          <w:color w:val="000000"/>
          <w:sz w:val="28"/>
          <w:szCs w:val="28"/>
        </w:rPr>
        <w:t>的宏观建设背景十分利于</w:t>
      </w:r>
      <w:r>
        <w:rPr>
          <w:rFonts w:eastAsia="仿宋_GB2312" w:hint="eastAsia"/>
          <w:color w:val="000000"/>
          <w:sz w:val="28"/>
          <w:szCs w:val="28"/>
          <w:lang w:eastAsia="zh-CN"/>
        </w:rPr>
        <w:t>相关项目</w:t>
      </w:r>
      <w:r>
        <w:rPr>
          <w:rFonts w:eastAsia="仿宋_GB2312"/>
          <w:color w:val="000000"/>
          <w:sz w:val="28"/>
          <w:szCs w:val="28"/>
        </w:rPr>
        <w:t>的推进。</w:t>
      </w:r>
    </w:p>
    <w:p>
      <w:pPr>
        <w:pStyle w:val="Heading2"/>
        <w:adjustRightInd/>
        <w:spacing w:before="260" w:after="260" w:line="416" w:lineRule="auto"/>
        <w:textAlignment w:val="auto"/>
        <w:rPr>
          <w:rFonts w:ascii="Times New Roman" w:hAnsi="Times New Roman"/>
          <w:b/>
          <w:bCs/>
        </w:rPr>
      </w:pPr>
      <w:bookmarkStart w:id="19" w:name="_Toc244922118"/>
      <w:bookmarkStart w:id="20" w:name="_Toc244610489"/>
      <w:r>
        <w:rPr>
          <w:rFonts w:ascii="Times New Roman" w:hAnsi="Times New Roman"/>
          <w:b/>
          <w:bCs/>
        </w:rPr>
        <w:t xml:space="preserve">2.2 </w:t>
      </w:r>
      <w:r>
        <w:rPr>
          <w:rFonts w:ascii="Times New Roman" w:hAnsi="Times New Roman" w:hint="eastAsia"/>
          <w:b/>
          <w:bCs/>
          <w:lang w:eastAsia="zh-CN"/>
        </w:rPr>
        <w:t>相关项目</w:t>
      </w:r>
      <w:r>
        <w:rPr>
          <w:rFonts w:ascii="Times New Roman" w:hAnsi="Times New Roman"/>
          <w:b/>
          <w:bCs/>
        </w:rPr>
        <w:t>建设必要性</w:t>
      </w:r>
      <w:bookmarkEnd w:id="19"/>
      <w:bookmarkEnd w:id="20"/>
    </w:p>
    <w:p>
      <w:pPr>
        <w:pStyle w:val="Heading3"/>
        <w:rPr>
          <w:rFonts w:eastAsia="仿宋_GB2312"/>
          <w:b w:val="0"/>
          <w:sz w:val="28"/>
          <w:szCs w:val="28"/>
        </w:rPr>
      </w:pPr>
      <w:r>
        <w:rPr>
          <w:rFonts w:eastAsia="仿宋_GB2312"/>
          <w:b w:val="0"/>
          <w:sz w:val="28"/>
          <w:szCs w:val="28"/>
        </w:rPr>
        <w:t>2.2.1</w:t>
      </w:r>
      <w:r>
        <w:rPr>
          <w:rFonts w:eastAsia="仿宋_GB2312" w:hint="eastAsia"/>
          <w:b w:val="0"/>
          <w:sz w:val="28"/>
          <w:szCs w:val="28"/>
          <w:lang w:eastAsia="zh-CN"/>
        </w:rPr>
        <w:t>相关项目</w:t>
      </w:r>
      <w:r>
        <w:rPr>
          <w:rFonts w:eastAsia="仿宋_GB2312"/>
          <w:b w:val="0"/>
          <w:sz w:val="28"/>
          <w:szCs w:val="28"/>
        </w:rPr>
        <w:t>的建设，利于提升城市形象</w:t>
      </w:r>
    </w:p>
    <w:p>
      <w:pPr>
        <w:pStyle w:val="Normal0"/>
        <w:widowControl/>
        <w:spacing w:line="360" w:lineRule="auto"/>
        <w:ind w:firstLine="560" w:firstLineChars="200"/>
        <w:jc w:val="left"/>
        <w:rPr>
          <w:rFonts w:eastAsia="仿宋_GB2312"/>
          <w:sz w:val="28"/>
          <w:szCs w:val="28"/>
        </w:r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800" w:bottom="1440" w:left="1800" w:header="851" w:footer="992" w:gutter="0"/>
          <w:pgNumType w:start="10"/>
          <w:cols w:num="1" w:space="425"/>
          <w:titlePg w:val="0"/>
          <w:docGrid w:type="lines" w:linePitch="312" w:charSpace="0"/>
        </w:sectPr>
      </w:pPr>
      <w:r>
        <w:rPr>
          <w:rFonts w:eastAsia="仿宋_GB2312"/>
          <w:sz w:val="28"/>
          <w:szCs w:val="28"/>
        </w:rPr>
        <w:t>本</w:t>
      </w:r>
      <w:r>
        <w:rPr>
          <w:rFonts w:eastAsia="仿宋_GB2312" w:hint="eastAsia"/>
          <w:sz w:val="28"/>
          <w:szCs w:val="28"/>
          <w:lang w:eastAsia="zh-CN"/>
        </w:rPr>
        <w:t>相关项目</w:t>
      </w:r>
    </w:p>
    <w:p>
      <w:pPr>
        <w:pStyle w:val="Normal0"/>
        <w:widowControl/>
        <w:spacing w:line="360" w:lineRule="auto"/>
        <w:ind w:firstLine="560" w:firstLineChars="200"/>
        <w:jc w:val="left"/>
        <w:rPr>
          <w:rFonts w:eastAsia="仿宋_GB2312"/>
          <w:sz w:val="28"/>
          <w:szCs w:val="28"/>
        </w:rPr>
      </w:pPr>
      <w:r>
        <w:rPr>
          <w:rFonts w:eastAsia="仿宋_GB2312"/>
          <w:sz w:val="28"/>
          <w:szCs w:val="28"/>
        </w:rPr>
        <w:t>地块的现状是建筑陈旧落后，内外部环境脏、乱、差，已经跟城市发展非常不协调。由于该地块的特殊位置，一方面紧邻212国道，一方面处于磁器口古镇历史文化街对面，不仅有损于沙坪坝区甚至重庆市的城市形象，而且很大程度上破坏了磁器口古镇的千年历史文化形象。本</w:t>
      </w:r>
      <w:r>
        <w:rPr>
          <w:rFonts w:eastAsia="仿宋_GB2312" w:hint="eastAsia"/>
          <w:sz w:val="28"/>
          <w:szCs w:val="28"/>
          <w:lang w:eastAsia="zh-CN"/>
        </w:rPr>
        <w:t>相关项目</w:t>
      </w:r>
      <w:r>
        <w:rPr>
          <w:rFonts w:eastAsia="仿宋_GB2312"/>
          <w:sz w:val="28"/>
          <w:szCs w:val="28"/>
        </w:rPr>
        <w:t>通过拆迁改造，根据发展规划，重新科学合理构建，使整个地块面貌焕然一新，融入整个古镇的风格之中，提升磁器口古镇以及城市建设形象。</w:t>
      </w:r>
    </w:p>
    <w:p>
      <w:pPr>
        <w:pStyle w:val="Heading3"/>
        <w:rPr>
          <w:rFonts w:eastAsia="仿宋_GB2312"/>
          <w:b w:val="0"/>
          <w:sz w:val="28"/>
          <w:szCs w:val="28"/>
        </w:rPr>
      </w:pPr>
      <w:r>
        <w:rPr>
          <w:rFonts w:eastAsia="仿宋_GB2312"/>
          <w:b w:val="0"/>
          <w:sz w:val="28"/>
          <w:szCs w:val="28"/>
        </w:rPr>
        <w:t>2.2.2可以大幅度改善、提高拆迁居民生活、居住条件</w:t>
      </w:r>
    </w:p>
    <w:p>
      <w:pPr>
        <w:pStyle w:val="Normal0"/>
        <w:widowControl/>
        <w:spacing w:line="360" w:lineRule="auto"/>
        <w:ind w:firstLine="560" w:firstLineChars="200"/>
        <w:jc w:val="left"/>
        <w:rPr>
          <w:rFonts w:eastAsia="仿宋_GB2312"/>
          <w:sz w:val="28"/>
          <w:szCs w:val="28"/>
        </w:rPr>
      </w:pPr>
      <w:r>
        <w:rPr>
          <w:rFonts w:eastAsia="仿宋_GB2312"/>
          <w:sz w:val="28"/>
          <w:szCs w:val="28"/>
        </w:rPr>
        <w:t>地块内现有居住条件比较恶劣，建筑摆放布局错乱，道路高陡不平，内部配套等居住条件十分不便。另外绝大多数房屋年久失修，墙壁斑驳，土木构件有不同程度的损坏，居住的安全性较差，急需改造革新。同时当地居民拆迁改造的意愿比较强烈，迫切希望改善生活居住条件。基于以上种种原因，通过本</w:t>
      </w:r>
      <w:r>
        <w:rPr>
          <w:rFonts w:eastAsia="仿宋_GB2312" w:hint="eastAsia"/>
          <w:sz w:val="28"/>
          <w:szCs w:val="28"/>
          <w:lang w:eastAsia="zh-CN"/>
        </w:rPr>
        <w:t>相关项目</w:t>
      </w:r>
      <w:r>
        <w:rPr>
          <w:rFonts w:eastAsia="仿宋_GB2312"/>
          <w:sz w:val="28"/>
          <w:szCs w:val="28"/>
        </w:rPr>
        <w:t>的拆迁，重新规划建设，将会大大改善提高当地居民的生活环境。</w:t>
      </w:r>
    </w:p>
    <w:p>
      <w:pPr>
        <w:pStyle w:val="Heading3"/>
        <w:rPr>
          <w:rFonts w:eastAsia="仿宋_GB2312"/>
          <w:b w:val="0"/>
          <w:sz w:val="28"/>
          <w:szCs w:val="28"/>
        </w:rPr>
      </w:pPr>
      <w:r>
        <w:rPr>
          <w:rFonts w:eastAsia="仿宋_GB2312"/>
          <w:b w:val="0"/>
          <w:sz w:val="28"/>
          <w:szCs w:val="28"/>
        </w:rPr>
        <w:t>2.2.3盘活土地资产，充分利用土地资源</w:t>
      </w:r>
    </w:p>
    <w:p>
      <w:pPr>
        <w:pStyle w:val="Normal0"/>
        <w:widowControl/>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一般拆迁地块建筑密度大，容积率低，土地利用不充分，对土地资源日益紧张的城市建设区来说，是一种资源的浪费。该</w:t>
      </w:r>
      <w:r>
        <w:rPr>
          <w:rFonts w:eastAsia="仿宋_GB2312" w:hint="eastAsia"/>
          <w:color w:val="000000"/>
          <w:kern w:val="0"/>
          <w:sz w:val="28"/>
          <w:szCs w:val="28"/>
          <w:lang w:eastAsia="zh-CN"/>
        </w:rPr>
        <w:t>相关项目</w:t>
      </w:r>
      <w:r>
        <w:rPr>
          <w:rFonts w:eastAsia="仿宋_GB2312"/>
          <w:color w:val="000000"/>
          <w:kern w:val="0"/>
          <w:sz w:val="28"/>
          <w:szCs w:val="28"/>
        </w:rPr>
        <w:t>依据城市规划，合理利用容积率，将地块这一稀缺资源的空间利用发挥到最大；且由于该</w:t>
      </w:r>
      <w:r>
        <w:rPr>
          <w:rFonts w:eastAsia="仿宋_GB2312" w:hint="eastAsia"/>
          <w:color w:val="000000"/>
          <w:kern w:val="0"/>
          <w:sz w:val="28"/>
          <w:szCs w:val="28"/>
          <w:lang w:eastAsia="zh-CN"/>
        </w:rPr>
        <w:t>相关项目</w:t>
      </w:r>
      <w:r>
        <w:rPr>
          <w:rFonts w:eastAsia="仿宋_GB2312"/>
          <w:color w:val="000000"/>
          <w:kern w:val="0"/>
          <w:sz w:val="28"/>
          <w:szCs w:val="28"/>
        </w:rPr>
        <w:t>的实施，盘活了周边大面积“城中村”土地，大幅度提升其原有价值，真正体现城市土地的价值。</w:t>
      </w:r>
    </w:p>
    <w:p>
      <w:pPr>
        <w:pStyle w:val="Heading3"/>
        <w:rPr>
          <w:rFonts w:eastAsia="仿宋_GB2312"/>
          <w:b w:val="0"/>
          <w:sz w:val="28"/>
          <w:szCs w:val="28"/>
        </w:rPr>
      </w:pPr>
      <w:r>
        <w:rPr>
          <w:rFonts w:eastAsia="仿宋_GB2312"/>
          <w:b w:val="0"/>
          <w:sz w:val="28"/>
          <w:szCs w:val="28"/>
        </w:rPr>
        <w:t>2.2.4促进磁器口古镇风貌协调，美化古镇核心区周边形象</w:t>
      </w:r>
    </w:p>
    <w:p>
      <w:pPr>
        <w:pStyle w:val="Normal0"/>
        <w:widowControl/>
        <w:spacing w:line="360" w:lineRule="auto"/>
        <w:ind w:firstLine="560" w:firstLineChars="200"/>
        <w:jc w:val="left"/>
        <w:rPr>
          <w:rFonts w:eastAsia="仿宋_GB2312"/>
          <w:color w:val="000000"/>
          <w:sz w:val="28"/>
          <w:szCs w:val="28"/>
        </w:rPr>
        <w:sectPr>
          <w:headerReference w:type="even" r:id="rId85"/>
          <w:headerReference w:type="default" r:id="rId86"/>
          <w:footerReference w:type="even" r:id="rId87"/>
          <w:footerReference w:type="default" r:id="rId88"/>
          <w:headerReference w:type="first" r:id="rId89"/>
          <w:footerReference w:type="first" r:id="rId90"/>
          <w:type w:val="nextPage"/>
          <w:pgSz w:w="11906" w:h="16838"/>
          <w:pgMar w:top="1440" w:right="1800" w:bottom="1440" w:left="1800" w:header="851" w:footer="992" w:gutter="0"/>
          <w:pgNumType w:start="11"/>
          <w:cols w:num="1" w:space="425"/>
          <w:titlePg w:val="0"/>
          <w:docGrid w:type="lines" w:linePitch="312" w:charSpace="0"/>
        </w:sectPr>
      </w:pPr>
    </w:p>
    <w:p>
      <w:pPr>
        <w:pStyle w:val="Normal0"/>
        <w:widowControl/>
        <w:spacing w:line="360" w:lineRule="auto"/>
        <w:ind w:firstLine="560" w:firstLineChars="200"/>
        <w:jc w:val="left"/>
        <w:rPr>
          <w:rFonts w:eastAsia="仿宋_GB2312"/>
          <w:color w:val="000000"/>
          <w:sz w:val="28"/>
          <w:szCs w:val="28"/>
        </w:rPr>
      </w:pPr>
      <w:r>
        <w:rPr>
          <w:rFonts w:eastAsia="仿宋_GB2312"/>
          <w:color w:val="000000"/>
          <w:sz w:val="28"/>
          <w:szCs w:val="28"/>
        </w:rPr>
        <w:t>“文化”是沙区旅游发展的王牌，而“千年古镇磁器口”更是王牌中的王牌。磁器口的“古”必然对周边的建筑风貌提出了“古”的要求，以求达到更完整和谐的古镇风貌，更好地促进古镇旅游发展。该</w:t>
      </w:r>
      <w:r>
        <w:rPr>
          <w:rFonts w:eastAsia="仿宋_GB2312" w:hint="eastAsia"/>
          <w:color w:val="000000"/>
          <w:sz w:val="28"/>
          <w:szCs w:val="28"/>
          <w:lang w:eastAsia="zh-CN"/>
        </w:rPr>
        <w:t>相关项目</w:t>
      </w:r>
      <w:r>
        <w:rPr>
          <w:rFonts w:eastAsia="仿宋_GB2312"/>
          <w:color w:val="000000"/>
          <w:sz w:val="28"/>
          <w:szCs w:val="28"/>
        </w:rPr>
        <w:t xml:space="preserve">处于古镇风貌协调区，营造与古镇相仿建筑风格，对扩散古镇气息，美化古镇核心区周边形象有一定的配套作用。 </w:t>
      </w:r>
    </w:p>
    <w:p>
      <w:pPr>
        <w:pStyle w:val="Normal0"/>
        <w:widowControl/>
        <w:spacing w:line="360" w:lineRule="auto"/>
        <w:ind w:firstLine="560" w:firstLineChars="200"/>
        <w:jc w:val="left"/>
        <w:rPr>
          <w:sz w:val="24"/>
        </w:rPr>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800" w:bottom="1440" w:left="1800" w:header="851" w:footer="992" w:gutter="0"/>
          <w:pgNumType w:start="12"/>
          <w:cols w:num="1" w:space="425"/>
          <w:titlePg w:val="0"/>
          <w:docGrid w:type="lines" w:linePitch="312" w:charSpace="0"/>
        </w:sectPr>
      </w:pPr>
      <w:r>
        <w:rPr>
          <w:rFonts w:eastAsia="仿宋_GB2312"/>
          <w:color w:val="000000"/>
          <w:sz w:val="28"/>
          <w:szCs w:val="28"/>
        </w:rPr>
        <w:t>综上所述，本</w:t>
      </w:r>
      <w:r>
        <w:rPr>
          <w:rFonts w:eastAsia="仿宋_GB2312" w:hint="eastAsia"/>
          <w:color w:val="000000"/>
          <w:sz w:val="28"/>
          <w:szCs w:val="28"/>
          <w:lang w:eastAsia="zh-CN"/>
        </w:rPr>
        <w:t>相关项目</w:t>
      </w:r>
      <w:r>
        <w:rPr>
          <w:rFonts w:eastAsia="仿宋_GB2312"/>
          <w:color w:val="000000"/>
          <w:sz w:val="28"/>
          <w:szCs w:val="28"/>
        </w:rPr>
        <w:t>的建设是很必要的。</w:t>
      </w:r>
    </w:p>
    <w:p>
      <w:pPr>
        <w:pStyle w:val="Heading1"/>
        <w:jc w:val="center"/>
        <w:rPr>
          <w:rFonts w:eastAsia="黑体"/>
          <w:b w:val="0"/>
          <w:sz w:val="32"/>
          <w:szCs w:val="32"/>
        </w:rPr>
      </w:pPr>
      <w:bookmarkStart w:id="21" w:name="_Toc244610490"/>
      <w:bookmarkStart w:id="22" w:name="_Toc244922119"/>
      <w:r>
        <w:rPr>
          <w:rFonts w:eastAsia="黑体"/>
          <w:sz w:val="32"/>
          <w:szCs w:val="32"/>
        </w:rPr>
        <w:t xml:space="preserve">3  </w:t>
      </w:r>
      <w:r>
        <w:rPr>
          <w:rFonts w:eastAsia="黑体" w:hint="eastAsia"/>
          <w:sz w:val="32"/>
          <w:szCs w:val="32"/>
          <w:lang w:eastAsia="zh-CN"/>
        </w:rPr>
        <w:t>相关项目</w:t>
      </w:r>
      <w:r>
        <w:rPr>
          <w:rFonts w:eastAsia="黑体"/>
          <w:sz w:val="32"/>
          <w:szCs w:val="32"/>
        </w:rPr>
        <w:t>市场分析</w:t>
      </w:r>
      <w:bookmarkEnd w:id="21"/>
      <w:bookmarkEnd w:id="22"/>
    </w:p>
    <w:p>
      <w:pPr>
        <w:pStyle w:val="Heading2"/>
        <w:adjustRightInd/>
        <w:spacing w:before="260" w:after="260" w:line="416" w:lineRule="auto"/>
        <w:textAlignment w:val="auto"/>
        <w:rPr>
          <w:rFonts w:ascii="Times New Roman" w:hAnsi="Times New Roman"/>
          <w:b/>
          <w:bCs/>
        </w:rPr>
      </w:pPr>
      <w:bookmarkStart w:id="23" w:name="_Toc244922120"/>
      <w:bookmarkStart w:id="24" w:name="_Toc244610491"/>
      <w:r>
        <w:rPr>
          <w:rFonts w:ascii="Times New Roman" w:hAnsi="Times New Roman"/>
          <w:b/>
          <w:bCs/>
        </w:rPr>
        <w:t xml:space="preserve">3.1 </w:t>
      </w:r>
      <w:r>
        <w:rPr>
          <w:rFonts w:ascii="Times New Roman" w:hAnsi="Times New Roman" w:hint="eastAsia"/>
          <w:b/>
          <w:bCs/>
          <w:lang w:eastAsia="zh-CN"/>
        </w:rPr>
        <w:t>相关项目</w:t>
      </w:r>
      <w:r>
        <w:rPr>
          <w:rFonts w:ascii="Times New Roman" w:hAnsi="Times New Roman"/>
          <w:b/>
          <w:bCs/>
        </w:rPr>
        <w:t>定位</w:t>
      </w:r>
      <w:bookmarkEnd w:id="23"/>
      <w:bookmarkEnd w:id="24"/>
    </w:p>
    <w:bookmarkEnd w:id="15"/>
    <w:bookmarkEnd w:id="16"/>
    <w:p>
      <w:pPr>
        <w:pStyle w:val="Heading3"/>
        <w:rPr>
          <w:rFonts w:eastAsia="仿宋_GB2312"/>
          <w:b w:val="0"/>
          <w:sz w:val="28"/>
          <w:szCs w:val="28"/>
        </w:rPr>
      </w:pPr>
      <w:r>
        <w:rPr>
          <w:rFonts w:eastAsia="仿宋_GB2312"/>
          <w:b w:val="0"/>
          <w:sz w:val="28"/>
          <w:szCs w:val="28"/>
        </w:rPr>
        <w:t>3.1.1</w:t>
      </w:r>
      <w:r>
        <w:rPr>
          <w:rFonts w:eastAsia="仿宋_GB2312" w:hint="eastAsia"/>
          <w:b w:val="0"/>
          <w:sz w:val="28"/>
          <w:szCs w:val="28"/>
          <w:lang w:eastAsia="zh-CN"/>
        </w:rPr>
        <w:t>相关项目</w:t>
      </w:r>
      <w:r>
        <w:rPr>
          <w:rFonts w:eastAsia="仿宋_GB2312"/>
          <w:b w:val="0"/>
          <w:sz w:val="28"/>
          <w:szCs w:val="28"/>
        </w:rPr>
        <w:t>目标定位</w:t>
      </w:r>
    </w:p>
    <w:p>
      <w:pPr>
        <w:pStyle w:val="Normal0"/>
        <w:spacing w:line="360" w:lineRule="auto"/>
        <w:ind w:firstLine="560" w:firstLineChars="200"/>
        <w:rPr>
          <w:rFonts w:eastAsia="仿宋_GB2312"/>
          <w:bCs/>
          <w:sz w:val="28"/>
          <w:szCs w:val="28"/>
        </w:rPr>
      </w:pPr>
      <w:r>
        <w:rPr>
          <w:rFonts w:eastAsia="仿宋_GB2312"/>
          <w:bCs/>
          <w:sz w:val="28"/>
          <w:szCs w:val="28"/>
        </w:rPr>
        <w:t>鉴于本</w:t>
      </w:r>
      <w:r>
        <w:rPr>
          <w:rFonts w:eastAsia="仿宋_GB2312" w:hint="eastAsia"/>
          <w:bCs/>
          <w:sz w:val="28"/>
          <w:szCs w:val="28"/>
          <w:lang w:eastAsia="zh-CN"/>
        </w:rPr>
        <w:t>相关项目</w:t>
      </w:r>
      <w:r>
        <w:rPr>
          <w:rFonts w:eastAsia="仿宋_GB2312"/>
          <w:bCs/>
          <w:sz w:val="28"/>
          <w:szCs w:val="28"/>
        </w:rPr>
        <w:t>是旧城改造</w:t>
      </w:r>
      <w:r>
        <w:rPr>
          <w:rFonts w:eastAsia="仿宋_GB2312" w:hint="eastAsia"/>
          <w:bCs/>
          <w:sz w:val="28"/>
          <w:szCs w:val="28"/>
          <w:lang w:eastAsia="zh-CN"/>
        </w:rPr>
        <w:t>相关项目</w:t>
      </w:r>
      <w:r>
        <w:rPr>
          <w:rFonts w:eastAsia="仿宋_GB2312"/>
          <w:bCs/>
          <w:sz w:val="28"/>
          <w:szCs w:val="28"/>
        </w:rPr>
        <w:t>，具有拆迁安置的特殊社会属性，因此从城市、地方区域、拆迁户、公司的角度出发考虑</w:t>
      </w:r>
      <w:r>
        <w:rPr>
          <w:rFonts w:eastAsia="仿宋_GB2312" w:hint="eastAsia"/>
          <w:bCs/>
          <w:sz w:val="28"/>
          <w:szCs w:val="28"/>
          <w:lang w:eastAsia="zh-CN"/>
        </w:rPr>
        <w:t>相关项目</w:t>
      </w:r>
      <w:r>
        <w:rPr>
          <w:rFonts w:eastAsia="仿宋_GB2312"/>
          <w:bCs/>
          <w:sz w:val="28"/>
          <w:szCs w:val="28"/>
        </w:rPr>
        <w:t>开发的目标定位为以下方面：</w:t>
      </w:r>
    </w:p>
    <w:p>
      <w:pPr>
        <w:pStyle w:val="Normal0"/>
        <w:spacing w:line="360" w:lineRule="auto"/>
        <w:ind w:firstLine="560" w:firstLineChars="200"/>
        <w:rPr>
          <w:rFonts w:eastAsia="仿宋_GB2312"/>
          <w:bCs/>
          <w:sz w:val="28"/>
          <w:szCs w:val="28"/>
        </w:rPr>
      </w:pPr>
      <w:r>
        <w:rPr>
          <w:rFonts w:eastAsia="仿宋_GB2312"/>
          <w:bCs/>
          <w:sz w:val="28"/>
          <w:szCs w:val="28"/>
        </w:rPr>
        <w:t>（1）通过危旧房区域的拆迁改造、提升城市区域形象；</w:t>
      </w:r>
    </w:p>
    <w:p>
      <w:pPr>
        <w:pStyle w:val="Normal0"/>
        <w:spacing w:line="360" w:lineRule="auto"/>
        <w:ind w:firstLine="560" w:firstLineChars="200"/>
        <w:rPr>
          <w:rFonts w:eastAsia="仿宋_GB2312"/>
          <w:bCs/>
          <w:sz w:val="28"/>
          <w:szCs w:val="28"/>
        </w:rPr>
      </w:pPr>
      <w:r>
        <w:rPr>
          <w:rFonts w:eastAsia="仿宋_GB2312"/>
          <w:bCs/>
          <w:sz w:val="28"/>
          <w:szCs w:val="28"/>
        </w:rPr>
        <w:t>（2）通过拆迁、还建安置拆迁住户，大幅度改善其居住生活条件；</w:t>
      </w:r>
    </w:p>
    <w:p>
      <w:pPr>
        <w:pStyle w:val="Normal0"/>
        <w:spacing w:line="360" w:lineRule="auto"/>
        <w:ind w:firstLine="560" w:firstLineChars="200"/>
        <w:rPr>
          <w:rFonts w:eastAsia="仿宋_GB2312"/>
          <w:bCs/>
          <w:sz w:val="28"/>
          <w:szCs w:val="28"/>
        </w:rPr>
      </w:pPr>
      <w:r>
        <w:rPr>
          <w:rFonts w:eastAsia="仿宋_GB2312"/>
          <w:bCs/>
          <w:sz w:val="28"/>
          <w:szCs w:val="28"/>
        </w:rPr>
        <w:t>（3）顺应磁器口旅游景区的提档升级，协调磁器口古镇整体风貌打造；</w:t>
      </w:r>
    </w:p>
    <w:p>
      <w:pPr>
        <w:pStyle w:val="Normal0"/>
        <w:spacing w:line="360" w:lineRule="auto"/>
        <w:ind w:firstLine="560" w:firstLineChars="200"/>
        <w:rPr>
          <w:rFonts w:eastAsia="仿宋_GB2312"/>
          <w:bCs/>
          <w:sz w:val="28"/>
          <w:szCs w:val="28"/>
        </w:rPr>
      </w:pPr>
      <w:r>
        <w:rPr>
          <w:rFonts w:eastAsia="仿宋_GB2312"/>
          <w:bCs/>
          <w:sz w:val="28"/>
          <w:szCs w:val="28"/>
        </w:rPr>
        <w:t>（4）充分利用有限的土地资源，将土地价值最大化</w:t>
      </w:r>
      <w:r>
        <w:rPr>
          <w:rFonts w:eastAsia="仿宋_GB2312" w:hint="eastAsia"/>
          <w:bCs/>
          <w:sz w:val="28"/>
          <w:szCs w:val="28"/>
        </w:rPr>
        <w:t>利用</w:t>
      </w:r>
      <w:r>
        <w:rPr>
          <w:rFonts w:eastAsia="仿宋_GB2312"/>
          <w:bCs/>
          <w:sz w:val="28"/>
          <w:szCs w:val="28"/>
        </w:rPr>
        <w:t>；</w:t>
      </w:r>
    </w:p>
    <w:p>
      <w:pPr>
        <w:pStyle w:val="Heading3"/>
        <w:rPr>
          <w:rFonts w:eastAsia="仿宋_GB2312"/>
          <w:b w:val="0"/>
          <w:sz w:val="28"/>
          <w:szCs w:val="28"/>
        </w:rPr>
      </w:pPr>
      <w:r>
        <w:rPr>
          <w:rFonts w:eastAsia="仿宋_GB2312"/>
          <w:b w:val="0"/>
          <w:sz w:val="28"/>
          <w:szCs w:val="28"/>
        </w:rPr>
        <w:t>3.1.2</w:t>
      </w:r>
      <w:r>
        <w:rPr>
          <w:rFonts w:eastAsia="仿宋_GB2312" w:hint="eastAsia"/>
          <w:b w:val="0"/>
          <w:sz w:val="28"/>
          <w:szCs w:val="28"/>
          <w:lang w:eastAsia="zh-CN"/>
        </w:rPr>
        <w:t>相关项目</w:t>
      </w:r>
      <w:r>
        <w:rPr>
          <w:rFonts w:eastAsia="仿宋_GB2312"/>
          <w:b w:val="0"/>
          <w:sz w:val="28"/>
          <w:szCs w:val="28"/>
        </w:rPr>
        <w:t>业态定位</w:t>
      </w:r>
    </w:p>
    <w:p>
      <w:pPr>
        <w:pStyle w:val="Normal0"/>
        <w:spacing w:line="360" w:lineRule="auto"/>
        <w:ind w:firstLine="560" w:firstLineChars="200"/>
        <w:rPr>
          <w:rFonts w:eastAsia="仿宋_GB2312"/>
          <w:bCs/>
          <w:sz w:val="28"/>
          <w:szCs w:val="28"/>
        </w:rPr>
      </w:pPr>
      <w:r>
        <w:rPr>
          <w:rFonts w:eastAsia="仿宋_GB2312" w:hint="eastAsia"/>
          <w:bCs/>
          <w:sz w:val="28"/>
          <w:szCs w:val="28"/>
          <w:lang w:eastAsia="zh-CN"/>
        </w:rPr>
        <w:t>相关项目</w:t>
      </w:r>
      <w:r>
        <w:rPr>
          <w:rFonts w:eastAsia="仿宋_GB2312"/>
          <w:bCs/>
          <w:sz w:val="28"/>
          <w:szCs w:val="28"/>
        </w:rPr>
        <w:t>地块临近城市主干道、紧邻磁器口旅游核心区，通过综合解析地块，地块周边环境以及本</w:t>
      </w:r>
      <w:r>
        <w:rPr>
          <w:rFonts w:eastAsia="仿宋_GB2312" w:hint="eastAsia"/>
          <w:bCs/>
          <w:sz w:val="28"/>
          <w:szCs w:val="28"/>
          <w:lang w:eastAsia="zh-CN"/>
        </w:rPr>
        <w:t>相关项目</w:t>
      </w:r>
      <w:r>
        <w:rPr>
          <w:rFonts w:eastAsia="仿宋_GB2312"/>
          <w:bCs/>
          <w:sz w:val="28"/>
          <w:szCs w:val="28"/>
        </w:rPr>
        <w:t>自身独有特点，寻找</w:t>
      </w:r>
      <w:r>
        <w:rPr>
          <w:rFonts w:eastAsia="仿宋_GB2312" w:hint="eastAsia"/>
          <w:bCs/>
          <w:sz w:val="28"/>
          <w:szCs w:val="28"/>
          <w:lang w:eastAsia="zh-CN"/>
        </w:rPr>
        <w:t>相关项目</w:t>
      </w:r>
      <w:r>
        <w:rPr>
          <w:rFonts w:eastAsia="仿宋_GB2312"/>
          <w:bCs/>
          <w:sz w:val="28"/>
          <w:szCs w:val="28"/>
        </w:rPr>
        <w:t>业态。经调查研究，分析得出以下二种业态为</w:t>
      </w:r>
      <w:r>
        <w:rPr>
          <w:rFonts w:eastAsia="仿宋_GB2312" w:hint="eastAsia"/>
          <w:bCs/>
          <w:sz w:val="28"/>
          <w:szCs w:val="28"/>
          <w:lang w:eastAsia="zh-CN"/>
        </w:rPr>
        <w:t>相关项目</w:t>
      </w:r>
      <w:r>
        <w:rPr>
          <w:rFonts w:eastAsia="仿宋_GB2312"/>
          <w:bCs/>
          <w:sz w:val="28"/>
          <w:szCs w:val="28"/>
        </w:rPr>
        <w:t>的发展方向</w:t>
      </w:r>
      <w:r>
        <w:rPr>
          <w:rFonts w:eastAsia="仿宋_GB2312" w:hint="eastAsia"/>
          <w:b/>
          <w:bCs/>
          <w:sz w:val="28"/>
          <w:szCs w:val="28"/>
        </w:rPr>
        <w:t>少量</w:t>
      </w:r>
      <w:r>
        <w:rPr>
          <w:rFonts w:eastAsia="仿宋_GB2312"/>
          <w:b/>
          <w:bCs/>
          <w:sz w:val="28"/>
          <w:szCs w:val="28"/>
        </w:rPr>
        <w:t>临街商业+普通住宅。</w:t>
      </w:r>
    </w:p>
    <w:p>
      <w:pPr>
        <w:pStyle w:val="Normal0"/>
        <w:spacing w:line="360" w:lineRule="auto"/>
        <w:ind w:firstLine="560" w:firstLineChars="200"/>
        <w:rPr>
          <w:rFonts w:eastAsia="仿宋_GB2312"/>
          <w:bCs/>
          <w:sz w:val="28"/>
          <w:szCs w:val="28"/>
        </w:rPr>
        <w:sectPr>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800" w:bottom="1440" w:left="1800" w:header="851" w:footer="992" w:gutter="0"/>
          <w:pgNumType w:start="13"/>
          <w:cols w:num="1" w:space="425"/>
          <w:titlePg w:val="0"/>
          <w:docGrid w:type="lines" w:linePitch="312" w:charSpace="0"/>
        </w:sectPr>
      </w:pPr>
      <w:r>
        <w:rPr>
          <w:rFonts w:eastAsia="仿宋_GB2312"/>
          <w:bCs/>
          <w:sz w:val="28"/>
          <w:szCs w:val="28"/>
        </w:rPr>
        <w:t>临街商业</w:t>
      </w:r>
      <w:r>
        <w:rPr>
          <w:rFonts w:eastAsia="仿宋_GB2312" w:hint="eastAsia"/>
          <w:bCs/>
          <w:sz w:val="28"/>
          <w:szCs w:val="28"/>
        </w:rPr>
        <w:t>为临街一层门面，</w:t>
      </w:r>
      <w:r>
        <w:rPr>
          <w:rFonts w:eastAsia="仿宋_GB2312"/>
          <w:bCs/>
          <w:sz w:val="28"/>
          <w:szCs w:val="28"/>
        </w:rPr>
        <w:t>主要以中高档品牌餐饮、娱乐为主，餐饮要突出地方特色，娱乐</w:t>
      </w:r>
      <w:r>
        <w:rPr>
          <w:rFonts w:eastAsia="仿宋_GB2312" w:hint="eastAsia"/>
          <w:bCs/>
          <w:sz w:val="28"/>
          <w:szCs w:val="28"/>
          <w:lang w:eastAsia="zh-CN"/>
        </w:rPr>
        <w:t>合适的内容</w:t>
      </w:r>
      <w:r>
        <w:rPr>
          <w:rFonts w:eastAsia="仿宋_GB2312"/>
          <w:bCs/>
          <w:sz w:val="28"/>
          <w:szCs w:val="28"/>
        </w:rPr>
        <w:t>要丰富新颖；同时在</w:t>
      </w:r>
    </w:p>
    <w:p>
      <w:pPr>
        <w:pStyle w:val="Normal0"/>
        <w:spacing w:line="360" w:lineRule="auto"/>
        <w:ind w:firstLine="560" w:firstLineChars="200"/>
        <w:rPr>
          <w:rFonts w:eastAsia="仿宋_GB2312"/>
          <w:bCs/>
          <w:sz w:val="28"/>
          <w:szCs w:val="28"/>
        </w:rPr>
      </w:pPr>
      <w:r>
        <w:rPr>
          <w:rFonts w:eastAsia="仿宋_GB2312" w:hint="eastAsia"/>
          <w:bCs/>
          <w:sz w:val="28"/>
          <w:szCs w:val="28"/>
        </w:rPr>
        <w:t>商业二层及</w:t>
      </w:r>
      <w:r>
        <w:rPr>
          <w:rFonts w:eastAsia="仿宋_GB2312"/>
          <w:bCs/>
          <w:sz w:val="28"/>
          <w:szCs w:val="28"/>
        </w:rPr>
        <w:t>安置房下面配以一定比例的</w:t>
      </w:r>
      <w:r>
        <w:rPr>
          <w:rFonts w:eastAsia="仿宋_GB2312" w:hint="eastAsia"/>
          <w:bCs/>
          <w:sz w:val="28"/>
          <w:szCs w:val="28"/>
        </w:rPr>
        <w:t>小区</w:t>
      </w:r>
      <w:r>
        <w:rPr>
          <w:rFonts w:eastAsia="仿宋_GB2312" w:hint="eastAsia"/>
          <w:bCs/>
          <w:sz w:val="28"/>
          <w:szCs w:val="28"/>
          <w:lang w:eastAsia="zh-CN"/>
        </w:rPr>
        <w:t>管理管控</w:t>
      </w:r>
      <w:r>
        <w:rPr>
          <w:rFonts w:eastAsia="仿宋_GB2312" w:hint="eastAsia"/>
          <w:bCs/>
          <w:sz w:val="28"/>
          <w:szCs w:val="28"/>
        </w:rPr>
        <w:t>及公共活动用房，</w:t>
      </w:r>
      <w:r>
        <w:rPr>
          <w:rFonts w:eastAsia="仿宋_GB2312"/>
          <w:bCs/>
          <w:sz w:val="28"/>
          <w:szCs w:val="28"/>
        </w:rPr>
        <w:t>以满足小区内</w:t>
      </w:r>
      <w:r>
        <w:rPr>
          <w:rFonts w:eastAsia="仿宋_GB2312" w:hint="eastAsia"/>
          <w:bCs/>
          <w:sz w:val="28"/>
          <w:szCs w:val="28"/>
          <w:lang w:eastAsia="zh-CN"/>
        </w:rPr>
        <w:t>管理管控</w:t>
      </w:r>
      <w:r>
        <w:rPr>
          <w:rFonts w:eastAsia="仿宋_GB2312" w:hint="eastAsia"/>
          <w:bCs/>
          <w:sz w:val="28"/>
          <w:szCs w:val="28"/>
        </w:rPr>
        <w:t>、活动需求</w:t>
      </w:r>
      <w:r>
        <w:rPr>
          <w:rFonts w:eastAsia="仿宋_GB2312"/>
          <w:bCs/>
          <w:sz w:val="28"/>
          <w:szCs w:val="28"/>
        </w:rPr>
        <w:t>。</w:t>
      </w:r>
    </w:p>
    <w:p>
      <w:pPr>
        <w:pStyle w:val="Normal0"/>
        <w:spacing w:line="360" w:lineRule="auto"/>
        <w:ind w:firstLine="560" w:firstLineChars="200"/>
        <w:rPr>
          <w:rFonts w:eastAsia="仿宋_GB2312"/>
          <w:bCs/>
          <w:sz w:val="28"/>
          <w:szCs w:val="28"/>
        </w:rPr>
      </w:pPr>
      <w:r>
        <w:rPr>
          <w:rFonts w:eastAsia="仿宋_GB2312"/>
          <w:bCs/>
          <w:sz w:val="28"/>
          <w:szCs w:val="28"/>
        </w:rPr>
        <w:t>住房全部按照约定作拆迁安置，档次定位中等稍偏低档次。</w:t>
      </w:r>
    </w:p>
    <w:p>
      <w:pPr>
        <w:pStyle w:val="Heading2"/>
        <w:adjustRightInd/>
        <w:spacing w:before="260" w:after="260" w:line="416" w:lineRule="auto"/>
        <w:textAlignment w:val="auto"/>
        <w:rPr>
          <w:rFonts w:ascii="Times New Roman" w:hAnsi="Times New Roman"/>
          <w:b/>
          <w:bCs/>
        </w:rPr>
      </w:pPr>
      <w:bookmarkStart w:id="25" w:name="_Toc244610492"/>
      <w:bookmarkStart w:id="26" w:name="_Toc244922121"/>
      <w:r>
        <w:rPr>
          <w:rFonts w:ascii="Times New Roman" w:hAnsi="Times New Roman"/>
          <w:b/>
          <w:bCs/>
        </w:rPr>
        <w:t xml:space="preserve">3.2 </w:t>
      </w:r>
      <w:r>
        <w:rPr>
          <w:rFonts w:ascii="Times New Roman" w:hAnsi="Times New Roman" w:hint="eastAsia"/>
          <w:b/>
          <w:bCs/>
          <w:lang w:eastAsia="zh-CN"/>
        </w:rPr>
        <w:t>相关项目</w:t>
      </w:r>
      <w:r>
        <w:rPr>
          <w:rFonts w:ascii="Times New Roman" w:hAnsi="Times New Roman"/>
          <w:b/>
          <w:bCs/>
        </w:rPr>
        <w:t>前景分析</w:t>
      </w:r>
      <w:bookmarkEnd w:id="25"/>
      <w:bookmarkEnd w:id="26"/>
    </w:p>
    <w:p>
      <w:pPr>
        <w:pStyle w:val="Normal0"/>
        <w:spacing w:line="360" w:lineRule="auto"/>
        <w:ind w:firstLine="560" w:firstLineChars="200"/>
        <w:rPr>
          <w:rFonts w:eastAsia="仿宋_GB2312"/>
          <w:bCs/>
          <w:sz w:val="28"/>
          <w:szCs w:val="28"/>
        </w:rPr>
      </w:pPr>
      <w:r>
        <w:rPr>
          <w:rFonts w:eastAsia="仿宋_GB2312" w:hint="eastAsia"/>
          <w:sz w:val="28"/>
          <w:szCs w:val="28"/>
          <w:lang w:eastAsia="zh-CN"/>
        </w:rPr>
        <w:t>相关项目</w:t>
      </w:r>
      <w:r>
        <w:rPr>
          <w:rFonts w:eastAsia="仿宋_GB2312"/>
          <w:sz w:val="28"/>
          <w:szCs w:val="28"/>
        </w:rPr>
        <w:t>周边的磁器口古镇和歌乐山烈士陵园在重庆市乃至全国的旅游景点中具有较明显的影响力，而且近年来游客数量逐步上升。而</w:t>
      </w:r>
      <w:r>
        <w:rPr>
          <w:rFonts w:eastAsia="仿宋_GB2312"/>
          <w:bCs/>
          <w:sz w:val="28"/>
          <w:szCs w:val="28"/>
        </w:rPr>
        <w:t>本</w:t>
      </w:r>
      <w:r>
        <w:rPr>
          <w:rFonts w:eastAsia="仿宋_GB2312" w:hint="eastAsia"/>
          <w:bCs/>
          <w:sz w:val="28"/>
          <w:szCs w:val="28"/>
          <w:lang w:eastAsia="zh-CN"/>
        </w:rPr>
        <w:t>相关项目</w:t>
      </w:r>
      <w:r>
        <w:rPr>
          <w:rFonts w:eastAsia="仿宋_GB2312"/>
          <w:bCs/>
          <w:sz w:val="28"/>
          <w:szCs w:val="28"/>
        </w:rPr>
        <w:t>酒店、商业的良好运行很大程度上要依托于磁器口古镇历史文化旅游与歌乐山红色旅游的巨大旅游人气，主要是以吸引磁器口古镇旅游客源为主。磁器口旅游人气旺盛，2008年旅游人数继续稳定在400万以上，随着沙区政府对古镇旅游开发建设的投入力度加大，预计今后旅游人次逐年大幅度攀升，这无疑是今后本</w:t>
      </w:r>
      <w:r>
        <w:rPr>
          <w:rFonts w:eastAsia="仿宋_GB2312" w:hint="eastAsia"/>
          <w:bCs/>
          <w:sz w:val="28"/>
          <w:szCs w:val="28"/>
          <w:lang w:eastAsia="zh-CN"/>
        </w:rPr>
        <w:t>相关项目</w:t>
      </w:r>
      <w:r>
        <w:rPr>
          <w:rFonts w:eastAsia="仿宋_GB2312"/>
          <w:bCs/>
          <w:sz w:val="28"/>
          <w:szCs w:val="28"/>
        </w:rPr>
        <w:t>商业的光明市场前景的稳定保障。</w:t>
      </w:r>
    </w:p>
    <w:p>
      <w:pPr>
        <w:pStyle w:val="Heading3"/>
        <w:rPr>
          <w:rFonts w:eastAsia="仿宋_GB2312"/>
          <w:b w:val="0"/>
          <w:sz w:val="28"/>
          <w:szCs w:val="28"/>
        </w:rPr>
      </w:pPr>
      <w:r>
        <w:rPr>
          <w:rFonts w:eastAsia="仿宋_GB2312"/>
          <w:b w:val="0"/>
          <w:sz w:val="28"/>
          <w:szCs w:val="28"/>
        </w:rPr>
        <w:t>3.2.1</w:t>
      </w:r>
      <w:r>
        <w:rPr>
          <w:rFonts w:eastAsia="仿宋_GB2312" w:hint="eastAsia"/>
          <w:b w:val="0"/>
          <w:sz w:val="28"/>
          <w:szCs w:val="28"/>
          <w:lang w:eastAsia="zh-CN"/>
        </w:rPr>
        <w:t>相关项目</w:t>
      </w:r>
      <w:r>
        <w:rPr>
          <w:rFonts w:eastAsia="仿宋_GB2312"/>
          <w:b w:val="0"/>
          <w:sz w:val="28"/>
          <w:szCs w:val="28"/>
        </w:rPr>
        <w:t>临街商业市场前景分析</w:t>
      </w:r>
    </w:p>
    <w:p>
      <w:pPr>
        <w:pStyle w:val="Normal0"/>
        <w:spacing w:line="360" w:lineRule="auto"/>
        <w:ind w:firstLine="560" w:firstLineChars="200"/>
        <w:rPr>
          <w:rFonts w:eastAsia="仿宋_GB2312"/>
          <w:bCs/>
          <w:sz w:val="28"/>
          <w:szCs w:val="28"/>
        </w:rPr>
      </w:pPr>
      <w:r>
        <w:rPr>
          <w:rFonts w:eastAsia="仿宋_GB2312"/>
          <w:bCs/>
          <w:sz w:val="28"/>
          <w:szCs w:val="28"/>
        </w:rPr>
        <w:t>磁器口商业基本上集中在正街内部和磁童路沿线。正街内部商业形态均为小街铺，包罗特色餐饮、地方小吃、旅游工业品等，档次偏低；磁童路两侧街铺沿线排布大约700米，均为2-3层建筑，商业面积有一定规模，但是档次依然偏低。两者基本饱和了中低消费市场，使得该旅游区域中高档商业消费人群大量流失，因此为本</w:t>
      </w:r>
      <w:r>
        <w:rPr>
          <w:rFonts w:eastAsia="仿宋_GB2312" w:hint="eastAsia"/>
          <w:bCs/>
          <w:sz w:val="28"/>
          <w:szCs w:val="28"/>
          <w:lang w:eastAsia="zh-CN"/>
        </w:rPr>
        <w:t>相关项目</w:t>
      </w:r>
      <w:r>
        <w:rPr>
          <w:rFonts w:eastAsia="仿宋_GB2312"/>
          <w:bCs/>
          <w:sz w:val="28"/>
          <w:szCs w:val="28"/>
        </w:rPr>
        <w:t>的中高档次、少体量的商业放量提供了大好机会。</w:t>
      </w:r>
    </w:p>
    <w:p>
      <w:pPr>
        <w:pStyle w:val="Normal0"/>
        <w:spacing w:line="360" w:lineRule="auto"/>
        <w:ind w:firstLine="560" w:firstLineChars="200"/>
        <w:rPr>
          <w:rFonts w:eastAsia="仿宋_GB2312"/>
          <w:bCs/>
          <w:sz w:val="28"/>
          <w:szCs w:val="28"/>
        </w:rPr>
        <w:sectPr>
          <w:headerReference w:type="even" r:id="rId103"/>
          <w:headerReference w:type="default" r:id="rId104"/>
          <w:footerReference w:type="even" r:id="rId105"/>
          <w:footerReference w:type="default" r:id="rId106"/>
          <w:headerReference w:type="first" r:id="rId107"/>
          <w:footerReference w:type="first" r:id="rId108"/>
          <w:type w:val="nextPage"/>
          <w:pgSz w:w="11906" w:h="16838"/>
          <w:pgMar w:top="1440" w:right="1800" w:bottom="1440" w:left="1800" w:header="851" w:footer="992" w:gutter="0"/>
          <w:pgNumType w:start="14"/>
          <w:cols w:num="1" w:space="425"/>
          <w:titlePg w:val="0"/>
          <w:docGrid w:type="lines" w:linePitch="312" w:charSpace="0"/>
        </w:sectPr>
      </w:pPr>
      <w:r>
        <w:rPr>
          <w:rFonts w:eastAsia="仿宋_GB2312"/>
          <w:bCs/>
          <w:sz w:val="28"/>
          <w:szCs w:val="28"/>
        </w:rPr>
        <w:t>本</w:t>
      </w:r>
      <w:r>
        <w:rPr>
          <w:rFonts w:eastAsia="仿宋_GB2312" w:hint="eastAsia"/>
          <w:bCs/>
          <w:sz w:val="28"/>
          <w:szCs w:val="28"/>
          <w:lang w:eastAsia="zh-CN"/>
        </w:rPr>
        <w:t>相关项目</w:t>
      </w:r>
    </w:p>
    <w:p>
      <w:pPr>
        <w:pStyle w:val="Normal0"/>
        <w:spacing w:line="360" w:lineRule="auto"/>
        <w:ind w:firstLine="560" w:firstLineChars="200"/>
        <w:rPr>
          <w:rFonts w:eastAsia="仿宋_GB2312"/>
          <w:bCs/>
          <w:sz w:val="28"/>
          <w:szCs w:val="28"/>
        </w:rPr>
      </w:pPr>
      <w:r>
        <w:rPr>
          <w:rFonts w:eastAsia="仿宋_GB2312"/>
          <w:bCs/>
          <w:sz w:val="28"/>
          <w:szCs w:val="28"/>
        </w:rPr>
        <w:t>临街商业走差异化路线，寻求中高档层次这一市场空缺，旺盛的旅游人气加交通的便捷性是人流量的强有力保证。预计消费人群构成比例：</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 xml:space="preserve">磁器口旅游客源            60%   </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本地附近居民              30%</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两侧道路过客及其他        10%</w:t>
      </w:r>
    </w:p>
    <w:p>
      <w:pPr>
        <w:pStyle w:val="Normal0"/>
        <w:spacing w:line="360" w:lineRule="auto"/>
        <w:ind w:firstLine="560" w:firstLineChars="200"/>
        <w:rPr>
          <w:rFonts w:eastAsia="仿宋_GB2312"/>
          <w:bCs/>
          <w:sz w:val="28"/>
          <w:szCs w:val="28"/>
        </w:rPr>
      </w:pPr>
      <w:r>
        <w:rPr>
          <w:rFonts w:eastAsia="仿宋_GB2312"/>
          <w:bCs/>
          <w:sz w:val="28"/>
          <w:szCs w:val="28"/>
        </w:rPr>
        <w:t>本</w:t>
      </w:r>
      <w:r>
        <w:rPr>
          <w:rFonts w:eastAsia="仿宋_GB2312" w:hint="eastAsia"/>
          <w:bCs/>
          <w:sz w:val="28"/>
          <w:szCs w:val="28"/>
          <w:lang w:eastAsia="zh-CN"/>
        </w:rPr>
        <w:t>相关项目</w:t>
      </w:r>
      <w:r>
        <w:rPr>
          <w:rFonts w:eastAsia="仿宋_GB2312"/>
          <w:bCs/>
          <w:sz w:val="28"/>
          <w:szCs w:val="28"/>
        </w:rPr>
        <w:t>与很多商业有明显的不同，其所拥有的旅游人流量、交通、地段等关键资源依托优势是很多一般商业所无法比拟的，配以磁器口古镇商业商场中高档消费市场缺乏的切入，保证了日后商业门面经营兴旺，会吸引大批的投资与经营者前来。因此本</w:t>
      </w:r>
      <w:r>
        <w:rPr>
          <w:rFonts w:eastAsia="仿宋_GB2312" w:hint="eastAsia"/>
          <w:bCs/>
          <w:sz w:val="28"/>
          <w:szCs w:val="28"/>
          <w:lang w:eastAsia="zh-CN"/>
        </w:rPr>
        <w:t>相关项目</w:t>
      </w:r>
      <w:r>
        <w:rPr>
          <w:rFonts w:eastAsia="仿宋_GB2312"/>
          <w:bCs/>
          <w:sz w:val="28"/>
          <w:szCs w:val="28"/>
        </w:rPr>
        <w:t>的商业若是自主经营，则人气旺盛，生意兴隆；若对外发售，与其他一般商业比起来，发售更为容易。</w:t>
      </w:r>
    </w:p>
    <w:p>
      <w:pPr>
        <w:pStyle w:val="Normal0"/>
        <w:spacing w:line="360" w:lineRule="auto"/>
        <w:ind w:firstLine="560" w:firstLineChars="200"/>
        <w:rPr>
          <w:rFonts w:eastAsia="仿宋_GB2312"/>
          <w:bCs/>
          <w:sz w:val="28"/>
          <w:szCs w:val="28"/>
        </w:rPr>
      </w:pPr>
      <w:r>
        <w:rPr>
          <w:rFonts w:eastAsia="仿宋_GB2312"/>
          <w:bCs/>
          <w:sz w:val="28"/>
          <w:szCs w:val="28"/>
        </w:rPr>
        <w:t>综合上述分析，本</w:t>
      </w:r>
      <w:r>
        <w:rPr>
          <w:rFonts w:eastAsia="仿宋_GB2312" w:hint="eastAsia"/>
          <w:bCs/>
          <w:sz w:val="28"/>
          <w:szCs w:val="28"/>
          <w:lang w:eastAsia="zh-CN"/>
        </w:rPr>
        <w:t>相关项目</w:t>
      </w:r>
      <w:r>
        <w:rPr>
          <w:rFonts w:eastAsia="仿宋_GB2312"/>
          <w:bCs/>
          <w:sz w:val="28"/>
          <w:szCs w:val="28"/>
        </w:rPr>
        <w:t>的临街商业市场前景很好。</w:t>
      </w:r>
    </w:p>
    <w:p>
      <w:pPr>
        <w:pStyle w:val="Heading3"/>
        <w:rPr>
          <w:rFonts w:eastAsia="仿宋_GB2312"/>
          <w:b w:val="0"/>
          <w:sz w:val="28"/>
          <w:szCs w:val="28"/>
        </w:rPr>
      </w:pPr>
      <w:r>
        <w:rPr>
          <w:rFonts w:eastAsia="仿宋_GB2312"/>
          <w:b w:val="0"/>
          <w:sz w:val="28"/>
          <w:szCs w:val="28"/>
        </w:rPr>
        <w:t>3.2.2</w:t>
      </w:r>
      <w:r>
        <w:rPr>
          <w:rFonts w:eastAsia="仿宋_GB2312" w:hint="eastAsia"/>
          <w:b w:val="0"/>
          <w:sz w:val="28"/>
          <w:szCs w:val="28"/>
          <w:lang w:eastAsia="zh-CN"/>
        </w:rPr>
        <w:t>相关项目</w:t>
      </w:r>
      <w:r>
        <w:rPr>
          <w:rFonts w:eastAsia="仿宋_GB2312"/>
          <w:b w:val="0"/>
          <w:sz w:val="28"/>
          <w:szCs w:val="28"/>
        </w:rPr>
        <w:t>住宅前景分析</w:t>
      </w:r>
    </w:p>
    <w:p>
      <w:pPr>
        <w:pStyle w:val="Normal0"/>
        <w:spacing w:line="360" w:lineRule="auto"/>
        <w:ind w:firstLine="560" w:firstLineChars="200"/>
        <w:rPr>
          <w:rFonts w:eastAsia="仿宋_GB2312"/>
          <w:bCs/>
          <w:sz w:val="28"/>
          <w:szCs w:val="28"/>
        </w:rPr>
        <w:sectPr>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440" w:right="1800" w:bottom="1440" w:left="1800" w:header="851" w:footer="992" w:gutter="0"/>
          <w:pgNumType w:start="15"/>
          <w:cols w:num="1" w:space="425"/>
          <w:titlePg w:val="0"/>
          <w:docGrid w:type="lines" w:linePitch="312" w:charSpace="0"/>
        </w:sectPr>
      </w:pPr>
      <w:r>
        <w:rPr>
          <w:rFonts w:eastAsia="仿宋_GB2312"/>
          <w:bCs/>
          <w:sz w:val="28"/>
          <w:szCs w:val="28"/>
        </w:rPr>
        <w:t>根据与磁8地块所有拆迁户达成协议，本</w:t>
      </w:r>
      <w:r>
        <w:rPr>
          <w:rFonts w:eastAsia="仿宋_GB2312" w:hint="eastAsia"/>
          <w:bCs/>
          <w:sz w:val="28"/>
          <w:szCs w:val="28"/>
          <w:lang w:eastAsia="zh-CN"/>
        </w:rPr>
        <w:t>相关项目</w:t>
      </w:r>
      <w:r>
        <w:rPr>
          <w:rFonts w:eastAsia="仿宋_GB2312"/>
          <w:bCs/>
          <w:sz w:val="28"/>
          <w:szCs w:val="28"/>
        </w:rPr>
        <w:t>住宅全部为安置房，不存在销售问题。</w:t>
      </w:r>
    </w:p>
    <w:p>
      <w:pPr>
        <w:pStyle w:val="Heading1"/>
        <w:jc w:val="center"/>
        <w:rPr>
          <w:b w:val="0"/>
          <w:bCs w:val="0"/>
        </w:rPr>
      </w:pPr>
      <w:bookmarkStart w:id="27" w:name="_Toc244610493"/>
      <w:bookmarkStart w:id="28" w:name="_Toc244922122"/>
      <w:r>
        <w:rPr>
          <w:rFonts w:eastAsia="黑体"/>
          <w:b w:val="0"/>
          <w:sz w:val="32"/>
          <w:szCs w:val="32"/>
        </w:rPr>
        <w:t>4  建设</w:t>
      </w:r>
      <w:r>
        <w:rPr>
          <w:rFonts w:eastAsia="黑体" w:hint="eastAsia"/>
          <w:b w:val="0"/>
          <w:sz w:val="32"/>
          <w:szCs w:val="32"/>
          <w:lang w:eastAsia="zh-CN"/>
        </w:rPr>
        <w:t>合适的内容</w:t>
      </w:r>
      <w:r>
        <w:rPr>
          <w:rFonts w:eastAsia="黑体"/>
          <w:b w:val="0"/>
          <w:sz w:val="32"/>
          <w:szCs w:val="32"/>
        </w:rPr>
        <w:t>与规模</w:t>
      </w:r>
      <w:bookmarkEnd w:id="27"/>
      <w:bookmarkEnd w:id="28"/>
    </w:p>
    <w:p>
      <w:pPr>
        <w:pStyle w:val="Heading2"/>
        <w:spacing w:line="360" w:lineRule="auto"/>
        <w:rPr>
          <w:rFonts w:ascii="Times New Roman" w:hAnsi="Times New Roman" w:hint="eastAsia"/>
          <w:b/>
          <w:color w:val="000000"/>
          <w:lang w:eastAsia="zh-CN"/>
        </w:rPr>
      </w:pPr>
      <w:bookmarkStart w:id="29" w:name="_Toc244610494"/>
      <w:bookmarkStart w:id="30" w:name="_Toc244922123"/>
      <w:r>
        <w:rPr>
          <w:rFonts w:ascii="Times New Roman" w:hAnsi="Times New Roman"/>
          <w:b/>
          <w:color w:val="000000"/>
        </w:rPr>
        <w:t>4.1 建设</w:t>
      </w:r>
      <w:bookmarkEnd w:id="29"/>
      <w:bookmarkEnd w:id="30"/>
      <w:r>
        <w:rPr>
          <w:rFonts w:ascii="Times New Roman" w:hAnsi="Times New Roman" w:hint="eastAsia"/>
          <w:b/>
          <w:color w:val="000000"/>
          <w:lang w:eastAsia="zh-CN"/>
        </w:rPr>
        <w:t>合适的内容</w:t>
      </w:r>
    </w:p>
    <w:p>
      <w:pPr>
        <w:pStyle w:val="BodyText"/>
        <w:ind w:firstLine="560" w:firstLineChars="200"/>
        <w:rPr>
          <w:rFonts w:ascii="Times New Roman"/>
          <w:color w:val="000000"/>
        </w:rPr>
      </w:pPr>
      <w:r>
        <w:rPr>
          <w:rFonts w:ascii="Times New Roman"/>
          <w:color w:val="000000"/>
        </w:rPr>
        <w:t>本</w:t>
      </w:r>
      <w:r>
        <w:rPr>
          <w:rFonts w:ascii="Times New Roman" w:hint="eastAsia"/>
          <w:color w:val="000000"/>
          <w:lang w:eastAsia="zh-CN"/>
        </w:rPr>
        <w:t>相关项目</w:t>
      </w:r>
      <w:r>
        <w:rPr>
          <w:rFonts w:ascii="Times New Roman"/>
          <w:color w:val="000000"/>
        </w:rPr>
        <w:t>是磁8地块拆迁安置工程，根据</w:t>
      </w:r>
      <w:r>
        <w:rPr>
          <w:rFonts w:ascii="Times New Roman" w:hint="eastAsia"/>
          <w:color w:val="000000"/>
          <w:lang w:eastAsia="zh-CN"/>
        </w:rPr>
        <w:t>相关项目</w:t>
      </w:r>
      <w:r>
        <w:rPr>
          <w:rFonts w:ascii="Times New Roman"/>
          <w:color w:val="000000"/>
        </w:rPr>
        <w:t>业主委托要求及其提供的相关资料，本</w:t>
      </w:r>
      <w:r>
        <w:rPr>
          <w:rFonts w:ascii="Times New Roman" w:hint="eastAsia"/>
          <w:color w:val="000000"/>
          <w:lang w:eastAsia="zh-CN"/>
        </w:rPr>
        <w:t>相关项目</w:t>
      </w:r>
      <w:r>
        <w:rPr>
          <w:rFonts w:ascii="Times New Roman"/>
          <w:color w:val="000000"/>
        </w:rPr>
        <w:t>以安置房建设为主，辅以少量商业门面。</w:t>
      </w:r>
    </w:p>
    <w:p>
      <w:pPr>
        <w:pStyle w:val="Heading2"/>
        <w:spacing w:line="360" w:lineRule="auto"/>
        <w:rPr>
          <w:rFonts w:ascii="Times New Roman" w:hAnsi="Times New Roman"/>
          <w:b/>
          <w:color w:val="000000"/>
        </w:rPr>
      </w:pPr>
      <w:bookmarkStart w:id="31" w:name="_Toc244610495"/>
      <w:bookmarkStart w:id="32" w:name="_Toc244922124"/>
      <w:r>
        <w:rPr>
          <w:rFonts w:ascii="Times New Roman" w:hAnsi="Times New Roman"/>
          <w:b/>
          <w:color w:val="000000"/>
        </w:rPr>
        <w:t>4.2 建设规模</w:t>
      </w:r>
      <w:bookmarkEnd w:id="31"/>
      <w:bookmarkEnd w:id="32"/>
    </w:p>
    <w:p>
      <w:pPr>
        <w:pStyle w:val="Normal0"/>
        <w:ind w:firstLine="560" w:firstLineChars="200"/>
        <w:rPr>
          <w:rFonts w:eastAsia="仿宋_GB2312"/>
          <w:color w:val="000000"/>
          <w:sz w:val="28"/>
          <w:szCs w:val="28"/>
        </w:rPr>
      </w:pPr>
      <w:r>
        <w:rPr>
          <w:rFonts w:eastAsia="仿宋_GB2312"/>
          <w:color w:val="000000"/>
          <w:sz w:val="28"/>
          <w:szCs w:val="28"/>
        </w:rPr>
        <w:t>总用地面积4273.4m</w:t>
      </w:r>
      <w:r>
        <w:rPr>
          <w:rFonts w:eastAsia="仿宋_GB2312"/>
          <w:color w:val="000000"/>
          <w:sz w:val="28"/>
          <w:szCs w:val="28"/>
          <w:vertAlign w:val="superscript"/>
        </w:rPr>
        <w:t>2</w:t>
      </w:r>
      <w:r>
        <w:rPr>
          <w:rFonts w:eastAsia="仿宋_GB2312"/>
          <w:color w:val="000000"/>
          <w:sz w:val="28"/>
          <w:szCs w:val="28"/>
        </w:rPr>
        <w:t>（约6.4亩）。总建筑面积16347m</w:t>
      </w:r>
      <w:r>
        <w:rPr>
          <w:rFonts w:eastAsia="仿宋_GB2312"/>
          <w:color w:val="000000"/>
          <w:sz w:val="28"/>
          <w:szCs w:val="28"/>
          <w:vertAlign w:val="superscript"/>
        </w:rPr>
        <w:t>2</w:t>
      </w:r>
      <w:r>
        <w:rPr>
          <w:rFonts w:eastAsia="仿宋_GB2312"/>
          <w:color w:val="000000"/>
          <w:sz w:val="28"/>
          <w:szCs w:val="28"/>
        </w:rPr>
        <w:t>（地上建筑面积14847 m</w:t>
      </w:r>
      <w:r>
        <w:rPr>
          <w:rFonts w:eastAsia="仿宋_GB2312"/>
          <w:color w:val="000000"/>
          <w:sz w:val="28"/>
          <w:szCs w:val="28"/>
          <w:vertAlign w:val="superscript"/>
        </w:rPr>
        <w:t>2</w:t>
      </w:r>
      <w:r>
        <w:rPr>
          <w:rFonts w:eastAsia="仿宋_GB2312"/>
          <w:color w:val="000000"/>
          <w:sz w:val="28"/>
          <w:szCs w:val="28"/>
        </w:rPr>
        <w:t>，地下建筑面积1500m</w:t>
      </w:r>
      <w:r>
        <w:rPr>
          <w:rFonts w:eastAsia="仿宋_GB2312"/>
          <w:color w:val="000000"/>
          <w:sz w:val="28"/>
          <w:szCs w:val="28"/>
          <w:vertAlign w:val="superscript"/>
        </w:rPr>
        <w:t>2</w:t>
      </w:r>
      <w:r>
        <w:rPr>
          <w:rFonts w:eastAsia="仿宋_GB2312"/>
          <w:color w:val="000000"/>
          <w:sz w:val="28"/>
          <w:szCs w:val="28"/>
        </w:rPr>
        <w:t>），其中住宅建筑面积13500平方米，</w:t>
      </w:r>
      <w:r>
        <w:rPr>
          <w:rFonts w:eastAsia="仿宋_GB2312" w:hint="eastAsia"/>
          <w:color w:val="000000"/>
          <w:sz w:val="28"/>
          <w:szCs w:val="28"/>
        </w:rPr>
        <w:t>小区</w:t>
      </w:r>
      <w:r>
        <w:rPr>
          <w:rFonts w:eastAsia="仿宋_GB2312" w:hint="eastAsia"/>
          <w:color w:val="000000"/>
          <w:sz w:val="28"/>
          <w:szCs w:val="28"/>
          <w:lang w:eastAsia="zh-CN"/>
        </w:rPr>
        <w:t>管理管控</w:t>
      </w:r>
      <w:r>
        <w:rPr>
          <w:rFonts w:eastAsia="仿宋_GB2312" w:hint="eastAsia"/>
          <w:color w:val="000000"/>
          <w:sz w:val="28"/>
          <w:szCs w:val="28"/>
        </w:rPr>
        <w:t>及公共活动用房800平方米，</w:t>
      </w:r>
      <w:r>
        <w:rPr>
          <w:rFonts w:eastAsia="仿宋_GB2312"/>
          <w:color w:val="000000"/>
          <w:sz w:val="28"/>
          <w:szCs w:val="28"/>
        </w:rPr>
        <w:t>商业面积</w:t>
      </w:r>
      <w:r>
        <w:rPr>
          <w:rFonts w:eastAsia="仿宋_GB2312" w:hint="eastAsia"/>
          <w:color w:val="000000"/>
          <w:sz w:val="28"/>
          <w:szCs w:val="28"/>
        </w:rPr>
        <w:t>5</w:t>
      </w:r>
      <w:r>
        <w:rPr>
          <w:rFonts w:eastAsia="仿宋_GB2312"/>
          <w:color w:val="000000"/>
          <w:sz w:val="28"/>
          <w:szCs w:val="28"/>
        </w:rPr>
        <w:t>47平方米，地下车库及设备用房1500平方米。</w:t>
      </w:r>
    </w:p>
    <w:p>
      <w:pPr>
        <w:pStyle w:val="Heading2"/>
        <w:spacing w:line="360" w:lineRule="auto"/>
        <w:rPr>
          <w:rFonts w:ascii="Times New Roman" w:hAnsi="Times New Roman"/>
          <w:b/>
          <w:color w:val="000000"/>
        </w:rPr>
      </w:pPr>
      <w:bookmarkStart w:id="33" w:name="_Toc244922125"/>
      <w:bookmarkStart w:id="34" w:name="_Toc244610496"/>
      <w:r>
        <w:rPr>
          <w:rFonts w:ascii="Times New Roman" w:hAnsi="Times New Roman"/>
          <w:b/>
          <w:color w:val="000000"/>
        </w:rPr>
        <w:t>4.3主要建设规模指标</w:t>
      </w:r>
      <w:bookmarkEnd w:id="33"/>
      <w:bookmarkEnd w:id="34"/>
    </w:p>
    <w:p>
      <w:pPr>
        <w:pStyle w:val="Normal0"/>
        <w:ind w:firstLine="560" w:firstLineChars="200"/>
        <w:rPr>
          <w:rFonts w:eastAsia="仿宋_GB2312"/>
          <w:sz w:val="28"/>
          <w:szCs w:val="28"/>
          <w:vertAlign w:val="superscript"/>
        </w:rPr>
      </w:pPr>
      <w:r>
        <w:rPr>
          <w:rFonts w:eastAsia="仿宋_GB2312"/>
          <w:sz w:val="28"/>
          <w:szCs w:val="28"/>
        </w:rPr>
        <w:t>总用地面积</w:t>
      </w:r>
      <w:r>
        <w:rPr>
          <w:rFonts w:eastAsia="仿宋_GB2312"/>
          <w:sz w:val="28"/>
          <w:szCs w:val="28"/>
        </w:rPr>
        <w:tab/>
      </w:r>
      <w:r>
        <w:rPr>
          <w:rFonts w:eastAsia="仿宋_GB2312"/>
          <w:sz w:val="28"/>
          <w:szCs w:val="28"/>
        </w:rPr>
        <w:t xml:space="preserve">                           </w:t>
      </w:r>
      <w:r>
        <w:rPr>
          <w:rFonts w:eastAsia="仿宋_GB2312"/>
          <w:color w:val="000000"/>
          <w:sz w:val="28"/>
          <w:szCs w:val="28"/>
        </w:rPr>
        <w:t>4273.4</w:t>
      </w:r>
      <w:r>
        <w:rPr>
          <w:rFonts w:eastAsia="仿宋_GB2312"/>
          <w:sz w:val="28"/>
          <w:szCs w:val="28"/>
        </w:rPr>
        <w:t>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 xml:space="preserve"> 总建筑面积</w:t>
      </w:r>
      <w:r>
        <w:rPr>
          <w:rFonts w:eastAsia="仿宋_GB2312"/>
          <w:sz w:val="28"/>
          <w:szCs w:val="28"/>
        </w:rPr>
        <w:tab/>
      </w:r>
      <w:r>
        <w:rPr>
          <w:rFonts w:eastAsia="仿宋_GB2312"/>
          <w:sz w:val="28"/>
          <w:szCs w:val="28"/>
        </w:rPr>
        <w:t xml:space="preserve">                        1</w:t>
      </w:r>
      <w:r>
        <w:rPr>
          <w:rFonts w:eastAsia="仿宋_GB2312"/>
          <w:color w:val="000000"/>
          <w:sz w:val="28"/>
          <w:szCs w:val="28"/>
        </w:rPr>
        <w:t>6347</w:t>
      </w:r>
      <w:r>
        <w:rPr>
          <w:rFonts w:eastAsia="仿宋_GB2312"/>
          <w:sz w:val="28"/>
          <w:szCs w:val="28"/>
        </w:rPr>
        <w:t>m</w:t>
      </w:r>
      <w:r>
        <w:rPr>
          <w:rFonts w:eastAsia="仿宋_GB2312"/>
          <w:sz w:val="28"/>
          <w:szCs w:val="28"/>
          <w:vertAlign w:val="superscript"/>
        </w:rPr>
        <w:t>2</w:t>
      </w:r>
    </w:p>
    <w:p>
      <w:pPr>
        <w:pStyle w:val="Normal0"/>
        <w:ind w:firstLine="560" w:firstLineChars="200"/>
        <w:rPr>
          <w:rFonts w:eastAsia="仿宋_GB2312"/>
          <w:sz w:val="28"/>
        </w:rPr>
      </w:pPr>
      <w:r>
        <w:rPr>
          <w:rFonts w:eastAsia="仿宋_GB2312"/>
          <w:sz w:val="28"/>
        </w:rPr>
        <w:t xml:space="preserve">（其中：地上建筑面积               </w:t>
      </w:r>
      <w:r>
        <w:rPr>
          <w:rFonts w:eastAsia="仿宋_GB2312"/>
          <w:color w:val="000000"/>
          <w:sz w:val="28"/>
          <w:szCs w:val="28"/>
        </w:rPr>
        <w:t>14847</w:t>
      </w:r>
      <w:r>
        <w:rPr>
          <w:rFonts w:eastAsia="仿宋_GB2312"/>
          <w:sz w:val="28"/>
          <w:szCs w:val="28"/>
        </w:rPr>
        <w:t>m</w:t>
      </w:r>
      <w:r>
        <w:rPr>
          <w:rFonts w:eastAsia="仿宋_GB2312"/>
          <w:sz w:val="28"/>
          <w:szCs w:val="28"/>
          <w:vertAlign w:val="superscript"/>
        </w:rPr>
        <w:t>2</w:t>
      </w:r>
    </w:p>
    <w:p>
      <w:pPr>
        <w:pStyle w:val="Normal0"/>
        <w:ind w:firstLine="840" w:firstLineChars="300"/>
        <w:rPr>
          <w:rFonts w:eastAsia="仿宋_GB2312"/>
          <w:sz w:val="28"/>
        </w:rPr>
      </w:pPr>
      <w:r>
        <w:rPr>
          <w:rFonts w:eastAsia="仿宋_GB2312"/>
          <w:sz w:val="28"/>
        </w:rPr>
        <w:t xml:space="preserve">      地下建筑面积               1500</w:t>
      </w:r>
      <w:r>
        <w:rPr>
          <w:rFonts w:eastAsia="仿宋_GB2312"/>
          <w:sz w:val="28"/>
          <w:szCs w:val="28"/>
        </w:rPr>
        <w:t>m</w:t>
      </w:r>
      <w:r>
        <w:rPr>
          <w:rFonts w:eastAsia="仿宋_GB2312"/>
          <w:sz w:val="28"/>
          <w:szCs w:val="28"/>
          <w:vertAlign w:val="superscript"/>
        </w:rPr>
        <w:t>2</w:t>
      </w:r>
      <w:r>
        <w:rPr>
          <w:rFonts w:eastAsia="仿宋_GB2312"/>
          <w:sz w:val="28"/>
          <w:szCs w:val="28"/>
        </w:rPr>
        <w:t>）</w:t>
      </w:r>
    </w:p>
    <w:p>
      <w:pPr>
        <w:pStyle w:val="Normal0"/>
        <w:ind w:firstLine="840" w:firstLineChars="300"/>
        <w:rPr>
          <w:rFonts w:eastAsia="仿宋_GB2312"/>
          <w:sz w:val="28"/>
          <w:szCs w:val="28"/>
        </w:rPr>
      </w:pPr>
      <w:r>
        <w:rPr>
          <w:rFonts w:eastAsia="仿宋_GB2312"/>
          <w:sz w:val="28"/>
          <w:szCs w:val="28"/>
        </w:rPr>
        <w:t xml:space="preserve">其中：住宅      </w:t>
      </w:r>
      <w:r>
        <w:rPr>
          <w:rFonts w:eastAsia="仿宋_GB2312"/>
          <w:sz w:val="28"/>
          <w:szCs w:val="28"/>
        </w:rPr>
        <w:tab/>
      </w:r>
      <w:r>
        <w:rPr>
          <w:rFonts w:eastAsia="仿宋_GB2312"/>
          <w:sz w:val="28"/>
          <w:szCs w:val="28"/>
        </w:rPr>
        <w:t xml:space="preserve">                    13500m</w:t>
      </w:r>
      <w:r>
        <w:rPr>
          <w:rFonts w:eastAsia="仿宋_GB2312"/>
          <w:sz w:val="28"/>
          <w:szCs w:val="28"/>
          <w:vertAlign w:val="superscript"/>
        </w:rPr>
        <w:t>2</w:t>
      </w:r>
    </w:p>
    <w:p>
      <w:pPr>
        <w:pStyle w:val="Normal0"/>
        <w:ind w:firstLine="1680" w:firstLineChars="600"/>
        <w:rPr>
          <w:rFonts w:eastAsia="仿宋_GB2312"/>
          <w:sz w:val="28"/>
          <w:szCs w:val="28"/>
          <w:vertAlign w:val="superscript"/>
        </w:rPr>
      </w:pPr>
      <w:r>
        <w:rPr>
          <w:rFonts w:eastAsia="仿宋_GB2312"/>
          <w:color w:val="000000"/>
          <w:sz w:val="28"/>
          <w:szCs w:val="28"/>
        </w:rPr>
        <w:t xml:space="preserve">商业                            </w:t>
      </w:r>
      <w:r>
        <w:rPr>
          <w:rFonts w:eastAsia="仿宋_GB2312" w:hint="eastAsia"/>
          <w:color w:val="000000"/>
          <w:sz w:val="28"/>
          <w:szCs w:val="28"/>
        </w:rPr>
        <w:t>5</w:t>
      </w:r>
      <w:r>
        <w:rPr>
          <w:rFonts w:eastAsia="仿宋_GB2312"/>
          <w:color w:val="000000"/>
          <w:sz w:val="28"/>
          <w:szCs w:val="28"/>
        </w:rPr>
        <w:t>47</w:t>
      </w:r>
      <w:r>
        <w:rPr>
          <w:rFonts w:eastAsia="仿宋_GB2312"/>
          <w:sz w:val="28"/>
          <w:szCs w:val="28"/>
        </w:rPr>
        <w:t>m</w:t>
      </w:r>
      <w:r>
        <w:rPr>
          <w:rFonts w:eastAsia="仿宋_GB2312"/>
          <w:sz w:val="28"/>
          <w:szCs w:val="28"/>
          <w:vertAlign w:val="superscript"/>
        </w:rPr>
        <w:t>2</w:t>
      </w:r>
    </w:p>
    <w:p>
      <w:pPr>
        <w:pStyle w:val="Normal0"/>
        <w:ind w:firstLine="1680" w:firstLineChars="600"/>
        <w:rPr>
          <w:rFonts w:eastAsia="仿宋_GB2312" w:hint="eastAsia"/>
          <w:sz w:val="28"/>
          <w:szCs w:val="28"/>
        </w:rPr>
      </w:pPr>
      <w:r>
        <w:rPr>
          <w:rFonts w:eastAsia="仿宋_GB2312" w:hint="eastAsia"/>
          <w:sz w:val="28"/>
          <w:szCs w:val="28"/>
          <w:lang w:eastAsia="zh-CN"/>
        </w:rPr>
        <w:t>管理管控</w:t>
      </w:r>
      <w:r>
        <w:rPr>
          <w:rFonts w:eastAsia="仿宋_GB2312" w:hint="eastAsia"/>
          <w:sz w:val="28"/>
          <w:szCs w:val="28"/>
        </w:rPr>
        <w:t>及公共活动用房              800</w:t>
      </w:r>
      <w:r>
        <w:rPr>
          <w:rFonts w:eastAsia="仿宋_GB2312"/>
          <w:sz w:val="28"/>
          <w:szCs w:val="28"/>
        </w:rPr>
        <w:t xml:space="preserve"> m</w:t>
      </w:r>
      <w:r>
        <w:rPr>
          <w:rFonts w:eastAsia="仿宋_GB2312"/>
          <w:sz w:val="28"/>
          <w:szCs w:val="28"/>
          <w:vertAlign w:val="superscript"/>
        </w:rPr>
        <w:t>2</w:t>
      </w:r>
    </w:p>
    <w:p>
      <w:pPr>
        <w:pStyle w:val="Normal0"/>
        <w:ind w:firstLine="1680" w:firstLineChars="600"/>
        <w:rPr>
          <w:rFonts w:eastAsia="仿宋_GB2312"/>
          <w:sz w:val="28"/>
          <w:szCs w:val="28"/>
          <w:vertAlign w:val="superscript"/>
        </w:rPr>
      </w:pPr>
      <w:r>
        <w:rPr>
          <w:rFonts w:eastAsia="仿宋_GB2312"/>
          <w:sz w:val="28"/>
          <w:szCs w:val="28"/>
        </w:rPr>
        <w:t>地下车库及设备用房              1500m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停车泊位                               50个</w:t>
      </w:r>
    </w:p>
    <w:p>
      <w:pPr>
        <w:pStyle w:val="Normal0"/>
        <w:ind w:firstLine="840" w:firstLineChars="300"/>
        <w:rPr>
          <w:rFonts w:eastAsia="仿宋_GB2312"/>
          <w:sz w:val="28"/>
          <w:szCs w:val="28"/>
        </w:rPr>
        <w:sectPr>
          <w:headerReference w:type="even" r:id="rId115"/>
          <w:headerReference w:type="default" r:id="rId116"/>
          <w:footerReference w:type="even" r:id="rId117"/>
          <w:footerReference w:type="default" r:id="rId118"/>
          <w:headerReference w:type="first" r:id="rId119"/>
          <w:footerReference w:type="first" r:id="rId120"/>
          <w:type w:val="nextPage"/>
          <w:pgSz w:w="11906" w:h="16838"/>
          <w:pgMar w:top="1440" w:right="1800" w:bottom="1440" w:left="1800" w:header="851" w:footer="992" w:gutter="0"/>
          <w:pgNumType w:start="16"/>
          <w:cols w:num="1" w:space="425"/>
          <w:titlePg w:val="0"/>
          <w:docGrid w:type="lines" w:linePitch="312" w:charSpace="0"/>
        </w:sectPr>
      </w:pPr>
      <w:r>
        <w:rPr>
          <w:rFonts w:eastAsia="仿宋_GB2312"/>
          <w:sz w:val="28"/>
          <w:szCs w:val="28"/>
        </w:rPr>
        <w:t xml:space="preserve"> 其中：地上停车位                    10个</w:t>
      </w:r>
    </w:p>
    <w:p>
      <w:pPr>
        <w:pStyle w:val="Normal0"/>
        <w:ind w:firstLine="840" w:firstLineChars="300"/>
        <w:rPr>
          <w:rFonts w:eastAsia="仿宋_GB2312"/>
          <w:sz w:val="28"/>
          <w:szCs w:val="28"/>
        </w:rPr>
      </w:pPr>
      <w:r>
        <w:rPr>
          <w:rFonts w:eastAsia="仿宋_GB2312"/>
          <w:sz w:val="28"/>
          <w:szCs w:val="28"/>
        </w:rPr>
        <w:t xml:space="preserve">       地下停车位                    40个 </w:t>
      </w:r>
    </w:p>
    <w:p>
      <w:pPr>
        <w:pStyle w:val="Normal0"/>
        <w:ind w:firstLine="560" w:firstLineChars="200"/>
        <w:rPr>
          <w:rFonts w:eastAsia="仿宋_GB2312"/>
          <w:sz w:val="28"/>
          <w:szCs w:val="28"/>
        </w:rPr>
      </w:pPr>
      <w:r>
        <w:rPr>
          <w:rFonts w:eastAsia="仿宋_GB2312"/>
          <w:sz w:val="28"/>
          <w:szCs w:val="28"/>
        </w:rPr>
        <w:t>道路及活动场地                        1200 m</w:t>
      </w:r>
      <w:r>
        <w:rPr>
          <w:rFonts w:eastAsia="仿宋_GB2312"/>
          <w:sz w:val="28"/>
          <w:szCs w:val="28"/>
          <w:vertAlign w:val="superscript"/>
        </w:rPr>
        <w:t>2</w:t>
      </w:r>
    </w:p>
    <w:p>
      <w:pPr>
        <w:pStyle w:val="Normal0"/>
        <w:ind w:firstLine="560" w:firstLineChars="200"/>
        <w:rPr>
          <w:rFonts w:eastAsia="仿宋_GB2312"/>
          <w:sz w:val="28"/>
          <w:szCs w:val="28"/>
          <w:vertAlign w:val="superscript"/>
        </w:rPr>
      </w:pPr>
      <w:r>
        <w:rPr>
          <w:rFonts w:eastAsia="仿宋_GB2312"/>
          <w:sz w:val="28"/>
          <w:szCs w:val="28"/>
        </w:rPr>
        <w:t>绿</w:t>
      </w:r>
      <w:r>
        <w:rPr>
          <w:rFonts w:eastAsia="仿宋_GB2312"/>
          <w:sz w:val="28"/>
        </w:rPr>
        <w:t>化面积</w:t>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 xml:space="preserve">   </w:t>
      </w:r>
      <w:r>
        <w:rPr>
          <w:rFonts w:eastAsia="仿宋_GB2312"/>
          <w:sz w:val="28"/>
          <w:szCs w:val="28"/>
        </w:rPr>
        <w:t>1500 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容积率                                 3.5</w:t>
      </w:r>
    </w:p>
    <w:p>
      <w:pPr>
        <w:pStyle w:val="Normal0"/>
        <w:rPr>
          <w:rFonts w:eastAsia="仿宋_GB2312"/>
          <w:sz w:val="28"/>
          <w:szCs w:val="28"/>
        </w:rPr>
        <w:sectPr>
          <w:headerReference w:type="even" r:id="rId121"/>
          <w:headerReference w:type="default" r:id="rId122"/>
          <w:footerReference w:type="even" r:id="rId123"/>
          <w:footerReference w:type="default" r:id="rId124"/>
          <w:headerReference w:type="first" r:id="rId125"/>
          <w:footerReference w:type="first" r:id="rId126"/>
          <w:type w:val="nextPage"/>
          <w:pgSz w:w="11906" w:h="16838"/>
          <w:pgMar w:top="1440" w:right="1800" w:bottom="1440" w:left="1800" w:header="851" w:footer="992" w:gutter="0"/>
          <w:pgNumType w:start="17"/>
          <w:cols w:num="1" w:space="425"/>
          <w:titlePg w:val="0"/>
          <w:docGrid w:type="lines" w:linePitch="312" w:charSpace="0"/>
        </w:sectPr>
      </w:pPr>
      <w:r>
        <w:rPr>
          <w:rFonts w:eastAsia="仿宋_GB2312"/>
          <w:sz w:val="28"/>
          <w:szCs w:val="28"/>
        </w:rPr>
        <w:t xml:space="preserve">    可容纳住户                             240户</w:t>
      </w:r>
    </w:p>
    <w:p>
      <w:pPr>
        <w:pStyle w:val="Heading1"/>
        <w:jc w:val="center"/>
      </w:pPr>
      <w:bookmarkStart w:id="35" w:name="_Toc244610497"/>
      <w:bookmarkStart w:id="36" w:name="_Toc244922126"/>
      <w:r>
        <w:rPr>
          <w:rFonts w:eastAsia="黑体"/>
          <w:b w:val="0"/>
          <w:sz w:val="32"/>
          <w:szCs w:val="32"/>
        </w:rPr>
        <w:t xml:space="preserve">5  </w:t>
      </w:r>
      <w:r>
        <w:rPr>
          <w:rFonts w:eastAsia="黑体" w:hint="eastAsia"/>
          <w:b w:val="0"/>
          <w:sz w:val="32"/>
          <w:szCs w:val="32"/>
          <w:lang w:eastAsia="zh-CN"/>
        </w:rPr>
        <w:t>相关项目</w:t>
      </w:r>
      <w:r>
        <w:rPr>
          <w:rFonts w:eastAsia="黑体"/>
          <w:b w:val="0"/>
          <w:sz w:val="32"/>
          <w:szCs w:val="32"/>
        </w:rPr>
        <w:t>场址条件</w:t>
      </w:r>
      <w:bookmarkEnd w:id="35"/>
      <w:bookmarkEnd w:id="36"/>
    </w:p>
    <w:p>
      <w:pPr>
        <w:pStyle w:val="Heading2"/>
        <w:spacing w:line="360" w:lineRule="auto"/>
        <w:rPr>
          <w:rFonts w:ascii="Times New Roman" w:eastAsia="黑体" w:hAnsi="Times New Roman"/>
        </w:rPr>
      </w:pPr>
      <w:bookmarkStart w:id="37" w:name="_Toc244610498"/>
      <w:bookmarkStart w:id="38" w:name="_Toc244922127"/>
      <w:r>
        <w:rPr>
          <w:rFonts w:ascii="Times New Roman" w:hAnsi="Times New Roman"/>
          <w:b/>
          <w:color w:val="000000"/>
        </w:rPr>
        <w:t>5.1 建设场地现状</w:t>
      </w:r>
      <w:bookmarkEnd w:id="37"/>
      <w:bookmarkEnd w:id="38"/>
    </w:p>
    <w:p>
      <w:pPr>
        <w:pStyle w:val="Normal0"/>
        <w:ind w:firstLine="615"/>
        <w:jc w:val="left"/>
        <w:rPr>
          <w:rFonts w:eastAsia="仿宋_GB2312"/>
          <w:sz w:val="28"/>
          <w:szCs w:val="28"/>
        </w:rPr>
      </w:pPr>
      <w:r>
        <w:rPr>
          <w:rFonts w:eastAsia="仿宋_GB2312"/>
          <w:sz w:val="28"/>
          <w:szCs w:val="28"/>
        </w:rPr>
        <w:t>拟建地点：位于</w:t>
      </w:r>
      <w:r>
        <w:rPr>
          <w:rFonts w:eastAsia="仿宋_GB2312"/>
          <w:sz w:val="28"/>
        </w:rPr>
        <w:t>重庆市沙坪坝区童家桥街道童新一村</w:t>
      </w:r>
      <w:r>
        <w:rPr>
          <w:rFonts w:eastAsia="仿宋_GB2312"/>
          <w:sz w:val="28"/>
          <w:szCs w:val="28"/>
        </w:rPr>
        <w:t>。</w:t>
      </w:r>
    </w:p>
    <w:p>
      <w:pPr>
        <w:pStyle w:val="Normal0"/>
        <w:ind w:firstLine="610" w:firstLineChars="218"/>
        <w:rPr>
          <w:rFonts w:eastAsia="仿宋_GB2312"/>
          <w:sz w:val="28"/>
        </w:rPr>
      </w:pPr>
      <w:r>
        <w:rPr>
          <w:rFonts w:eastAsia="仿宋_GB2312"/>
          <w:color w:val="000000"/>
          <w:sz w:val="28"/>
          <w:szCs w:val="28"/>
        </w:rPr>
        <w:t>场地描述：本</w:t>
      </w:r>
      <w:r>
        <w:rPr>
          <w:rFonts w:eastAsia="仿宋_GB2312" w:hint="eastAsia"/>
          <w:color w:val="000000"/>
          <w:sz w:val="28"/>
          <w:szCs w:val="28"/>
          <w:lang w:eastAsia="zh-CN"/>
        </w:rPr>
        <w:t>相关项目</w:t>
      </w:r>
      <w:r>
        <w:rPr>
          <w:rFonts w:eastAsia="仿宋_GB2312"/>
          <w:sz w:val="28"/>
          <w:szCs w:val="28"/>
        </w:rPr>
        <w:t>地块位于历史文化旅游区——磁器口古镇与红色旅游区——歌乐山烈士陵园之间，与两地相距甚近；该地块作为</w:t>
      </w:r>
      <w:r>
        <w:rPr>
          <w:rFonts w:eastAsia="仿宋_GB2312"/>
          <w:color w:val="000000"/>
          <w:sz w:val="28"/>
          <w:szCs w:val="28"/>
        </w:rPr>
        <w:t>磁器口古镇的风貌协调区，北临磁童路，南临双菱皮鞋厂，西临212国道，东临清水溪，</w:t>
      </w:r>
      <w:r>
        <w:rPr>
          <w:rFonts w:eastAsia="仿宋_GB2312"/>
          <w:sz w:val="28"/>
          <w:szCs w:val="28"/>
        </w:rPr>
        <w:t>交通条件优越。</w:t>
      </w:r>
      <w:r>
        <w:rPr>
          <w:rFonts w:eastAsia="仿宋_GB2312"/>
          <w:color w:val="000000"/>
          <w:sz w:val="28"/>
          <w:szCs w:val="28"/>
        </w:rPr>
        <w:t>地块周边</w:t>
      </w:r>
      <w:r>
        <w:rPr>
          <w:rFonts w:eastAsia="仿宋_GB2312"/>
          <w:sz w:val="28"/>
          <w:szCs w:val="28"/>
        </w:rPr>
        <w:t>配套完善、交通便利、居住环境优越，商业氛围较浓。</w:t>
      </w:r>
      <w:r>
        <w:rPr>
          <w:rFonts w:eastAsia="仿宋_GB2312"/>
          <w:color w:val="000000"/>
          <w:sz w:val="28"/>
        </w:rPr>
        <w:t>场地内无珍稀动植物及文物古迹分布，地上原有的建筑物将被拆除，区域交通便捷，环境宜人，适宜本</w:t>
      </w:r>
      <w:r>
        <w:rPr>
          <w:rFonts w:eastAsia="仿宋_GB2312" w:hint="eastAsia"/>
          <w:color w:val="000000"/>
          <w:sz w:val="28"/>
          <w:lang w:eastAsia="zh-CN"/>
        </w:rPr>
        <w:t>相关项目</w:t>
      </w:r>
      <w:r>
        <w:rPr>
          <w:rFonts w:eastAsia="仿宋_GB2312"/>
          <w:color w:val="000000"/>
          <w:sz w:val="28"/>
        </w:rPr>
        <w:t>建设需要。</w:t>
      </w:r>
      <w:r>
        <w:rPr>
          <w:rFonts w:eastAsia="仿宋_GB2312" w:hint="eastAsia"/>
          <w:sz w:val="28"/>
          <w:lang w:eastAsia="zh-CN"/>
        </w:rPr>
        <w:t>相关项目</w:t>
      </w:r>
      <w:r>
        <w:rPr>
          <w:rFonts w:eastAsia="仿宋_GB2312"/>
          <w:color w:val="000000"/>
          <w:sz w:val="28"/>
          <w:szCs w:val="28"/>
        </w:rPr>
        <w:t>总用地面积4273.4m</w:t>
      </w:r>
      <w:r>
        <w:rPr>
          <w:rFonts w:eastAsia="仿宋_GB2312"/>
          <w:color w:val="000000"/>
          <w:sz w:val="28"/>
          <w:szCs w:val="28"/>
          <w:vertAlign w:val="superscript"/>
        </w:rPr>
        <w:t>2</w:t>
      </w:r>
      <w:r>
        <w:rPr>
          <w:rFonts w:eastAsia="仿宋_GB2312"/>
          <w:color w:val="000000"/>
          <w:sz w:val="28"/>
          <w:szCs w:val="28"/>
        </w:rPr>
        <w:t>（约6.4亩）。</w:t>
      </w:r>
    </w:p>
    <w:p>
      <w:pPr>
        <w:pStyle w:val="Heading2"/>
        <w:spacing w:line="360" w:lineRule="auto"/>
        <w:rPr>
          <w:rFonts w:ascii="Times New Roman" w:hAnsi="Times New Roman"/>
          <w:b/>
          <w:color w:val="000000"/>
        </w:rPr>
      </w:pPr>
      <w:bookmarkStart w:id="39" w:name="_Toc244922128"/>
      <w:bookmarkStart w:id="40" w:name="_Toc244610499"/>
      <w:r>
        <w:rPr>
          <w:rFonts w:ascii="Times New Roman" w:hAnsi="Times New Roman"/>
          <w:b/>
          <w:color w:val="000000"/>
        </w:rPr>
        <w:t>5.2 场地建设条件</w:t>
      </w:r>
      <w:bookmarkEnd w:id="39"/>
      <w:bookmarkEnd w:id="40"/>
    </w:p>
    <w:p>
      <w:pPr>
        <w:pStyle w:val="Normal0"/>
        <w:ind w:firstLine="560" w:firstLineChars="200"/>
        <w:rPr>
          <w:rFonts w:eastAsia="仿宋_GB2312"/>
          <w:color w:val="000000"/>
          <w:sz w:val="28"/>
          <w:szCs w:val="28"/>
        </w:rPr>
      </w:pPr>
      <w:r>
        <w:rPr>
          <w:rFonts w:eastAsia="仿宋_GB2312"/>
          <w:color w:val="000000"/>
          <w:sz w:val="28"/>
          <w:szCs w:val="28"/>
        </w:rPr>
        <w:t>沙坪坝区位于重庆主城区西部，东滨嘉陵江， 西抵缙云山，幅员面积396.2平方公里。</w:t>
      </w:r>
      <w:r>
        <w:rPr>
          <w:rFonts w:eastAsia="仿宋_GB2312"/>
          <w:sz w:val="28"/>
          <w:szCs w:val="28"/>
        </w:rPr>
        <w:t>磁器口位于歌乐山下之嘉陵江畔，境内小山脉和小溪相间，具有典型的山城山水特色，而形成明显的冲沟地形。</w:t>
      </w:r>
    </w:p>
    <w:p>
      <w:pPr>
        <w:pStyle w:val="Normal0"/>
        <w:ind w:firstLine="560" w:firstLineChars="200"/>
        <w:jc w:val="left"/>
        <w:rPr>
          <w:rFonts w:eastAsia="仿宋_GB2312"/>
          <w:sz w:val="28"/>
        </w:rPr>
      </w:pPr>
      <w:r>
        <w:rPr>
          <w:rFonts w:eastAsia="仿宋_GB2312"/>
          <w:sz w:val="28"/>
        </w:rPr>
        <w:t>1.地形地貌</w:t>
      </w:r>
    </w:p>
    <w:p>
      <w:pPr>
        <w:pStyle w:val="Normal0"/>
        <w:ind w:firstLine="560" w:firstLineChars="200"/>
        <w:jc w:val="left"/>
        <w:rPr>
          <w:rFonts w:eastAsia="仿宋_GB2312"/>
          <w:sz w:val="28"/>
        </w:rPr>
      </w:pPr>
      <w:r>
        <w:rPr>
          <w:rFonts w:eastAsia="仿宋_GB2312"/>
          <w:sz w:val="28"/>
        </w:rPr>
        <w:t>沙坪坝区地貌归属于川东平行岭谷低山丘陵区的一部分，全区呈丘陵、台地和低山组合的地貌结构。中部歌乐山海拔高度在550～650米之间，最高峰歌乐山云顶寺海拔680.25米。</w:t>
      </w:r>
    </w:p>
    <w:p>
      <w:pPr>
        <w:pStyle w:val="Normal0"/>
        <w:ind w:firstLine="560" w:firstLineChars="200"/>
        <w:jc w:val="left"/>
        <w:rPr>
          <w:rFonts w:eastAsia="仿宋_GB2312"/>
          <w:color w:val="000000"/>
          <w:kern w:val="32"/>
          <w:sz w:val="28"/>
          <w:szCs w:val="28"/>
        </w:rPr>
      </w:pPr>
      <w:r>
        <w:rPr>
          <w:rFonts w:eastAsia="仿宋_GB2312"/>
          <w:color w:val="000000"/>
          <w:kern w:val="32"/>
          <w:sz w:val="28"/>
          <w:szCs w:val="28"/>
        </w:rPr>
        <w:t>2.地质构造</w:t>
      </w:r>
    </w:p>
    <w:p>
      <w:pPr>
        <w:pStyle w:val="Normal0"/>
        <w:ind w:firstLine="560" w:firstLineChars="200"/>
        <w:jc w:val="left"/>
        <w:rPr>
          <w:rFonts w:eastAsia="仿宋_GB2312"/>
          <w:color w:val="000000"/>
          <w:kern w:val="32"/>
          <w:sz w:val="28"/>
          <w:szCs w:val="28"/>
        </w:rPr>
        <w:sectPr>
          <w:headerReference w:type="even" r:id="rId127"/>
          <w:headerReference w:type="default" r:id="rId128"/>
          <w:footerReference w:type="even" r:id="rId129"/>
          <w:footerReference w:type="default" r:id="rId130"/>
          <w:headerReference w:type="first" r:id="rId131"/>
          <w:footerReference w:type="first" r:id="rId132"/>
          <w:type w:val="nextPage"/>
          <w:pgSz w:w="11906" w:h="16838"/>
          <w:pgMar w:top="1440" w:right="1800" w:bottom="1440" w:left="1800" w:header="851" w:footer="992" w:gutter="0"/>
          <w:pgNumType w:start="18"/>
          <w:cols w:num="1" w:space="425"/>
          <w:titlePg w:val="0"/>
          <w:docGrid w:type="lines" w:linePitch="312" w:charSpace="0"/>
        </w:sectPr>
      </w:pPr>
    </w:p>
    <w:p>
      <w:pPr>
        <w:pStyle w:val="Normal0"/>
        <w:ind w:firstLine="560" w:firstLineChars="200"/>
        <w:jc w:val="left"/>
        <w:rPr>
          <w:rFonts w:eastAsia="仿宋_GB2312"/>
          <w:color w:val="000000"/>
          <w:kern w:val="32"/>
          <w:sz w:val="28"/>
          <w:szCs w:val="28"/>
        </w:rPr>
      </w:pPr>
      <w:r>
        <w:rPr>
          <w:rFonts w:eastAsia="仿宋_GB2312"/>
          <w:color w:val="000000"/>
          <w:kern w:val="32"/>
          <w:sz w:val="28"/>
          <w:szCs w:val="28"/>
        </w:rPr>
        <w:t>该场地地处新华夏系第三沉降褶皱带内的川东南弧形构造带的华莹山带状褶皱束与宣汉—重庆平行褶皱束的交接地区，出露地层主要以侏罗系中、上统沙溪庙组紫红色泥岩为主夹薄层砂岩，砂质泥岩。第四系地层零星分布，为最新地层。据区域地质资料并结合本次调查分析，场地内无断层及构造破碎带通过，场地内构造裂隙不发育。</w:t>
      </w:r>
    </w:p>
    <w:p>
      <w:pPr>
        <w:pStyle w:val="Normal0"/>
        <w:ind w:firstLine="636" w:firstLineChars="227"/>
        <w:rPr>
          <w:rFonts w:eastAsia="仿宋_GB2312"/>
          <w:bCs/>
          <w:sz w:val="28"/>
        </w:rPr>
      </w:pPr>
      <w:r>
        <w:rPr>
          <w:rFonts w:eastAsia="仿宋_GB2312"/>
          <w:bCs/>
          <w:sz w:val="28"/>
        </w:rPr>
        <w:t>3.地质灾害危险性评估</w:t>
      </w:r>
    </w:p>
    <w:p>
      <w:pPr>
        <w:pStyle w:val="Normal0"/>
        <w:ind w:firstLine="660"/>
        <w:rPr>
          <w:rFonts w:eastAsia="仿宋_GB2312"/>
          <w:sz w:val="28"/>
        </w:rPr>
      </w:pPr>
      <w:r>
        <w:rPr>
          <w:rFonts w:eastAsia="仿宋_GB2312"/>
          <w:sz w:val="28"/>
        </w:rPr>
        <w:t>根据调查结果表明：拟建地块内未见崩、滑、泥石流等不良地质现象，现状稳定；工程建设可能诱发的地址灾害为填土的不均匀沉降及填土边坡开挖岩等边坡滑塌、掉块，其规模小～中等，危险性小～中等。用地范围适宜本</w:t>
      </w:r>
      <w:r>
        <w:rPr>
          <w:rFonts w:eastAsia="仿宋_GB2312" w:hint="eastAsia"/>
          <w:sz w:val="28"/>
          <w:lang w:eastAsia="zh-CN"/>
        </w:rPr>
        <w:t>相关项目</w:t>
      </w:r>
      <w:r>
        <w:rPr>
          <w:rFonts w:eastAsia="仿宋_GB2312"/>
          <w:sz w:val="28"/>
        </w:rPr>
        <w:t>建设。</w:t>
      </w:r>
    </w:p>
    <w:p>
      <w:pPr>
        <w:pStyle w:val="Normal0"/>
        <w:ind w:firstLine="560" w:firstLineChars="200"/>
        <w:jc w:val="left"/>
        <w:rPr>
          <w:rFonts w:eastAsia="仿宋_GB2312"/>
          <w:sz w:val="28"/>
        </w:rPr>
      </w:pPr>
      <w:r>
        <w:rPr>
          <w:rFonts w:eastAsia="仿宋_GB2312"/>
          <w:sz w:val="28"/>
        </w:rPr>
        <w:t>4.气候气象</w:t>
      </w:r>
    </w:p>
    <w:p>
      <w:pPr>
        <w:pStyle w:val="Normal0"/>
        <w:ind w:firstLine="560" w:firstLineChars="200"/>
        <w:jc w:val="left"/>
        <w:rPr>
          <w:rFonts w:eastAsia="仿宋_GB2312"/>
          <w:sz w:val="28"/>
        </w:rPr>
      </w:pPr>
      <w:r>
        <w:rPr>
          <w:rFonts w:eastAsia="仿宋_GB2312"/>
          <w:sz w:val="28"/>
        </w:rPr>
        <w:t>沙坪坝区属于</w:t>
      </w:r>
      <w:r>
        <w:rPr>
          <w:sz w:val="28"/>
          <w:szCs w:val="28"/>
        </w:rPr>
        <w:t>中亚</w:t>
      </w:r>
      <w:r>
        <w:rPr>
          <w:rFonts w:eastAsia="仿宋_GB2312"/>
          <w:sz w:val="28"/>
        </w:rPr>
        <w:t>热带湿润季风气候，具有冬暖夏热、夏多伏旱、秋多绵雨、雾日多、日照少、雨量充沛、湿度大、风速小、气温主体差异明显等特征。气候特征为：气候温和、雨量充沛、降雨集中在5-9月份，占全年降雨量的三分之二，冬暖春早、秋短夏长、初夏多雨、盛夏炎热多伏旱、秋多阴雨、雨热同季、无霜期长、湿度大、风速小、云雾多、日照少的气候特点。大气污染物造成的污染程度与风频、风速密切相关，从全年平均情况来看，污染系数较大的NW至E方位，又以NW、N、E方位最大。根据重庆市沙坪坝区气象站多年来常规气象资料监测结果气象参数为：</w:t>
      </w:r>
    </w:p>
    <w:p>
      <w:pPr>
        <w:pStyle w:val="Normal0"/>
        <w:ind w:firstLine="560" w:firstLineChars="200"/>
        <w:jc w:val="left"/>
        <w:rPr>
          <w:rFonts w:eastAsia="仿宋_GB2312"/>
          <w:sz w:val="28"/>
        </w:rPr>
      </w:pPr>
      <w:r>
        <w:rPr>
          <w:rFonts w:eastAsia="仿宋_GB2312"/>
          <w:sz w:val="28"/>
        </w:rPr>
        <w:t>年平均气温          18.3°C</w:t>
      </w:r>
    </w:p>
    <w:p>
      <w:pPr>
        <w:pStyle w:val="Normal0"/>
        <w:ind w:firstLine="560" w:firstLineChars="200"/>
        <w:jc w:val="left"/>
        <w:rPr>
          <w:rFonts w:eastAsia="仿宋_GB2312"/>
          <w:sz w:val="28"/>
        </w:rPr>
      </w:pPr>
      <w:r>
        <w:rPr>
          <w:rFonts w:eastAsia="仿宋_GB2312"/>
          <w:sz w:val="28"/>
        </w:rPr>
        <w:t>极端最高气温        42.8°C</w:t>
      </w:r>
    </w:p>
    <w:p>
      <w:pPr>
        <w:pStyle w:val="Normal0"/>
        <w:ind w:firstLine="560" w:firstLineChars="200"/>
        <w:jc w:val="left"/>
        <w:rPr>
          <w:rFonts w:eastAsia="仿宋_GB2312"/>
          <w:sz w:val="28"/>
        </w:rPr>
      </w:pPr>
      <w:r>
        <w:rPr>
          <w:rFonts w:eastAsia="仿宋_GB2312"/>
          <w:sz w:val="28"/>
        </w:rPr>
        <w:t>极端最低气温        2.6°C</w:t>
      </w:r>
    </w:p>
    <w:p>
      <w:pPr>
        <w:pStyle w:val="Normal0"/>
        <w:ind w:firstLine="560" w:firstLineChars="200"/>
        <w:jc w:val="left"/>
        <w:rPr>
          <w:rFonts w:eastAsia="仿宋_GB2312"/>
          <w:sz w:val="28"/>
        </w:rPr>
        <w:sectPr>
          <w:headerReference w:type="even" r:id="rId133"/>
          <w:headerReference w:type="default" r:id="rId134"/>
          <w:footerReference w:type="even" r:id="rId135"/>
          <w:footerReference w:type="default" r:id="rId136"/>
          <w:headerReference w:type="first" r:id="rId137"/>
          <w:footerReference w:type="first" r:id="rId138"/>
          <w:type w:val="nextPage"/>
          <w:pgSz w:w="11906" w:h="16838"/>
          <w:pgMar w:top="1440" w:right="1800" w:bottom="1440" w:left="1800" w:header="851" w:footer="992" w:gutter="0"/>
          <w:pgNumType w:start="19"/>
          <w:cols w:num="1" w:space="425"/>
          <w:titlePg w:val="0"/>
          <w:docGrid w:type="lines" w:linePitch="312" w:charSpace="0"/>
        </w:sectPr>
      </w:pPr>
      <w:r>
        <w:rPr>
          <w:rFonts w:eastAsia="仿宋_GB2312"/>
          <w:sz w:val="28"/>
        </w:rPr>
        <w:t>平均相对湿度        81％</w:t>
      </w:r>
    </w:p>
    <w:p>
      <w:pPr>
        <w:pStyle w:val="Normal0"/>
        <w:ind w:firstLine="560" w:firstLineChars="200"/>
        <w:jc w:val="left"/>
        <w:rPr>
          <w:rFonts w:eastAsia="仿宋_GB2312"/>
          <w:sz w:val="28"/>
        </w:rPr>
      </w:pPr>
      <w:r>
        <w:rPr>
          <w:rFonts w:eastAsia="仿宋_GB2312"/>
          <w:sz w:val="28"/>
        </w:rPr>
        <w:t>年均降雨量          1082.9</w:t>
      </w:r>
      <w:r>
        <w:rPr>
          <w:rFonts w:eastAsia="仿宋_GB2312"/>
          <w:sz w:val="26"/>
        </w:rPr>
        <w:t>mm</w:t>
      </w:r>
    </w:p>
    <w:p>
      <w:pPr>
        <w:pStyle w:val="Normal0"/>
        <w:ind w:firstLine="560" w:firstLineChars="200"/>
        <w:jc w:val="left"/>
        <w:rPr>
          <w:rFonts w:eastAsia="仿宋_GB2312"/>
          <w:sz w:val="28"/>
        </w:rPr>
      </w:pPr>
      <w:r>
        <w:rPr>
          <w:rFonts w:eastAsia="仿宋_GB2312"/>
          <w:sz w:val="28"/>
        </w:rPr>
        <w:t>年均日照时数        1314天</w:t>
      </w:r>
    </w:p>
    <w:p>
      <w:pPr>
        <w:pStyle w:val="Normal0"/>
        <w:ind w:firstLine="560" w:firstLineChars="200"/>
        <w:jc w:val="left"/>
        <w:rPr>
          <w:rFonts w:eastAsia="仿宋_GB2312"/>
          <w:sz w:val="28"/>
        </w:rPr>
      </w:pPr>
      <w:r>
        <w:rPr>
          <w:rFonts w:eastAsia="仿宋_GB2312"/>
          <w:sz w:val="28"/>
        </w:rPr>
        <w:t>无霜期              341.6天</w:t>
      </w:r>
    </w:p>
    <w:p>
      <w:pPr>
        <w:pStyle w:val="Normal0"/>
        <w:ind w:firstLine="560" w:firstLineChars="200"/>
        <w:jc w:val="left"/>
        <w:rPr>
          <w:rFonts w:eastAsia="仿宋_GB2312"/>
          <w:sz w:val="28"/>
        </w:rPr>
      </w:pPr>
      <w:r>
        <w:rPr>
          <w:rFonts w:eastAsia="仿宋_GB2312"/>
          <w:sz w:val="28"/>
        </w:rPr>
        <w:t>平均风速            1.6</w:t>
      </w:r>
      <w:r>
        <w:rPr>
          <w:rFonts w:eastAsia="仿宋_GB2312"/>
          <w:sz w:val="26"/>
        </w:rPr>
        <w:t>m/s</w:t>
      </w:r>
    </w:p>
    <w:p>
      <w:pPr>
        <w:pStyle w:val="Normal0"/>
        <w:ind w:firstLine="560" w:firstLineChars="200"/>
        <w:jc w:val="left"/>
        <w:rPr>
          <w:rFonts w:eastAsia="仿宋_GB2312"/>
          <w:sz w:val="28"/>
        </w:rPr>
      </w:pPr>
      <w:r>
        <w:rPr>
          <w:rFonts w:eastAsia="仿宋_GB2312"/>
          <w:sz w:val="28"/>
        </w:rPr>
        <w:t>静风频率            17.5％</w:t>
      </w:r>
    </w:p>
    <w:p>
      <w:pPr>
        <w:pStyle w:val="Normal0"/>
        <w:ind w:firstLine="560" w:firstLineChars="200"/>
        <w:jc w:val="left"/>
        <w:rPr>
          <w:rFonts w:eastAsia="仿宋_GB2312"/>
          <w:sz w:val="28"/>
        </w:rPr>
      </w:pPr>
      <w:r>
        <w:rPr>
          <w:rFonts w:eastAsia="仿宋_GB2312"/>
          <w:sz w:val="28"/>
        </w:rPr>
        <w:t>冬夏两季主导风频为  22％</w:t>
      </w:r>
    </w:p>
    <w:p>
      <w:pPr>
        <w:pStyle w:val="Normal0"/>
        <w:ind w:firstLine="560" w:firstLineChars="200"/>
        <w:jc w:val="left"/>
        <w:rPr>
          <w:rFonts w:eastAsia="仿宋_GB2312"/>
          <w:sz w:val="28"/>
        </w:rPr>
      </w:pPr>
      <w:r>
        <w:rPr>
          <w:rFonts w:eastAsia="仿宋_GB2312"/>
          <w:sz w:val="28"/>
        </w:rPr>
        <w:t>主导风              N-NE</w:t>
      </w:r>
    </w:p>
    <w:p>
      <w:pPr>
        <w:pStyle w:val="Normal0"/>
        <w:ind w:firstLine="560" w:firstLineChars="200"/>
        <w:jc w:val="left"/>
        <w:rPr>
          <w:rFonts w:eastAsia="仿宋_GB2312"/>
          <w:sz w:val="28"/>
        </w:rPr>
      </w:pPr>
      <w:r>
        <w:rPr>
          <w:rFonts w:eastAsia="仿宋_GB2312"/>
          <w:sz w:val="28"/>
        </w:rPr>
        <w:t>5.水文</w:t>
      </w:r>
    </w:p>
    <w:p>
      <w:pPr>
        <w:pStyle w:val="Normal0"/>
        <w:ind w:firstLine="560" w:firstLineChars="200"/>
        <w:jc w:val="left"/>
        <w:rPr>
          <w:rFonts w:eastAsia="仿宋_GB2312"/>
          <w:sz w:val="28"/>
        </w:rPr>
      </w:pPr>
      <w:r>
        <w:rPr>
          <w:rFonts w:eastAsia="仿宋_GB2312"/>
          <w:sz w:val="28"/>
        </w:rPr>
        <w:t>沙坪坝区水体除嘉陵江外，梁滩河、虎溪河、清水溪、凤凰溪、詹家溪、南溪口溪是区内较大的溪河。嘉陵江发源于岷山与秦岭山区，经昭化、合川、北碚、井口、磁溪口、于朝天门汇入长江。嘉陵江在重庆境内长153.8</w:t>
      </w:r>
      <w:r>
        <w:rPr>
          <w:rFonts w:eastAsia="仿宋_GB2312"/>
          <w:sz w:val="26"/>
        </w:rPr>
        <w:t xml:space="preserve"> km</w:t>
      </w:r>
      <w:r>
        <w:rPr>
          <w:rFonts w:eastAsia="仿宋_GB2312"/>
          <w:sz w:val="28"/>
        </w:rPr>
        <w:t>，流域面积8164</w:t>
      </w:r>
      <w:r>
        <w:rPr>
          <w:rFonts w:eastAsia="仿宋_GB2312"/>
          <w:sz w:val="26"/>
        </w:rPr>
        <w:t xml:space="preserve"> km</w:t>
      </w:r>
      <w:r>
        <w:rPr>
          <w:rFonts w:eastAsia="仿宋_GB2312"/>
          <w:sz w:val="26"/>
          <w:vertAlign w:val="superscript"/>
        </w:rPr>
        <w:t>2</w:t>
      </w:r>
      <w:r>
        <w:rPr>
          <w:rFonts w:eastAsia="仿宋_GB2312"/>
          <w:sz w:val="28"/>
        </w:rPr>
        <w:t xml:space="preserve">，据北碚水文站资料显示，嘉陵江多年最大流量为44800 </w:t>
      </w:r>
      <w:r>
        <w:rPr>
          <w:rFonts w:eastAsia="仿宋_GB2312"/>
          <w:sz w:val="26"/>
        </w:rPr>
        <w:t>m</w:t>
      </w:r>
      <w:r>
        <w:rPr>
          <w:rFonts w:eastAsia="仿宋_GB2312"/>
          <w:sz w:val="26"/>
          <w:vertAlign w:val="superscript"/>
        </w:rPr>
        <w:t>3</w:t>
      </w:r>
      <w:r>
        <w:rPr>
          <w:rFonts w:eastAsia="仿宋_GB2312"/>
          <w:sz w:val="26"/>
        </w:rPr>
        <w:t>/s</w:t>
      </w:r>
      <w:r>
        <w:rPr>
          <w:rFonts w:eastAsia="仿宋_GB2312"/>
          <w:sz w:val="28"/>
        </w:rPr>
        <w:t>，多年平均流量为2120</w:t>
      </w:r>
      <w:r>
        <w:rPr>
          <w:rFonts w:eastAsia="仿宋_GB2312"/>
          <w:sz w:val="26"/>
        </w:rPr>
        <w:t>m</w:t>
      </w:r>
      <w:r>
        <w:rPr>
          <w:rFonts w:eastAsia="仿宋_GB2312"/>
          <w:sz w:val="26"/>
          <w:vertAlign w:val="superscript"/>
        </w:rPr>
        <w:t>3</w:t>
      </w:r>
      <w:r>
        <w:rPr>
          <w:rFonts w:eastAsia="仿宋_GB2312"/>
          <w:sz w:val="26"/>
        </w:rPr>
        <w:t>/s</w:t>
      </w:r>
      <w:r>
        <w:rPr>
          <w:rFonts w:eastAsia="仿宋_GB2312"/>
          <w:sz w:val="28"/>
        </w:rPr>
        <w:t>；最高水位208.17</w:t>
      </w:r>
      <w:r>
        <w:rPr>
          <w:rFonts w:eastAsia="仿宋_GB2312"/>
          <w:sz w:val="26"/>
        </w:rPr>
        <w:t>m</w:t>
      </w:r>
      <w:r>
        <w:rPr>
          <w:rFonts w:eastAsia="仿宋_GB2312"/>
          <w:sz w:val="28"/>
        </w:rPr>
        <w:t>，最低水位176.531</w:t>
      </w:r>
      <w:r>
        <w:rPr>
          <w:rFonts w:eastAsia="仿宋_GB2312"/>
          <w:sz w:val="26"/>
        </w:rPr>
        <w:t>m</w:t>
      </w:r>
      <w:r>
        <w:rPr>
          <w:rFonts w:eastAsia="仿宋_GB2312"/>
          <w:sz w:val="28"/>
        </w:rPr>
        <w:t>，多年平均水位179.64</w:t>
      </w:r>
      <w:r>
        <w:rPr>
          <w:rFonts w:eastAsia="仿宋_GB2312"/>
          <w:sz w:val="26"/>
        </w:rPr>
        <w:t>m</w:t>
      </w:r>
      <w:r>
        <w:rPr>
          <w:rFonts w:eastAsia="仿宋_GB2312"/>
          <w:sz w:val="28"/>
        </w:rPr>
        <w:t>。</w:t>
      </w:r>
    </w:p>
    <w:p>
      <w:pPr>
        <w:pStyle w:val="Normal0"/>
        <w:ind w:firstLine="560" w:firstLineChars="200"/>
        <w:jc w:val="left"/>
        <w:rPr>
          <w:rFonts w:eastAsia="仿宋_GB2312"/>
          <w:sz w:val="28"/>
        </w:rPr>
      </w:pPr>
      <w:r>
        <w:rPr>
          <w:rFonts w:eastAsia="仿宋_GB2312"/>
          <w:sz w:val="28"/>
        </w:rPr>
        <w:t>6.施工条件</w:t>
      </w:r>
    </w:p>
    <w:p>
      <w:pPr>
        <w:pStyle w:val="Normal0"/>
        <w:ind w:firstLine="615"/>
        <w:jc w:val="left"/>
        <w:rPr>
          <w:rFonts w:eastAsia="仿宋_GB2312"/>
          <w:sz w:val="28"/>
        </w:rPr>
      </w:pPr>
      <w:r>
        <w:rPr>
          <w:rFonts w:eastAsia="仿宋_GB2312"/>
          <w:sz w:val="28"/>
        </w:rPr>
        <w:t>施工所需水、电能满足需要，施工条件基本满足要求，在拟定施工</w:t>
      </w:r>
      <w:r>
        <w:rPr>
          <w:rFonts w:eastAsia="仿宋_GB2312" w:hint="eastAsia"/>
          <w:sz w:val="28"/>
          <w:lang w:eastAsia="zh-CN"/>
        </w:rPr>
        <w:t>合适的方案</w:t>
      </w:r>
      <w:r>
        <w:rPr>
          <w:rFonts w:eastAsia="仿宋_GB2312"/>
          <w:sz w:val="28"/>
        </w:rPr>
        <w:t>时注意与场地周边地衔接，充分利用场地内的空间，减少对周边人们生活及商业活动的不利影响，尽量减少施工中的环境污染物。</w:t>
      </w:r>
    </w:p>
    <w:p>
      <w:pPr>
        <w:pStyle w:val="BodyTextIndent"/>
        <w:rPr>
          <w:rFonts w:eastAsia="仿宋_GB2312"/>
        </w:rPr>
        <w:sectPr>
          <w:headerReference w:type="even" r:id="rId139"/>
          <w:headerReference w:type="default" r:id="rId140"/>
          <w:footerReference w:type="even" r:id="rId141"/>
          <w:footerReference w:type="default" r:id="rId142"/>
          <w:headerReference w:type="first" r:id="rId143"/>
          <w:footerReference w:type="first" r:id="rId144"/>
          <w:type w:val="nextPage"/>
          <w:pgSz w:w="11906" w:h="16838"/>
          <w:pgMar w:top="1440" w:right="1800" w:bottom="1440" w:left="1800" w:header="851" w:footer="992" w:gutter="0"/>
          <w:pgNumType w:start="20"/>
          <w:cols w:num="1" w:space="425"/>
          <w:titlePg w:val="0"/>
          <w:docGrid w:type="lines" w:linePitch="312" w:charSpace="0"/>
        </w:sectPr>
      </w:pPr>
      <w:r>
        <w:rPr>
          <w:rFonts w:eastAsia="仿宋_GB2312"/>
        </w:rPr>
        <w:t>可见，</w:t>
      </w:r>
      <w:r>
        <w:rPr>
          <w:rFonts w:eastAsia="仿宋_GB2312" w:hint="eastAsia"/>
          <w:lang w:eastAsia="zh-CN"/>
        </w:rPr>
        <w:t>相关项目</w:t>
      </w:r>
      <w:r>
        <w:rPr>
          <w:rFonts w:eastAsia="仿宋_GB2312"/>
        </w:rPr>
        <w:t>建设地的各项条件满足</w:t>
      </w:r>
      <w:r>
        <w:rPr>
          <w:rFonts w:eastAsia="仿宋_GB2312" w:hint="eastAsia"/>
          <w:lang w:eastAsia="zh-CN"/>
        </w:rPr>
        <w:t>相关项目</w:t>
      </w:r>
      <w:r>
        <w:rPr>
          <w:rFonts w:eastAsia="仿宋_GB2312"/>
        </w:rPr>
        <w:t>建设与运营的需要，无明显不支持</w:t>
      </w:r>
      <w:r>
        <w:rPr>
          <w:rFonts w:eastAsia="仿宋_GB2312" w:hint="eastAsia"/>
          <w:lang w:eastAsia="zh-CN"/>
        </w:rPr>
        <w:t>相关项目</w:t>
      </w:r>
      <w:r>
        <w:rPr>
          <w:rFonts w:eastAsia="仿宋_GB2312"/>
        </w:rPr>
        <w:t>的因素。</w:t>
      </w:r>
    </w:p>
    <w:p>
      <w:pPr>
        <w:pStyle w:val="Heading1"/>
        <w:jc w:val="center"/>
        <w:rPr>
          <w:rFonts w:eastAsia="黑体" w:hint="eastAsia"/>
          <w:b w:val="0"/>
          <w:bCs w:val="0"/>
          <w:sz w:val="32"/>
          <w:lang w:eastAsia="zh-CN"/>
        </w:rPr>
      </w:pPr>
      <w:bookmarkStart w:id="41" w:name="_Toc244610500"/>
      <w:bookmarkStart w:id="42" w:name="_Toc244922129"/>
      <w:r>
        <w:rPr>
          <w:rFonts w:eastAsia="黑体"/>
          <w:sz w:val="32"/>
          <w:szCs w:val="32"/>
        </w:rPr>
        <w:t>6  建设</w:t>
      </w:r>
      <w:bookmarkEnd w:id="41"/>
      <w:bookmarkEnd w:id="42"/>
      <w:r>
        <w:rPr>
          <w:rFonts w:eastAsia="黑体" w:hint="eastAsia"/>
          <w:sz w:val="32"/>
          <w:szCs w:val="32"/>
          <w:lang w:eastAsia="zh-CN"/>
        </w:rPr>
        <w:t>合适的方案</w:t>
      </w:r>
    </w:p>
    <w:p>
      <w:pPr>
        <w:pStyle w:val="Heading2"/>
        <w:spacing w:line="360" w:lineRule="auto"/>
        <w:rPr>
          <w:rFonts w:ascii="Times New Roman" w:hAnsi="Times New Roman"/>
          <w:b/>
          <w:color w:val="000000"/>
        </w:rPr>
      </w:pPr>
      <w:bookmarkStart w:id="43" w:name="_Toc244922130"/>
      <w:bookmarkStart w:id="44" w:name="_Toc244610501"/>
      <w:r>
        <w:rPr>
          <w:rFonts w:ascii="Times New Roman" w:hAnsi="Times New Roman"/>
          <w:b/>
          <w:color w:val="000000"/>
        </w:rPr>
        <w:t>6.1 规划设计理念及原则</w:t>
      </w:r>
      <w:bookmarkEnd w:id="43"/>
      <w:bookmarkEnd w:id="44"/>
    </w:p>
    <w:p>
      <w:pPr>
        <w:pStyle w:val="Heading3"/>
        <w:rPr>
          <w:rFonts w:eastAsia="仿宋_GB2312"/>
          <w:b w:val="0"/>
          <w:sz w:val="28"/>
          <w:szCs w:val="28"/>
        </w:rPr>
      </w:pPr>
      <w:r>
        <w:rPr>
          <w:rFonts w:eastAsia="仿宋_GB2312"/>
          <w:b w:val="0"/>
          <w:sz w:val="28"/>
          <w:szCs w:val="28"/>
        </w:rPr>
        <w:t>6.1.1规划设计理念</w:t>
      </w:r>
    </w:p>
    <w:p>
      <w:pPr>
        <w:pStyle w:val="Normal0"/>
        <w:spacing w:line="360" w:lineRule="auto"/>
        <w:ind w:firstLine="560" w:firstLineChars="200"/>
        <w:rPr>
          <w:rFonts w:eastAsia="仿宋_GB2312"/>
          <w:sz w:val="28"/>
          <w:szCs w:val="28"/>
        </w:rPr>
      </w:pPr>
      <w:r>
        <w:rPr>
          <w:rFonts w:eastAsia="仿宋_GB2312"/>
          <w:sz w:val="28"/>
          <w:szCs w:val="28"/>
        </w:rPr>
        <w:t>规划设计要根据《重庆市城市总体规划》及《重庆市磁器口古镇保护</w:t>
      </w:r>
      <w:r>
        <w:rPr>
          <w:rFonts w:eastAsia="仿宋_GB2312" w:hint="eastAsia"/>
          <w:sz w:val="28"/>
          <w:szCs w:val="28"/>
          <w:lang w:eastAsia="zh-CN"/>
        </w:rPr>
        <w:t>管理管控</w:t>
      </w:r>
      <w:r>
        <w:rPr>
          <w:rFonts w:eastAsia="仿宋_GB2312"/>
          <w:sz w:val="28"/>
          <w:szCs w:val="28"/>
        </w:rPr>
        <w:t>办法》，针对磁8地块现状及周边环境的分析，特别是鉴于磁器口古镇现状和发展规划，以促进古镇旅游配套的提档升级，美化古镇整体形象。</w:t>
      </w:r>
    </w:p>
    <w:p>
      <w:pPr>
        <w:pStyle w:val="Normal0"/>
        <w:spacing w:line="360" w:lineRule="auto"/>
        <w:ind w:firstLine="560" w:firstLineChars="200"/>
        <w:rPr>
          <w:rFonts w:eastAsia="仿宋_GB2312"/>
          <w:sz w:val="28"/>
          <w:szCs w:val="28"/>
        </w:rPr>
      </w:pPr>
      <w:r>
        <w:rPr>
          <w:rFonts w:eastAsia="仿宋_GB2312"/>
          <w:sz w:val="28"/>
          <w:szCs w:val="28"/>
        </w:rPr>
        <w:t>（1）文化性：在功能、层次上满足旅游消费者需求的同时，还必须与古镇旅游的主题文化相联系。</w:t>
      </w:r>
    </w:p>
    <w:p>
      <w:pPr>
        <w:pStyle w:val="Normal0"/>
        <w:spacing w:line="360" w:lineRule="auto"/>
        <w:ind w:firstLine="560" w:firstLineChars="200"/>
        <w:rPr>
          <w:rFonts w:eastAsia="仿宋_GB2312"/>
          <w:sz w:val="28"/>
          <w:szCs w:val="28"/>
        </w:rPr>
      </w:pPr>
      <w:r>
        <w:rPr>
          <w:rFonts w:eastAsia="仿宋_GB2312"/>
          <w:sz w:val="28"/>
          <w:szCs w:val="28"/>
        </w:rPr>
        <w:t>（2）合理性：根据地块的特点和</w:t>
      </w:r>
      <w:r>
        <w:rPr>
          <w:rFonts w:eastAsia="仿宋_GB2312" w:hint="eastAsia"/>
          <w:sz w:val="28"/>
          <w:szCs w:val="28"/>
          <w:lang w:eastAsia="zh-CN"/>
        </w:rPr>
        <w:t>相关项目</w:t>
      </w:r>
      <w:r>
        <w:rPr>
          <w:rFonts w:eastAsia="仿宋_GB2312"/>
          <w:sz w:val="28"/>
          <w:szCs w:val="28"/>
        </w:rPr>
        <w:t>建设目标要求，合理布局空间，最大限度满足目标要求。</w:t>
      </w:r>
    </w:p>
    <w:p>
      <w:pPr>
        <w:pStyle w:val="Normal0"/>
        <w:spacing w:line="360" w:lineRule="auto"/>
        <w:ind w:firstLine="560" w:firstLineChars="200"/>
        <w:rPr>
          <w:rFonts w:eastAsia="仿宋_GB2312"/>
          <w:sz w:val="28"/>
          <w:szCs w:val="28"/>
        </w:rPr>
      </w:pPr>
      <w:r>
        <w:rPr>
          <w:rFonts w:eastAsia="仿宋_GB2312"/>
          <w:sz w:val="28"/>
          <w:szCs w:val="28"/>
        </w:rPr>
        <w:t>（3）统一性：</w:t>
      </w:r>
      <w:r>
        <w:rPr>
          <w:rFonts w:eastAsia="仿宋_GB2312" w:hint="eastAsia"/>
          <w:sz w:val="28"/>
          <w:szCs w:val="28"/>
          <w:lang w:eastAsia="zh-CN"/>
        </w:rPr>
        <w:t>相关项目</w:t>
      </w:r>
      <w:r>
        <w:rPr>
          <w:rFonts w:eastAsia="仿宋_GB2312"/>
          <w:sz w:val="28"/>
          <w:szCs w:val="28"/>
        </w:rPr>
        <w:t>规划设计与古镇整体风貌相协调，充分发挥景观艺术性与绿地系统。</w:t>
      </w:r>
    </w:p>
    <w:p>
      <w:pPr>
        <w:pStyle w:val="Normal0"/>
        <w:spacing w:line="360" w:lineRule="auto"/>
        <w:ind w:firstLine="560" w:firstLineChars="200"/>
        <w:rPr>
          <w:rFonts w:eastAsia="仿宋_GB2312"/>
          <w:sz w:val="28"/>
          <w:szCs w:val="28"/>
        </w:rPr>
      </w:pPr>
      <w:r>
        <w:rPr>
          <w:rFonts w:eastAsia="仿宋_GB2312"/>
          <w:sz w:val="28"/>
          <w:szCs w:val="28"/>
        </w:rPr>
        <w:t>（4）人性化：规划设计体现以人为本的精神，给消费者、住户等营造生态、舒适的空间环境。</w:t>
      </w:r>
    </w:p>
    <w:p>
      <w:pPr>
        <w:pStyle w:val="Heading3"/>
        <w:rPr>
          <w:rFonts w:eastAsia="仿宋_GB2312"/>
          <w:b w:val="0"/>
          <w:sz w:val="28"/>
          <w:szCs w:val="28"/>
        </w:rPr>
      </w:pPr>
      <w:r>
        <w:rPr>
          <w:rFonts w:eastAsia="仿宋_GB2312"/>
          <w:b w:val="0"/>
          <w:sz w:val="28"/>
          <w:szCs w:val="28"/>
        </w:rPr>
        <w:t>6.1.2规划设计原则</w:t>
      </w:r>
    </w:p>
    <w:p>
      <w:pPr>
        <w:pStyle w:val="Normal0"/>
        <w:ind w:firstLine="560" w:firstLineChars="200"/>
        <w:rPr>
          <w:rFonts w:eastAsia="仿宋_GB2312"/>
          <w:sz w:val="28"/>
          <w:szCs w:val="28"/>
        </w:rPr>
      </w:pPr>
      <w:r>
        <w:rPr>
          <w:rFonts w:eastAsia="仿宋_GB2312"/>
          <w:sz w:val="28"/>
          <w:szCs w:val="28"/>
        </w:rPr>
        <w:t>本</w:t>
      </w:r>
      <w:r>
        <w:rPr>
          <w:rFonts w:eastAsia="仿宋_GB2312" w:hint="eastAsia"/>
          <w:sz w:val="28"/>
          <w:szCs w:val="28"/>
          <w:lang w:eastAsia="zh-CN"/>
        </w:rPr>
        <w:t>相关项目</w:t>
      </w:r>
      <w:r>
        <w:rPr>
          <w:rFonts w:eastAsia="仿宋_GB2312"/>
          <w:sz w:val="28"/>
          <w:szCs w:val="28"/>
        </w:rPr>
        <w:t>规划设计遵循沙坪坝区及磁器口古镇规划对建设土地利用的保护性、生态性、可持续性、经济性和地方性的原则。</w:t>
      </w:r>
    </w:p>
    <w:p>
      <w:pPr>
        <w:pStyle w:val="Normal0"/>
        <w:spacing w:line="360" w:lineRule="auto"/>
        <w:ind w:firstLine="560" w:firstLineChars="200"/>
        <w:rPr>
          <w:rFonts w:eastAsia="仿宋_GB2312"/>
          <w:sz w:val="28"/>
          <w:szCs w:val="28"/>
        </w:rPr>
        <w:sectPr>
          <w:headerReference w:type="even" r:id="rId145"/>
          <w:headerReference w:type="default" r:id="rId146"/>
          <w:footerReference w:type="even" r:id="rId147"/>
          <w:footerReference w:type="default" r:id="rId148"/>
          <w:headerReference w:type="first" r:id="rId149"/>
          <w:footerReference w:type="first" r:id="rId150"/>
          <w:type w:val="nextPage"/>
          <w:pgSz w:w="11906" w:h="16838"/>
          <w:pgMar w:top="1440" w:right="1800" w:bottom="1440" w:left="1800" w:header="851" w:footer="992" w:gutter="0"/>
          <w:pgNumType w:start="21"/>
          <w:cols w:num="1" w:space="425"/>
          <w:titlePg w:val="0"/>
          <w:docGrid w:type="lines" w:linePitch="312" w:charSpace="0"/>
        </w:sectPr>
      </w:pPr>
    </w:p>
    <w:p>
      <w:pPr>
        <w:pStyle w:val="Normal0"/>
        <w:spacing w:line="360" w:lineRule="auto"/>
        <w:ind w:firstLine="560" w:firstLineChars="200"/>
        <w:rPr>
          <w:rFonts w:eastAsia="仿宋_GB2312"/>
          <w:sz w:val="28"/>
          <w:szCs w:val="28"/>
        </w:rPr>
      </w:pPr>
      <w:r>
        <w:rPr>
          <w:rFonts w:eastAsia="仿宋_GB2312"/>
          <w:sz w:val="28"/>
          <w:szCs w:val="28"/>
        </w:rPr>
        <w:t>（1）协调性原则：建筑风貌不得破坏古镇整体形象，要符合古镇文化特征，做到协调一致，体现古镇文化特色。</w:t>
      </w:r>
    </w:p>
    <w:p>
      <w:pPr>
        <w:pStyle w:val="Normal0"/>
        <w:spacing w:line="360" w:lineRule="auto"/>
        <w:ind w:firstLine="560" w:firstLineChars="200"/>
        <w:rPr>
          <w:rFonts w:eastAsia="仿宋_GB2312"/>
          <w:sz w:val="28"/>
          <w:szCs w:val="28"/>
        </w:rPr>
      </w:pPr>
      <w:r>
        <w:rPr>
          <w:rFonts w:eastAsia="仿宋_GB2312"/>
          <w:sz w:val="28"/>
          <w:szCs w:val="28"/>
        </w:rPr>
        <w:t>（2）生态性原则：通过地块内部合理布局以及绿化景观设计，在满足开发需求的前提下，创造一个具有良好居住环境。</w:t>
      </w:r>
    </w:p>
    <w:p>
      <w:pPr>
        <w:pStyle w:val="Normal0"/>
        <w:spacing w:line="360" w:lineRule="auto"/>
        <w:ind w:firstLine="560" w:firstLineChars="200"/>
        <w:rPr>
          <w:rFonts w:eastAsia="仿宋_GB2312"/>
          <w:sz w:val="28"/>
          <w:szCs w:val="28"/>
        </w:rPr>
      </w:pPr>
      <w:r>
        <w:rPr>
          <w:rFonts w:eastAsia="仿宋_GB2312"/>
          <w:sz w:val="28"/>
          <w:szCs w:val="28"/>
        </w:rPr>
        <w:t>（3）经济性原则：充分节约土地，提高土地的利用率，将土地的经济价值发挥到最大。</w:t>
      </w:r>
    </w:p>
    <w:p>
      <w:pPr>
        <w:pStyle w:val="Heading2"/>
        <w:spacing w:line="360" w:lineRule="auto"/>
        <w:rPr>
          <w:rFonts w:ascii="Times New Roman" w:hAnsi="Times New Roman"/>
          <w:b/>
          <w:color w:val="000000"/>
        </w:rPr>
      </w:pPr>
      <w:bookmarkStart w:id="45" w:name="_Toc244922131"/>
      <w:bookmarkStart w:id="46" w:name="_Toc244610502"/>
      <w:r>
        <w:rPr>
          <w:rFonts w:ascii="Times New Roman" w:hAnsi="Times New Roman"/>
          <w:b/>
          <w:color w:val="000000"/>
        </w:rPr>
        <w:t>6.2 设计构思</w:t>
      </w:r>
      <w:bookmarkEnd w:id="45"/>
      <w:bookmarkEnd w:id="46"/>
    </w:p>
    <w:p>
      <w:pPr>
        <w:pStyle w:val="Normal0"/>
        <w:ind w:firstLine="555"/>
        <w:rPr>
          <w:rFonts w:eastAsia="仿宋_GB2312"/>
          <w:sz w:val="28"/>
          <w:szCs w:val="28"/>
        </w:rPr>
      </w:pPr>
      <w:r>
        <w:rPr>
          <w:rFonts w:eastAsia="仿宋_GB2312" w:hint="eastAsia"/>
          <w:sz w:val="28"/>
          <w:szCs w:val="28"/>
          <w:lang w:eastAsia="zh-CN"/>
        </w:rPr>
        <w:t>相关项目</w:t>
      </w:r>
      <w:r>
        <w:rPr>
          <w:rFonts w:eastAsia="仿宋_GB2312"/>
          <w:sz w:val="28"/>
          <w:szCs w:val="28"/>
        </w:rPr>
        <w:t>地块为三角形地块，地势高低不平，地块东北角高程最高达到224米，最低只有202米，地块内部起伏很大。在尽量减少土方量的前提下，充分运用已有地貌设计建筑形式与布局摆放。道路设计力求与临街道路良好通连，内部贯通，做到人车分流；景观设计坚持绿地最大化原则，营造生态居住小区环境。</w:t>
      </w:r>
    </w:p>
    <w:p>
      <w:pPr>
        <w:pStyle w:val="Heading2"/>
        <w:spacing w:line="360" w:lineRule="auto"/>
        <w:rPr>
          <w:rFonts w:ascii="Times New Roman" w:hAnsi="Times New Roman"/>
          <w:b/>
          <w:color w:val="000000"/>
        </w:rPr>
      </w:pPr>
      <w:bookmarkStart w:id="47" w:name="_Toc244610503"/>
      <w:bookmarkStart w:id="48" w:name="_Toc244922132"/>
      <w:r>
        <w:rPr>
          <w:rFonts w:ascii="Times New Roman" w:hAnsi="Times New Roman"/>
          <w:b/>
          <w:color w:val="000000"/>
        </w:rPr>
        <w:t>6.3平面布置</w:t>
      </w:r>
      <w:bookmarkEnd w:id="47"/>
      <w:bookmarkEnd w:id="48"/>
    </w:p>
    <w:p>
      <w:pPr>
        <w:pStyle w:val="BodyTextIndent"/>
        <w:rPr>
          <w:rFonts w:eastAsia="仿宋_GB2312"/>
        </w:rPr>
        <w:sectPr>
          <w:headerReference w:type="even" r:id="rId151"/>
          <w:headerReference w:type="default" r:id="rId152"/>
          <w:footerReference w:type="even" r:id="rId153"/>
          <w:footerReference w:type="default" r:id="rId154"/>
          <w:headerReference w:type="first" r:id="rId155"/>
          <w:footerReference w:type="first" r:id="rId156"/>
          <w:type w:val="nextPage"/>
          <w:pgSz w:w="11906" w:h="16838"/>
          <w:pgMar w:top="1440" w:right="1800" w:bottom="1440" w:left="1800" w:header="851" w:footer="992" w:gutter="0"/>
          <w:pgNumType w:start="22"/>
          <w:cols w:num="1" w:space="425"/>
          <w:titlePg w:val="0"/>
          <w:docGrid w:type="lines" w:linePitch="312" w:charSpace="0"/>
        </w:sectPr>
      </w:pPr>
      <w:r>
        <w:rPr>
          <w:rFonts w:eastAsia="仿宋_GB2312"/>
        </w:rPr>
        <w:t>由于地块内有一条110KV高压线穿过，为规避高压线影响，将临街商业与安置房以高压线为轴线，分开摆放，并在高压线下施以绿化。具体布置见图6-1。</w:t>
      </w:r>
    </w:p>
    <w:p>
      <w:pPr>
        <w:pStyle w:val="BodyTextIndent"/>
        <w:ind w:firstLine="179" w:firstLineChars="64"/>
        <w:rPr>
          <w:rFonts w:eastAsia="仿宋_GB2312"/>
        </w:rPr>
      </w:pPr>
      <w:r>
        <w:rPr>
          <w:rFonts w:eastAsia="仿宋_GB2312"/>
        </w:rPr>
        <w:pict>
          <v:roundrect id="_x0000_s1026" o:spid="_x0000_s1026" style="width:97.45pt;height:83.45pt;margin-top:179.4pt;margin-left:36pt;mso-height-relative:page;mso-width-relative:page;position:absolute;rotation:1905381fd;z-index:251659264" arcsize="10923f" coordsize="21600,21600" filled="f" fillcolor="black" stroked="f">
            <v:textbox>
              <w:txbxContent>
                <w:p>
                  <w:pPr>
                    <w:pStyle w:val="Normal0"/>
                    <w:rPr>
                      <w:rFonts w:hint="eastAsia"/>
                      <w:color w:val="FFFFFF"/>
                      <w:sz w:val="18"/>
                      <w:szCs w:val="18"/>
                    </w:rPr>
                  </w:pPr>
                  <w:r>
                    <w:rPr>
                      <w:rFonts w:hint="eastAsia"/>
                      <w:color w:val="FFFFFF"/>
                      <w:sz w:val="18"/>
                      <w:szCs w:val="18"/>
                    </w:rPr>
                    <w:t>底层为商业门面；</w:t>
                  </w:r>
                </w:p>
                <w:p>
                  <w:pPr>
                    <w:pStyle w:val="Normal0"/>
                    <w:rPr>
                      <w:rFonts w:hint="eastAsia"/>
                      <w:color w:val="FFFFFF"/>
                      <w:sz w:val="18"/>
                      <w:szCs w:val="18"/>
                    </w:rPr>
                  </w:pPr>
                  <w:r>
                    <w:rPr>
                      <w:rFonts w:hint="eastAsia"/>
                      <w:color w:val="FFFFFF"/>
                      <w:sz w:val="18"/>
                      <w:szCs w:val="18"/>
                    </w:rPr>
                    <w:t>二层为</w:t>
                  </w:r>
                  <w:r>
                    <w:rPr>
                      <w:rFonts w:hint="eastAsia"/>
                      <w:color w:val="FFFFFF"/>
                      <w:sz w:val="18"/>
                      <w:szCs w:val="18"/>
                      <w:lang w:eastAsia="zh-CN"/>
                    </w:rPr>
                    <w:t>管理管控</w:t>
                  </w:r>
                  <w:r>
                    <w:rPr>
                      <w:rFonts w:hint="eastAsia"/>
                      <w:color w:val="FFFFFF"/>
                      <w:sz w:val="18"/>
                      <w:szCs w:val="18"/>
                    </w:rPr>
                    <w:t>及公共</w:t>
                  </w:r>
                </w:p>
                <w:p>
                  <w:pPr>
                    <w:pStyle w:val="Normal0"/>
                    <w:rPr>
                      <w:rFonts w:hint="eastAsia"/>
                      <w:color w:val="FFFFFF"/>
                      <w:sz w:val="18"/>
                      <w:szCs w:val="18"/>
                    </w:rPr>
                  </w:pPr>
                  <w:r>
                    <w:rPr>
                      <w:rFonts w:hint="eastAsia"/>
                      <w:color w:val="FFFFFF"/>
                      <w:sz w:val="18"/>
                      <w:szCs w:val="18"/>
                    </w:rPr>
                    <w:t>活动用房</w:t>
                  </w:r>
                </w:p>
                <w:p>
                  <w:pPr>
                    <w:pStyle w:val="Normal0"/>
                  </w:pPr>
                </w:p>
              </w:txbxContent>
            </v:textbox>
          </v:roundrect>
        </w:pict>
      </w:r>
      <w:r>
        <w:rPr>
          <w:rFonts w:eastAsia="仿宋_GB2312"/>
        </w:rPr>
        <w:pict>
          <v:roundrect id="_x0000_s1027" o:spid="_x0000_s1027" style="width:108.05pt;height:23.4pt;margin-top:54.6pt;margin-left:207pt;mso-height-relative:page;mso-width-relative:page;position:absolute;rotation:-822385fd;z-index:251658240" arcsize="10923f" coordsize="21600,21600" filled="t" fillcolor="black">
            <v:textbox>
              <w:txbxContent>
                <w:p>
                  <w:pPr>
                    <w:pStyle w:val="Normal0"/>
                    <w:rPr>
                      <w:rFonts w:hint="eastAsia"/>
                      <w:sz w:val="18"/>
                      <w:szCs w:val="18"/>
                    </w:rPr>
                  </w:pPr>
                  <w:r>
                    <w:rPr>
                      <w:rFonts w:hint="eastAsia"/>
                      <w:sz w:val="18"/>
                      <w:szCs w:val="18"/>
                      <w:lang w:eastAsia="zh-CN"/>
                    </w:rPr>
                    <w:t>管理管控</w:t>
                  </w:r>
                  <w:r>
                    <w:rPr>
                      <w:rFonts w:hint="eastAsia"/>
                      <w:sz w:val="18"/>
                      <w:szCs w:val="18"/>
                    </w:rPr>
                    <w:t>及公共活动用房</w:t>
                  </w:r>
                </w:p>
                <w:p>
                  <w:pPr>
                    <w:pStyle w:val="Normal0"/>
                  </w:pPr>
                </w:p>
              </w:txbxContent>
            </v:textbox>
          </v:roundrect>
        </w:pict>
      </w:r>
      <w:r>
        <w:rPr>
          <w:rFonts w:eastAsia="仿宋_GB2312"/>
        </w:rPr>
        <w:pict>
          <v:shape id="_x0000_i1028" type="#_x0000_t75" style="width:415.15pt;height:403.5pt" coordsize="21600,21600" o:preferrelative="t" filled="f" stroked="f">
            <v:stroke joinstyle="miter"/>
            <v:imagedata r:id="rId157" o:title="安置房布局图PS"/>
            <o:lock v:ext="edit" aspectratio="t"/>
            <w10:anchorlock/>
          </v:shape>
        </w:pict>
      </w:r>
    </w:p>
    <w:p>
      <w:pPr>
        <w:pStyle w:val="BodyTextIndent"/>
        <w:ind w:firstLine="0" w:firstLineChars="0"/>
        <w:jc w:val="center"/>
        <w:rPr>
          <w:rFonts w:eastAsia="黑体"/>
          <w:sz w:val="24"/>
        </w:rPr>
      </w:pPr>
      <w:r>
        <w:rPr>
          <w:rFonts w:eastAsia="黑体"/>
          <w:sz w:val="24"/>
        </w:rPr>
        <w:t xml:space="preserve">图6-1 </w:t>
      </w:r>
      <w:r>
        <w:rPr>
          <w:rFonts w:eastAsia="黑体" w:hint="eastAsia"/>
          <w:sz w:val="24"/>
          <w:lang w:eastAsia="zh-CN"/>
        </w:rPr>
        <w:t>相关项目</w:t>
      </w:r>
      <w:r>
        <w:rPr>
          <w:rFonts w:eastAsia="黑体"/>
          <w:sz w:val="24"/>
        </w:rPr>
        <w:t>平面布局</w:t>
      </w:r>
    </w:p>
    <w:p>
      <w:pPr>
        <w:pStyle w:val="Heading2"/>
        <w:spacing w:line="360" w:lineRule="auto"/>
        <w:rPr>
          <w:rFonts w:ascii="Times New Roman" w:hAnsi="Times New Roman"/>
          <w:b/>
          <w:color w:val="000000"/>
        </w:rPr>
      </w:pPr>
      <w:bookmarkStart w:id="49" w:name="_Toc244610504"/>
      <w:bookmarkStart w:id="50" w:name="_Toc244922133"/>
      <w:r>
        <w:rPr>
          <w:rFonts w:ascii="Times New Roman" w:hAnsi="Times New Roman"/>
          <w:b/>
          <w:color w:val="000000"/>
        </w:rPr>
        <w:t>6.4建筑单体设计</w:t>
      </w:r>
      <w:bookmarkEnd w:id="49"/>
      <w:bookmarkEnd w:id="50"/>
    </w:p>
    <w:p>
      <w:pPr>
        <w:pStyle w:val="Heading3"/>
        <w:rPr>
          <w:rFonts w:eastAsia="仿宋_GB2312"/>
          <w:b w:val="0"/>
          <w:sz w:val="28"/>
          <w:szCs w:val="28"/>
        </w:rPr>
      </w:pPr>
      <w:r>
        <w:rPr>
          <w:rFonts w:eastAsia="仿宋_GB2312"/>
          <w:b w:val="0"/>
          <w:sz w:val="28"/>
          <w:szCs w:val="28"/>
        </w:rPr>
        <w:t>6.4.1住宅</w:t>
      </w:r>
    </w:p>
    <w:p>
      <w:pPr>
        <w:pStyle w:val="Normal0"/>
        <w:ind w:left="-17" w:firstLine="560" w:firstLineChars="200"/>
        <w:rPr>
          <w:rFonts w:eastAsia="仿宋_GB2312"/>
          <w:sz w:val="28"/>
          <w:szCs w:val="28"/>
        </w:rPr>
      </w:pPr>
      <w:r>
        <w:rPr>
          <w:rFonts w:eastAsia="仿宋_GB2312"/>
          <w:sz w:val="28"/>
          <w:szCs w:val="28"/>
        </w:rPr>
        <w:t>住宅建筑均为</w:t>
      </w:r>
      <w:r>
        <w:rPr>
          <w:rFonts w:eastAsia="仿宋_GB2312" w:hint="eastAsia"/>
          <w:sz w:val="28"/>
          <w:szCs w:val="28"/>
        </w:rPr>
        <w:t>30</w:t>
      </w:r>
      <w:r>
        <w:rPr>
          <w:rFonts w:eastAsia="仿宋_GB2312"/>
          <w:sz w:val="28"/>
          <w:szCs w:val="28"/>
        </w:rPr>
        <w:t>层高层建筑，户型以中小型为主，每单元8户，大部分户型南北通透，按景观资源扬长避短，充分发挥位置优势，最大程度地利用景观资源。</w:t>
      </w:r>
    </w:p>
    <w:p>
      <w:pPr>
        <w:pStyle w:val="Normal0"/>
        <w:ind w:firstLine="560" w:firstLineChars="200"/>
        <w:rPr>
          <w:rFonts w:eastAsia="仿宋_GB2312"/>
          <w:sz w:val="28"/>
          <w:szCs w:val="28"/>
        </w:rPr>
        <w:sectPr>
          <w:headerReference w:type="even" r:id="rId158"/>
          <w:headerReference w:type="default" r:id="rId159"/>
          <w:footerReference w:type="even" r:id="rId160"/>
          <w:footerReference w:type="default" r:id="rId161"/>
          <w:headerReference w:type="first" r:id="rId162"/>
          <w:footerReference w:type="first" r:id="rId163"/>
          <w:type w:val="nextPage"/>
          <w:pgSz w:w="11906" w:h="16838"/>
          <w:pgMar w:top="1440" w:right="1800" w:bottom="1440" w:left="1800" w:header="851" w:footer="992" w:gutter="0"/>
          <w:pgNumType w:start="23"/>
          <w:cols w:num="1" w:space="425"/>
          <w:titlePg w:val="0"/>
          <w:docGrid w:type="lines" w:linePitch="312" w:charSpace="0"/>
        </w:sectPr>
      </w:pPr>
    </w:p>
    <w:p>
      <w:pPr>
        <w:pStyle w:val="Normal0"/>
        <w:ind w:firstLine="560" w:firstLineChars="200"/>
        <w:rPr>
          <w:rFonts w:eastAsia="仿宋_GB2312"/>
          <w:sz w:val="28"/>
          <w:szCs w:val="28"/>
        </w:rPr>
      </w:pPr>
      <w:r>
        <w:rPr>
          <w:rFonts w:eastAsia="仿宋_GB2312"/>
          <w:sz w:val="28"/>
          <w:szCs w:val="28"/>
        </w:rPr>
        <w:t>建筑立面设计遵循磁器口古镇保护规划，采用仿明清古建筑风格，做到与古镇风貌协调统一。建筑选址根据现有的地形，尽量减少土石方量，避免高压线影响，将道路干扰对住户的影响降至最小。并在考虑与古镇风格呼应的同时有所突破，力求继承中求创新，利用高层建筑挺拔的形体，强调体块穿插，虚实对比、简约大气、层次分明，利用色彩对比与协调，充分体现古镇简约仿古、有艺术气息，朴实淳朴的生活风貌。</w:t>
      </w:r>
    </w:p>
    <w:p>
      <w:pPr>
        <w:pStyle w:val="Normal0"/>
        <w:ind w:left="-17" w:firstLine="560" w:firstLineChars="200"/>
        <w:rPr>
          <w:rFonts w:eastAsia="仿宋_GB2312" w:hint="eastAsia"/>
          <w:sz w:val="28"/>
          <w:szCs w:val="28"/>
        </w:rPr>
      </w:pPr>
      <w:r>
        <w:rPr>
          <w:rFonts w:eastAsia="仿宋_GB2312"/>
          <w:sz w:val="28"/>
          <w:szCs w:val="28"/>
        </w:rPr>
        <w:t>住宅建筑为一栋，为轴对称单元建筑结构，单栋住宅建筑标准层面积为857平方米，东西长37米，南北向32米，均为30层高层建筑，各栋由两排相对独立住户连接单元并排组成，均采取2梯8户，为了减少公共交通面积，建筑以电梯为中心布置住户，电梯旁边设置紧急逃生楼梯。</w:t>
      </w:r>
      <w:r>
        <w:rPr>
          <w:rFonts w:eastAsia="仿宋_GB2312" w:hint="eastAsia"/>
          <w:sz w:val="28"/>
          <w:szCs w:val="28"/>
        </w:rPr>
        <w:t>安置房户型有：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6"/>
        <w:gridCol w:w="2006"/>
        <w:gridCol w:w="1699"/>
        <w:gridCol w:w="16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序号</w:t>
            </w:r>
          </w:p>
        </w:tc>
        <w:tc>
          <w:tcPr>
            <w:tcW w:w="2006" w:type="dxa"/>
            <w:vAlign w:val="center"/>
          </w:tcPr>
          <w:p>
            <w:pPr>
              <w:pStyle w:val="Normal0"/>
              <w:jc w:val="center"/>
              <w:rPr>
                <w:rFonts w:ascii="宋体" w:hAnsi="宋体" w:cs="Arial"/>
                <w:sz w:val="24"/>
              </w:rPr>
            </w:pPr>
            <w:r>
              <w:rPr>
                <w:rFonts w:ascii="宋体" w:hAnsi="宋体" w:cs="Arial"/>
                <w:sz w:val="24"/>
              </w:rPr>
              <w:t>户型</w:t>
            </w:r>
          </w:p>
        </w:tc>
        <w:tc>
          <w:tcPr>
            <w:tcW w:w="1699" w:type="dxa"/>
            <w:vAlign w:val="center"/>
          </w:tcPr>
          <w:p>
            <w:pPr>
              <w:pStyle w:val="Normal0"/>
              <w:jc w:val="center"/>
              <w:rPr>
                <w:rFonts w:ascii="宋体" w:hAnsi="宋体" w:cs="Arial"/>
                <w:sz w:val="24"/>
              </w:rPr>
            </w:pPr>
            <w:r>
              <w:rPr>
                <w:rFonts w:ascii="宋体" w:hAnsi="宋体" w:cs="Arial"/>
                <w:sz w:val="24"/>
              </w:rPr>
              <w:t>套数</w:t>
            </w:r>
          </w:p>
        </w:tc>
        <w:tc>
          <w:tcPr>
            <w:tcW w:w="1699" w:type="dxa"/>
          </w:tcPr>
          <w:p>
            <w:pPr>
              <w:pStyle w:val="Normal0"/>
              <w:jc w:val="center"/>
              <w:rPr>
                <w:rFonts w:ascii="宋体" w:hAnsi="宋体" w:cs="Arial" w:hint="eastAsia"/>
                <w:sz w:val="24"/>
              </w:rPr>
            </w:pPr>
            <w:r>
              <w:rPr>
                <w:rFonts w:ascii="宋体" w:hAnsi="宋体" w:cs="Arial" w:hint="eastAsia"/>
                <w:sz w:val="24"/>
              </w:rPr>
              <w:t>占比</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1</w:t>
            </w:r>
          </w:p>
        </w:tc>
        <w:tc>
          <w:tcPr>
            <w:tcW w:w="2006" w:type="dxa"/>
            <w:vAlign w:val="center"/>
          </w:tcPr>
          <w:p>
            <w:pPr>
              <w:pStyle w:val="Normal0"/>
              <w:jc w:val="center"/>
              <w:rPr>
                <w:rFonts w:ascii="宋体" w:hAnsi="宋体" w:cs="Arial"/>
                <w:sz w:val="24"/>
              </w:rPr>
            </w:pPr>
            <w:r>
              <w:rPr>
                <w:rFonts w:ascii="宋体" w:hAnsi="宋体" w:cs="Arial"/>
                <w:sz w:val="24"/>
              </w:rPr>
              <w:t>35-40平方米</w:t>
            </w:r>
          </w:p>
        </w:tc>
        <w:tc>
          <w:tcPr>
            <w:tcW w:w="1699" w:type="dxa"/>
            <w:vAlign w:val="center"/>
          </w:tcPr>
          <w:p>
            <w:pPr>
              <w:pStyle w:val="Normal0"/>
              <w:jc w:val="center"/>
              <w:rPr>
                <w:rFonts w:ascii="宋体" w:hAnsi="宋体" w:cs="Arial"/>
                <w:sz w:val="24"/>
              </w:rPr>
            </w:pPr>
            <w:r>
              <w:rPr>
                <w:rFonts w:ascii="宋体" w:hAnsi="宋体" w:cs="Arial" w:hint="eastAsia"/>
                <w:sz w:val="24"/>
              </w:rPr>
              <w:t>12</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5%</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2</w:t>
            </w:r>
          </w:p>
        </w:tc>
        <w:tc>
          <w:tcPr>
            <w:tcW w:w="2006" w:type="dxa"/>
            <w:vAlign w:val="center"/>
          </w:tcPr>
          <w:p>
            <w:pPr>
              <w:pStyle w:val="Normal0"/>
              <w:jc w:val="center"/>
              <w:rPr>
                <w:rFonts w:ascii="宋体" w:hAnsi="宋体" w:cs="Arial"/>
                <w:sz w:val="24"/>
              </w:rPr>
            </w:pPr>
            <w:r>
              <w:rPr>
                <w:rFonts w:ascii="宋体" w:hAnsi="宋体" w:cs="Arial"/>
                <w:sz w:val="24"/>
              </w:rPr>
              <w:t>40-50平方米</w:t>
            </w:r>
          </w:p>
        </w:tc>
        <w:tc>
          <w:tcPr>
            <w:tcW w:w="1699" w:type="dxa"/>
            <w:vAlign w:val="center"/>
          </w:tcPr>
          <w:p>
            <w:pPr>
              <w:pStyle w:val="Normal0"/>
              <w:jc w:val="center"/>
              <w:rPr>
                <w:rFonts w:ascii="宋体" w:hAnsi="宋体" w:cs="Arial"/>
                <w:sz w:val="24"/>
              </w:rPr>
            </w:pPr>
            <w:r>
              <w:rPr>
                <w:rFonts w:ascii="宋体" w:hAnsi="宋体" w:cs="Arial" w:hint="eastAsia"/>
                <w:sz w:val="24"/>
              </w:rPr>
              <w:t>36</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15%</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3</w:t>
            </w:r>
          </w:p>
        </w:tc>
        <w:tc>
          <w:tcPr>
            <w:tcW w:w="2006" w:type="dxa"/>
            <w:vAlign w:val="center"/>
          </w:tcPr>
          <w:p>
            <w:pPr>
              <w:pStyle w:val="Normal0"/>
              <w:jc w:val="center"/>
              <w:rPr>
                <w:rFonts w:ascii="宋体" w:hAnsi="宋体" w:cs="Arial"/>
                <w:sz w:val="24"/>
              </w:rPr>
            </w:pPr>
            <w:r>
              <w:rPr>
                <w:rFonts w:ascii="宋体" w:hAnsi="宋体" w:cs="Arial"/>
                <w:sz w:val="24"/>
              </w:rPr>
              <w:t>55-60平方米</w:t>
            </w:r>
          </w:p>
        </w:tc>
        <w:tc>
          <w:tcPr>
            <w:tcW w:w="1699" w:type="dxa"/>
            <w:vAlign w:val="center"/>
          </w:tcPr>
          <w:p>
            <w:pPr>
              <w:pStyle w:val="Normal0"/>
              <w:jc w:val="center"/>
              <w:rPr>
                <w:rFonts w:ascii="宋体" w:hAnsi="宋体" w:cs="Arial"/>
                <w:sz w:val="24"/>
              </w:rPr>
            </w:pPr>
            <w:r>
              <w:rPr>
                <w:rFonts w:ascii="宋体" w:hAnsi="宋体" w:cs="Arial" w:hint="eastAsia"/>
                <w:sz w:val="24"/>
              </w:rPr>
              <w:t>43</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18%</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4</w:t>
            </w:r>
          </w:p>
        </w:tc>
        <w:tc>
          <w:tcPr>
            <w:tcW w:w="2006" w:type="dxa"/>
            <w:vAlign w:val="center"/>
          </w:tcPr>
          <w:p>
            <w:pPr>
              <w:pStyle w:val="Normal0"/>
              <w:jc w:val="center"/>
              <w:rPr>
                <w:rFonts w:ascii="宋体" w:hAnsi="宋体" w:cs="Arial"/>
                <w:sz w:val="24"/>
              </w:rPr>
            </w:pPr>
            <w:r>
              <w:rPr>
                <w:rFonts w:ascii="宋体" w:hAnsi="宋体" w:cs="Arial"/>
                <w:sz w:val="24"/>
              </w:rPr>
              <w:t>60-70平方米</w:t>
            </w:r>
          </w:p>
        </w:tc>
        <w:tc>
          <w:tcPr>
            <w:tcW w:w="1699" w:type="dxa"/>
            <w:vAlign w:val="center"/>
          </w:tcPr>
          <w:p>
            <w:pPr>
              <w:pStyle w:val="Normal0"/>
              <w:jc w:val="center"/>
              <w:rPr>
                <w:rFonts w:ascii="宋体" w:hAnsi="宋体" w:cs="Arial"/>
                <w:sz w:val="24"/>
              </w:rPr>
            </w:pPr>
            <w:r>
              <w:rPr>
                <w:rFonts w:ascii="宋体" w:hAnsi="宋体" w:cs="Arial" w:hint="eastAsia"/>
                <w:sz w:val="24"/>
              </w:rPr>
              <w:t>149</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62%</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合计</w:t>
            </w:r>
          </w:p>
        </w:tc>
        <w:tc>
          <w:tcPr>
            <w:tcW w:w="2006" w:type="dxa"/>
            <w:vAlign w:val="center"/>
          </w:tcPr>
          <w:p>
            <w:pPr>
              <w:pStyle w:val="Normal0"/>
              <w:jc w:val="center"/>
              <w:rPr>
                <w:rFonts w:ascii="宋体" w:hAnsi="宋体" w:cs="Arial"/>
                <w:sz w:val="24"/>
              </w:rPr>
            </w:pPr>
          </w:p>
        </w:tc>
        <w:tc>
          <w:tcPr>
            <w:tcW w:w="1699" w:type="dxa"/>
            <w:vAlign w:val="center"/>
          </w:tcPr>
          <w:p>
            <w:pPr>
              <w:pStyle w:val="Normal0"/>
              <w:jc w:val="center"/>
              <w:rPr>
                <w:rFonts w:ascii="宋体" w:hAnsi="宋体" w:cs="Arial"/>
                <w:sz w:val="24"/>
              </w:rPr>
            </w:pPr>
            <w:r>
              <w:rPr>
                <w:rFonts w:ascii="宋体" w:hAnsi="宋体" w:cs="Arial"/>
                <w:sz w:val="24"/>
              </w:rPr>
              <w:t>240户</w:t>
            </w:r>
          </w:p>
        </w:tc>
        <w:tc>
          <w:tcPr>
            <w:tcW w:w="1699" w:type="dxa"/>
          </w:tcPr>
          <w:p>
            <w:pPr>
              <w:pStyle w:val="Normal0"/>
              <w:jc w:val="center"/>
              <w:rPr>
                <w:rFonts w:ascii="宋体" w:hAnsi="宋体" w:cs="Arial" w:hint="eastAsia"/>
                <w:sz w:val="24"/>
              </w:rPr>
            </w:pPr>
            <w:r>
              <w:rPr>
                <w:rFonts w:ascii="宋体" w:hAnsi="宋体" w:cs="Arial" w:hint="eastAsia"/>
                <w:sz w:val="24"/>
              </w:rPr>
              <w:t>100%</w:t>
            </w:r>
          </w:p>
        </w:tc>
      </w:tr>
    </w:tbl>
    <w:p>
      <w:pPr>
        <w:pStyle w:val="Heading3"/>
        <w:rPr>
          <w:rFonts w:eastAsia="仿宋_GB2312"/>
          <w:b w:val="0"/>
          <w:sz w:val="28"/>
          <w:szCs w:val="28"/>
        </w:rPr>
      </w:pPr>
      <w:r>
        <w:rPr>
          <w:rFonts w:eastAsia="仿宋_GB2312"/>
          <w:b w:val="0"/>
          <w:sz w:val="28"/>
          <w:szCs w:val="28"/>
        </w:rPr>
        <w:t>6.4.2商业门面</w:t>
      </w:r>
    </w:p>
    <w:p>
      <w:pPr>
        <w:pStyle w:val="Normal0"/>
        <w:ind w:firstLine="555"/>
        <w:rPr>
          <w:rFonts w:eastAsia="仿宋_GB2312"/>
          <w:sz w:val="28"/>
          <w:szCs w:val="28"/>
        </w:rPr>
      </w:pPr>
      <w:r>
        <w:rPr>
          <w:rFonts w:eastAsia="仿宋_GB2312"/>
          <w:sz w:val="28"/>
          <w:szCs w:val="28"/>
        </w:rPr>
        <w:t>商业门面</w:t>
      </w:r>
      <w:r>
        <w:rPr>
          <w:rFonts w:eastAsia="仿宋_GB2312" w:hint="eastAsia"/>
          <w:sz w:val="28"/>
          <w:szCs w:val="28"/>
        </w:rPr>
        <w:t>为临</w:t>
      </w:r>
      <w:r>
        <w:rPr>
          <w:rFonts w:eastAsia="仿宋_GB2312"/>
          <w:sz w:val="28"/>
          <w:szCs w:val="28"/>
        </w:rPr>
        <w:t>212国道</w:t>
      </w:r>
      <w:r>
        <w:rPr>
          <w:rFonts w:eastAsia="仿宋_GB2312" w:hint="eastAsia"/>
          <w:sz w:val="28"/>
          <w:szCs w:val="28"/>
        </w:rPr>
        <w:t>建筑底层</w:t>
      </w:r>
      <w:r>
        <w:rPr>
          <w:rFonts w:eastAsia="仿宋_GB2312"/>
          <w:sz w:val="28"/>
          <w:szCs w:val="28"/>
        </w:rPr>
        <w:t>门面，沿街长度大约66米，进深</w:t>
      </w:r>
      <w:r>
        <w:rPr>
          <w:rFonts w:eastAsia="仿宋_GB2312" w:hint="eastAsia"/>
          <w:sz w:val="28"/>
          <w:szCs w:val="28"/>
        </w:rPr>
        <w:t>8.3</w:t>
      </w:r>
      <w:r>
        <w:rPr>
          <w:rFonts w:eastAsia="仿宋_GB2312"/>
          <w:sz w:val="28"/>
          <w:szCs w:val="28"/>
        </w:rPr>
        <w:t>米。商业面积共计</w:t>
      </w:r>
      <w:r>
        <w:rPr>
          <w:rFonts w:eastAsia="仿宋_GB2312" w:hint="eastAsia"/>
          <w:sz w:val="28"/>
          <w:szCs w:val="28"/>
        </w:rPr>
        <w:t>5</w:t>
      </w:r>
      <w:r>
        <w:rPr>
          <w:rFonts w:eastAsia="仿宋_GB2312"/>
          <w:sz w:val="28"/>
          <w:szCs w:val="28"/>
        </w:rPr>
        <w:t>47平方米。</w:t>
      </w:r>
    </w:p>
    <w:p>
      <w:pPr>
        <w:pStyle w:val="Heading2"/>
        <w:spacing w:line="360" w:lineRule="auto"/>
        <w:rPr>
          <w:rFonts w:ascii="Times New Roman" w:hAnsi="Times New Roman"/>
          <w:b/>
          <w:color w:val="000000"/>
        </w:rPr>
      </w:pPr>
      <w:bookmarkStart w:id="51" w:name="_Toc244610505"/>
      <w:bookmarkStart w:id="52" w:name="_Toc244922134"/>
      <w:r>
        <w:rPr>
          <w:rFonts w:ascii="Times New Roman" w:hAnsi="Times New Roman"/>
          <w:b/>
          <w:color w:val="000000"/>
        </w:rPr>
        <w:t>6.5结构设计</w:t>
      </w:r>
      <w:bookmarkEnd w:id="51"/>
      <w:bookmarkEnd w:id="52"/>
    </w:p>
    <w:p>
      <w:pPr>
        <w:pStyle w:val="Normal0"/>
        <w:spacing w:line="360" w:lineRule="auto"/>
        <w:ind w:firstLine="420" w:firstLineChars="150"/>
        <w:rPr>
          <w:rFonts w:eastAsia="仿宋_GB2312"/>
          <w:color w:val="000000"/>
          <w:sz w:val="28"/>
        </w:rPr>
      </w:pPr>
      <w:r>
        <w:rPr>
          <w:rFonts w:eastAsia="仿宋_GB2312"/>
          <w:color w:val="000000"/>
          <w:sz w:val="28"/>
        </w:rPr>
        <w:t>1.设计依据</w:t>
      </w:r>
    </w:p>
    <w:p>
      <w:pPr>
        <w:pStyle w:val="Normal0"/>
        <w:spacing w:line="360" w:lineRule="auto"/>
        <w:ind w:firstLine="280" w:firstLineChars="100"/>
        <w:rPr>
          <w:rFonts w:eastAsia="仿宋_GB2312"/>
          <w:color w:val="000000"/>
          <w:sz w:val="28"/>
        </w:rPr>
      </w:pPr>
      <w:r>
        <w:rPr>
          <w:rFonts w:eastAsia="仿宋_GB2312"/>
          <w:color w:val="000000"/>
          <w:sz w:val="28"/>
        </w:rPr>
        <w:t>（1）《混凝土结构设计规范》（GB50010-2002）；</w:t>
      </w:r>
    </w:p>
    <w:p>
      <w:pPr>
        <w:pStyle w:val="Normal0"/>
        <w:spacing w:line="360" w:lineRule="auto"/>
        <w:ind w:firstLine="280" w:firstLineChars="100"/>
        <w:rPr>
          <w:rFonts w:eastAsia="仿宋_GB2312"/>
          <w:color w:val="000000"/>
          <w:sz w:val="28"/>
        </w:rPr>
      </w:pPr>
      <w:r>
        <w:rPr>
          <w:rFonts w:eastAsia="仿宋_GB2312"/>
          <w:color w:val="000000"/>
          <w:sz w:val="28"/>
        </w:rPr>
        <w:t>（2）《砌体结构设计规范》（GB50003-2001）；</w:t>
      </w:r>
    </w:p>
    <w:p>
      <w:pPr>
        <w:pStyle w:val="Normal0"/>
        <w:spacing w:line="360" w:lineRule="auto"/>
        <w:ind w:firstLine="280" w:firstLineChars="100"/>
        <w:rPr>
          <w:rFonts w:eastAsia="仿宋_GB2312"/>
          <w:color w:val="000000"/>
          <w:sz w:val="28"/>
        </w:rPr>
      </w:pPr>
      <w:r>
        <w:rPr>
          <w:rFonts w:eastAsia="仿宋_GB2312"/>
          <w:color w:val="000000"/>
          <w:sz w:val="28"/>
        </w:rPr>
        <w:t>（3）《建筑结构荷载规范》（GB50009-2001）；</w:t>
      </w:r>
    </w:p>
    <w:p>
      <w:pPr>
        <w:pStyle w:val="Normal0"/>
        <w:spacing w:line="360" w:lineRule="auto"/>
        <w:ind w:firstLine="280" w:firstLineChars="100"/>
        <w:rPr>
          <w:rFonts w:eastAsia="仿宋_GB2312"/>
          <w:color w:val="000000"/>
          <w:sz w:val="28"/>
        </w:rPr>
        <w:sectPr>
          <w:headerReference w:type="even" r:id="rId164"/>
          <w:headerReference w:type="default" r:id="rId165"/>
          <w:footerReference w:type="even" r:id="rId166"/>
          <w:footerReference w:type="default" r:id="rId167"/>
          <w:headerReference w:type="first" r:id="rId168"/>
          <w:footerReference w:type="first" r:id="rId169"/>
          <w:type w:val="nextPage"/>
          <w:pgSz w:w="11906" w:h="16838"/>
          <w:pgMar w:top="1440" w:right="1800" w:bottom="1440" w:left="1800" w:header="851" w:footer="992" w:gutter="0"/>
          <w:pgNumType w:start="24"/>
          <w:cols w:num="1" w:space="425"/>
          <w:titlePg w:val="0"/>
          <w:docGrid w:type="lines" w:linePitch="312" w:charSpace="0"/>
        </w:sectPr>
      </w:pPr>
      <w:r>
        <w:rPr>
          <w:rFonts w:eastAsia="仿宋_GB2312"/>
          <w:color w:val="000000"/>
          <w:sz w:val="28"/>
        </w:rPr>
        <w:t>（4）《</w:t>
      </w:r>
      <w:r>
        <w:rPr>
          <w:rFonts w:eastAsia="仿宋_GB2312"/>
          <w:color w:val="FF0000"/>
          <w:sz w:val="28"/>
        </w:rPr>
        <w:t>建筑抗震设计规范》（GB50011-2001）；</w:t>
      </w:r>
      <w:r>
        <w:rPr>
          <w:rFonts w:eastAsia="仿宋_GB2312" w:hint="eastAsia"/>
          <w:color w:val="FF0000"/>
          <w:sz w:val="28"/>
        </w:rPr>
        <w:t>（已过期）</w:t>
      </w:r>
    </w:p>
    <w:p>
      <w:pPr>
        <w:pStyle w:val="Normal0"/>
        <w:spacing w:line="360" w:lineRule="auto"/>
        <w:ind w:firstLine="280" w:firstLineChars="100"/>
        <w:rPr>
          <w:rFonts w:eastAsia="仿宋_GB2312"/>
          <w:color w:val="000000"/>
          <w:sz w:val="28"/>
        </w:rPr>
      </w:pPr>
      <w:r>
        <w:rPr>
          <w:rFonts w:eastAsia="仿宋_GB2312"/>
          <w:color w:val="000000"/>
          <w:sz w:val="28"/>
        </w:rPr>
        <w:t>（5）《建筑地基基础设计规范》（GB50007-2002）；</w:t>
      </w:r>
    </w:p>
    <w:p>
      <w:pPr>
        <w:pStyle w:val="Normal0"/>
        <w:spacing w:line="360" w:lineRule="auto"/>
        <w:ind w:firstLine="280" w:firstLineChars="100"/>
        <w:rPr>
          <w:rFonts w:eastAsia="仿宋_GB2312"/>
          <w:color w:val="000000"/>
          <w:sz w:val="28"/>
        </w:rPr>
      </w:pPr>
      <w:r>
        <w:rPr>
          <w:rFonts w:eastAsia="仿宋_GB2312"/>
          <w:color w:val="000000"/>
          <w:sz w:val="28"/>
        </w:rPr>
        <w:t>（6）《高层建筑混凝土结构技术规程》（JGJ 3-2002）；</w:t>
      </w:r>
    </w:p>
    <w:p>
      <w:pPr>
        <w:pStyle w:val="Normal0"/>
        <w:spacing w:line="360" w:lineRule="auto"/>
        <w:ind w:firstLine="280" w:firstLineChars="100"/>
        <w:rPr>
          <w:rFonts w:eastAsia="仿宋_GB2312"/>
          <w:color w:val="000000"/>
          <w:sz w:val="28"/>
        </w:rPr>
      </w:pPr>
      <w:r>
        <w:rPr>
          <w:rFonts w:eastAsia="仿宋_GB2312"/>
          <w:color w:val="000000"/>
          <w:sz w:val="28"/>
        </w:rPr>
        <w:t>（7）《钢筋混凝土高层建筑结构设计与施工规程》（JGJ3-2002）。</w:t>
      </w:r>
    </w:p>
    <w:p>
      <w:pPr>
        <w:pStyle w:val="Normal0"/>
        <w:spacing w:line="360" w:lineRule="auto"/>
        <w:ind w:firstLine="280" w:firstLineChars="100"/>
        <w:rPr>
          <w:rFonts w:eastAsia="仿宋_GB2312"/>
          <w:color w:val="000000"/>
          <w:sz w:val="28"/>
        </w:rPr>
      </w:pPr>
      <w:r>
        <w:rPr>
          <w:rFonts w:eastAsia="仿宋_GB2312"/>
          <w:color w:val="000000"/>
          <w:sz w:val="28"/>
        </w:rPr>
        <w:t>2.设计要求</w:t>
      </w:r>
    </w:p>
    <w:p>
      <w:pPr>
        <w:pStyle w:val="Normal0"/>
        <w:spacing w:line="360" w:lineRule="auto"/>
        <w:ind w:firstLine="280" w:firstLineChars="100"/>
        <w:rPr>
          <w:rFonts w:eastAsia="仿宋_GB2312"/>
          <w:color w:val="000000"/>
          <w:sz w:val="28"/>
        </w:rPr>
      </w:pPr>
      <w:r>
        <w:rPr>
          <w:rFonts w:eastAsia="仿宋_GB2312"/>
          <w:color w:val="000000"/>
          <w:sz w:val="28"/>
        </w:rPr>
        <w:t xml:space="preserve">   建筑结构安全等级：二级              </w:t>
      </w:r>
    </w:p>
    <w:p>
      <w:pPr>
        <w:pStyle w:val="Normal0"/>
        <w:spacing w:line="360" w:lineRule="auto"/>
        <w:ind w:firstLine="280" w:firstLineChars="100"/>
        <w:rPr>
          <w:rFonts w:eastAsia="仿宋_GB2312"/>
          <w:color w:val="000000"/>
          <w:sz w:val="28"/>
        </w:rPr>
      </w:pPr>
      <w:r>
        <w:rPr>
          <w:rFonts w:eastAsia="仿宋_GB2312"/>
          <w:color w:val="000000"/>
          <w:sz w:val="28"/>
        </w:rPr>
        <w:t xml:space="preserve">   建筑结构设计使用年限： 50年          </w:t>
      </w:r>
    </w:p>
    <w:p>
      <w:pPr>
        <w:pStyle w:val="Normal0"/>
        <w:spacing w:line="360" w:lineRule="auto"/>
        <w:ind w:firstLine="280" w:firstLineChars="100"/>
        <w:rPr>
          <w:rFonts w:eastAsia="仿宋_GB2312"/>
          <w:color w:val="000000"/>
          <w:sz w:val="28"/>
        </w:rPr>
      </w:pPr>
      <w:r>
        <w:rPr>
          <w:rFonts w:eastAsia="仿宋_GB2312"/>
          <w:color w:val="000000"/>
          <w:sz w:val="28"/>
        </w:rPr>
        <w:t xml:space="preserve">   地震基本烈度及抗震设防烈度，设计地震分组： 6度，一组      </w:t>
      </w:r>
    </w:p>
    <w:p>
      <w:pPr>
        <w:pStyle w:val="Normal0"/>
        <w:spacing w:line="360" w:lineRule="auto"/>
        <w:ind w:firstLine="280" w:firstLineChars="100"/>
        <w:rPr>
          <w:rFonts w:eastAsia="仿宋_GB2312"/>
          <w:color w:val="000000"/>
          <w:sz w:val="28"/>
        </w:rPr>
      </w:pPr>
      <w:r>
        <w:rPr>
          <w:rFonts w:eastAsia="仿宋_GB2312"/>
          <w:color w:val="000000"/>
          <w:sz w:val="28"/>
        </w:rPr>
        <w:t xml:space="preserve">   人防设计及等级： 无 </w:t>
      </w:r>
    </w:p>
    <w:p>
      <w:pPr>
        <w:pStyle w:val="Normal0"/>
        <w:spacing w:line="360" w:lineRule="auto"/>
        <w:ind w:firstLine="280" w:firstLineChars="100"/>
        <w:rPr>
          <w:rFonts w:eastAsia="仿宋_GB2312"/>
          <w:color w:val="000000"/>
          <w:sz w:val="28"/>
          <w:vertAlign w:val="superscript"/>
        </w:rPr>
      </w:pPr>
      <w:r>
        <w:rPr>
          <w:rFonts w:eastAsia="仿宋_GB2312"/>
          <w:color w:val="000000"/>
          <w:sz w:val="28"/>
        </w:rPr>
        <w:t xml:space="preserve">   基本风压：0.4KN/m</w:t>
      </w:r>
      <w:r>
        <w:rPr>
          <w:rFonts w:eastAsia="仿宋_GB2312"/>
          <w:color w:val="000000"/>
          <w:sz w:val="28"/>
          <w:vertAlign w:val="superscript"/>
        </w:rPr>
        <w:t>2</w:t>
      </w:r>
    </w:p>
    <w:p>
      <w:pPr>
        <w:pStyle w:val="Normal0"/>
        <w:spacing w:line="360" w:lineRule="auto"/>
        <w:ind w:firstLine="280" w:firstLineChars="100"/>
        <w:rPr>
          <w:rFonts w:eastAsia="仿宋_GB2312"/>
          <w:color w:val="000000"/>
          <w:sz w:val="28"/>
        </w:rPr>
      </w:pPr>
      <w:r>
        <w:rPr>
          <w:rFonts w:eastAsia="仿宋_GB2312"/>
          <w:color w:val="000000"/>
          <w:sz w:val="28"/>
        </w:rPr>
        <w:t>3.设计荷载标准值</w:t>
      </w:r>
    </w:p>
    <w:p>
      <w:pPr>
        <w:pStyle w:val="Normal0"/>
        <w:spacing w:line="360" w:lineRule="auto"/>
        <w:ind w:firstLine="720" w:firstLineChars="257"/>
        <w:rPr>
          <w:rFonts w:eastAsia="仿宋_GB2312"/>
          <w:color w:val="000000"/>
          <w:sz w:val="28"/>
        </w:rPr>
      </w:pPr>
      <w:r>
        <w:rPr>
          <w:rFonts w:eastAsia="仿宋_GB2312"/>
          <w:color w:val="000000"/>
          <w:sz w:val="28"/>
        </w:rPr>
        <w:t>（1）车库:            4.0kN/m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（2）商场:           3.5kN/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（3）卧室、客厅等    2.0kN/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（4）厨房、卫生间    2.0kN/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（5）楼梯:住宅       2.5kN/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消防疏散楼梯         3.5kN/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（6）挑出阳台        2.5kN/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（7）屋面:</w:t>
      </w:r>
    </w:p>
    <w:p>
      <w:pPr>
        <w:pStyle w:val="Normal0"/>
        <w:spacing w:line="360" w:lineRule="auto"/>
        <w:ind w:firstLine="720" w:firstLineChars="257"/>
        <w:rPr>
          <w:rFonts w:eastAsia="仿宋_GB2312"/>
          <w:color w:val="000000"/>
          <w:sz w:val="28"/>
        </w:rPr>
      </w:pPr>
      <w:r>
        <w:rPr>
          <w:rFonts w:eastAsia="仿宋_GB2312"/>
          <w:color w:val="000000"/>
          <w:sz w:val="28"/>
        </w:rPr>
        <w:t xml:space="preserve">         一般上人屋面 2.0kN/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 xml:space="preserve">         种植屋面    按实际情况考虑</w:t>
      </w:r>
    </w:p>
    <w:p>
      <w:pPr>
        <w:pStyle w:val="Normal0"/>
        <w:spacing w:line="360" w:lineRule="auto"/>
        <w:ind w:firstLine="720" w:firstLineChars="257"/>
        <w:rPr>
          <w:rFonts w:eastAsia="仿宋_GB2312"/>
          <w:color w:val="000000"/>
          <w:sz w:val="28"/>
        </w:rPr>
      </w:pPr>
      <w:r>
        <w:rPr>
          <w:rFonts w:eastAsia="仿宋_GB2312"/>
          <w:color w:val="000000"/>
          <w:sz w:val="28"/>
        </w:rPr>
        <w:t>（8）消防车道        20.0kN/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sectPr>
          <w:headerReference w:type="even" r:id="rId170"/>
          <w:headerReference w:type="default" r:id="rId171"/>
          <w:footerReference w:type="even" r:id="rId172"/>
          <w:footerReference w:type="default" r:id="rId173"/>
          <w:headerReference w:type="first" r:id="rId174"/>
          <w:footerReference w:type="first" r:id="rId175"/>
          <w:type w:val="nextPage"/>
          <w:pgSz w:w="11906" w:h="16838"/>
          <w:pgMar w:top="1440" w:right="1800" w:bottom="1440" w:left="1800" w:header="851" w:footer="992" w:gutter="0"/>
          <w:pgNumType w:start="25"/>
          <w:cols w:num="1" w:space="425"/>
          <w:titlePg w:val="0"/>
          <w:docGrid w:type="lines" w:linePitch="312" w:charSpace="0"/>
        </w:sectPr>
      </w:pPr>
      <w:r>
        <w:rPr>
          <w:rFonts w:eastAsia="仿宋_GB2312"/>
          <w:color w:val="000000"/>
          <w:sz w:val="28"/>
        </w:rPr>
        <w:t>（9）设备房.电梯机房  7.0kN/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（10）其它均应按国家相应规范规程执行</w:t>
      </w:r>
    </w:p>
    <w:p>
      <w:pPr>
        <w:pStyle w:val="Normal0"/>
        <w:spacing w:line="360" w:lineRule="auto"/>
        <w:ind w:firstLine="280" w:firstLineChars="100"/>
        <w:rPr>
          <w:rFonts w:eastAsia="仿宋_GB2312"/>
          <w:color w:val="000000"/>
          <w:sz w:val="28"/>
        </w:rPr>
      </w:pPr>
      <w:r>
        <w:rPr>
          <w:rFonts w:eastAsia="仿宋_GB2312"/>
          <w:color w:val="000000"/>
          <w:sz w:val="28"/>
        </w:rPr>
        <w:t>4.结构类型及材料</w:t>
      </w:r>
    </w:p>
    <w:p>
      <w:pPr>
        <w:pStyle w:val="Normal0"/>
        <w:spacing w:line="360" w:lineRule="auto"/>
        <w:ind w:firstLine="700" w:firstLineChars="250"/>
        <w:rPr>
          <w:rFonts w:eastAsia="仿宋_GB2312"/>
          <w:color w:val="000000"/>
          <w:sz w:val="28"/>
        </w:rPr>
      </w:pPr>
      <w:r>
        <w:rPr>
          <w:rFonts w:eastAsia="仿宋_GB2312"/>
          <w:color w:val="000000"/>
          <w:sz w:val="28"/>
        </w:rPr>
        <w:t>住宅30层，均采用钢筋混凝土框架结构；临街商业只有1-2层，全部采取钢筋混凝土结构形式。在楼梯、电梯处集中布置形成核心筒剪力墙结构，共同承受水平荷载。</w:t>
      </w:r>
    </w:p>
    <w:p>
      <w:pPr>
        <w:pStyle w:val="Normal0"/>
        <w:spacing w:line="360" w:lineRule="auto"/>
        <w:ind w:firstLine="280" w:firstLineChars="100"/>
        <w:rPr>
          <w:rFonts w:eastAsia="仿宋_GB2312"/>
          <w:color w:val="000000"/>
          <w:sz w:val="28"/>
        </w:rPr>
      </w:pPr>
      <w:r>
        <w:rPr>
          <w:rFonts w:eastAsia="仿宋_GB2312"/>
          <w:color w:val="000000"/>
          <w:sz w:val="28"/>
          <w:szCs w:val="28"/>
        </w:rPr>
        <w:t>主要结构材料：</w:t>
      </w:r>
      <w:r>
        <w:rPr>
          <w:rFonts w:eastAsia="仿宋_GB2312"/>
          <w:color w:val="000000"/>
          <w:sz w:val="28"/>
        </w:rPr>
        <w:t>混凝土C25～C45;钢材HPB235,1型冷轧扭钢筋，HRB335,HRB400。</w:t>
      </w:r>
    </w:p>
    <w:p>
      <w:pPr>
        <w:pStyle w:val="Normal0"/>
        <w:spacing w:line="360" w:lineRule="auto"/>
        <w:ind w:firstLine="210" w:firstLineChars="100"/>
        <w:rPr>
          <w:rFonts w:eastAsia="仿宋_GB2312"/>
          <w:color w:val="000000"/>
          <w:sz w:val="28"/>
        </w:rPr>
      </w:pPr>
      <w:r>
        <w:t xml:space="preserve"> </w:t>
      </w:r>
      <w:r>
        <w:rPr>
          <w:rFonts w:eastAsia="仿宋_GB2312"/>
          <w:color w:val="000000"/>
          <w:sz w:val="28"/>
        </w:rPr>
        <w:t>5.基础形式</w:t>
      </w:r>
    </w:p>
    <w:p>
      <w:pPr>
        <w:pStyle w:val="Normal0"/>
        <w:spacing w:line="360" w:lineRule="auto"/>
        <w:ind w:firstLine="280" w:firstLineChars="100"/>
        <w:rPr>
          <w:rFonts w:eastAsia="仿宋_GB2312"/>
          <w:color w:val="000000"/>
          <w:sz w:val="28"/>
        </w:rPr>
      </w:pPr>
      <w:r>
        <w:rPr>
          <w:rFonts w:eastAsia="仿宋_GB2312"/>
          <w:color w:val="000000"/>
          <w:sz w:val="28"/>
        </w:rPr>
        <w:t>本工程拟采用挖孔灌注桩，实际基础形式根据地质报告确定。</w:t>
      </w:r>
    </w:p>
    <w:p>
      <w:pPr>
        <w:pStyle w:val="Heading2"/>
        <w:spacing w:line="360" w:lineRule="auto"/>
        <w:rPr>
          <w:rFonts w:ascii="Times New Roman" w:hAnsi="Times New Roman" w:hint="eastAsia"/>
          <w:b/>
          <w:color w:val="000000"/>
          <w:lang w:eastAsia="zh-CN"/>
        </w:rPr>
      </w:pPr>
      <w:bookmarkStart w:id="53" w:name="_Toc244922135"/>
      <w:bookmarkStart w:id="54" w:name="_Toc244610506"/>
      <w:r>
        <w:rPr>
          <w:rFonts w:ascii="Times New Roman" w:hAnsi="Times New Roman"/>
          <w:b/>
          <w:color w:val="000000"/>
        </w:rPr>
        <w:t>6.6 公用设施设计</w:t>
      </w:r>
      <w:bookmarkEnd w:id="53"/>
      <w:bookmarkEnd w:id="54"/>
      <w:r>
        <w:rPr>
          <w:rFonts w:ascii="Times New Roman" w:hAnsi="Times New Roman" w:hint="eastAsia"/>
          <w:b/>
          <w:color w:val="000000"/>
          <w:lang w:eastAsia="zh-CN"/>
        </w:rPr>
        <w:t>合适的方案</w:t>
      </w:r>
    </w:p>
    <w:p>
      <w:pPr>
        <w:pStyle w:val="Heading3"/>
        <w:rPr>
          <w:rFonts w:eastAsia="仿宋_GB2312"/>
          <w:b w:val="0"/>
          <w:sz w:val="28"/>
          <w:szCs w:val="28"/>
        </w:rPr>
      </w:pPr>
      <w:r>
        <w:rPr>
          <w:rFonts w:eastAsia="仿宋_GB2312"/>
          <w:b w:val="0"/>
          <w:sz w:val="28"/>
          <w:szCs w:val="28"/>
        </w:rPr>
        <w:t>6.6.1 给排水设计</w:t>
      </w:r>
    </w:p>
    <w:p>
      <w:pPr>
        <w:pStyle w:val="Normal0"/>
        <w:ind w:firstLine="560" w:firstLineChars="200"/>
        <w:rPr>
          <w:rFonts w:eastAsia="仿宋_GB2312"/>
          <w:color w:val="000000"/>
          <w:sz w:val="28"/>
          <w:szCs w:val="28"/>
        </w:rPr>
      </w:pPr>
      <w:r>
        <w:rPr>
          <w:rFonts w:eastAsia="仿宋_GB2312"/>
          <w:color w:val="000000"/>
          <w:sz w:val="28"/>
          <w:szCs w:val="28"/>
        </w:rPr>
        <w:t>1、给排水</w:t>
      </w:r>
    </w:p>
    <w:p>
      <w:pPr>
        <w:pStyle w:val="Normal0"/>
        <w:ind w:firstLine="560" w:firstLineChars="200"/>
        <w:rPr>
          <w:rFonts w:eastAsia="仿宋_GB2312"/>
          <w:color w:val="000000"/>
          <w:sz w:val="28"/>
          <w:szCs w:val="28"/>
        </w:rPr>
      </w:pPr>
      <w:r>
        <w:rPr>
          <w:rFonts w:eastAsia="仿宋_GB2312"/>
          <w:color w:val="000000"/>
          <w:sz w:val="28"/>
        </w:rPr>
        <w:t>1）水源</w:t>
      </w:r>
    </w:p>
    <w:p>
      <w:pPr>
        <w:pStyle w:val="Normal0"/>
        <w:spacing w:line="360" w:lineRule="auto"/>
        <w:ind w:firstLine="560" w:firstLineChars="200"/>
        <w:jc w:val="left"/>
        <w:rPr>
          <w:rFonts w:eastAsia="仿宋_GB2312"/>
          <w:color w:val="000000"/>
          <w:sz w:val="28"/>
          <w:szCs w:val="28"/>
        </w:rPr>
      </w:pPr>
      <w:r>
        <w:rPr>
          <w:rFonts w:eastAsia="仿宋_GB2312"/>
          <w:color w:val="000000"/>
          <w:sz w:val="28"/>
          <w:szCs w:val="28"/>
        </w:rPr>
        <w:t>本工程属沙坪坝自来水厂供水范围，小区进水由地块周边道路市政给水管引入，进水管管径不小于DN200mm。</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2）用水量</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用水标准：</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住宅：200L/人.d</w:t>
      </w:r>
      <w:r>
        <w:rPr>
          <w:rFonts w:eastAsia="仿宋_GB2312"/>
          <w:color w:val="000000"/>
          <w:sz w:val="28"/>
          <w:szCs w:val="28"/>
        </w:rPr>
        <w:tab/>
      </w:r>
      <w:r>
        <w:rPr>
          <w:rFonts w:eastAsia="仿宋_GB2312"/>
          <w:color w:val="000000"/>
          <w:sz w:val="28"/>
          <w:szCs w:val="28"/>
        </w:rPr>
        <w:t>K=2.5，153m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商业门面：5L/m</w:t>
      </w:r>
      <w:r>
        <w:rPr>
          <w:rFonts w:eastAsia="仿宋_GB2312"/>
          <w:color w:val="000000"/>
          <w:sz w:val="28"/>
          <w:szCs w:val="28"/>
          <w:vertAlign w:val="superscript"/>
        </w:rPr>
        <w:t>2</w:t>
      </w:r>
      <w:r>
        <w:rPr>
          <w:rFonts w:eastAsia="仿宋_GB2312"/>
          <w:color w:val="000000"/>
          <w:sz w:val="28"/>
          <w:szCs w:val="28"/>
        </w:rPr>
        <w:t xml:space="preserve"> .d   7m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道路及绿化 1.5/m</w:t>
      </w:r>
      <w:r>
        <w:rPr>
          <w:rFonts w:eastAsia="仿宋_GB2312"/>
          <w:color w:val="000000"/>
          <w:sz w:val="28"/>
          <w:szCs w:val="28"/>
          <w:vertAlign w:val="superscript"/>
        </w:rPr>
        <w:t>2</w:t>
      </w:r>
      <w:r>
        <w:rPr>
          <w:rFonts w:eastAsia="仿宋_GB2312"/>
          <w:color w:val="000000"/>
          <w:sz w:val="28"/>
          <w:szCs w:val="28"/>
        </w:rPr>
        <w:t>.d</w:t>
      </w:r>
      <w:r>
        <w:rPr>
          <w:rFonts w:eastAsia="仿宋_GB2312"/>
          <w:color w:val="000000"/>
          <w:sz w:val="28"/>
          <w:szCs w:val="28"/>
        </w:rPr>
        <w:tab/>
      </w:r>
      <w:r>
        <w:rPr>
          <w:rFonts w:eastAsia="仿宋_GB2312"/>
          <w:color w:val="000000"/>
          <w:sz w:val="28"/>
          <w:szCs w:val="28"/>
        </w:rPr>
        <w:t>4 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用水量：并考虑10%不可预见用水，日均用水量180m</w:t>
      </w:r>
      <w:r>
        <w:rPr>
          <w:rFonts w:eastAsia="仿宋_GB2312"/>
          <w:color w:val="000000"/>
          <w:sz w:val="28"/>
          <w:szCs w:val="28"/>
          <w:vertAlign w:val="superscript"/>
        </w:rPr>
        <w:t>3</w:t>
      </w:r>
      <w:r>
        <w:rPr>
          <w:rFonts w:eastAsia="仿宋_GB2312"/>
          <w:color w:val="000000"/>
          <w:sz w:val="28"/>
          <w:szCs w:val="28"/>
        </w:rPr>
        <w:br/>
      </w:r>
      <w:r>
        <w:rPr>
          <w:rFonts w:eastAsia="仿宋_GB2312"/>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6" w:history="1">
        <w:r>
          <w:rPr>
            <w:rFonts w:ascii="SimSun" w:eastAsia="SimSun" w:hAnsi="SimSun" w:cs="SimSun"/>
            <w:b/>
            <w:bCs/>
            <w:color w:val="0000EE"/>
            <w:kern w:val="0"/>
            <w:sz w:val="30"/>
            <w:szCs w:val="30"/>
            <w:u w:val="single" w:color="0000EE"/>
          </w:rPr>
          <w:t>https://d.book118.com/095034202202011113</w:t>
        </w:r>
      </w:hyperlink>
    </w:p>
    <w:p>
      <w:pPr>
        <w:pStyle w:val="Normal0"/>
        <w:spacing w:line="600" w:lineRule="exact"/>
        <w:ind w:firstLine="560" w:firstLineChars="200"/>
        <w:rPr>
          <w:rFonts w:eastAsia="仿宋_GB2312"/>
          <w:color w:val="000000"/>
          <w:sz w:val="28"/>
          <w:szCs w:val="28"/>
        </w:rPr>
      </w:pPr>
    </w:p>
    <w:sectPr>
      <w:headerReference w:type="even" r:id="rId177"/>
      <w:headerReference w:type="default" r:id="rId178"/>
      <w:footerReference w:type="even" r:id="rId179"/>
      <w:footerReference w:type="default" r:id="rId180"/>
      <w:headerReference w:type="first" r:id="rId181"/>
      <w:footerReference w:type="first" r:id="rId182"/>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w:t>
    </w:r>
    <w:r>
      <w:rPr>
        <w:rStyle w:val="PageNumber"/>
      </w:rPr>
      <w:fldChar w:fldCharType="end"/>
    </w:r>
  </w:p>
  <w:p>
    <w:pPr>
      <w:pStyle w:val="Footer0"/>
      <w:ind w:right="359" w:firstLine="180" w:rightChars="171" w:firstLineChars="100"/>
      <w:jc w:val="right"/>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right="359" w:firstLine="180" w:rightChars="171" w:firstLineChars="100"/>
      <w:jc w:val="right"/>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III</w:t>
    </w:r>
    <w:r>
      <w:rPr>
        <w:rStyle w:val="PageNumber"/>
      </w:rPr>
      <w:fldChar w:fldCharType="end"/>
    </w:r>
  </w:p>
  <w:p>
    <w:pPr>
      <w:pStyle w:val="Footer0"/>
      <w:ind w:right="359" w:firstLine="180" w:rightChars="171" w:firstLineChars="100"/>
      <w:jc w:val="right"/>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0"/>
      <w:ind w:right="359" w:firstLine="180" w:rightChars="171" w:firstLineChars="100"/>
      <w:jc w:val="right"/>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0"/>
      <w:ind w:right="359" w:firstLine="180" w:rightChars="171" w:firstLineChars="100"/>
      <w:jc w:val="right"/>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0"/>
      <w:ind w:right="359" w:firstLine="180" w:rightChars="171" w:firstLineChars="100"/>
      <w:jc w:val="right"/>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0"/>
      <w:ind w:right="359" w:firstLine="180" w:rightChars="171" w:firstLineChars="100"/>
      <w:jc w:val="right"/>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0"/>
      <w:ind w:right="359" w:firstLine="180" w:rightChars="171" w:firstLineChars="100"/>
      <w:jc w:val="right"/>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0"/>
      <w:ind w:right="359" w:firstLine="180" w:rightChars="171" w:firstLineChars="100"/>
      <w:jc w:val="right"/>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0"/>
      <w:ind w:right="359" w:firstLine="180" w:rightChars="171" w:firstLineChars="100"/>
      <w:jc w:val="right"/>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pPr>
      <w:pStyle w:val="Footer0"/>
      <w:ind w:right="359" w:firstLine="180" w:rightChars="171" w:firstLineChars="100"/>
      <w:jc w:val="right"/>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pPr>
      <w:pStyle w:val="Footer0"/>
      <w:ind w:right="359" w:firstLine="180" w:rightChars="171" w:firstLineChars="100"/>
      <w:jc w:val="right"/>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pPr>
      <w:pStyle w:val="Footer0"/>
      <w:ind w:right="359" w:firstLine="180" w:rightChars="171" w:firstLineChars="100"/>
      <w:jc w:val="right"/>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0"/>
      <w:ind w:right="359" w:firstLine="180" w:rightChars="171" w:firstLineChars="100"/>
      <w:jc w:val="right"/>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0"/>
      <w:ind w:right="359" w:firstLine="180" w:rightChars="171" w:firstLineChars="100"/>
      <w:jc w:val="right"/>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0"/>
      <w:ind w:right="359" w:firstLine="180" w:rightChars="171" w:firstLineChars="100"/>
      <w:jc w:val="right"/>
      <w:rPr>
        <w:rFonts w:hint="eastAsia"/>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pPr>
      <w:pStyle w:val="Footer0"/>
      <w:ind w:right="359" w:firstLine="180" w:rightChars="171" w:firstLineChars="100"/>
      <w:jc w:val="right"/>
      <w:rPr>
        <w:rFonts w:hint="eastAsia"/>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0"/>
      <w:ind w:right="359" w:firstLine="180" w:rightChars="171" w:firstLineChars="100"/>
      <w:jc w:val="right"/>
      <w:rPr>
        <w:rFonts w:hint="eastAsia"/>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pPr>
      <w:pStyle w:val="Footer0"/>
      <w:ind w:right="359" w:firstLine="180" w:rightChars="171" w:firstLineChars="100"/>
      <w:jc w:val="right"/>
      <w:rPr>
        <w:rFonts w:hint="eastAsia"/>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pPr>
      <w:pStyle w:val="Footer0"/>
      <w:ind w:right="359" w:firstLine="180" w:rightChars="171" w:firstLineChars="100"/>
      <w:jc w:val="right"/>
      <w:rPr>
        <w:rFonts w:hint="eastAsia"/>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0"/>
      <w:ind w:right="359" w:firstLine="180" w:rightChars="171" w:firstLineChars="100"/>
      <w:jc w:val="right"/>
      <w:rPr>
        <w:rFonts w:hint="eastAsia"/>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pPr>
      <w:pStyle w:val="Footer0"/>
      <w:ind w:right="359" w:firstLine="180" w:rightChars="171" w:firstLineChars="100"/>
      <w:jc w:val="right"/>
      <w:rPr>
        <w:rFonts w:hint="eastAsia"/>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pPr>
      <w:pStyle w:val="Footer0"/>
      <w:ind w:right="359" w:firstLine="180" w:rightChars="171" w:firstLineChars="100"/>
      <w:jc w:val="right"/>
      <w:rPr>
        <w:rFonts w:hint="eastAsia"/>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pPr>
      <w:pStyle w:val="Footer0"/>
      <w:ind w:right="359" w:firstLine="180" w:rightChars="171" w:firstLineChars="100"/>
      <w:jc w:val="right"/>
      <w:rPr>
        <w:rFonts w:hint="eastAsia"/>
      </w:rP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pPr>
      <w:pStyle w:val="Footer0"/>
      <w:ind w:right="359" w:firstLine="180" w:rightChars="171" w:firstLineChars="100"/>
      <w:jc w:val="right"/>
      <w:rPr>
        <w:rFonts w:hint="eastAsia"/>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pPr>
      <w:pStyle w:val="Footer0"/>
      <w:ind w:right="359" w:firstLine="180" w:rightChars="171" w:firstLineChars="100"/>
      <w:jc w:val="right"/>
      <w:rPr>
        <w:rFonts w:hint="eastAsia"/>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pPr>
      <w:pStyle w:val="Footer0"/>
      <w:ind w:right="359" w:firstLine="180" w:rightChars="171" w:firstLineChars="100"/>
      <w:jc w:val="right"/>
      <w:rPr>
        <w:rFonts w:hint="eastAsia"/>
      </w:rP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pPr>
      <w:pStyle w:val="Footer0"/>
      <w:ind w:right="359" w:firstLine="180" w:rightChars="171" w:firstLineChars="100"/>
      <w:jc w:val="right"/>
      <w:rPr>
        <w:rFonts w:hint="eastAsia"/>
      </w:rP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pPr>
      <w:pStyle w:val="Footer0"/>
      <w:ind w:right="359" w:firstLine="180" w:rightChars="171" w:firstLineChars="100"/>
      <w:jc w:val="right"/>
      <w:rPr>
        <w:rFonts w:hint="eastAsia"/>
      </w:rP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7344E2"/>
    <w:multiLevelType w:val="multilevel"/>
    <w:tmpl w:val="147344E2"/>
    <w:lvl w:ilvl="0">
      <w:start w:val="14"/>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B258D94"/>
    <w:multiLevelType w:val="multilevel"/>
    <w:tmpl w:val="6FD4646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4715307F"/>
    <w:multiLevelType w:val="multilevel"/>
    <w:tmpl w:val="4715307F"/>
    <w:lvl w:ilvl="0">
      <w:start w:val="13"/>
      <w:numFmt w:val="decimal"/>
      <w:lvlText w:val="%1"/>
      <w:lvlJc w:val="left"/>
      <w:pPr>
        <w:tabs>
          <w:tab w:val="left" w:pos="660"/>
        </w:tabs>
        <w:ind w:left="660" w:hanging="6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FD4646D"/>
    <w:multiLevelType w:val="multilevel"/>
    <w:tmpl w:val="6FD4646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3F63"/>
    <w:rsid w:val="00004FDC"/>
    <w:rsid w:val="000078CD"/>
    <w:rsid w:val="00007CEF"/>
    <w:rsid w:val="0003097A"/>
    <w:rsid w:val="000345A4"/>
    <w:rsid w:val="000360F4"/>
    <w:rsid w:val="00037CE4"/>
    <w:rsid w:val="00047CCF"/>
    <w:rsid w:val="00067E37"/>
    <w:rsid w:val="00087FAE"/>
    <w:rsid w:val="000A3A21"/>
    <w:rsid w:val="000A67E9"/>
    <w:rsid w:val="000B6950"/>
    <w:rsid w:val="000C32D9"/>
    <w:rsid w:val="000C7F5C"/>
    <w:rsid w:val="0011057D"/>
    <w:rsid w:val="00117140"/>
    <w:rsid w:val="0012306F"/>
    <w:rsid w:val="00130D35"/>
    <w:rsid w:val="001428FF"/>
    <w:rsid w:val="00153801"/>
    <w:rsid w:val="0015398D"/>
    <w:rsid w:val="0016318E"/>
    <w:rsid w:val="00181FFA"/>
    <w:rsid w:val="00184AB2"/>
    <w:rsid w:val="00190746"/>
    <w:rsid w:val="00191196"/>
    <w:rsid w:val="001A2BBA"/>
    <w:rsid w:val="001A54B2"/>
    <w:rsid w:val="001A7763"/>
    <w:rsid w:val="001B708E"/>
    <w:rsid w:val="001C09E8"/>
    <w:rsid w:val="001C1BBB"/>
    <w:rsid w:val="001D30CF"/>
    <w:rsid w:val="001F1FFE"/>
    <w:rsid w:val="001F4F9D"/>
    <w:rsid w:val="00213FEC"/>
    <w:rsid w:val="0022581C"/>
    <w:rsid w:val="0022693C"/>
    <w:rsid w:val="0022704F"/>
    <w:rsid w:val="00234908"/>
    <w:rsid w:val="00252B25"/>
    <w:rsid w:val="0026700C"/>
    <w:rsid w:val="00272726"/>
    <w:rsid w:val="00291FCE"/>
    <w:rsid w:val="0029495A"/>
    <w:rsid w:val="0029798E"/>
    <w:rsid w:val="002B6C37"/>
    <w:rsid w:val="002C7F6D"/>
    <w:rsid w:val="002D69BF"/>
    <w:rsid w:val="002D7148"/>
    <w:rsid w:val="002E0655"/>
    <w:rsid w:val="002F1118"/>
    <w:rsid w:val="003041E5"/>
    <w:rsid w:val="00331D25"/>
    <w:rsid w:val="003349A3"/>
    <w:rsid w:val="0034032D"/>
    <w:rsid w:val="0035321B"/>
    <w:rsid w:val="0035477E"/>
    <w:rsid w:val="00356E91"/>
    <w:rsid w:val="00370A59"/>
    <w:rsid w:val="00371707"/>
    <w:rsid w:val="00383F79"/>
    <w:rsid w:val="004078EE"/>
    <w:rsid w:val="00426816"/>
    <w:rsid w:val="004273E7"/>
    <w:rsid w:val="00456B1F"/>
    <w:rsid w:val="0046347B"/>
    <w:rsid w:val="00464538"/>
    <w:rsid w:val="00470AA0"/>
    <w:rsid w:val="00474892"/>
    <w:rsid w:val="004947A2"/>
    <w:rsid w:val="0049700F"/>
    <w:rsid w:val="004D0635"/>
    <w:rsid w:val="004D2DFC"/>
    <w:rsid w:val="004D435D"/>
    <w:rsid w:val="004D4B72"/>
    <w:rsid w:val="004D7A9D"/>
    <w:rsid w:val="004D7BF7"/>
    <w:rsid w:val="00500409"/>
    <w:rsid w:val="00507985"/>
    <w:rsid w:val="00514113"/>
    <w:rsid w:val="005144E5"/>
    <w:rsid w:val="00515CD4"/>
    <w:rsid w:val="005224E8"/>
    <w:rsid w:val="005404C2"/>
    <w:rsid w:val="00554C3B"/>
    <w:rsid w:val="005609AB"/>
    <w:rsid w:val="00564529"/>
    <w:rsid w:val="00593F32"/>
    <w:rsid w:val="005D5134"/>
    <w:rsid w:val="005D5ABC"/>
    <w:rsid w:val="005E1385"/>
    <w:rsid w:val="005F02D3"/>
    <w:rsid w:val="00632982"/>
    <w:rsid w:val="006404B1"/>
    <w:rsid w:val="00651687"/>
    <w:rsid w:val="006637A5"/>
    <w:rsid w:val="00663DD5"/>
    <w:rsid w:val="006742CC"/>
    <w:rsid w:val="006A3D38"/>
    <w:rsid w:val="006B2F0B"/>
    <w:rsid w:val="006B3015"/>
    <w:rsid w:val="006C16C2"/>
    <w:rsid w:val="006C50E5"/>
    <w:rsid w:val="006D1FF6"/>
    <w:rsid w:val="006D4D2F"/>
    <w:rsid w:val="006E09ED"/>
    <w:rsid w:val="006E311E"/>
    <w:rsid w:val="00715E90"/>
    <w:rsid w:val="0071667C"/>
    <w:rsid w:val="00720C94"/>
    <w:rsid w:val="00740EA7"/>
    <w:rsid w:val="0074381F"/>
    <w:rsid w:val="00750232"/>
    <w:rsid w:val="00752548"/>
    <w:rsid w:val="00753C5E"/>
    <w:rsid w:val="00755BF6"/>
    <w:rsid w:val="00783D66"/>
    <w:rsid w:val="007A7C7E"/>
    <w:rsid w:val="007C2047"/>
    <w:rsid w:val="007D1BB9"/>
    <w:rsid w:val="007E48F9"/>
    <w:rsid w:val="007F17BE"/>
    <w:rsid w:val="00800006"/>
    <w:rsid w:val="0080148A"/>
    <w:rsid w:val="00814D40"/>
    <w:rsid w:val="00817400"/>
    <w:rsid w:val="008218DC"/>
    <w:rsid w:val="00830B75"/>
    <w:rsid w:val="00831CD6"/>
    <w:rsid w:val="00835D80"/>
    <w:rsid w:val="00835F1D"/>
    <w:rsid w:val="00844CC6"/>
    <w:rsid w:val="008652AC"/>
    <w:rsid w:val="00870BB2"/>
    <w:rsid w:val="008D5F39"/>
    <w:rsid w:val="008D7B0F"/>
    <w:rsid w:val="008F2334"/>
    <w:rsid w:val="00916459"/>
    <w:rsid w:val="009266D1"/>
    <w:rsid w:val="00934E20"/>
    <w:rsid w:val="00947DAF"/>
    <w:rsid w:val="00955F9B"/>
    <w:rsid w:val="00963292"/>
    <w:rsid w:val="0097200E"/>
    <w:rsid w:val="00974991"/>
    <w:rsid w:val="009763A0"/>
    <w:rsid w:val="009978C7"/>
    <w:rsid w:val="009A56BE"/>
    <w:rsid w:val="009D411A"/>
    <w:rsid w:val="009E20EC"/>
    <w:rsid w:val="009F00B2"/>
    <w:rsid w:val="00A0790D"/>
    <w:rsid w:val="00A15B02"/>
    <w:rsid w:val="00A311C1"/>
    <w:rsid w:val="00A3526E"/>
    <w:rsid w:val="00A43CC6"/>
    <w:rsid w:val="00A45657"/>
    <w:rsid w:val="00A46CD0"/>
    <w:rsid w:val="00A54414"/>
    <w:rsid w:val="00A66F11"/>
    <w:rsid w:val="00AA08C2"/>
    <w:rsid w:val="00AA49CE"/>
    <w:rsid w:val="00AF0A99"/>
    <w:rsid w:val="00AF23D3"/>
    <w:rsid w:val="00B011B7"/>
    <w:rsid w:val="00B01AB2"/>
    <w:rsid w:val="00B14941"/>
    <w:rsid w:val="00B2688D"/>
    <w:rsid w:val="00B3144F"/>
    <w:rsid w:val="00B35023"/>
    <w:rsid w:val="00B54074"/>
    <w:rsid w:val="00B64D9E"/>
    <w:rsid w:val="00B83D8D"/>
    <w:rsid w:val="00B84E1B"/>
    <w:rsid w:val="00B86851"/>
    <w:rsid w:val="00B94D10"/>
    <w:rsid w:val="00BA651A"/>
    <w:rsid w:val="00BB270D"/>
    <w:rsid w:val="00BC2798"/>
    <w:rsid w:val="00BF6E69"/>
    <w:rsid w:val="00C1729B"/>
    <w:rsid w:val="00C3480A"/>
    <w:rsid w:val="00C35D00"/>
    <w:rsid w:val="00C51E10"/>
    <w:rsid w:val="00C622BB"/>
    <w:rsid w:val="00C766D7"/>
    <w:rsid w:val="00C80B50"/>
    <w:rsid w:val="00C83C71"/>
    <w:rsid w:val="00C85DAE"/>
    <w:rsid w:val="00CB1E9A"/>
    <w:rsid w:val="00CC5A2F"/>
    <w:rsid w:val="00CE033D"/>
    <w:rsid w:val="00CE2FE5"/>
    <w:rsid w:val="00CF694C"/>
    <w:rsid w:val="00D05D2A"/>
    <w:rsid w:val="00D14076"/>
    <w:rsid w:val="00D16826"/>
    <w:rsid w:val="00D20293"/>
    <w:rsid w:val="00D234B9"/>
    <w:rsid w:val="00D33CFF"/>
    <w:rsid w:val="00D577E9"/>
    <w:rsid w:val="00D740DF"/>
    <w:rsid w:val="00D74F51"/>
    <w:rsid w:val="00D8011C"/>
    <w:rsid w:val="00D91F6D"/>
    <w:rsid w:val="00D93366"/>
    <w:rsid w:val="00D97276"/>
    <w:rsid w:val="00DA6122"/>
    <w:rsid w:val="00DB76F9"/>
    <w:rsid w:val="00DC0051"/>
    <w:rsid w:val="00DF090D"/>
    <w:rsid w:val="00E0317D"/>
    <w:rsid w:val="00E1050D"/>
    <w:rsid w:val="00E237B6"/>
    <w:rsid w:val="00E27150"/>
    <w:rsid w:val="00E30580"/>
    <w:rsid w:val="00E5632A"/>
    <w:rsid w:val="00E64B7E"/>
    <w:rsid w:val="00E73211"/>
    <w:rsid w:val="00E87CF7"/>
    <w:rsid w:val="00E932EC"/>
    <w:rsid w:val="00ED2F12"/>
    <w:rsid w:val="00EE5A7C"/>
    <w:rsid w:val="00EE5B6F"/>
    <w:rsid w:val="00EF2DB3"/>
    <w:rsid w:val="00EF34AA"/>
    <w:rsid w:val="00F010BC"/>
    <w:rsid w:val="00F03C14"/>
    <w:rsid w:val="00F22859"/>
    <w:rsid w:val="00F342DE"/>
    <w:rsid w:val="00F44CE8"/>
    <w:rsid w:val="00F608C1"/>
    <w:rsid w:val="00F82BFF"/>
    <w:rsid w:val="00F869BA"/>
    <w:rsid w:val="00F97A33"/>
    <w:rsid w:val="00FB0202"/>
    <w:rsid w:val="00FC25C7"/>
    <w:rsid w:val="00FC4F46"/>
    <w:rsid w:val="00FE239B"/>
    <w:rsid w:val="0D461273"/>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link w:val="CharChar"/>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pPr>
      <w:keepNext/>
      <w:keepLines/>
      <w:adjustRightInd w:val="0"/>
      <w:spacing w:line="300" w:lineRule="auto"/>
      <w:textAlignment w:val="baseline"/>
      <w:outlineLvl w:val="1"/>
    </w:pPr>
    <w:rPr>
      <w:rFonts w:ascii="Arial" w:eastAsia="仿宋_GB2312" w:hAnsi="Arial"/>
      <w:kern w:val="0"/>
      <w:sz w:val="28"/>
      <w:szCs w:val="20"/>
    </w:rPr>
  </w:style>
  <w:style w:type="paragraph" w:styleId="Heading3">
    <w:name w:val="heading 3"/>
    <w:basedOn w:val="Normal"/>
    <w:next w:val="Normal0"/>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BodyText">
    <w:name w:val="Body Text"/>
    <w:basedOn w:val="Normal"/>
    <w:autoRedefine/>
    <w:qFormat/>
    <w:rPr>
      <w:rFonts w:ascii="仿宋_GB2312" w:eastAsia="仿宋_GB2312" w:hAnsi="Times New Roman"/>
      <w:sz w:val="28"/>
      <w:szCs w:val="24"/>
    </w:rPr>
  </w:style>
  <w:style w:type="paragraph" w:styleId="BodyTextIndent">
    <w:name w:val="Body Text Indent"/>
    <w:basedOn w:val="Normal"/>
    <w:autoRedefine/>
    <w:qFormat/>
    <w:pPr>
      <w:ind w:firstLine="560" w:firstLineChars="200"/>
    </w:pPr>
    <w:rPr>
      <w:rFonts w:ascii="Times New Roman" w:hAnsi="Times New Roman"/>
      <w:sz w:val="28"/>
      <w:szCs w:val="24"/>
    </w:rPr>
  </w:style>
  <w:style w:type="paragraph" w:styleId="PlainText">
    <w:name w:val="Plain Text"/>
    <w:basedOn w:val="Normal"/>
    <w:autoRedefine/>
    <w:qFormat/>
    <w:rPr>
      <w:rFonts w:ascii="宋体" w:hAnsi="Courier New"/>
      <w:szCs w:val="20"/>
    </w:rPr>
  </w:style>
  <w:style w:type="paragraph" w:styleId="BodyTextIndent2">
    <w:name w:val="Body Text Indent 2"/>
    <w:basedOn w:val="Normal"/>
    <w:pPr>
      <w:ind w:firstLine="555"/>
    </w:pPr>
    <w:rPr>
      <w:rFonts w:ascii="仿宋_GB2312" w:eastAsia="仿宋_GB2312" w:hAnsi="Times New Roman"/>
      <w:sz w:val="28"/>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qFormat/>
    <w:pPr>
      <w:tabs>
        <w:tab w:val="right" w:leader="dot" w:pos="8296"/>
      </w:tabs>
      <w:spacing w:before="120" w:after="120"/>
      <w:jc w:val="center"/>
    </w:pPr>
    <w:rPr>
      <w:rFonts w:ascii="黑体" w:eastAsia="黑体" w:hAnsi="Times New Roman"/>
      <w:b/>
      <w:bCs/>
      <w:caps/>
      <w:sz w:val="28"/>
      <w:szCs w:val="28"/>
    </w:rPr>
  </w:style>
  <w:style w:type="paragraph" w:styleId="BodyTextIndent3">
    <w:name w:val="Body Text Indent 3"/>
    <w:basedOn w:val="Normal"/>
    <w:autoRedefine/>
    <w:qFormat/>
    <w:pPr>
      <w:ind w:firstLine="570"/>
    </w:pPr>
    <w:rPr>
      <w:rFonts w:ascii="仿宋_GB2312" w:eastAsia="仿宋_GB2312" w:hAnsi="Verdana"/>
      <w:sz w:val="28"/>
      <w:szCs w:val="24"/>
    </w:rPr>
  </w:style>
  <w:style w:type="paragraph" w:styleId="TOC2">
    <w:name w:val="toc 2"/>
    <w:basedOn w:val="Normal"/>
    <w:next w:val="Normal0"/>
    <w:autoRedefine/>
    <w:semiHidden/>
    <w:pPr>
      <w:ind w:left="210"/>
      <w:jc w:val="left"/>
    </w:pPr>
    <w:rPr>
      <w:rFonts w:ascii="Times New Roman" w:eastAsia="仿宋_GB2312" w:hAnsi="Times New Roman"/>
      <w:smallCaps/>
      <w:sz w:val="28"/>
      <w:szCs w:val="20"/>
    </w:rPr>
  </w:style>
  <w:style w:type="paragraph" w:styleId="BodyText2">
    <w:name w:val="Body Text 2"/>
    <w:basedOn w:val="Normal"/>
    <w:pPr>
      <w:jc w:val="center"/>
    </w:pPr>
    <w:rPr>
      <w:rFonts w:ascii="Times New Roman" w:hAnsi="Times New Roman"/>
      <w:szCs w:val="24"/>
    </w:rPr>
  </w:style>
  <w:style w:type="character" w:styleId="PageNumber">
    <w:name w:val="page number"/>
    <w:basedOn w:val="DefaultParagraphFont"/>
  </w:style>
  <w:style w:type="character" w:styleId="Hyperlink">
    <w:name w:val="Hyperlink"/>
    <w:basedOn w:val="DefaultParagraphFont"/>
    <w:rPr>
      <w:color w:val="0000FF"/>
      <w:u w:val="none"/>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pPr>
      <w:tabs>
        <w:tab w:val="center" w:pos="4153"/>
        <w:tab w:val="right" w:pos="8306"/>
      </w:tabs>
      <w:snapToGrid w:val="0"/>
      <w:jc w:val="left"/>
    </w:pPr>
    <w:rPr>
      <w:sz w:val="18"/>
      <w:szCs w:val="18"/>
    </w:rPr>
  </w:style>
  <w:style w:type="character" w:customStyle="1" w:styleId="CharChar">
    <w:name w:val=" Char Char"/>
    <w:basedOn w:val="DefaultParagraphFont"/>
    <w:link w:val="Heading1"/>
    <w:rPr>
      <w:b/>
      <w:bCs/>
      <w:kern w:val="44"/>
      <w:sz w:val="44"/>
      <w:szCs w:val="44"/>
    </w:rPr>
  </w:style>
  <w:style w:type="character" w:customStyle="1" w:styleId="apple-style-span">
    <w:name w:val="apple-style-span"/>
    <w:basedOn w:val="DefaultParagraphFont"/>
  </w:style>
  <w:style w:type="character" w:customStyle="1" w:styleId="apple-converted-space">
    <w:name w:val="apple-converted-spac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header" Target="header4.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55.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header" Target="header5.xml" /><Relationship Id="rId120" Type="http://schemas.openxmlformats.org/officeDocument/2006/relationships/footer" Target="footer57.xml" /><Relationship Id="rId121" Type="http://schemas.openxmlformats.org/officeDocument/2006/relationships/header" Target="header58.xml" /><Relationship Id="rId122" Type="http://schemas.openxmlformats.org/officeDocument/2006/relationships/header" Target="header59.xml" /><Relationship Id="rId123" Type="http://schemas.openxmlformats.org/officeDocument/2006/relationships/footer" Target="footer58.xml" /><Relationship Id="rId124" Type="http://schemas.openxmlformats.org/officeDocument/2006/relationships/footer" Target="footer59.xml"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header" Target="header61.xml" /><Relationship Id="rId128" Type="http://schemas.openxmlformats.org/officeDocument/2006/relationships/header" Target="header62.xml" /><Relationship Id="rId129" Type="http://schemas.openxmlformats.org/officeDocument/2006/relationships/footer" Target="footer61.xml" /><Relationship Id="rId13" Type="http://schemas.openxmlformats.org/officeDocument/2006/relationships/footer" Target="footer4.xml" /><Relationship Id="rId130" Type="http://schemas.openxmlformats.org/officeDocument/2006/relationships/footer" Target="footer62.xml" /><Relationship Id="rId131" Type="http://schemas.openxmlformats.org/officeDocument/2006/relationships/header" Target="header63.xml" /><Relationship Id="rId132" Type="http://schemas.openxmlformats.org/officeDocument/2006/relationships/footer" Target="footer63.xml" /><Relationship Id="rId133" Type="http://schemas.openxmlformats.org/officeDocument/2006/relationships/header" Target="header64.xml" /><Relationship Id="rId134" Type="http://schemas.openxmlformats.org/officeDocument/2006/relationships/header" Target="header65.xml" /><Relationship Id="rId135" Type="http://schemas.openxmlformats.org/officeDocument/2006/relationships/footer" Target="footer64.xml" /><Relationship Id="rId136" Type="http://schemas.openxmlformats.org/officeDocument/2006/relationships/footer" Target="footer65.xml" /><Relationship Id="rId137" Type="http://schemas.openxmlformats.org/officeDocument/2006/relationships/header" Target="header66.xml" /><Relationship Id="rId138" Type="http://schemas.openxmlformats.org/officeDocument/2006/relationships/footer" Target="footer66.xml" /><Relationship Id="rId139" Type="http://schemas.openxmlformats.org/officeDocument/2006/relationships/header" Target="header67.xml" /><Relationship Id="rId14" Type="http://schemas.openxmlformats.org/officeDocument/2006/relationships/footer" Target="footer5.xml" /><Relationship Id="rId140" Type="http://schemas.openxmlformats.org/officeDocument/2006/relationships/header" Target="header68.xml" /><Relationship Id="rId141" Type="http://schemas.openxmlformats.org/officeDocument/2006/relationships/footer" Target="footer67.xml" /><Relationship Id="rId142" Type="http://schemas.openxmlformats.org/officeDocument/2006/relationships/footer" Target="footer68.xml" /><Relationship Id="rId143" Type="http://schemas.openxmlformats.org/officeDocument/2006/relationships/header" Target="header69.xml" /><Relationship Id="rId144" Type="http://schemas.openxmlformats.org/officeDocument/2006/relationships/footer" Target="footer69.xml" /><Relationship Id="rId145" Type="http://schemas.openxmlformats.org/officeDocument/2006/relationships/header" Target="header70.xml" /><Relationship Id="rId146" Type="http://schemas.openxmlformats.org/officeDocument/2006/relationships/header" Target="header71.xml" /><Relationship Id="rId147" Type="http://schemas.openxmlformats.org/officeDocument/2006/relationships/footer" Target="footer70.xml" /><Relationship Id="rId148" Type="http://schemas.openxmlformats.org/officeDocument/2006/relationships/footer" Target="footer71.xml" /><Relationship Id="rId149" Type="http://schemas.openxmlformats.org/officeDocument/2006/relationships/header" Target="header72.xml" /><Relationship Id="rId15" Type="http://schemas.openxmlformats.org/officeDocument/2006/relationships/header" Target="header6.xml" /><Relationship Id="rId150" Type="http://schemas.openxmlformats.org/officeDocument/2006/relationships/footer" Target="footer72.xml" /><Relationship Id="rId151" Type="http://schemas.openxmlformats.org/officeDocument/2006/relationships/header" Target="header73.xml" /><Relationship Id="rId152" Type="http://schemas.openxmlformats.org/officeDocument/2006/relationships/header" Target="header74.xml" /><Relationship Id="rId153" Type="http://schemas.openxmlformats.org/officeDocument/2006/relationships/footer" Target="footer73.xml" /><Relationship Id="rId154" Type="http://schemas.openxmlformats.org/officeDocument/2006/relationships/footer" Target="footer74.xml" /><Relationship Id="rId155" Type="http://schemas.openxmlformats.org/officeDocument/2006/relationships/header" Target="header75.xml" /><Relationship Id="rId156" Type="http://schemas.openxmlformats.org/officeDocument/2006/relationships/footer" Target="footer75.xml" /><Relationship Id="rId157" Type="http://schemas.openxmlformats.org/officeDocument/2006/relationships/image" Target="media/image2.jpeg" /><Relationship Id="rId158" Type="http://schemas.openxmlformats.org/officeDocument/2006/relationships/header" Target="header76.xml" /><Relationship Id="rId159" Type="http://schemas.openxmlformats.org/officeDocument/2006/relationships/header" Target="header77.xml" /><Relationship Id="rId16" Type="http://schemas.openxmlformats.org/officeDocument/2006/relationships/footer" Target="footer6.xml" /><Relationship Id="rId160" Type="http://schemas.openxmlformats.org/officeDocument/2006/relationships/footer" Target="footer76.xml" /><Relationship Id="rId161" Type="http://schemas.openxmlformats.org/officeDocument/2006/relationships/footer" Target="footer77.xml" /><Relationship Id="rId162" Type="http://schemas.openxmlformats.org/officeDocument/2006/relationships/header" Target="header78.xml" /><Relationship Id="rId163" Type="http://schemas.openxmlformats.org/officeDocument/2006/relationships/footer" Target="footer78.xml" /><Relationship Id="rId164" Type="http://schemas.openxmlformats.org/officeDocument/2006/relationships/header" Target="header79.xml" /><Relationship Id="rId165" Type="http://schemas.openxmlformats.org/officeDocument/2006/relationships/header" Target="header80.xml" /><Relationship Id="rId166" Type="http://schemas.openxmlformats.org/officeDocument/2006/relationships/footer" Target="footer79.xml" /><Relationship Id="rId167" Type="http://schemas.openxmlformats.org/officeDocument/2006/relationships/footer" Target="footer80.xml" /><Relationship Id="rId168" Type="http://schemas.openxmlformats.org/officeDocument/2006/relationships/header" Target="header81.xml" /><Relationship Id="rId169" Type="http://schemas.openxmlformats.org/officeDocument/2006/relationships/footer" Target="footer81.xml" /><Relationship Id="rId17" Type="http://schemas.openxmlformats.org/officeDocument/2006/relationships/header" Target="header7.xml" /><Relationship Id="rId170" Type="http://schemas.openxmlformats.org/officeDocument/2006/relationships/header" Target="header82.xml" /><Relationship Id="rId171" Type="http://schemas.openxmlformats.org/officeDocument/2006/relationships/header" Target="header83.xml" /><Relationship Id="rId172" Type="http://schemas.openxmlformats.org/officeDocument/2006/relationships/footer" Target="footer82.xml" /><Relationship Id="rId173" Type="http://schemas.openxmlformats.org/officeDocument/2006/relationships/footer" Target="footer83.xml" /><Relationship Id="rId174" Type="http://schemas.openxmlformats.org/officeDocument/2006/relationships/header" Target="header84.xml" /><Relationship Id="rId175" Type="http://schemas.openxmlformats.org/officeDocument/2006/relationships/footer" Target="footer84.xml" /><Relationship Id="rId176" Type="http://schemas.openxmlformats.org/officeDocument/2006/relationships/hyperlink" Target="https://d.book118.com/095034202202011113" TargetMode="External" /><Relationship Id="rId177" Type="http://schemas.openxmlformats.org/officeDocument/2006/relationships/header" Target="header85.xml" /><Relationship Id="rId178" Type="http://schemas.openxmlformats.org/officeDocument/2006/relationships/header" Target="header86.xml" /><Relationship Id="rId179" Type="http://schemas.openxmlformats.org/officeDocument/2006/relationships/footer" Target="footer85.xml" /><Relationship Id="rId18" Type="http://schemas.openxmlformats.org/officeDocument/2006/relationships/header" Target="header8.xml" /><Relationship Id="rId180" Type="http://schemas.openxmlformats.org/officeDocument/2006/relationships/footer" Target="footer86.xml" /><Relationship Id="rId181" Type="http://schemas.openxmlformats.org/officeDocument/2006/relationships/header" Target="header87.xml" /><Relationship Id="rId182" Type="http://schemas.openxmlformats.org/officeDocument/2006/relationships/footer" Target="footer87.xml" /><Relationship Id="rId183" Type="http://schemas.openxmlformats.org/officeDocument/2006/relationships/theme" Target="theme/theme1.xml" /><Relationship Id="rId184" Type="http://schemas.openxmlformats.org/officeDocument/2006/relationships/numbering" Target="numbering.xml" /><Relationship Id="rId185" Type="http://schemas.openxmlformats.org/officeDocument/2006/relationships/styles" Target="styles.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image" Target="media/image1.emf" /><Relationship Id="rId48" Type="http://schemas.openxmlformats.org/officeDocument/2006/relationships/oleObject" Target="embeddings/oleObject1.bin"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header" Target="head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header" Target="header47.xml" /><Relationship Id="rId99" Type="http://schemas.openxmlformats.org/officeDocument/2006/relationships/footer" Target="footer4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0"/>
    <customShpInfo spid="_x0000_s1026"/>
    <customShpInfo spid="_x0000_s1027"/>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61"/>
    <customShpInfo spid="_x0000_s1077"/>
    <customShpInfo spid="_x0000_s1042"/>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4BBD85EF9549444FACDBC072AE77DC8E_12</vt:lpwstr>
  </property>
  <property fmtid="{D5CDD505-2E9C-101B-9397-08002B2CF9AE}" pid="3" name="KSOProductBuildVer">
    <vt:lpwstr>2052-12.1.0.16388</vt:lpwstr>
  </property>
</Properties>
</file>