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2018-2023年上海工商外国语职业学院高职单招（数学／语文／英语）历年常考试题库含答案解析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《炉中煤》一诗中诗人用“炉中煤”来自喻，这运用了什么修辞手法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C.象征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D.对比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下列对典故的解释错误的是（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A.襟袖红泪：相传魏文帝时，薛灵云被选入宫，泣别父母，以玉壶盛泪，不久泪凝如血。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B.树犹如此：相传桓温北伐路过金城，看到多年前自己种的柳树已有十围粗了，感叹地说：“木犹如此，人何以堪！”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C.周公吐哺：相传周公唯恐失天下之士，常常吃饭时停下来接待贤才。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D.乘舟梦日：相传吕尚在被文王征聘前，曾梦见自己乘船从日月旁经过。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《风波》、《断魂枪》、《苦恼》的作者依次是（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A.鲁迅、契诃夫、老舍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B.契诃夫、鲁迅、老舍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C.鲁迅、老舍、契诃夫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D.契诃夫、老舍、鲁迅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在契诃夫小说《苦恼》里，车夫姚纳向小母马倾诉的主要原因是（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A.年老多病，无依无靠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B.生活困窘，缺乏救助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C.儿子死了，无人赡养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D.社会冷漠，百姓麻木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《白雪歌送武判官归京》是一首（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A.山水诗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B.田园诗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C.边塞诗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D.怀古诗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《麦琪的礼物》运用了哪种结构方法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A.一虚一实，虚实结合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B.采用两条平行的情节线索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C.追溯法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D.四条情节线交叉叙述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成语“夙兴夜寐”、“日薄西山”、“路不拾遗”依次出自（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A.《诗经·氓》、《陈情表》、《季氏将伐颛臾》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B.《诗经·氓》、《陈情表》、《礼记·大同》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C.《郑伯克段于鄢》、《礼记·大同》、《陈情表》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D.《季氏将伐颛臾》、《诗经·氓》、《礼记·大同》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《史记》是我国第一部（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A.纪传体断代史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B.纪传体通史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C.编年体通史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D.国别体断代史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陶渊明《饮酒》“采菊东篱下，悠然见南山”两句的抒情方式是（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A.借景抒情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B.借典故抒情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C.借前人成句抒情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D.直抒胸臆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《报刘一丈书》是一篇（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A.书信体记叙文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B.书信体议论文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C.书信体抒情文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D.奏章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下列诗作中，属于乐府旧题的是（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A.《关山月》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B.《饮酒》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C.《短歌行》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D.《国殇》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“遥岑远目，献愁供恨，玉簪螺髻”所用的修辞手法是（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A.象征、比喻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B.象征、拟人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C.双关、比喻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欧·亨利是19世纪（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A.法国著名的小说家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B.英国著名的小说家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C.美国著名短篇小说家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D.德国著名的小说家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《短歌行》中引用《诗经》成句“呦呦鹿鸣，食野之苹。我有嘉宾，鼓瑟吹笙”，所表达的心情是（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A.思慕贤才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B.优礼贤才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C.对贤才无所依托的焦虑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https://d.book118.com/095114000330011112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09511400033001111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