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学历教育项目计划设计方案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7" w:history="1">
        <w:r>
          <w:rPr>
            <w:rFonts w:ascii="仿宋" w:eastAsia="仿宋" w:hAnsi="仿宋" w:cs="仿宋" w:hint="eastAsia"/>
            <w:lang w:eastAsia="zh-CN"/>
          </w:rPr>
          <w:t>概论</w:t>
        </w:r>
        <w:r>
          <w:tab/>
        </w:r>
        <w:r>
          <w:fldChar w:fldCharType="begin"/>
        </w:r>
        <w:r>
          <w:instrText xml:space="preserve"> PAGEREF _Toc24097 \h </w:instrText>
        </w:r>
        <w:r>
          <w:fldChar w:fldCharType="separate"/>
        </w:r>
        <w:r>
          <w:t>3</w:t>
        </w:r>
        <w:r>
          <w:fldChar w:fldCharType="end"/>
        </w:r>
      </w:hyperlink>
    </w:p>
    <w:p>
      <w:pPr>
        <w:pStyle w:val="TOC1"/>
        <w:tabs>
          <w:tab w:val="right" w:leader="dot" w:pos="8306"/>
        </w:tabs>
      </w:pPr>
      <w:hyperlink w:anchor="_Toc9046" w:history="1">
        <w:r>
          <w:rPr>
            <w:rFonts w:ascii="仿宋" w:eastAsia="仿宋" w:hAnsi="仿宋" w:cs="仿宋" w:hint="eastAsia"/>
            <w:lang w:eastAsia="zh-CN"/>
          </w:rPr>
          <w:t>一、学历教育项目建设背景及必要性分析</w:t>
        </w:r>
        <w:r>
          <w:tab/>
        </w:r>
        <w:r>
          <w:fldChar w:fldCharType="begin"/>
        </w:r>
        <w:r>
          <w:instrText xml:space="preserve"> PAGEREF _Toc9046 \h </w:instrText>
        </w:r>
        <w:r>
          <w:fldChar w:fldCharType="separate"/>
        </w:r>
        <w:r>
          <w:t>3</w:t>
        </w:r>
        <w:r>
          <w:fldChar w:fldCharType="end"/>
        </w:r>
      </w:hyperlink>
    </w:p>
    <w:p>
      <w:pPr>
        <w:pStyle w:val="TOC2"/>
        <w:tabs>
          <w:tab w:val="right" w:leader="dot" w:pos="8306"/>
        </w:tabs>
      </w:pPr>
      <w:hyperlink w:anchor="_Toc17433" w:history="1">
        <w:r>
          <w:rPr>
            <w:rFonts w:ascii="仿宋" w:eastAsia="仿宋" w:hAnsi="仿宋" w:cs="仿宋" w:hint="eastAsia"/>
            <w:lang w:eastAsia="zh-CN"/>
          </w:rPr>
          <w:t>(一)、学历教育项目背景分析</w:t>
        </w:r>
        <w:r>
          <w:tab/>
        </w:r>
        <w:r>
          <w:fldChar w:fldCharType="begin"/>
        </w:r>
        <w:r>
          <w:instrText xml:space="preserve"> PAGEREF _Toc17433 \h </w:instrText>
        </w:r>
        <w:r>
          <w:fldChar w:fldCharType="separate"/>
        </w:r>
        <w:r>
          <w:t>3</w:t>
        </w:r>
        <w:r>
          <w:fldChar w:fldCharType="end"/>
        </w:r>
      </w:hyperlink>
    </w:p>
    <w:p>
      <w:pPr>
        <w:pStyle w:val="TOC2"/>
        <w:tabs>
          <w:tab w:val="right" w:leader="dot" w:pos="8306"/>
        </w:tabs>
      </w:pPr>
      <w:hyperlink w:anchor="_Toc23007" w:history="1">
        <w:r>
          <w:rPr>
            <w:rFonts w:ascii="仿宋" w:eastAsia="仿宋" w:hAnsi="仿宋" w:cs="仿宋" w:hint="eastAsia"/>
            <w:lang w:eastAsia="zh-CN"/>
          </w:rPr>
          <w:t>(二)、学历教育项目建设必要性分析</w:t>
        </w:r>
        <w:r>
          <w:tab/>
        </w:r>
        <w:r>
          <w:fldChar w:fldCharType="begin"/>
        </w:r>
        <w:r>
          <w:instrText xml:space="preserve"> PAGEREF _Toc23007 \h </w:instrText>
        </w:r>
        <w:r>
          <w:fldChar w:fldCharType="separate"/>
        </w:r>
        <w:r>
          <w:t>5</w:t>
        </w:r>
        <w:r>
          <w:fldChar w:fldCharType="end"/>
        </w:r>
      </w:hyperlink>
    </w:p>
    <w:p>
      <w:pPr>
        <w:pStyle w:val="TOC1"/>
        <w:tabs>
          <w:tab w:val="right" w:leader="dot" w:pos="8306"/>
        </w:tabs>
      </w:pPr>
      <w:hyperlink w:anchor="_Toc5328" w:history="1">
        <w:r>
          <w:rPr>
            <w:rFonts w:ascii="仿宋" w:eastAsia="仿宋" w:hAnsi="仿宋" w:cs="仿宋" w:hint="eastAsia"/>
            <w:lang w:eastAsia="zh-CN"/>
          </w:rPr>
          <w:t>二、产品规划分析</w:t>
        </w:r>
        <w:r>
          <w:tab/>
        </w:r>
        <w:r>
          <w:fldChar w:fldCharType="begin"/>
        </w:r>
        <w:r>
          <w:instrText xml:space="preserve"> PAGEREF _Toc5328 \h </w:instrText>
        </w:r>
        <w:r>
          <w:fldChar w:fldCharType="separate"/>
        </w:r>
        <w:r>
          <w:t>6</w:t>
        </w:r>
        <w:r>
          <w:fldChar w:fldCharType="end"/>
        </w:r>
      </w:hyperlink>
    </w:p>
    <w:p>
      <w:pPr>
        <w:pStyle w:val="TOC2"/>
        <w:tabs>
          <w:tab w:val="right" w:leader="dot" w:pos="8306"/>
        </w:tabs>
      </w:pPr>
      <w:hyperlink w:anchor="_Toc478" w:history="1">
        <w:r>
          <w:rPr>
            <w:rFonts w:ascii="仿宋" w:eastAsia="仿宋" w:hAnsi="仿宋" w:cs="仿宋" w:hint="eastAsia"/>
            <w:lang w:eastAsia="zh-CN"/>
          </w:rPr>
          <w:t>(一)、产品规划</w:t>
        </w:r>
        <w:r>
          <w:tab/>
        </w:r>
        <w:r>
          <w:fldChar w:fldCharType="begin"/>
        </w:r>
        <w:r>
          <w:instrText xml:space="preserve"> PAGEREF _Toc478 \h </w:instrText>
        </w:r>
        <w:r>
          <w:fldChar w:fldCharType="separate"/>
        </w:r>
        <w:r>
          <w:t>6</w:t>
        </w:r>
        <w:r>
          <w:fldChar w:fldCharType="end"/>
        </w:r>
      </w:hyperlink>
    </w:p>
    <w:p>
      <w:pPr>
        <w:pStyle w:val="TOC2"/>
        <w:tabs>
          <w:tab w:val="right" w:leader="dot" w:pos="8306"/>
        </w:tabs>
      </w:pPr>
      <w:hyperlink w:anchor="_Toc26881" w:history="1">
        <w:r>
          <w:rPr>
            <w:rFonts w:ascii="仿宋" w:eastAsia="仿宋" w:hAnsi="仿宋" w:cs="仿宋" w:hint="eastAsia"/>
            <w:lang w:eastAsia="zh-CN"/>
          </w:rPr>
          <w:t>(二)、建设规模</w:t>
        </w:r>
        <w:r>
          <w:tab/>
        </w:r>
        <w:r>
          <w:fldChar w:fldCharType="begin"/>
        </w:r>
        <w:r>
          <w:instrText xml:space="preserve"> PAGEREF _Toc26881 \h </w:instrText>
        </w:r>
        <w:r>
          <w:fldChar w:fldCharType="separate"/>
        </w:r>
        <w:r>
          <w:t>7</w:t>
        </w:r>
        <w:r>
          <w:fldChar w:fldCharType="end"/>
        </w:r>
      </w:hyperlink>
    </w:p>
    <w:p>
      <w:pPr>
        <w:pStyle w:val="TOC1"/>
        <w:tabs>
          <w:tab w:val="right" w:leader="dot" w:pos="8306"/>
        </w:tabs>
      </w:pPr>
      <w:hyperlink w:anchor="_Toc20707" w:history="1">
        <w:r>
          <w:rPr>
            <w:rFonts w:ascii="仿宋" w:eastAsia="仿宋" w:hAnsi="仿宋" w:cs="仿宋" w:hint="eastAsia"/>
            <w:lang w:eastAsia="zh-CN"/>
          </w:rPr>
          <w:t>三、学历教育项目选址可行性分析</w:t>
        </w:r>
        <w:r>
          <w:tab/>
        </w:r>
        <w:r>
          <w:fldChar w:fldCharType="begin"/>
        </w:r>
        <w:r>
          <w:instrText xml:space="preserve"> PAGEREF _Toc20707 \h </w:instrText>
        </w:r>
        <w:r>
          <w:fldChar w:fldCharType="separate"/>
        </w:r>
        <w:r>
          <w:t>8</w:t>
        </w:r>
        <w:r>
          <w:fldChar w:fldCharType="end"/>
        </w:r>
      </w:hyperlink>
    </w:p>
    <w:p>
      <w:pPr>
        <w:pStyle w:val="TOC2"/>
        <w:tabs>
          <w:tab w:val="right" w:leader="dot" w:pos="8306"/>
        </w:tabs>
      </w:pPr>
      <w:hyperlink w:anchor="_Toc2253" w:history="1">
        <w:r>
          <w:rPr>
            <w:rFonts w:ascii="仿宋" w:eastAsia="仿宋" w:hAnsi="仿宋" w:cs="仿宋" w:hint="eastAsia"/>
            <w:lang w:eastAsia="zh-CN"/>
          </w:rPr>
          <w:t>(一)、学历教育项目选址</w:t>
        </w:r>
        <w:r>
          <w:tab/>
        </w:r>
        <w:r>
          <w:fldChar w:fldCharType="begin"/>
        </w:r>
        <w:r>
          <w:instrText xml:space="preserve"> PAGEREF _Toc2253 \h </w:instrText>
        </w:r>
        <w:r>
          <w:fldChar w:fldCharType="separate"/>
        </w:r>
        <w:r>
          <w:t>8</w:t>
        </w:r>
        <w:r>
          <w:fldChar w:fldCharType="end"/>
        </w:r>
      </w:hyperlink>
    </w:p>
    <w:p>
      <w:pPr>
        <w:pStyle w:val="TOC2"/>
        <w:tabs>
          <w:tab w:val="right" w:leader="dot" w:pos="8306"/>
        </w:tabs>
      </w:pPr>
      <w:hyperlink w:anchor="_Toc31761" w:history="1">
        <w:r>
          <w:rPr>
            <w:rFonts w:ascii="仿宋" w:eastAsia="仿宋" w:hAnsi="仿宋" w:cs="仿宋" w:hint="eastAsia"/>
            <w:lang w:eastAsia="zh-CN"/>
          </w:rPr>
          <w:t>(二)、用地控制指标</w:t>
        </w:r>
        <w:r>
          <w:tab/>
        </w:r>
        <w:r>
          <w:fldChar w:fldCharType="begin"/>
        </w:r>
        <w:r>
          <w:instrText xml:space="preserve"> PAGEREF _Toc31761 \h </w:instrText>
        </w:r>
        <w:r>
          <w:fldChar w:fldCharType="separate"/>
        </w:r>
        <w:r>
          <w:t>8</w:t>
        </w:r>
        <w:r>
          <w:fldChar w:fldCharType="end"/>
        </w:r>
      </w:hyperlink>
    </w:p>
    <w:p>
      <w:pPr>
        <w:pStyle w:val="TOC2"/>
        <w:tabs>
          <w:tab w:val="right" w:leader="dot" w:pos="8306"/>
        </w:tabs>
      </w:pPr>
      <w:hyperlink w:anchor="_Toc21545" w:history="1">
        <w:r>
          <w:rPr>
            <w:rFonts w:ascii="仿宋" w:eastAsia="仿宋" w:hAnsi="仿宋" w:cs="仿宋" w:hint="eastAsia"/>
            <w:lang w:eastAsia="zh-CN"/>
          </w:rPr>
          <w:t>(三)、节约用地措施</w:t>
        </w:r>
        <w:r>
          <w:tab/>
        </w:r>
        <w:r>
          <w:fldChar w:fldCharType="begin"/>
        </w:r>
        <w:r>
          <w:instrText xml:space="preserve"> PAGEREF _Toc21545 \h </w:instrText>
        </w:r>
        <w:r>
          <w:fldChar w:fldCharType="separate"/>
        </w:r>
        <w:r>
          <w:t>10</w:t>
        </w:r>
        <w:r>
          <w:fldChar w:fldCharType="end"/>
        </w:r>
      </w:hyperlink>
    </w:p>
    <w:p>
      <w:pPr>
        <w:pStyle w:val="TOC2"/>
        <w:tabs>
          <w:tab w:val="right" w:leader="dot" w:pos="8306"/>
        </w:tabs>
      </w:pPr>
      <w:hyperlink w:anchor="_Toc28006" w:history="1">
        <w:r>
          <w:rPr>
            <w:rFonts w:ascii="仿宋" w:eastAsia="仿宋" w:hAnsi="仿宋" w:cs="仿宋" w:hint="eastAsia"/>
            <w:lang w:eastAsia="zh-CN"/>
          </w:rPr>
          <w:t>(四)、总图布置方案</w:t>
        </w:r>
        <w:r>
          <w:tab/>
        </w:r>
        <w:r>
          <w:fldChar w:fldCharType="begin"/>
        </w:r>
        <w:r>
          <w:instrText xml:space="preserve"> PAGEREF _Toc28006 \h </w:instrText>
        </w:r>
        <w:r>
          <w:fldChar w:fldCharType="separate"/>
        </w:r>
        <w:r>
          <w:t>11</w:t>
        </w:r>
        <w:r>
          <w:fldChar w:fldCharType="end"/>
        </w:r>
      </w:hyperlink>
    </w:p>
    <w:p>
      <w:pPr>
        <w:pStyle w:val="TOC2"/>
        <w:tabs>
          <w:tab w:val="right" w:leader="dot" w:pos="8306"/>
        </w:tabs>
      </w:pPr>
      <w:hyperlink w:anchor="_Toc22418" w:history="1">
        <w:r>
          <w:rPr>
            <w:rFonts w:ascii="仿宋" w:eastAsia="仿宋" w:hAnsi="仿宋" w:cs="仿宋" w:hint="eastAsia"/>
            <w:lang w:eastAsia="zh-CN"/>
          </w:rPr>
          <w:t>(五)、选址综合评价</w:t>
        </w:r>
        <w:r>
          <w:tab/>
        </w:r>
        <w:r>
          <w:fldChar w:fldCharType="begin"/>
        </w:r>
        <w:r>
          <w:instrText xml:space="preserve"> PAGEREF _Toc22418 \h </w:instrText>
        </w:r>
        <w:r>
          <w:fldChar w:fldCharType="separate"/>
        </w:r>
        <w:r>
          <w:t>12</w:t>
        </w:r>
        <w:r>
          <w:fldChar w:fldCharType="end"/>
        </w:r>
      </w:hyperlink>
    </w:p>
    <w:p>
      <w:pPr>
        <w:pStyle w:val="TOC1"/>
        <w:tabs>
          <w:tab w:val="right" w:leader="dot" w:pos="8306"/>
        </w:tabs>
      </w:pPr>
      <w:hyperlink w:anchor="_Toc26641" w:history="1">
        <w:r>
          <w:rPr>
            <w:rFonts w:ascii="仿宋" w:eastAsia="仿宋" w:hAnsi="仿宋" w:cs="仿宋" w:hint="eastAsia"/>
            <w:lang w:eastAsia="zh-CN"/>
          </w:rPr>
          <w:t>四、市场分析、调研</w:t>
        </w:r>
        <w:r>
          <w:tab/>
        </w:r>
        <w:r>
          <w:fldChar w:fldCharType="begin"/>
        </w:r>
        <w:r>
          <w:instrText xml:space="preserve"> PAGEREF _Toc26641 \h </w:instrText>
        </w:r>
        <w:r>
          <w:fldChar w:fldCharType="separate"/>
        </w:r>
        <w:r>
          <w:t>13</w:t>
        </w:r>
        <w:r>
          <w:fldChar w:fldCharType="end"/>
        </w:r>
      </w:hyperlink>
    </w:p>
    <w:p>
      <w:pPr>
        <w:pStyle w:val="TOC2"/>
        <w:tabs>
          <w:tab w:val="right" w:leader="dot" w:pos="8306"/>
        </w:tabs>
      </w:pPr>
      <w:hyperlink w:anchor="_Toc14205" w:history="1">
        <w:r>
          <w:rPr>
            <w:rFonts w:ascii="仿宋" w:eastAsia="仿宋" w:hAnsi="仿宋" w:cs="仿宋" w:hint="eastAsia"/>
            <w:lang w:eastAsia="zh-CN"/>
          </w:rPr>
          <w:t>(一)、学历教育行业分析</w:t>
        </w:r>
        <w:r>
          <w:tab/>
        </w:r>
        <w:r>
          <w:fldChar w:fldCharType="begin"/>
        </w:r>
        <w:r>
          <w:instrText xml:space="preserve"> PAGEREF _Toc14205 \h </w:instrText>
        </w:r>
        <w:r>
          <w:fldChar w:fldCharType="separate"/>
        </w:r>
        <w:r>
          <w:t>13</w:t>
        </w:r>
        <w:r>
          <w:fldChar w:fldCharType="end"/>
        </w:r>
      </w:hyperlink>
    </w:p>
    <w:p>
      <w:pPr>
        <w:pStyle w:val="TOC2"/>
        <w:tabs>
          <w:tab w:val="right" w:leader="dot" w:pos="8306"/>
        </w:tabs>
      </w:pPr>
      <w:hyperlink w:anchor="_Toc15538" w:history="1">
        <w:r>
          <w:rPr>
            <w:rFonts w:ascii="仿宋" w:eastAsia="仿宋" w:hAnsi="仿宋" w:cs="仿宋" w:hint="eastAsia"/>
            <w:lang w:eastAsia="zh-CN"/>
          </w:rPr>
          <w:t>(二)、学历教育市场分析预测</w:t>
        </w:r>
        <w:r>
          <w:tab/>
        </w:r>
        <w:r>
          <w:fldChar w:fldCharType="begin"/>
        </w:r>
        <w:r>
          <w:instrText xml:space="preserve"> PAGEREF _Toc15538 \h </w:instrText>
        </w:r>
        <w:r>
          <w:fldChar w:fldCharType="separate"/>
        </w:r>
        <w:r>
          <w:t>14</w:t>
        </w:r>
        <w:r>
          <w:fldChar w:fldCharType="end"/>
        </w:r>
      </w:hyperlink>
    </w:p>
    <w:p>
      <w:pPr>
        <w:pStyle w:val="TOC1"/>
        <w:tabs>
          <w:tab w:val="right" w:leader="dot" w:pos="8306"/>
        </w:tabs>
      </w:pPr>
      <w:hyperlink w:anchor="_Toc12313" w:history="1">
        <w:r>
          <w:rPr>
            <w:rFonts w:ascii="仿宋" w:eastAsia="仿宋" w:hAnsi="仿宋" w:cs="仿宋" w:hint="eastAsia"/>
            <w:lang w:eastAsia="zh-CN"/>
          </w:rPr>
          <w:t>五、学历教育项目建设单位说明</w:t>
        </w:r>
        <w:r>
          <w:tab/>
        </w:r>
        <w:r>
          <w:fldChar w:fldCharType="begin"/>
        </w:r>
        <w:r>
          <w:instrText xml:space="preserve"> PAGEREF _Toc12313 \h </w:instrText>
        </w:r>
        <w:r>
          <w:fldChar w:fldCharType="separate"/>
        </w:r>
        <w:r>
          <w:t>15</w:t>
        </w:r>
        <w:r>
          <w:fldChar w:fldCharType="end"/>
        </w:r>
      </w:hyperlink>
    </w:p>
    <w:p>
      <w:pPr>
        <w:pStyle w:val="TOC2"/>
        <w:tabs>
          <w:tab w:val="right" w:leader="dot" w:pos="8306"/>
        </w:tabs>
      </w:pPr>
      <w:hyperlink w:anchor="_Toc29824" w:history="1">
        <w:r>
          <w:rPr>
            <w:rFonts w:ascii="仿宋" w:eastAsia="仿宋" w:hAnsi="仿宋" w:cs="仿宋" w:hint="eastAsia"/>
            <w:lang w:eastAsia="zh-CN"/>
          </w:rPr>
          <w:t>(一)、学历教育项目承办单位基本情况</w:t>
        </w:r>
        <w:r>
          <w:tab/>
        </w:r>
        <w:r>
          <w:fldChar w:fldCharType="begin"/>
        </w:r>
        <w:r>
          <w:instrText xml:space="preserve"> PAGEREF _Toc29824 \h </w:instrText>
        </w:r>
        <w:r>
          <w:fldChar w:fldCharType="separate"/>
        </w:r>
        <w:r>
          <w:t>15</w:t>
        </w:r>
        <w:r>
          <w:fldChar w:fldCharType="end"/>
        </w:r>
      </w:hyperlink>
    </w:p>
    <w:p>
      <w:pPr>
        <w:pStyle w:val="TOC2"/>
        <w:tabs>
          <w:tab w:val="right" w:leader="dot" w:pos="8306"/>
        </w:tabs>
      </w:pPr>
      <w:hyperlink w:anchor="_Toc5220" w:history="1">
        <w:r>
          <w:rPr>
            <w:rFonts w:ascii="仿宋" w:eastAsia="仿宋" w:hAnsi="仿宋" w:cs="仿宋" w:hint="eastAsia"/>
            <w:lang w:eastAsia="zh-CN"/>
          </w:rPr>
          <w:t>(二)、公司经济效益分析</w:t>
        </w:r>
        <w:r>
          <w:tab/>
        </w:r>
        <w:r>
          <w:fldChar w:fldCharType="begin"/>
        </w:r>
        <w:r>
          <w:instrText xml:space="preserve"> PAGEREF _Toc5220 \h </w:instrText>
        </w:r>
        <w:r>
          <w:fldChar w:fldCharType="separate"/>
        </w:r>
        <w:r>
          <w:t>15</w:t>
        </w:r>
        <w:r>
          <w:fldChar w:fldCharType="end"/>
        </w:r>
      </w:hyperlink>
    </w:p>
    <w:p>
      <w:pPr>
        <w:pStyle w:val="TOC1"/>
        <w:tabs>
          <w:tab w:val="right" w:leader="dot" w:pos="8306"/>
        </w:tabs>
      </w:pPr>
      <w:hyperlink w:anchor="_Toc21153" w:history="1">
        <w:r>
          <w:rPr>
            <w:rFonts w:ascii="仿宋" w:eastAsia="仿宋" w:hAnsi="仿宋" w:cs="仿宋" w:hint="eastAsia"/>
            <w:lang w:eastAsia="zh-CN"/>
          </w:rPr>
          <w:t>六、学历教育项目土建工程</w:t>
        </w:r>
        <w:r>
          <w:tab/>
        </w:r>
        <w:r>
          <w:fldChar w:fldCharType="begin"/>
        </w:r>
        <w:r>
          <w:instrText xml:space="preserve"> PAGEREF _Toc21153 \h </w:instrText>
        </w:r>
        <w:r>
          <w:fldChar w:fldCharType="separate"/>
        </w:r>
        <w:r>
          <w:t>16</w:t>
        </w:r>
        <w:r>
          <w:fldChar w:fldCharType="end"/>
        </w:r>
      </w:hyperlink>
    </w:p>
    <w:p>
      <w:pPr>
        <w:pStyle w:val="TOC2"/>
        <w:tabs>
          <w:tab w:val="right" w:leader="dot" w:pos="8306"/>
        </w:tabs>
      </w:pPr>
      <w:hyperlink w:anchor="_Toc20127" w:history="1">
        <w:r>
          <w:rPr>
            <w:rFonts w:ascii="仿宋" w:eastAsia="仿宋" w:hAnsi="仿宋" w:cs="仿宋" w:hint="eastAsia"/>
            <w:lang w:eastAsia="zh-CN"/>
          </w:rPr>
          <w:t>(一)、建筑工程设计原则</w:t>
        </w:r>
        <w:r>
          <w:tab/>
        </w:r>
        <w:r>
          <w:fldChar w:fldCharType="begin"/>
        </w:r>
        <w:r>
          <w:instrText xml:space="preserve"> PAGEREF _Toc20127 \h </w:instrText>
        </w:r>
        <w:r>
          <w:fldChar w:fldCharType="separate"/>
        </w:r>
        <w:r>
          <w:t>16</w:t>
        </w:r>
        <w:r>
          <w:fldChar w:fldCharType="end"/>
        </w:r>
      </w:hyperlink>
    </w:p>
    <w:p>
      <w:pPr>
        <w:pStyle w:val="TOC2"/>
        <w:tabs>
          <w:tab w:val="right" w:leader="dot" w:pos="8306"/>
        </w:tabs>
      </w:pPr>
      <w:hyperlink w:anchor="_Toc17719" w:history="1">
        <w:r>
          <w:rPr>
            <w:rFonts w:ascii="仿宋" w:eastAsia="仿宋" w:hAnsi="仿宋" w:cs="仿宋" w:hint="eastAsia"/>
            <w:lang w:eastAsia="zh-CN"/>
          </w:rPr>
          <w:t>(二)、土建工程设计年限及安全等级</w:t>
        </w:r>
        <w:r>
          <w:tab/>
        </w:r>
        <w:r>
          <w:fldChar w:fldCharType="begin"/>
        </w:r>
        <w:r>
          <w:instrText xml:space="preserve"> PAGEREF _Toc17719 \h </w:instrText>
        </w:r>
        <w:r>
          <w:fldChar w:fldCharType="separate"/>
        </w:r>
        <w:r>
          <w:t>17</w:t>
        </w:r>
        <w:r>
          <w:fldChar w:fldCharType="end"/>
        </w:r>
      </w:hyperlink>
    </w:p>
    <w:p>
      <w:pPr>
        <w:pStyle w:val="TOC2"/>
        <w:tabs>
          <w:tab w:val="right" w:leader="dot" w:pos="8306"/>
        </w:tabs>
      </w:pPr>
      <w:hyperlink w:anchor="_Toc13731" w:history="1">
        <w:r>
          <w:rPr>
            <w:rFonts w:ascii="仿宋" w:eastAsia="仿宋" w:hAnsi="仿宋" w:cs="仿宋" w:hint="eastAsia"/>
            <w:lang w:eastAsia="zh-CN"/>
          </w:rPr>
          <w:t>(三)、建筑工程设计总体要求</w:t>
        </w:r>
        <w:r>
          <w:tab/>
        </w:r>
        <w:r>
          <w:fldChar w:fldCharType="begin"/>
        </w:r>
        <w:r>
          <w:instrText xml:space="preserve"> PAGEREF _Toc13731 \h </w:instrText>
        </w:r>
        <w:r>
          <w:fldChar w:fldCharType="separate"/>
        </w:r>
        <w:r>
          <w:t>19</w:t>
        </w:r>
        <w:r>
          <w:fldChar w:fldCharType="end"/>
        </w:r>
      </w:hyperlink>
    </w:p>
    <w:p>
      <w:pPr>
        <w:pStyle w:val="TOC2"/>
        <w:tabs>
          <w:tab w:val="right" w:leader="dot" w:pos="8306"/>
        </w:tabs>
      </w:pPr>
      <w:hyperlink w:anchor="_Toc27639" w:history="1">
        <w:r>
          <w:rPr>
            <w:rFonts w:ascii="仿宋" w:eastAsia="仿宋" w:hAnsi="仿宋" w:cs="仿宋" w:hint="eastAsia"/>
            <w:lang w:eastAsia="zh-CN"/>
          </w:rPr>
          <w:t>(四)、土建工程建设指标</w:t>
        </w:r>
        <w:r>
          <w:tab/>
        </w:r>
        <w:r>
          <w:fldChar w:fldCharType="begin"/>
        </w:r>
        <w:r>
          <w:instrText xml:space="preserve"> PAGEREF _Toc27639 \h </w:instrText>
        </w:r>
        <w:r>
          <w:fldChar w:fldCharType="separate"/>
        </w:r>
        <w:r>
          <w:t>19</w:t>
        </w:r>
        <w:r>
          <w:fldChar w:fldCharType="end"/>
        </w:r>
      </w:hyperlink>
    </w:p>
    <w:p>
      <w:pPr>
        <w:pStyle w:val="TOC1"/>
        <w:tabs>
          <w:tab w:val="right" w:leader="dot" w:pos="8306"/>
        </w:tabs>
      </w:pPr>
      <w:hyperlink w:anchor="_Toc26024" w:history="1">
        <w:r>
          <w:rPr>
            <w:rFonts w:ascii="仿宋" w:eastAsia="仿宋" w:hAnsi="仿宋" w:cs="仿宋" w:hint="eastAsia"/>
            <w:lang w:eastAsia="zh-CN"/>
          </w:rPr>
          <w:t>七、生产安全保护</w:t>
        </w:r>
        <w:r>
          <w:tab/>
        </w:r>
        <w:r>
          <w:fldChar w:fldCharType="begin"/>
        </w:r>
        <w:r>
          <w:instrText xml:space="preserve"> PAGEREF _Toc26024 \h </w:instrText>
        </w:r>
        <w:r>
          <w:fldChar w:fldCharType="separate"/>
        </w:r>
        <w:r>
          <w:t>20</w:t>
        </w:r>
        <w:r>
          <w:fldChar w:fldCharType="end"/>
        </w:r>
      </w:hyperlink>
    </w:p>
    <w:p>
      <w:pPr>
        <w:pStyle w:val="TOC2"/>
        <w:tabs>
          <w:tab w:val="right" w:leader="dot" w:pos="8306"/>
        </w:tabs>
      </w:pPr>
      <w:hyperlink w:anchor="_Toc18491" w:history="1">
        <w:r>
          <w:rPr>
            <w:rFonts w:ascii="仿宋" w:eastAsia="仿宋" w:hAnsi="仿宋" w:cs="仿宋" w:hint="eastAsia"/>
            <w:lang w:eastAsia="zh-CN"/>
          </w:rPr>
          <w:t>(一)、消防安全</w:t>
        </w:r>
        <w:r>
          <w:tab/>
        </w:r>
        <w:r>
          <w:fldChar w:fldCharType="begin"/>
        </w:r>
        <w:r>
          <w:instrText xml:space="preserve"> PAGEREF _Toc18491 \h </w:instrText>
        </w:r>
        <w:r>
          <w:fldChar w:fldCharType="separate"/>
        </w:r>
        <w:r>
          <w:t>20</w:t>
        </w:r>
        <w:r>
          <w:fldChar w:fldCharType="end"/>
        </w:r>
      </w:hyperlink>
    </w:p>
    <w:p>
      <w:pPr>
        <w:pStyle w:val="TOC2"/>
        <w:tabs>
          <w:tab w:val="right" w:leader="dot" w:pos="8306"/>
        </w:tabs>
      </w:pPr>
      <w:hyperlink w:anchor="_Toc126" w:history="1">
        <w:r>
          <w:rPr>
            <w:rFonts w:ascii="仿宋" w:eastAsia="仿宋" w:hAnsi="仿宋" w:cs="仿宋" w:hint="eastAsia"/>
            <w:lang w:eastAsia="zh-CN"/>
          </w:rPr>
          <w:t>(二)、防火防爆总图布置措施</w:t>
        </w:r>
        <w:r>
          <w:tab/>
        </w:r>
        <w:r>
          <w:fldChar w:fldCharType="begin"/>
        </w:r>
        <w:r>
          <w:instrText xml:space="preserve"> PAGEREF _Toc126 \h </w:instrText>
        </w:r>
        <w:r>
          <w:fldChar w:fldCharType="separate"/>
        </w:r>
        <w:r>
          <w:t>21</w:t>
        </w:r>
        <w:r>
          <w:fldChar w:fldCharType="end"/>
        </w:r>
      </w:hyperlink>
    </w:p>
    <w:p>
      <w:pPr>
        <w:pStyle w:val="TOC2"/>
        <w:tabs>
          <w:tab w:val="right" w:leader="dot" w:pos="8306"/>
        </w:tabs>
      </w:pPr>
      <w:hyperlink w:anchor="_Toc2804" w:history="1">
        <w:r>
          <w:rPr>
            <w:rFonts w:ascii="仿宋" w:eastAsia="仿宋" w:hAnsi="仿宋" w:cs="仿宋" w:hint="eastAsia"/>
            <w:lang w:eastAsia="zh-CN"/>
          </w:rPr>
          <w:t>(三)、自然灾害防范措施</w:t>
        </w:r>
        <w:r>
          <w:tab/>
        </w:r>
        <w:r>
          <w:fldChar w:fldCharType="begin"/>
        </w:r>
        <w:r>
          <w:instrText xml:space="preserve"> PAGEREF _Toc2804 \h </w:instrText>
        </w:r>
        <w:r>
          <w:fldChar w:fldCharType="separate"/>
        </w:r>
        <w:r>
          <w:t>22</w:t>
        </w:r>
        <w:r>
          <w:fldChar w:fldCharType="end"/>
        </w:r>
      </w:hyperlink>
    </w:p>
    <w:p>
      <w:pPr>
        <w:pStyle w:val="TOC2"/>
        <w:tabs>
          <w:tab w:val="right" w:leader="dot" w:pos="8306"/>
        </w:tabs>
      </w:pPr>
      <w:hyperlink w:anchor="_Toc6211" w:history="1">
        <w:r>
          <w:rPr>
            <w:rFonts w:ascii="仿宋" w:eastAsia="仿宋" w:hAnsi="仿宋" w:cs="仿宋" w:hint="eastAsia"/>
            <w:lang w:eastAsia="zh-CN"/>
          </w:rPr>
          <w:t>(四)、安全色及安全标志使用要求</w:t>
        </w:r>
        <w:r>
          <w:tab/>
        </w:r>
        <w:r>
          <w:fldChar w:fldCharType="begin"/>
        </w:r>
        <w:r>
          <w:instrText xml:space="preserve"> PAGEREF _Toc6211 \h </w:instrText>
        </w:r>
        <w:r>
          <w:fldChar w:fldCharType="separate"/>
        </w:r>
        <w:r>
          <w:t>23</w:t>
        </w:r>
        <w:r>
          <w:fldChar w:fldCharType="end"/>
        </w:r>
      </w:hyperlink>
    </w:p>
    <w:p>
      <w:pPr>
        <w:pStyle w:val="TOC2"/>
        <w:tabs>
          <w:tab w:val="right" w:leader="dot" w:pos="8306"/>
        </w:tabs>
      </w:pPr>
      <w:hyperlink w:anchor="_Toc22252" w:history="1">
        <w:r>
          <w:rPr>
            <w:rFonts w:ascii="仿宋" w:eastAsia="仿宋" w:hAnsi="仿宋" w:cs="仿宋" w:hint="eastAsia"/>
            <w:lang w:eastAsia="zh-CN"/>
          </w:rPr>
          <w:t>(五)、防尘防毒措施</w:t>
        </w:r>
        <w:r>
          <w:tab/>
        </w:r>
        <w:r>
          <w:fldChar w:fldCharType="begin"/>
        </w:r>
        <w:r>
          <w:instrText xml:space="preserve"> PAGEREF _Toc22252 \h </w:instrText>
        </w:r>
        <w:r>
          <w:fldChar w:fldCharType="separate"/>
        </w:r>
        <w:r>
          <w:t>24</w:t>
        </w:r>
        <w:r>
          <w:fldChar w:fldCharType="end"/>
        </w:r>
      </w:hyperlink>
    </w:p>
    <w:p>
      <w:pPr>
        <w:pStyle w:val="TOC2"/>
        <w:tabs>
          <w:tab w:val="right" w:leader="dot" w:pos="8306"/>
        </w:tabs>
      </w:pPr>
      <w:hyperlink w:anchor="_Toc24863" w:history="1">
        <w:r>
          <w:rPr>
            <w:rFonts w:ascii="仿宋" w:eastAsia="仿宋" w:hAnsi="仿宋" w:cs="仿宋" w:hint="eastAsia"/>
            <w:lang w:eastAsia="zh-CN"/>
          </w:rPr>
          <w:t>(六)、防静电、触电防护及防雷措施</w:t>
        </w:r>
        <w:r>
          <w:tab/>
        </w:r>
        <w:r>
          <w:fldChar w:fldCharType="begin"/>
        </w:r>
        <w:r>
          <w:instrText xml:space="preserve"> PAGEREF _Toc24863 \h </w:instrText>
        </w:r>
        <w:r>
          <w:fldChar w:fldCharType="separate"/>
        </w:r>
        <w:r>
          <w:t>25</w:t>
        </w:r>
        <w:r>
          <w:fldChar w:fldCharType="end"/>
        </w:r>
      </w:hyperlink>
    </w:p>
    <w:p>
      <w:pPr>
        <w:pStyle w:val="TOC2"/>
        <w:tabs>
          <w:tab w:val="right" w:leader="dot" w:pos="8306"/>
        </w:tabs>
      </w:pPr>
      <w:hyperlink w:anchor="_Toc16938" w:history="1">
        <w:r>
          <w:rPr>
            <w:rFonts w:ascii="仿宋" w:eastAsia="仿宋" w:hAnsi="仿宋" w:cs="仿宋" w:hint="eastAsia"/>
            <w:lang w:eastAsia="zh-CN"/>
          </w:rPr>
          <w:t>(七)、机械设备安全保障措施</w:t>
        </w:r>
        <w:r>
          <w:tab/>
        </w:r>
        <w:r>
          <w:fldChar w:fldCharType="begin"/>
        </w:r>
        <w:r>
          <w:instrText xml:space="preserve"> PAGEREF _Toc16938 \h </w:instrText>
        </w:r>
        <w:r>
          <w:fldChar w:fldCharType="separate"/>
        </w:r>
        <w:r>
          <w:t>26</w:t>
        </w:r>
        <w:r>
          <w:fldChar w:fldCharType="end"/>
        </w:r>
      </w:hyperlink>
    </w:p>
    <w:p>
      <w:pPr>
        <w:pStyle w:val="TOC1"/>
        <w:tabs>
          <w:tab w:val="right" w:leader="dot" w:pos="8306"/>
        </w:tabs>
      </w:pPr>
      <w:hyperlink w:anchor="_Toc27023" w:history="1">
        <w:r>
          <w:rPr>
            <w:rFonts w:ascii="仿宋" w:eastAsia="仿宋" w:hAnsi="仿宋" w:cs="仿宋" w:hint="eastAsia"/>
            <w:lang w:eastAsia="zh-CN"/>
          </w:rPr>
          <w:t>八、学历教育项目社会影响</w:t>
        </w:r>
        <w:r>
          <w:tab/>
        </w:r>
        <w:r>
          <w:fldChar w:fldCharType="begin"/>
        </w:r>
        <w:r>
          <w:instrText xml:space="preserve"> PAGEREF _Toc27023 \h </w:instrText>
        </w:r>
        <w:r>
          <w:fldChar w:fldCharType="separate"/>
        </w:r>
        <w:r>
          <w:t>27</w:t>
        </w:r>
        <w:r>
          <w:fldChar w:fldCharType="end"/>
        </w:r>
      </w:hyperlink>
    </w:p>
    <w:p>
      <w:pPr>
        <w:pStyle w:val="TOC2"/>
        <w:tabs>
          <w:tab w:val="right" w:leader="dot" w:pos="8306"/>
        </w:tabs>
      </w:pPr>
      <w:hyperlink w:anchor="_Toc30592" w:history="1">
        <w:r>
          <w:rPr>
            <w:rFonts w:ascii="仿宋" w:eastAsia="仿宋" w:hAnsi="仿宋" w:cs="仿宋" w:hint="eastAsia"/>
            <w:lang w:eastAsia="zh-CN"/>
          </w:rPr>
          <w:t>(一)、社会责任与义务</w:t>
        </w:r>
        <w:r>
          <w:tab/>
        </w:r>
        <w:r>
          <w:fldChar w:fldCharType="begin"/>
        </w:r>
        <w:r>
          <w:instrText xml:space="preserve"> PAGEREF _Toc30592 \h </w:instrText>
        </w:r>
        <w:r>
          <w:fldChar w:fldCharType="separate"/>
        </w:r>
        <w:r>
          <w:t>27</w:t>
        </w:r>
        <w:r>
          <w:fldChar w:fldCharType="end"/>
        </w:r>
      </w:hyperlink>
    </w:p>
    <w:p>
      <w:pPr>
        <w:pStyle w:val="TOC2"/>
        <w:tabs>
          <w:tab w:val="right" w:leader="dot" w:pos="8306"/>
        </w:tabs>
      </w:pPr>
      <w:hyperlink w:anchor="_Toc22076" w:history="1">
        <w:r>
          <w:rPr>
            <w:rFonts w:ascii="仿宋" w:eastAsia="仿宋" w:hAnsi="仿宋" w:cs="仿宋" w:hint="eastAsia"/>
            <w:lang w:eastAsia="zh-CN"/>
          </w:rPr>
          <w:t>(二)、社会参与与沟通</w:t>
        </w:r>
        <w:r>
          <w:tab/>
        </w:r>
        <w:r>
          <w:fldChar w:fldCharType="begin"/>
        </w:r>
        <w:r>
          <w:instrText xml:space="preserve"> PAGEREF _Toc22076 \h </w:instrText>
        </w:r>
        <w:r>
          <w:fldChar w:fldCharType="separate"/>
        </w:r>
        <w:r>
          <w:t>28</w:t>
        </w:r>
        <w:r>
          <w:fldChar w:fldCharType="end"/>
        </w:r>
      </w:hyperlink>
    </w:p>
    <w:p>
      <w:pPr>
        <w:pStyle w:val="TOC1"/>
        <w:tabs>
          <w:tab w:val="right" w:leader="dot" w:pos="8306"/>
        </w:tabs>
      </w:pPr>
      <w:hyperlink w:anchor="_Toc8589" w:history="1">
        <w:r>
          <w:rPr>
            <w:rFonts w:ascii="仿宋" w:eastAsia="仿宋" w:hAnsi="仿宋" w:cs="仿宋" w:hint="eastAsia"/>
            <w:lang w:eastAsia="zh-CN"/>
          </w:rPr>
          <w:t>九、学历教育项目风险管理</w:t>
        </w:r>
        <w:r>
          <w:tab/>
        </w:r>
        <w:r>
          <w:fldChar w:fldCharType="begin"/>
        </w:r>
        <w:r>
          <w:instrText xml:space="preserve"> PAGEREF _Toc8589 \h </w:instrText>
        </w:r>
        <w:r>
          <w:fldChar w:fldCharType="separate"/>
        </w:r>
        <w:r>
          <w:t>29</w:t>
        </w:r>
        <w:r>
          <w:fldChar w:fldCharType="end"/>
        </w:r>
      </w:hyperlink>
    </w:p>
    <w:p>
      <w:pPr>
        <w:pStyle w:val="TOC2"/>
        <w:tabs>
          <w:tab w:val="right" w:leader="dot" w:pos="8306"/>
        </w:tabs>
      </w:pPr>
      <w:hyperlink w:anchor="_Toc17790" w:history="1">
        <w:r>
          <w:rPr>
            <w:rFonts w:ascii="仿宋" w:eastAsia="仿宋" w:hAnsi="仿宋" w:cs="仿宋" w:hint="eastAsia"/>
            <w:lang w:eastAsia="zh-CN"/>
          </w:rPr>
          <w:t>(一)、风险识别与评估</w:t>
        </w:r>
        <w:r>
          <w:tab/>
        </w:r>
        <w:r>
          <w:fldChar w:fldCharType="begin"/>
        </w:r>
        <w:r>
          <w:instrText xml:space="preserve"> PAGEREF _Toc17790 \h </w:instrText>
        </w:r>
        <w:r>
          <w:fldChar w:fldCharType="separate"/>
        </w:r>
        <w:r>
          <w:t>29</w:t>
        </w:r>
        <w:r>
          <w:fldChar w:fldCharType="end"/>
        </w:r>
      </w:hyperlink>
    </w:p>
    <w:p>
      <w:pPr>
        <w:pStyle w:val="TOC2"/>
        <w:tabs>
          <w:tab w:val="right" w:leader="dot" w:pos="8306"/>
        </w:tabs>
      </w:pPr>
      <w:hyperlink w:anchor="_Toc21168" w:history="1">
        <w:r>
          <w:rPr>
            <w:rFonts w:ascii="仿宋" w:eastAsia="仿宋" w:hAnsi="仿宋" w:cs="仿宋" w:hint="eastAsia"/>
            <w:lang w:eastAsia="zh-CN"/>
          </w:rPr>
          <w:t>(二)、风险应对策略</w:t>
        </w:r>
        <w:r>
          <w:tab/>
        </w:r>
        <w:r>
          <w:fldChar w:fldCharType="begin"/>
        </w:r>
        <w:r>
          <w:instrText xml:space="preserve"> PAGEREF _Toc21168 \h </w:instrText>
        </w:r>
        <w:r>
          <w:fldChar w:fldCharType="separate"/>
        </w:r>
        <w:r>
          <w:t>30</w:t>
        </w:r>
        <w:r>
          <w:fldChar w:fldCharType="end"/>
        </w:r>
      </w:hyperlink>
    </w:p>
    <w:p>
      <w:pPr>
        <w:pStyle w:val="TOC2"/>
        <w:tabs>
          <w:tab w:val="right" w:leader="dot" w:pos="8306"/>
        </w:tabs>
      </w:pPr>
      <w:hyperlink w:anchor="_Toc24565" w:history="1">
        <w:r>
          <w:rPr>
            <w:rFonts w:ascii="仿宋" w:eastAsia="仿宋" w:hAnsi="仿宋" w:cs="仿宋" w:hint="eastAsia"/>
            <w:lang w:eastAsia="zh-CN"/>
          </w:rPr>
          <w:t>(三)、风险监控与控制</w:t>
        </w:r>
        <w:r>
          <w:tab/>
        </w:r>
        <w:r>
          <w:fldChar w:fldCharType="begin"/>
        </w:r>
        <w:r>
          <w:instrText xml:space="preserve"> PAGEREF _Toc24565 \h </w:instrText>
        </w:r>
        <w:r>
          <w:fldChar w:fldCharType="separate"/>
        </w:r>
        <w:r>
          <w:t>32</w:t>
        </w:r>
        <w:r>
          <w:fldChar w:fldCharType="end"/>
        </w:r>
      </w:hyperlink>
    </w:p>
    <w:p>
      <w:pPr>
        <w:pStyle w:val="TOC1"/>
        <w:tabs>
          <w:tab w:val="right" w:leader="dot" w:pos="8306"/>
        </w:tabs>
      </w:pPr>
      <w:hyperlink w:anchor="_Toc31177" w:history="1">
        <w:r>
          <w:rPr>
            <w:rFonts w:ascii="仿宋" w:eastAsia="仿宋" w:hAnsi="仿宋" w:cs="仿宋" w:hint="eastAsia"/>
            <w:lang w:eastAsia="zh-CN"/>
          </w:rPr>
          <w:t>十、学历教育项目人力资源管理</w:t>
        </w:r>
        <w:r>
          <w:tab/>
        </w:r>
        <w:r>
          <w:fldChar w:fldCharType="begin"/>
        </w:r>
        <w:r>
          <w:instrText xml:space="preserve"> PAGEREF _Toc31177 \h </w:instrText>
        </w:r>
        <w:r>
          <w:fldChar w:fldCharType="separate"/>
        </w:r>
        <w:r>
          <w:t>33</w:t>
        </w:r>
        <w:r>
          <w:fldChar w:fldCharType="end"/>
        </w:r>
      </w:hyperlink>
    </w:p>
    <w:p>
      <w:pPr>
        <w:pStyle w:val="TOC2"/>
        <w:tabs>
          <w:tab w:val="right" w:leader="dot" w:pos="8306"/>
        </w:tabs>
      </w:pPr>
      <w:hyperlink w:anchor="_Toc1753" w:history="1">
        <w:r>
          <w:rPr>
            <w:rFonts w:ascii="仿宋" w:eastAsia="仿宋" w:hAnsi="仿宋" w:cs="仿宋" w:hint="eastAsia"/>
            <w:lang w:eastAsia="zh-CN"/>
          </w:rPr>
          <w:t>(一)、建立健全的预算管理制度</w:t>
        </w:r>
        <w:r>
          <w:tab/>
        </w:r>
        <w:r>
          <w:fldChar w:fldCharType="begin"/>
        </w:r>
        <w:r>
          <w:instrText xml:space="preserve"> PAGEREF _Toc1753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1" w:history="1">
        <w:r>
          <w:rPr>
            <w:rFonts w:ascii="仿宋" w:eastAsia="仿宋" w:hAnsi="仿宋" w:cs="仿宋" w:hint="eastAsia"/>
            <w:lang w:eastAsia="zh-CN"/>
          </w:rPr>
          <w:t>(二)、加强资金流动监控</w:t>
        </w:r>
        <w:r>
          <w:tab/>
        </w:r>
        <w:r>
          <w:fldChar w:fldCharType="begin"/>
        </w:r>
        <w:r>
          <w:instrText xml:space="preserve"> PAGEREF _Toc12721 \h </w:instrText>
        </w:r>
        <w:r>
          <w:fldChar w:fldCharType="separate"/>
        </w:r>
        <w:r>
          <w:t>35</w:t>
        </w:r>
        <w:r>
          <w:fldChar w:fldCharType="end"/>
        </w:r>
      </w:hyperlink>
    </w:p>
    <w:p>
      <w:pPr>
        <w:pStyle w:val="TOC2"/>
        <w:tabs>
          <w:tab w:val="right" w:leader="dot" w:pos="8306"/>
        </w:tabs>
      </w:pPr>
      <w:hyperlink w:anchor="_Toc22011" w:history="1">
        <w:r>
          <w:rPr>
            <w:rFonts w:ascii="仿宋" w:eastAsia="仿宋" w:hAnsi="仿宋" w:cs="仿宋" w:hint="eastAsia"/>
            <w:lang w:eastAsia="zh-CN"/>
          </w:rPr>
          <w:t>(三)、制定完善的风险控制机制</w:t>
        </w:r>
        <w:r>
          <w:tab/>
        </w:r>
        <w:r>
          <w:fldChar w:fldCharType="begin"/>
        </w:r>
        <w:r>
          <w:instrText xml:space="preserve"> PAGEREF _Toc22011 \h </w:instrText>
        </w:r>
        <w:r>
          <w:fldChar w:fldCharType="separate"/>
        </w:r>
        <w:r>
          <w:t>36</w:t>
        </w:r>
        <w:r>
          <w:fldChar w:fldCharType="end"/>
        </w:r>
      </w:hyperlink>
    </w:p>
    <w:p>
      <w:pPr>
        <w:pStyle w:val="TOC2"/>
        <w:tabs>
          <w:tab w:val="right" w:leader="dot" w:pos="8306"/>
        </w:tabs>
      </w:pPr>
      <w:hyperlink w:anchor="_Toc27096" w:history="1">
        <w:r>
          <w:rPr>
            <w:rFonts w:ascii="仿宋" w:eastAsia="仿宋" w:hAnsi="仿宋" w:cs="仿宋" w:hint="eastAsia"/>
            <w:lang w:eastAsia="zh-CN"/>
          </w:rPr>
          <w:t>(四)、优化成本管理</w:t>
        </w:r>
        <w:r>
          <w:tab/>
        </w:r>
        <w:r>
          <w:fldChar w:fldCharType="begin"/>
        </w:r>
        <w:r>
          <w:instrText xml:space="preserve"> PAGEREF _Toc27096 \h </w:instrText>
        </w:r>
        <w:r>
          <w:fldChar w:fldCharType="separate"/>
        </w:r>
        <w:r>
          <w:t>37</w:t>
        </w:r>
        <w:r>
          <w:fldChar w:fldCharType="end"/>
        </w:r>
      </w:hyperlink>
    </w:p>
    <w:p>
      <w:pPr>
        <w:pStyle w:val="TOC1"/>
        <w:tabs>
          <w:tab w:val="right" w:leader="dot" w:pos="8306"/>
        </w:tabs>
      </w:pPr>
      <w:hyperlink w:anchor="_Toc7813" w:history="1">
        <w:r>
          <w:rPr>
            <w:rFonts w:ascii="仿宋" w:eastAsia="仿宋" w:hAnsi="仿宋" w:cs="仿宋" w:hint="eastAsia"/>
            <w:lang w:eastAsia="zh-CN"/>
          </w:rPr>
          <w:t>十一、学历教育项目投资规划</w:t>
        </w:r>
        <w:r>
          <w:tab/>
        </w:r>
        <w:r>
          <w:fldChar w:fldCharType="begin"/>
        </w:r>
        <w:r>
          <w:instrText xml:space="preserve"> PAGEREF _Toc7813 \h </w:instrText>
        </w:r>
        <w:r>
          <w:fldChar w:fldCharType="separate"/>
        </w:r>
        <w:r>
          <w:t>38</w:t>
        </w:r>
        <w:r>
          <w:fldChar w:fldCharType="end"/>
        </w:r>
      </w:hyperlink>
    </w:p>
    <w:p>
      <w:pPr>
        <w:pStyle w:val="TOC2"/>
        <w:tabs>
          <w:tab w:val="right" w:leader="dot" w:pos="8306"/>
        </w:tabs>
      </w:pPr>
      <w:hyperlink w:anchor="_Toc6246" w:history="1">
        <w:r>
          <w:rPr>
            <w:rFonts w:ascii="仿宋" w:eastAsia="仿宋" w:hAnsi="仿宋" w:cs="仿宋" w:hint="eastAsia"/>
            <w:lang w:eastAsia="zh-CN"/>
          </w:rPr>
          <w:t>(一)、学历教育项目总投资估算</w:t>
        </w:r>
        <w:r>
          <w:tab/>
        </w:r>
        <w:r>
          <w:fldChar w:fldCharType="begin"/>
        </w:r>
        <w:r>
          <w:instrText xml:space="preserve"> PAGEREF _Toc6246 \h </w:instrText>
        </w:r>
        <w:r>
          <w:fldChar w:fldCharType="separate"/>
        </w:r>
        <w:r>
          <w:t>38</w:t>
        </w:r>
        <w:r>
          <w:fldChar w:fldCharType="end"/>
        </w:r>
      </w:hyperlink>
    </w:p>
    <w:p>
      <w:pPr>
        <w:pStyle w:val="TOC2"/>
        <w:tabs>
          <w:tab w:val="right" w:leader="dot" w:pos="8306"/>
        </w:tabs>
      </w:pPr>
      <w:hyperlink w:anchor="_Toc26871" w:history="1">
        <w:r>
          <w:rPr>
            <w:rFonts w:ascii="仿宋" w:eastAsia="仿宋" w:hAnsi="仿宋" w:cs="仿宋" w:hint="eastAsia"/>
            <w:lang w:eastAsia="zh-CN"/>
          </w:rPr>
          <w:t>(二)、资金筹措</w:t>
        </w:r>
        <w:r>
          <w:tab/>
        </w:r>
        <w:r>
          <w:fldChar w:fldCharType="begin"/>
        </w:r>
        <w:r>
          <w:instrText xml:space="preserve"> PAGEREF _Toc26871 \h </w:instrText>
        </w:r>
        <w:r>
          <w:fldChar w:fldCharType="separate"/>
        </w:r>
        <w:r>
          <w:t>40</w:t>
        </w:r>
        <w:r>
          <w:fldChar w:fldCharType="end"/>
        </w:r>
      </w:hyperlink>
    </w:p>
    <w:p>
      <w:pPr>
        <w:pStyle w:val="TOC1"/>
        <w:tabs>
          <w:tab w:val="right" w:leader="dot" w:pos="8306"/>
        </w:tabs>
      </w:pPr>
      <w:hyperlink w:anchor="_Toc27347" w:history="1">
        <w:r>
          <w:rPr>
            <w:rFonts w:ascii="仿宋" w:eastAsia="仿宋" w:hAnsi="仿宋" w:cs="仿宋" w:hint="eastAsia"/>
            <w:lang w:eastAsia="zh-CN"/>
          </w:rPr>
          <w:t>十二、学历教育项目经营效益</w:t>
        </w:r>
        <w:r>
          <w:tab/>
        </w:r>
        <w:r>
          <w:fldChar w:fldCharType="begin"/>
        </w:r>
        <w:r>
          <w:instrText xml:space="preserve"> PAGEREF _Toc27347 \h </w:instrText>
        </w:r>
        <w:r>
          <w:fldChar w:fldCharType="separate"/>
        </w:r>
        <w:r>
          <w:t>40</w:t>
        </w:r>
        <w:r>
          <w:fldChar w:fldCharType="end"/>
        </w:r>
      </w:hyperlink>
    </w:p>
    <w:p>
      <w:pPr>
        <w:pStyle w:val="TOC2"/>
        <w:tabs>
          <w:tab w:val="right" w:leader="dot" w:pos="8306"/>
        </w:tabs>
      </w:pPr>
      <w:hyperlink w:anchor="_Toc16388" w:history="1">
        <w:r>
          <w:rPr>
            <w:rFonts w:ascii="仿宋" w:eastAsia="仿宋" w:hAnsi="仿宋" w:cs="仿宋" w:hint="eastAsia"/>
            <w:lang w:eastAsia="zh-CN"/>
          </w:rPr>
          <w:t>(一)、经济评价财务测算</w:t>
        </w:r>
        <w:r>
          <w:tab/>
        </w:r>
        <w:r>
          <w:fldChar w:fldCharType="begin"/>
        </w:r>
        <w:r>
          <w:instrText xml:space="preserve"> PAGEREF _Toc16388 \h </w:instrText>
        </w:r>
        <w:r>
          <w:fldChar w:fldCharType="separate"/>
        </w:r>
        <w:r>
          <w:t>40</w:t>
        </w:r>
        <w:r>
          <w:fldChar w:fldCharType="end"/>
        </w:r>
      </w:hyperlink>
    </w:p>
    <w:p>
      <w:pPr>
        <w:pStyle w:val="TOC2"/>
        <w:tabs>
          <w:tab w:val="right" w:leader="dot" w:pos="8306"/>
        </w:tabs>
      </w:pPr>
      <w:hyperlink w:anchor="_Toc20436" w:history="1">
        <w:r>
          <w:rPr>
            <w:rFonts w:ascii="仿宋" w:eastAsia="仿宋" w:hAnsi="仿宋" w:cs="仿宋" w:hint="eastAsia"/>
            <w:lang w:eastAsia="zh-CN"/>
          </w:rPr>
          <w:t>(二)、学历教育项目盈利能力分析</w:t>
        </w:r>
        <w:r>
          <w:tab/>
        </w:r>
        <w:r>
          <w:fldChar w:fldCharType="begin"/>
        </w:r>
        <w:r>
          <w:instrText xml:space="preserve"> PAGEREF _Toc20436 \h </w:instrText>
        </w:r>
        <w:r>
          <w:fldChar w:fldCharType="separate"/>
        </w:r>
        <w:r>
          <w:t>42</w:t>
        </w:r>
        <w:r>
          <w:fldChar w:fldCharType="end"/>
        </w:r>
      </w:hyperlink>
    </w:p>
    <w:p>
      <w:pPr>
        <w:pStyle w:val="TOC1"/>
        <w:tabs>
          <w:tab w:val="right" w:leader="dot" w:pos="8306"/>
        </w:tabs>
      </w:pPr>
      <w:hyperlink w:anchor="_Toc21290" w:history="1">
        <w:r>
          <w:rPr>
            <w:rFonts w:ascii="仿宋" w:eastAsia="仿宋" w:hAnsi="仿宋" w:cs="仿宋" w:hint="eastAsia"/>
            <w:lang w:eastAsia="zh-CN"/>
          </w:rPr>
          <w:t>十三、营销与推广策略</w:t>
        </w:r>
        <w:r>
          <w:tab/>
        </w:r>
        <w:r>
          <w:fldChar w:fldCharType="begin"/>
        </w:r>
        <w:r>
          <w:instrText xml:space="preserve"> PAGEREF _Toc21290 \h </w:instrText>
        </w:r>
        <w:r>
          <w:fldChar w:fldCharType="separate"/>
        </w:r>
        <w:r>
          <w:t>42</w:t>
        </w:r>
        <w:r>
          <w:fldChar w:fldCharType="end"/>
        </w:r>
      </w:hyperlink>
    </w:p>
    <w:p>
      <w:pPr>
        <w:pStyle w:val="TOC2"/>
        <w:tabs>
          <w:tab w:val="right" w:leader="dot" w:pos="8306"/>
        </w:tabs>
      </w:pPr>
      <w:hyperlink w:anchor="_Toc19976" w:history="1">
        <w:r>
          <w:rPr>
            <w:rFonts w:ascii="仿宋" w:eastAsia="仿宋" w:hAnsi="仿宋" w:cs="仿宋" w:hint="eastAsia"/>
            <w:lang w:eastAsia="zh-CN"/>
          </w:rPr>
          <w:t>(一)、产品/服务定位与特点</w:t>
        </w:r>
        <w:r>
          <w:tab/>
        </w:r>
        <w:r>
          <w:fldChar w:fldCharType="begin"/>
        </w:r>
        <w:r>
          <w:instrText xml:space="preserve"> PAGEREF _Toc19976 \h </w:instrText>
        </w:r>
        <w:r>
          <w:fldChar w:fldCharType="separate"/>
        </w:r>
        <w:r>
          <w:t>42</w:t>
        </w:r>
        <w:r>
          <w:fldChar w:fldCharType="end"/>
        </w:r>
      </w:hyperlink>
    </w:p>
    <w:p>
      <w:pPr>
        <w:pStyle w:val="TOC2"/>
        <w:tabs>
          <w:tab w:val="right" w:leader="dot" w:pos="8306"/>
        </w:tabs>
      </w:pPr>
      <w:hyperlink w:anchor="_Toc14142" w:history="1">
        <w:r>
          <w:rPr>
            <w:rFonts w:ascii="仿宋" w:eastAsia="仿宋" w:hAnsi="仿宋" w:cs="仿宋" w:hint="eastAsia"/>
            <w:lang w:eastAsia="zh-CN"/>
          </w:rPr>
          <w:t>(二)、市场定位与竞争分析</w:t>
        </w:r>
        <w:r>
          <w:tab/>
        </w:r>
        <w:r>
          <w:fldChar w:fldCharType="begin"/>
        </w:r>
        <w:r>
          <w:instrText xml:space="preserve"> PAGEREF _Toc14142 \h </w:instrText>
        </w:r>
        <w:r>
          <w:fldChar w:fldCharType="separate"/>
        </w:r>
        <w:r>
          <w:t>44</w:t>
        </w:r>
        <w:r>
          <w:fldChar w:fldCharType="end"/>
        </w:r>
      </w:hyperlink>
    </w:p>
    <w:p>
      <w:pPr>
        <w:pStyle w:val="TOC2"/>
        <w:tabs>
          <w:tab w:val="right" w:leader="dot" w:pos="8306"/>
        </w:tabs>
      </w:pPr>
      <w:hyperlink w:anchor="_Toc29910" w:history="1">
        <w:r>
          <w:rPr>
            <w:rFonts w:ascii="仿宋" w:eastAsia="仿宋" w:hAnsi="仿宋" w:cs="仿宋" w:hint="eastAsia"/>
            <w:lang w:eastAsia="zh-CN"/>
          </w:rPr>
          <w:t>(三)、营销渠道与策略</w:t>
        </w:r>
        <w:r>
          <w:tab/>
        </w:r>
        <w:r>
          <w:fldChar w:fldCharType="begin"/>
        </w:r>
        <w:r>
          <w:instrText xml:space="preserve"> PAGEREF _Toc29910 \h </w:instrText>
        </w:r>
        <w:r>
          <w:fldChar w:fldCharType="separate"/>
        </w:r>
        <w:r>
          <w:t>45</w:t>
        </w:r>
        <w:r>
          <w:fldChar w:fldCharType="end"/>
        </w:r>
      </w:hyperlink>
    </w:p>
    <w:p>
      <w:pPr>
        <w:pStyle w:val="TOC2"/>
        <w:tabs>
          <w:tab w:val="right" w:leader="dot" w:pos="8306"/>
        </w:tabs>
      </w:pPr>
      <w:hyperlink w:anchor="_Toc31824" w:history="1">
        <w:r>
          <w:rPr>
            <w:rFonts w:ascii="仿宋" w:eastAsia="仿宋" w:hAnsi="仿宋" w:cs="仿宋" w:hint="eastAsia"/>
            <w:lang w:eastAsia="zh-CN"/>
          </w:rPr>
          <w:t>(四)、推广与宣传活动</w:t>
        </w:r>
        <w:r>
          <w:tab/>
        </w:r>
        <w:r>
          <w:fldChar w:fldCharType="begin"/>
        </w:r>
        <w:r>
          <w:instrText xml:space="preserve"> PAGEREF _Toc31824 \h </w:instrText>
        </w:r>
        <w:r>
          <w:fldChar w:fldCharType="separate"/>
        </w:r>
        <w:r>
          <w:t>46</w:t>
        </w:r>
        <w:r>
          <w:fldChar w:fldCharType="end"/>
        </w:r>
      </w:hyperlink>
    </w:p>
    <w:p>
      <w:pPr>
        <w:pStyle w:val="TOC1"/>
        <w:tabs>
          <w:tab w:val="right" w:leader="dot" w:pos="8306"/>
        </w:tabs>
      </w:pPr>
      <w:hyperlink w:anchor="_Toc24910" w:history="1">
        <w:r>
          <w:rPr>
            <w:rFonts w:ascii="仿宋" w:eastAsia="仿宋" w:hAnsi="仿宋" w:cs="仿宋" w:hint="eastAsia"/>
            <w:lang w:eastAsia="zh-CN"/>
          </w:rPr>
          <w:t>十四、学历教育项目治理与监督</w:t>
        </w:r>
        <w:r>
          <w:tab/>
        </w:r>
        <w:r>
          <w:fldChar w:fldCharType="begin"/>
        </w:r>
        <w:r>
          <w:instrText xml:space="preserve"> PAGEREF _Toc24910 \h </w:instrText>
        </w:r>
        <w:r>
          <w:fldChar w:fldCharType="separate"/>
        </w:r>
        <w:r>
          <w:t>51</w:t>
        </w:r>
        <w:r>
          <w:fldChar w:fldCharType="end"/>
        </w:r>
      </w:hyperlink>
    </w:p>
    <w:p>
      <w:pPr>
        <w:pStyle w:val="TOC2"/>
        <w:tabs>
          <w:tab w:val="right" w:leader="dot" w:pos="8306"/>
        </w:tabs>
      </w:pPr>
      <w:hyperlink w:anchor="_Toc19330" w:history="1">
        <w:r>
          <w:rPr>
            <w:rFonts w:ascii="仿宋" w:eastAsia="仿宋" w:hAnsi="仿宋" w:cs="仿宋" w:hint="eastAsia"/>
            <w:lang w:eastAsia="zh-CN"/>
          </w:rPr>
          <w:t>(一)、学历教育项目治理结构</w:t>
        </w:r>
        <w:r>
          <w:tab/>
        </w:r>
        <w:r>
          <w:fldChar w:fldCharType="begin"/>
        </w:r>
        <w:r>
          <w:instrText xml:space="preserve"> PAGEREF _Toc19330 \h </w:instrText>
        </w:r>
        <w:r>
          <w:fldChar w:fldCharType="separate"/>
        </w:r>
        <w:r>
          <w:t>51</w:t>
        </w:r>
        <w:r>
          <w:fldChar w:fldCharType="end"/>
        </w:r>
      </w:hyperlink>
    </w:p>
    <w:p>
      <w:pPr>
        <w:pStyle w:val="TOC2"/>
        <w:tabs>
          <w:tab w:val="right" w:leader="dot" w:pos="8306"/>
        </w:tabs>
      </w:pPr>
      <w:hyperlink w:anchor="_Toc24338" w:history="1">
        <w:r>
          <w:rPr>
            <w:rFonts w:ascii="仿宋" w:eastAsia="仿宋" w:hAnsi="仿宋" w:cs="仿宋" w:hint="eastAsia"/>
            <w:lang w:eastAsia="zh-CN"/>
          </w:rPr>
          <w:t>(二)、监督与审计</w:t>
        </w:r>
        <w:r>
          <w:tab/>
        </w:r>
        <w:r>
          <w:fldChar w:fldCharType="begin"/>
        </w:r>
        <w:r>
          <w:instrText xml:space="preserve"> PAGEREF _Toc24338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46"/>
      <w:r>
        <w:rPr>
          <w:rFonts w:ascii="仿宋" w:eastAsia="仿宋" w:hAnsi="仿宋" w:cs="仿宋" w:hint="eastAsia"/>
          <w:sz w:val="28"/>
          <w:lang w:eastAsia="zh-CN"/>
        </w:rPr>
        <w:t>一、学历教育项目建设背景及必要性分析</w:t>
      </w:r>
      <w:bookmarkEnd w:id="2"/>
    </w:p>
    <w:p>
      <w:pPr>
        <w:pStyle w:val="Heading2"/>
        <w:rPr>
          <w:rFonts w:ascii="仿宋" w:eastAsia="仿宋" w:hAnsi="仿宋" w:cs="仿宋" w:hint="eastAsia"/>
          <w:lang w:eastAsia="zh-CN"/>
        </w:rPr>
      </w:pPr>
      <w:bookmarkStart w:id="3" w:name="_Toc17433"/>
      <w:r>
        <w:rPr>
          <w:rFonts w:ascii="仿宋" w:eastAsia="仿宋" w:hAnsi="仿宋" w:cs="仿宋" w:hint="eastAsia"/>
          <w:lang w:eastAsia="zh-CN"/>
        </w:rPr>
        <w:t>(一)、学历教育项目背景分析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历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历教育项目在这个潮流中的定位。同时，我们将关注行业内涌现的新兴机遇，以便学历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历教育项目提供了强大的发展动力。我们将聚焦于行业内最新的技术发展趋势，包括但不限于人工智能、大数据分析、物联网等领域。通过深度的技术研究，我们将确保学历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历教育项目发展的源泉。我们将投入更多的精力对市场需求进行深入剖析，超越表面的需求，深入挖掘潜在的市场痛点和机遇。通过对市场需求的细致了解，学历教育项目将更有针对性地设计解决方案，满足市场的多样化需求，从而更好地促进学历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历教育项目战略至关重要。我们将对竞争态势进行更为深入的分析，包括但不限于市场份额、产品特点、客户满意度等多个维度。通过深度的竞争分析，学历教育项目将能够更准确地把握市场脉搏，制定具有竞争力的学历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学历教育项目的发展具有直接的影响。我们将进行更为全面的法规和政策分析，了解行业发展中的潜在法律风险和合规挑战。通过充分了解和遵守相关法规，学历教育项目将确保在法律框架内合法合规运营，为学历教育项目的稳健发展提供有力支持。</w:t>
      </w:r>
    </w:p>
    <w:p>
      <w:pPr>
        <w:pStyle w:val="Heading2"/>
        <w:ind w:firstLine="560" w:firstLineChars="200"/>
        <w:rPr>
          <w:rFonts w:ascii="仿宋" w:eastAsia="仿宋" w:hAnsi="仿宋" w:cs="仿宋" w:hint="eastAsia"/>
          <w:sz w:val="28"/>
          <w:lang w:eastAsia="zh-CN"/>
        </w:rPr>
      </w:pPr>
      <w:bookmarkStart w:id="4" w:name="_Toc23007"/>
      <w:r>
        <w:rPr>
          <w:rFonts w:ascii="仿宋" w:eastAsia="仿宋" w:hAnsi="仿宋" w:cs="仿宋" w:hint="eastAsia"/>
          <w:sz w:val="28"/>
          <w:lang w:eastAsia="zh-CN"/>
        </w:rPr>
        <w:t>(二)、学历教育项目建设必要性分析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建设的迫切性源于对行业发展趋势的深刻洞察。我们正处于一个行业变革的时代，科技创新、数字化转型成为企业发展的关键动力。学历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建设不仅仅是为了跟上潮流，更是为了通过技术创新推动企业的持续发展。通过引入先进的技术和解决方案，学历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学历教育项目的建设成为必然选择，通过提高产品质量、拓展服务领域，从而在竞争中获得更多的机会。学历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学历教育项目建设的必要性体现在对客户需求更精准的满足。通过学历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建设的背后是对企业持续创新的追求。只有通过不断创新，企业才能在竞争中立于不败之地。学历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32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7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学历教育项目的主要产品是XXXX，预计年产值为XXX万元。这一产品在市场中占据着重要的地位，其广泛的应用范围使得该学历教育项目的市场前景非常广阔。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学历教育项目的xxx产品作为重要的原材料之一，将在多个领域发挥关键作用。其在建筑、交通、能源等方面的广泛应用将为整个产业链提供强大的支持，形成产业协同效应。学历教育项目的年产值XXX万XXX万XXX万万元不仅反映了其在市场上的巨大潜力，更预示着它对国民经济的积极贡献。这种关联度高、涉及面广的产业关系，使得该学历教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88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总征地面积为XXXX平方米，相当于约XX.XX亩，其中净用地面积为XXXX平方米，红线范围内相当于约XX.XX亩。这一用地规模充分考虑了学历教育项目的建设需求，保障了学历教育项目在合适的空间内得以充分发展。学历教育项目规划的总建筑面积为XXXX平方米，其中主体工程建设占XXXX平方米，计容建筑面积达XXXX平方米。预计建筑工程的投资将达到XXXX万元，为学历教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计划购置的设备共计XXXX台（套），设备购置费用为XXXX万元。这一设备购置计划充分考虑到学历教育项目的生产需求和技术要求，确保了学历教育项目在生产运营中具备先进的技术装备和高效的生产能力。设备的合理配置将为学历教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计划总投资为XXXX万元，预计年实现营业收入为XXXX万元。这一产能规模的设定旨在确保学历教育项目能够在投资与回报之间取得平衡，实现长期可持续的发展。学历教育项目的总投资充分考虑到各个方面的需求，包括用地建设、设备购置等多个环节，以确保学历教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707"/>
      <w:r>
        <w:rPr>
          <w:rFonts w:ascii="仿宋" w:eastAsia="仿宋" w:hAnsi="仿宋" w:cs="仿宋" w:hint="eastAsia"/>
          <w:sz w:val="28"/>
          <w:lang w:eastAsia="zh-CN"/>
        </w:rPr>
        <w:t>三、学历教育项目选址可行性分析</w:t>
      </w:r>
      <w:bookmarkEnd w:id="8"/>
    </w:p>
    <w:p>
      <w:pPr>
        <w:pStyle w:val="Heading2"/>
        <w:rPr>
          <w:rFonts w:ascii="仿宋" w:eastAsia="仿宋" w:hAnsi="仿宋" w:cs="仿宋" w:hint="eastAsia"/>
          <w:lang w:eastAsia="zh-CN"/>
        </w:rPr>
      </w:pPr>
      <w:bookmarkStart w:id="9" w:name="_Toc2253"/>
      <w:r>
        <w:rPr>
          <w:rFonts w:ascii="仿宋" w:eastAsia="仿宋" w:hAnsi="仿宋" w:cs="仿宋" w:hint="eastAsia"/>
          <w:lang w:eastAsia="zh-CN"/>
        </w:rPr>
        <w:t>(一)、学历教育项目选址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该学历教育项目选址位于XX省XX市XX区XXX街道</w:t>
      </w:r>
    </w:p>
    <w:p>
      <w:pPr>
        <w:pStyle w:val="Heading2"/>
        <w:ind w:firstLine="560" w:firstLineChars="200"/>
        <w:rPr>
          <w:rFonts w:ascii="仿宋" w:eastAsia="仿宋" w:hAnsi="仿宋" w:cs="仿宋" w:hint="eastAsia"/>
          <w:sz w:val="28"/>
          <w:lang w:eastAsia="zh-CN"/>
        </w:rPr>
      </w:pPr>
      <w:bookmarkStart w:id="10" w:name="_Toc317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学历教育项目的征地面积将根据学历教育项目的实际规模和需求进行精确规划。具体面积XXX平方米，旨在确保学历教育项目不仅能够满足当前的发展需求，还能够预留空间以适应未来的扩展。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净用地面积是在征地面积基础上去除不可利用面积后的实际可开发用地。具体面积XXX平方米，考虑到环保、交通、安全等多方面因素，以确保学历教育项目在整体利用效率上达到最优。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学历教育项目计划建设的建筑总规模具体面积XXX平方米。这一规模的确定综合考虑了学历教育项目的性质、规模，以及城市规划的相关要求，确保建筑布局与周边环境协调一致。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绿地率是学历教育项目用地中被规划为绿地的比例。具体面积XXX平方米，旨在通过合理规划绿地，改善学历教育项目周边环境，提升居民生活质量，并符合城市整体绿化规划。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容积率是用地上可以建设的建筑总体积与用地面积之比。具体面积XXX，通过合理的容积率规划，确保学历教育项目建筑规模与周边环境和谐共生。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确保学历教育项目选址与当地城市规划相一致，具体面积XXX平方米。通过与城市规划部门深入沟通，确保学历教育项目不仅符合城市的整体发展方向，还能够融入城市的发展布局，为城市的长远发展贡献力量。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历教育项目选址符合当地产业政策，具体面积XXX平方米。这包括学历教育项目对当地经济的促进作用，以及对相关产业的带动效应，确保学历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用地总体要求必须符合环保和可持续发展的原则，具体面积XXX平方米。通过采用绿色建筑设计、节能减排等措施，确保学历教育项目在建设和运营过程中对环境的影响最小化，达到可持续发展的要求。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确保学历教育项目选址具备必要的公共设施配套，具体面积XXX平方米。这包括交通便利性、教育、医疗等基础设施，以提高居民生活品质，使得学历教育项目选址更具吸引力。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考虑用地总体要求对当地社会稳定性的影响，具体面积XXX平方米。通过深入了解当地社区反馈，确保学历教育项目的选址和建设过程对当地社会和谐稳定产生积极作用。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历教育项目选址不仅符合法规和规划，还在实际操作中具有可行性。这一全面规划将为学历教育项目的成功实施提供坚实的基础，确保学历教育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54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历教育项目的设备规划和空间设计中，我们将采取灵活设备布局的措施。设备布局将根据实际需求进行灵活设计，避免不必要的浪费。通过合理规划设备摆放位置，我们将提高设备的利用率，减少设备间距，以确保学历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历教育项目内部引入共享设施的概念，例如共享会议室、办公区等。通过这种方式，我们可以减少对资源的重复建设，提高资源共享效率，从而减小学历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00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历教育项目的总图布置中，我们将不同功能区域进行明确的规划，以最大程度满足学历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41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历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学历教育项目对环境的影响是综合评价的重要因素之一。我们将详细考虑选址周边的自然环境、生态保护区、水源地等情况，确保学历教育项目的建设和运营对环境影响最小化，并符合当地的环保法规标准。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对选址的评价还需充分考虑当地政府的产业政策和法规。我们将详细了解学历教育项目所在地的相关政策，确保学历教育项目的规划和运营与当地法规相符，降低不必要的法律风险。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考虑到社会稳定性对企业运营的重要性，我们将评估选址地区的社会安全情况、劳工关系、社区反馈等方面，以确保学历教育项目的建设和运营不会受到社会稳定性的负面影响。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最后，我们将综合考虑用地成本，包括土地购置费用、土地开发成本等。通过对用地成本的详细评估，我们能够做出更为精确的经济效益分析，为学历教育项目的投资决策提供有力支持。</w:t>
      </w:r>
    </w:p>
    <w:p>
      <w:pPr>
        <w:pStyle w:val="Heading1"/>
        <w:ind w:firstLine="560" w:firstLineChars="200"/>
        <w:rPr>
          <w:rFonts w:ascii="仿宋" w:eastAsia="仿宋" w:hAnsi="仿宋" w:cs="仿宋" w:hint="eastAsia"/>
          <w:sz w:val="28"/>
          <w:lang w:eastAsia="zh-CN"/>
        </w:rPr>
      </w:pPr>
      <w:bookmarkStart w:id="14" w:name="_Toc2664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205"/>
      <w:r>
        <w:rPr>
          <w:rFonts w:ascii="仿宋" w:eastAsia="仿宋" w:hAnsi="仿宋" w:cs="仿宋" w:hint="eastAsia"/>
          <w:lang w:eastAsia="zh-CN"/>
        </w:rPr>
        <w:t>(一)、学历教育行业分析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行业一直以来都是市场的关注焦点。行业内的发展趋势、竞争态势以及潜在机会都对学历教育项目的推进产生深远的影响。通过深入研究行业的整体概貌，我们将更好地理解行业的核心特征，为学历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行业，技术一直是推动创新和发展的关键因素。我们将对当前技术趋势进行详尽分析，包括但不限于人工智能、大数据应用、先进制造技术等。这有助于学历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学历教育项目成功的基础。我们将对主要竞争对手进行深入研究，包括其市场份额、产品特点、市场定位等。通过全面了解竞争对手的优势和劣势，学历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538"/>
      <w:r>
        <w:rPr>
          <w:rFonts w:ascii="仿宋" w:eastAsia="仿宋" w:hAnsi="仿宋" w:cs="仿宋" w:hint="eastAsia"/>
          <w:sz w:val="28"/>
          <w:lang w:eastAsia="zh-CN"/>
        </w:rPr>
        <w:t>(二)、学历教育市场分析预测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通过对市场规模的深入调研，我们将预测学历教育市场未来的增长趋势。这包括市场的整体规模、各细分领域的发展趋势等。学历教育项目可以根据市场的扩张速度和潜在机会，制定更符合市场需求的发展策略。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学历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学历教育项目实施过程中需要充分考虑的因素。我们将对市场风险进行全面评估，包括但不限于政策法规风险、市场竞争风险、技术变革风险等。通过对潜在风险的深入分析，学历教育项目可以制定相应的风险缓解策略，降低不确定性对学历教育项目的影响。</w:t>
      </w:r>
    </w:p>
    <w:p>
      <w:pPr>
        <w:pStyle w:val="Heading1"/>
        <w:ind w:firstLine="560" w:firstLineChars="200"/>
        <w:rPr>
          <w:rFonts w:ascii="仿宋" w:eastAsia="仿宋" w:hAnsi="仿宋" w:cs="仿宋" w:hint="eastAsia"/>
          <w:sz w:val="28"/>
          <w:lang w:eastAsia="zh-CN"/>
        </w:rPr>
      </w:pPr>
      <w:bookmarkStart w:id="17" w:name="_Toc12313"/>
      <w:r>
        <w:rPr>
          <w:rFonts w:ascii="仿宋" w:eastAsia="仿宋" w:hAnsi="仿宋" w:cs="仿宋" w:hint="eastAsia"/>
          <w:sz w:val="28"/>
          <w:lang w:eastAsia="zh-CN"/>
        </w:rPr>
        <w:t>五、学历教育项目建设单位说明</w:t>
      </w:r>
      <w:bookmarkEnd w:id="17"/>
    </w:p>
    <w:p>
      <w:pPr>
        <w:pStyle w:val="Heading2"/>
        <w:rPr>
          <w:rFonts w:ascii="仿宋" w:eastAsia="仿宋" w:hAnsi="仿宋" w:cs="仿宋" w:hint="eastAsia"/>
          <w:lang w:eastAsia="zh-CN"/>
        </w:rPr>
      </w:pPr>
      <w:bookmarkStart w:id="18" w:name="_Toc29824"/>
      <w:r>
        <w:rPr>
          <w:rFonts w:ascii="仿宋" w:eastAsia="仿宋" w:hAnsi="仿宋" w:cs="仿宋" w:hint="eastAsia"/>
          <w:lang w:eastAsia="zh-CN"/>
        </w:rPr>
        <w:t>(一)、学历教育项目承办单位基本情况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522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历教育项目承办单位的XXXX，我们着眼于实现可持续的经济效益。通过技术创新和解决方案的提供，公司预计在学历教育项目执行期间将获得可观的收入增长。这一收入来源主要包括学历教育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同时，我们注重成本控制和效率提升，以确保学历教育项目的可持续盈利。透过精细的管理和资源优化，公司期望实现学历教育项目利润最大化。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学历教育项目实施进行全面的投资评估，包括学历教育项目启动阶段的资金投入和后续运营成本。通过对学历教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学历教育项目实施过程中具备足够的资金流动性，公司将进行详尽的现金流分析。这包括资金需求的合理预测、学历教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153"/>
      <w:r>
        <w:rPr>
          <w:rFonts w:ascii="仿宋" w:eastAsia="仿宋" w:hAnsi="仿宋" w:cs="仿宋" w:hint="eastAsia"/>
          <w:sz w:val="28"/>
          <w:lang w:eastAsia="zh-CN"/>
        </w:rPr>
        <w:t>六、学历教育项目土建工程</w:t>
      </w:r>
      <w:bookmarkEnd w:id="20"/>
    </w:p>
    <w:p>
      <w:pPr>
        <w:pStyle w:val="Heading2"/>
        <w:rPr>
          <w:rFonts w:ascii="仿宋" w:eastAsia="仿宋" w:hAnsi="仿宋" w:cs="仿宋" w:hint="eastAsia"/>
          <w:lang w:eastAsia="zh-CN"/>
        </w:rPr>
      </w:pPr>
      <w:bookmarkStart w:id="21" w:name="_Toc20127"/>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在学历教育项目的建筑工程设计中，我们将秉承一系列重要的设计原则，以确保学历教育项目建筑在功能、美观、可持续性等方面达到最佳效果。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首要原则是确保建筑的功能性得到最大化的发挥。我们将充分理解学历教育项目的实际需求，合理布局各个功能区域，保证建筑在满足业务需求的同时，提供高效的工作环境。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https://d.book118.com/095340310011011040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54271"/>
    <w:rsid w:val="0B3542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40310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2024-01-03T09:15:00Z</dcterms:created>
  <dcterms:modified xsi:type="dcterms:W3CDTF">2024-01-03T09:15:12Z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8590104847DA41589BB55A7F672078AF_11</vt:lpwstr>
  </property>
  <property fmtid="{D5CDD505-2E9C-101B-9397-08002B2CF9AE}" pid="3" name="KSOProductBuildVer">
    <vt:lpwstr>2052-12.1.0.16120</vt:lpwstr>
  </property>
</Properties>
</file>