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微生物肥料项目招商引资方案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9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_Toc15899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5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_Toc14745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_Toc8275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_Toc32328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_Toc6923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5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_Toc14475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_Toc32158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_Toc10972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0" w:history="1">
        <w:r>
          <w:rPr>
            <w:rFonts w:ascii="仿宋" w:eastAsia="仿宋" w:hAnsi="仿宋" w:cs="仿宋" w:hint="eastAsia"/>
            <w:lang w:eastAsia="zh-CN"/>
          </w:rPr>
          <w:t>三、微生物肥料项目概论</w:t>
        </w:r>
        <w:r>
          <w:tab/>
        </w:r>
        <w:r>
          <w:fldChar w:fldCharType="begin"/>
        </w:r>
        <w:r>
          <w:instrText xml:space="preserve"> PAGEREF _Toc28210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(一)、微生物肥料项目名称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8" w:history="1">
        <w:r>
          <w:rPr>
            <w:rFonts w:ascii="仿宋" w:eastAsia="仿宋" w:hAnsi="仿宋" w:cs="仿宋" w:hint="eastAsia"/>
            <w:lang w:eastAsia="zh-CN"/>
          </w:rPr>
          <w:t>(二)、微生物肥料项目选址</w:t>
        </w:r>
        <w:r>
          <w:tab/>
        </w:r>
        <w:r>
          <w:fldChar w:fldCharType="begin"/>
        </w:r>
        <w:r>
          <w:instrText xml:space="preserve"> PAGEREF _Toc12968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0" w:history="1">
        <w:r>
          <w:rPr>
            <w:rFonts w:ascii="仿宋" w:eastAsia="仿宋" w:hAnsi="仿宋" w:cs="仿宋" w:hint="eastAsia"/>
            <w:lang w:eastAsia="zh-CN"/>
          </w:rPr>
          <w:t>(三)、微生物肥料项目用地规模</w:t>
        </w:r>
        <w:r>
          <w:tab/>
        </w:r>
        <w:r>
          <w:fldChar w:fldCharType="begin"/>
        </w:r>
        <w:r>
          <w:instrText xml:space="preserve"> PAGEREF _Toc4510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1" w:history="1">
        <w:r>
          <w:rPr>
            <w:rFonts w:ascii="仿宋" w:eastAsia="仿宋" w:hAnsi="仿宋" w:cs="仿宋" w:hint="eastAsia"/>
            <w:lang w:eastAsia="zh-CN"/>
          </w:rPr>
          <w:t>(四)、微生物肥料项目用地控制指标</w:t>
        </w:r>
        <w:r>
          <w:tab/>
        </w:r>
        <w:r>
          <w:fldChar w:fldCharType="begin"/>
        </w:r>
        <w:r>
          <w:instrText xml:space="preserve"> PAGEREF _Toc17031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1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_Toc22291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6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(九)、微生物肥料项目总投资及资本结构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2" w:history="1">
        <w:r>
          <w:rPr>
            <w:rFonts w:ascii="仿宋" w:eastAsia="仿宋" w:hAnsi="仿宋" w:cs="仿宋" w:hint="eastAsia"/>
            <w:lang w:eastAsia="zh-CN"/>
          </w:rPr>
          <w:t>(十一)、微生物肥料项目预期经济效益规划目标</w:t>
        </w:r>
        <w:r>
          <w:tab/>
        </w:r>
        <w:r>
          <w:fldChar w:fldCharType="begin"/>
        </w:r>
        <w:r>
          <w:instrText xml:space="preserve"> PAGEREF _Toc9552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(十二)、微生物肥料项目进度计划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_Toc18451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7" w:history="1">
        <w:r>
          <w:rPr>
            <w:rFonts w:ascii="仿宋" w:eastAsia="仿宋" w:hAnsi="仿宋" w:cs="仿宋" w:hint="eastAsia"/>
            <w:lang w:eastAsia="zh-CN"/>
          </w:rPr>
          <w:t>(十四)、微生物肥料项目评价</w:t>
        </w:r>
        <w:r>
          <w:tab/>
        </w:r>
        <w:r>
          <w:fldChar w:fldCharType="begin"/>
        </w:r>
        <w:r>
          <w:instrText xml:space="preserve"> PAGEREF _Toc19487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8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_Toc15628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_Toc4877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(四)、微生物肥料项目建设对区域经济的短期与长期影响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_Toc12309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(八)、微生物肥料项目建设的经济效益与环境效益权衡分析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_Toc7859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6" w:history="1">
        <w:r>
          <w:rPr>
            <w:rFonts w:ascii="仿宋" w:eastAsia="仿宋" w:hAnsi="仿宋" w:cs="仿宋" w:hint="eastAsia"/>
            <w:lang w:eastAsia="zh-CN"/>
          </w:rPr>
          <w:t>五、微生物肥料项目实施进度</w:t>
        </w:r>
        <w:r>
          <w:tab/>
        </w:r>
        <w:r>
          <w:fldChar w:fldCharType="begin"/>
        </w:r>
        <w:r>
          <w:instrText xml:space="preserve"> PAGEREF _Toc21996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_Toc31282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_Toc7363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_Toc22074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(六)、微生物肥料项目实施保障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65" w:history="1">
        <w:r>
          <w:rPr>
            <w:rFonts w:ascii="仿宋" w:eastAsia="仿宋" w:hAnsi="仿宋" w:cs="仿宋" w:hint="eastAsia"/>
            <w:lang w:eastAsia="zh-CN"/>
          </w:rPr>
          <w:t>六、微生物肥料项目投资方案分析</w:t>
        </w:r>
        <w:r>
          <w:tab/>
        </w:r>
        <w:r>
          <w:fldChar w:fldCharType="begin"/>
        </w:r>
        <w:r>
          <w:instrText xml:space="preserve"> PAGEREF _Toc28765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eastAsia="zh-CN"/>
          </w:rPr>
          <w:t>(一)、微生物肥料项目估算说明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7" w:history="1">
        <w:r>
          <w:rPr>
            <w:rFonts w:ascii="仿宋" w:eastAsia="仿宋" w:hAnsi="仿宋" w:cs="仿宋" w:hint="eastAsia"/>
            <w:lang w:eastAsia="zh-CN"/>
          </w:rPr>
          <w:t>(二)、微生物肥料项目总投资估算</w:t>
        </w:r>
        <w:r>
          <w:tab/>
        </w:r>
        <w:r>
          <w:fldChar w:fldCharType="begin"/>
        </w:r>
        <w:r>
          <w:instrText xml:space="preserve"> PAGEREF _Toc6207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6" w:history="1">
        <w:r>
          <w:rPr>
            <w:rFonts w:ascii="仿宋" w:eastAsia="仿宋" w:hAnsi="仿宋" w:cs="仿宋" w:hint="eastAsia"/>
            <w:lang w:eastAsia="zh-CN"/>
          </w:rPr>
          <w:t>(一)、微生物肥料项目建设期的原材料及辅助材料供应概述</w:t>
        </w:r>
        <w:r>
          <w:tab/>
        </w:r>
        <w:r>
          <w:fldChar w:fldCharType="begin"/>
        </w:r>
        <w:r>
          <w:instrText xml:space="preserve"> PAGEREF _Toc11246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5" w:history="1">
        <w:r>
          <w:rPr>
            <w:rFonts w:ascii="仿宋" w:eastAsia="仿宋" w:hAnsi="仿宋" w:cs="仿宋" w:hint="eastAsia"/>
            <w:lang w:eastAsia="zh-CN"/>
          </w:rPr>
          <w:t>(二)、微生物肥料项目运营期原辅材料采购及管理</w:t>
        </w:r>
        <w:r>
          <w:tab/>
        </w:r>
        <w:r>
          <w:fldChar w:fldCharType="begin"/>
        </w:r>
        <w:r>
          <w:instrText xml:space="preserve"> PAGEREF _Toc30515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(四)、微生物肥料项目工艺技术设计方案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0" w:history="1">
        <w:r>
          <w:rPr>
            <w:rFonts w:ascii="仿宋" w:eastAsia="仿宋" w:hAnsi="仿宋" w:cs="仿宋" w:hint="eastAsia"/>
            <w:lang w:eastAsia="zh-CN"/>
          </w:rPr>
          <w:t>(五)、微生物肥料项目设备选型及配置方案</w:t>
        </w:r>
        <w:r>
          <w:tab/>
        </w:r>
        <w:r>
          <w:fldChar w:fldCharType="begin"/>
        </w:r>
        <w:r>
          <w:instrText xml:space="preserve"> PAGEREF _Toc29460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8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_Toc5968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7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_Toc5047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_Toc8732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9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_Toc32459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7" w:history="1">
        <w:r>
          <w:rPr>
            <w:rFonts w:ascii="仿宋" w:eastAsia="仿宋" w:hAnsi="仿宋" w:cs="仿宋" w:hint="eastAsia"/>
            <w:lang w:eastAsia="zh-CN"/>
          </w:rPr>
          <w:t>(七)、微生物肥料项目建设风险及控制手段</w:t>
        </w:r>
        <w:r>
          <w:tab/>
        </w:r>
        <w:r>
          <w:fldChar w:fldCharType="begin"/>
        </w:r>
        <w:r>
          <w:instrText xml:space="preserve"> PAGEREF _Toc17367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_Toc19288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_Toc2684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1" w:history="1">
        <w:r>
          <w:rPr>
            <w:rFonts w:ascii="仿宋" w:eastAsia="仿宋" w:hAnsi="仿宋" w:cs="仿宋" w:hint="eastAsia"/>
            <w:lang w:eastAsia="zh-CN"/>
          </w:rPr>
          <w:t>九、微生物肥料项目优势</w:t>
        </w:r>
        <w:r>
          <w:tab/>
        </w:r>
        <w:r>
          <w:fldChar w:fldCharType="begin"/>
        </w:r>
        <w:r>
          <w:instrText xml:space="preserve"> PAGEREF _Toc4111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9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_Toc29969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_Toc31751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_Toc16291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_Toc9044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_Toc27587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_Toc15052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_Toc32160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_Toc27270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89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微生物肥料项目的招商引资。项目微生物肥料是一项具有巨大市场潜力的创业项目，专注于某一特定行业的技术创新和发展。本文档将详细展示项目微生物肥料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45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42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本章将对微生物肥料市场的整体情况进行深入剖析，以提供关于市场的全面洞察。首先，我们关注市场的规模和增长趋势，以便了解市场的发展动态。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微生物肥料市场的规模一直在稳步增长。根据最新可获得的数据，去年市场的总销售额达到X亿元，较前一年增长了X%。今年，市场规模预计将达到X亿元，这表明市场持续增长的态势。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https://d.book118.com/096022150232010103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微生物肥料项目招商引资方案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微生物肥料项目招商引资方案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微生物肥料项目招商引资方案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微生物肥料项目招商引资方案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FC513C"/>
    <w:rsid w:val="2EFC51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96022150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2024-01-23T19:07:00Z</dcterms:created>
  <dcterms:modified xsi:type="dcterms:W3CDTF">2024-01-23T19:07:33Z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37BA0680BC0C4D48ACA602CA1B62634A_11</vt:lpwstr>
  </property>
  <property fmtid="{D5CDD505-2E9C-101B-9397-08002B2CF9AE}" pid="3" name="KSOProductBuildVer">
    <vt:lpwstr>2052-12.1.0.16120</vt:lpwstr>
  </property>
</Properties>
</file>