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0"/>
        </w:rPr>
      </w:pPr>
    </w:p>
    <w:p>
      <w:pPr>
        <w:pStyle w:val="Title"/>
      </w:pPr>
      <w:r>
        <w:rPr>
          <w:spacing w:val="-1"/>
        </w:rPr>
        <w:t>公路防护工程施工方案</w:t>
      </w:r>
    </w:p>
    <w:p>
      <w:pPr>
        <w:pStyle w:val="BodyText"/>
        <w:rPr>
          <w:rFonts w:ascii="Microsoft JhengHei"/>
          <w:b/>
          <w:sz w:val="72"/>
        </w:rPr>
      </w:pPr>
    </w:p>
    <w:p>
      <w:pPr>
        <w:pStyle w:val="BodyText"/>
        <w:rPr>
          <w:rFonts w:ascii="Microsoft JhengHei"/>
          <w:b/>
          <w:sz w:val="72"/>
        </w:rPr>
      </w:pPr>
    </w:p>
    <w:p>
      <w:pPr>
        <w:pStyle w:val="BodyText"/>
        <w:rPr>
          <w:rFonts w:ascii="Microsoft JhengHei"/>
          <w:b/>
          <w:sz w:val="72"/>
        </w:rPr>
      </w:pPr>
    </w:p>
    <w:p>
      <w:pPr>
        <w:pStyle w:val="BodyText"/>
        <w:spacing w:before="5"/>
        <w:rPr>
          <w:rFonts w:ascii="Microsoft JhengHei"/>
          <w:b/>
          <w:sz w:val="105"/>
        </w:rPr>
      </w:pPr>
    </w:p>
    <w:p>
      <w:pPr>
        <w:spacing w:before="0" w:line="309" w:lineRule="auto"/>
        <w:ind w:left="2298" w:right="5502" w:firstLine="0"/>
        <w:jc w:val="left"/>
        <w:rPr>
          <w:rFonts w:ascii="Microsoft JhengHei" w:eastAsia="Microsoft JhengHei"/>
          <w:b/>
          <w:sz w:val="44"/>
        </w:rPr>
      </w:pPr>
      <w:r>
        <w:rPr>
          <w:rFonts w:ascii="Microsoft JhengHei" w:eastAsia="Microsoft JhengHei"/>
          <w:b/>
          <w:spacing w:val="-4"/>
          <w:sz w:val="44"/>
        </w:rPr>
        <w:t>编制：</w:t>
      </w:r>
      <w:r>
        <w:rPr>
          <w:rFonts w:ascii="Microsoft JhengHei" w:eastAsia="Microsoft JhengHei"/>
          <w:b/>
          <w:spacing w:val="-4"/>
          <w:sz w:val="44"/>
        </w:rPr>
        <w:t>审核：</w:t>
      </w:r>
    </w:p>
    <w:p>
      <w:pPr>
        <w:pStyle w:val="BodyText"/>
        <w:spacing w:before="11"/>
        <w:rPr>
          <w:rFonts w:ascii="Microsoft JhengHei"/>
          <w:b/>
          <w:sz w:val="49"/>
        </w:rPr>
      </w:pPr>
    </w:p>
    <w:p>
      <w:pPr>
        <w:spacing w:before="1" w:line="184" w:lineRule="auto"/>
        <w:ind w:left="2999" w:right="3138" w:firstLine="335"/>
        <w:jc w:val="left"/>
        <w:rPr>
          <w:rFonts w:ascii="Microsoft JhengHei" w:eastAsia="Microsoft JhengHei"/>
          <w:b/>
          <w:sz w:val="44"/>
        </w:rPr>
      </w:pPr>
      <w:r>
        <w:rPr>
          <w:rFonts w:ascii="Times New Roman" w:eastAsia="Times New Roman"/>
          <w:b/>
          <w:sz w:val="44"/>
        </w:rPr>
        <w:t xml:space="preserve">xx </w:t>
      </w:r>
      <w:r>
        <w:rPr>
          <w:rFonts w:ascii="Microsoft JhengHei" w:eastAsia="Microsoft JhengHei"/>
          <w:b/>
          <w:sz w:val="44"/>
        </w:rPr>
        <w:t>有限公司</w:t>
      </w:r>
      <w:r>
        <w:rPr>
          <w:rFonts w:ascii="Microsoft JhengHei" w:eastAsia="Microsoft JhengHei"/>
          <w:b/>
          <w:spacing w:val="-4"/>
          <w:sz w:val="44"/>
        </w:rPr>
        <w:t xml:space="preserve">二 </w:t>
      </w:r>
      <w:r>
        <w:rPr>
          <w:rFonts w:ascii="Times New Roman" w:eastAsia="Times New Roman"/>
          <w:b/>
          <w:sz w:val="44"/>
        </w:rPr>
        <w:t>Oxx</w:t>
      </w:r>
      <w:r>
        <w:rPr>
          <w:rFonts w:ascii="Times New Roman" w:eastAsia="Times New Roman"/>
          <w:b/>
          <w:spacing w:val="-8"/>
          <w:sz w:val="44"/>
        </w:rPr>
        <w:t xml:space="preserve"> </w:t>
      </w:r>
      <w:r>
        <w:rPr>
          <w:rFonts w:ascii="Microsoft JhengHei" w:eastAsia="Microsoft JhengHei"/>
          <w:b/>
          <w:spacing w:val="-4"/>
          <w:sz w:val="44"/>
        </w:rPr>
        <w:t xml:space="preserve">年 </w:t>
      </w:r>
      <w:r>
        <w:rPr>
          <w:rFonts w:ascii="Times New Roman" w:eastAsia="Times New Roman"/>
          <w:b/>
          <w:sz w:val="44"/>
        </w:rPr>
        <w:t>xx</w:t>
      </w:r>
      <w:r>
        <w:rPr>
          <w:rFonts w:ascii="Times New Roman" w:eastAsia="Times New Roman"/>
          <w:b/>
          <w:spacing w:val="-8"/>
          <w:sz w:val="44"/>
        </w:rPr>
        <w:t xml:space="preserve"> </w:t>
      </w:r>
      <w:r>
        <w:rPr>
          <w:rFonts w:ascii="Microsoft JhengHei" w:eastAsia="Microsoft JhengHei"/>
          <w:b/>
          <w:sz w:val="44"/>
        </w:rPr>
        <w:t>月</w:t>
      </w:r>
    </w:p>
    <w:p>
      <w:pPr>
        <w:spacing w:after="0" w:line="184" w:lineRule="auto"/>
        <w:jc w:val="left"/>
        <w:rPr>
          <w:rFonts w:ascii="Microsoft JhengHei" w:eastAsia="Microsoft JhengHei"/>
          <w:sz w:val="44"/>
        </w:rPr>
        <w:sectPr>
          <w:footerReference w:type="default" r:id="rId4"/>
          <w:type w:val="continuous"/>
          <w:pgSz w:w="11910" w:h="16840"/>
          <w:pgMar w:top="1920" w:right="1320" w:bottom="1180" w:left="1460" w:header="0" w:footer="990"/>
          <w:pgNumType w:start="1"/>
          <w:cols w:space="708"/>
        </w:sectPr>
      </w:pPr>
    </w:p>
    <w:p>
      <w:pPr>
        <w:spacing w:before="0" w:line="514" w:lineRule="exact"/>
        <w:ind w:left="3203" w:right="3342" w:firstLine="0"/>
        <w:jc w:val="center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-2"/>
          <w:sz w:val="32"/>
        </w:rPr>
        <w:t>防护工程施工方案</w:t>
      </w:r>
    </w:p>
    <w:p>
      <w:pPr>
        <w:pStyle w:val="BodyText"/>
        <w:spacing w:before="13"/>
        <w:rPr>
          <w:rFonts w:ascii="Microsoft JhengHei"/>
          <w:b/>
          <w:sz w:val="5"/>
        </w:rPr>
      </w:pPr>
    </w:p>
    <w:p>
      <w:pPr>
        <w:spacing w:before="0" w:line="484" w:lineRule="exact"/>
        <w:ind w:left="34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一、工程概况</w:t>
      </w:r>
    </w:p>
    <w:p>
      <w:pPr>
        <w:pStyle w:val="BodyText"/>
        <w:spacing w:before="201" w:line="417" w:lineRule="auto"/>
        <w:ind w:left="340" w:right="478" w:firstLine="560"/>
        <w:jc w:val="both"/>
      </w:pPr>
      <w:r>
        <w:rPr>
          <w:spacing w:val="-2"/>
        </w:rPr>
        <w:t>本合同段穿越大巴山～</w:t>
      </w:r>
      <w:r>
        <w:rPr>
          <w:spacing w:val="-5"/>
        </w:rPr>
        <w:t xml:space="preserve">米仓山南麓，华蓥以西的 </w:t>
      </w:r>
      <w:r>
        <w:rPr>
          <w:spacing w:val="-2"/>
        </w:rPr>
        <w:t>xx</w:t>
      </w:r>
      <w:r>
        <w:rPr>
          <w:spacing w:val="-9"/>
        </w:rPr>
        <w:t xml:space="preserve"> 盆地东部地</w:t>
      </w:r>
      <w:r>
        <w:rPr>
          <w:spacing w:val="-4"/>
        </w:rPr>
        <w:t xml:space="preserve">区。属低山丘陵区，海拔高程 </w:t>
      </w:r>
      <w:r>
        <w:rPr>
          <w:spacing w:val="-2"/>
        </w:rPr>
        <w:t>200m～600m</w:t>
      </w:r>
      <w:r>
        <w:rPr>
          <w:spacing w:val="-6"/>
        </w:rPr>
        <w:t xml:space="preserve">，相对高差一般在 </w:t>
      </w:r>
      <w:r>
        <w:rPr>
          <w:spacing w:val="-2"/>
        </w:rPr>
        <w:t xml:space="preserve">100m～ </w:t>
      </w:r>
      <w:r>
        <w:t>400m</w:t>
      </w:r>
      <w:r>
        <w:rPr>
          <w:spacing w:val="-7"/>
        </w:rPr>
        <w:t xml:space="preserve"> 左右。属亚热带季风气候区，雨量充沛，暴雨强度大。</w:t>
      </w:r>
    </w:p>
    <w:p>
      <w:pPr>
        <w:pStyle w:val="BodyText"/>
        <w:spacing w:line="417" w:lineRule="auto"/>
        <w:ind w:left="340" w:right="478" w:firstLine="560"/>
        <w:jc w:val="both"/>
      </w:pPr>
      <w:r>
        <w:rPr>
          <w:spacing w:val="-4"/>
        </w:rPr>
        <w:t>为防止水流、雨水、风力和不良水文地质的其他因素对路基形成</w:t>
      </w:r>
      <w:r>
        <w:rPr>
          <w:spacing w:val="-4"/>
        </w:rPr>
        <w:t>危害，保证路基坚固、稳定，改善环境景观，保护生态平衡和防止水</w:t>
      </w:r>
      <w:r>
        <w:rPr>
          <w:spacing w:val="-4"/>
        </w:rPr>
        <w:t>土流失，路基防护工程应与路基的填挖方工程紧密、合理衔接，开挖</w:t>
      </w:r>
      <w:r>
        <w:rPr>
          <w:spacing w:val="-4"/>
        </w:rPr>
        <w:t>一级防护一级，并及时进行养护。现随着路基填挖方工作的开展，防</w:t>
      </w:r>
      <w:r>
        <w:rPr>
          <w:spacing w:val="-10"/>
        </w:rPr>
        <w:t>护工程已有足够的工作面，所以我合同段根据设计图纸要求结合本合</w:t>
      </w:r>
      <w:r>
        <w:rPr>
          <w:spacing w:val="-4"/>
        </w:rPr>
        <w:t>同段实际情况对本段防护工程进行施工。根据设计图纸要求，我合同</w:t>
      </w:r>
      <w:r>
        <w:rPr>
          <w:spacing w:val="-2"/>
        </w:rPr>
        <w:t>段有以下几种防护形式</w:t>
      </w:r>
    </w:p>
    <w:p>
      <w:pPr>
        <w:pStyle w:val="BodyText"/>
        <w:spacing w:line="357" w:lineRule="exact"/>
        <w:ind w:left="900"/>
        <w:jc w:val="both"/>
      </w:pPr>
      <w:r>
        <w:t>1、</w:t>
      </w:r>
      <w:r>
        <w:rPr>
          <w:spacing w:val="89"/>
          <w:w w:val="150"/>
        </w:rPr>
        <w:t xml:space="preserve"> </w:t>
      </w:r>
      <w:r>
        <w:rPr>
          <w:spacing w:val="-12"/>
        </w:rPr>
        <w:t>植物生态防护：填方高度</w:t>
      </w:r>
      <w:r>
        <w:t>≤4.0m</w:t>
      </w:r>
      <w:r>
        <w:rPr>
          <w:spacing w:val="-16"/>
        </w:rPr>
        <w:t xml:space="preserve"> 或每级坡度均缓于 </w:t>
      </w:r>
      <w:r>
        <w:rPr>
          <w:spacing w:val="-2"/>
        </w:rPr>
        <w:t>1:1.75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620"/>
      </w:pPr>
      <w:r>
        <w:rPr>
          <w:spacing w:val="-1"/>
        </w:rPr>
        <w:t>时，边坡采用直接喷播植草防护和绿化。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20" w:right="477" w:hanging="720"/>
        <w:jc w:val="both"/>
      </w:pPr>
      <w:r>
        <w:t>2、 菱形骨架网格护坡防护：边坡＞4.0m</w:t>
      </w:r>
      <w:r>
        <w:rPr>
          <w:spacing w:val="-6"/>
        </w:rPr>
        <w:t xml:space="preserve"> 时采用菱形骨架网格</w:t>
      </w:r>
      <w:r>
        <w:rPr>
          <w:spacing w:val="-2"/>
        </w:rPr>
        <w:t>护坡防护，设置骨架泄水槽汇集和排泄坡面及路面雨水，</w:t>
      </w:r>
      <w:r>
        <w:rPr>
          <w:spacing w:val="-2"/>
        </w:rPr>
        <w:t>并在主次骨架之间空格内及平台上采用撒播草籽进行坡面</w:t>
      </w:r>
      <w:r>
        <w:rPr>
          <w:spacing w:val="-2"/>
        </w:rPr>
        <w:t>防护和绿化。</w:t>
      </w:r>
    </w:p>
    <w:p>
      <w:pPr>
        <w:pStyle w:val="BodyText"/>
        <w:spacing w:line="417" w:lineRule="auto"/>
        <w:ind w:left="1620" w:right="477" w:hanging="720"/>
        <w:jc w:val="both"/>
      </w:pPr>
      <w:r>
        <w:t>3、 拱形护坡防护：边坡高度＞4.0m，且为超高单向横坡平曲</w:t>
      </w:r>
      <w:r>
        <w:rPr>
          <w:spacing w:val="-2"/>
        </w:rPr>
        <w:t>线内侧边坡、凹形竖曲线底部两侧边坡以及桥头路堤两侧</w:t>
      </w:r>
      <w:r>
        <w:rPr>
          <w:spacing w:val="-2"/>
        </w:rPr>
        <w:t>边坡时采用拱形骨架护坡防护，设置骨架泄水槽汇集和排</w:t>
      </w:r>
      <w:r>
        <w:rPr>
          <w:spacing w:val="-1"/>
        </w:rPr>
        <w:t>泄坡面及路面雨水，并在主次骨架间空格内及平台上采用</w:t>
      </w:r>
    </w:p>
    <w:p>
      <w:pPr>
        <w:spacing w:after="0" w:line="417" w:lineRule="auto"/>
        <w:jc w:val="both"/>
        <w:sectPr>
          <w:footerReference w:type="default" r:id="rId5"/>
          <w:pgSz w:w="11910" w:h="16840"/>
          <w:pgMar w:top="1500" w:right="1320" w:bottom="1180" w:left="1460" w:header="0" w:footer="990"/>
          <w:pgNumType w:start="2"/>
          <w:cols w:space="708"/>
        </w:sectPr>
      </w:pPr>
    </w:p>
    <w:p>
      <w:pPr>
        <w:pStyle w:val="BodyText"/>
        <w:spacing w:before="37"/>
        <w:ind w:left="1620"/>
      </w:pPr>
      <w:r>
        <w:rPr>
          <w:spacing w:val="-1"/>
        </w:rPr>
        <w:t>撒播草籽进行坡面防护和绿化。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20" w:right="477" w:hanging="720"/>
        <w:jc w:val="both"/>
      </w:pPr>
      <w:r>
        <w:t>4、 实体护坡防护：经过堰塘、水库、河流地段的常年水流浸</w:t>
      </w:r>
      <w:r>
        <w:rPr>
          <w:spacing w:val="-16"/>
        </w:rPr>
        <w:t xml:space="preserve">蚀或冲刷的路段，一般于高出设计洪水水位 </w:t>
      </w:r>
      <w:r>
        <w:rPr>
          <w:spacing w:val="-4"/>
        </w:rPr>
        <w:t>0.5m</w:t>
      </w:r>
      <w:r>
        <w:rPr>
          <w:spacing w:val="-11"/>
        </w:rPr>
        <w:t xml:space="preserve"> 位置以下</w:t>
      </w:r>
      <w:r>
        <w:rPr>
          <w:spacing w:val="-2"/>
        </w:rPr>
        <w:t>采用实体护坡、护脚进行处理，护脚应埋置于清除淤泥后</w:t>
      </w:r>
      <w:r>
        <w:rPr>
          <w:spacing w:val="-2"/>
        </w:rPr>
        <w:t>夯实的土基活基岩上。用于冲刷防护的实体护坡厚度不得</w:t>
      </w:r>
      <w:r>
        <w:rPr>
          <w:spacing w:val="-14"/>
        </w:rPr>
        <w:t xml:space="preserve">小于 </w:t>
      </w:r>
      <w:r>
        <w:t>0.35m。</w:t>
      </w:r>
    </w:p>
    <w:p>
      <w:pPr>
        <w:pStyle w:val="BodyText"/>
        <w:spacing w:line="417" w:lineRule="auto"/>
        <w:ind w:left="1620" w:right="477" w:hanging="720"/>
        <w:jc w:val="both"/>
      </w:pPr>
      <w:r>
        <w:t>5、 护肩及护脚防护：对于陡山坡上的半填半挖路基，当填土</w:t>
      </w:r>
      <w:r>
        <w:rPr>
          <w:spacing w:val="-2"/>
        </w:rPr>
        <w:t>高度较低时，但边坡伸出较远不易填筑时，采用护肩及护</w:t>
      </w:r>
      <w:r>
        <w:rPr>
          <w:spacing w:val="-2"/>
        </w:rPr>
        <w:t>脚收缩坡脚。</w:t>
      </w:r>
    </w:p>
    <w:p>
      <w:pPr>
        <w:pStyle w:val="BodyText"/>
        <w:spacing w:line="417" w:lineRule="auto"/>
        <w:ind w:left="1620" w:right="337" w:hanging="720"/>
      </w:pPr>
      <w:r>
        <w:t>6、 挡土墙防护：对于斜坡路段或与建筑物发生路段干扰的路</w:t>
      </w:r>
      <w:r>
        <w:rPr>
          <w:spacing w:val="-6"/>
        </w:rPr>
        <w:t>堤，为了增强路基稳定、收缩坡脚、避免拆迁或减少占地，</w:t>
      </w:r>
      <w:r>
        <w:rPr>
          <w:spacing w:val="-2"/>
        </w:rPr>
        <w:t>则视情况于路肩或于坡脚设置衡重式挡土墙进行防护。</w:t>
      </w:r>
    </w:p>
    <w:p>
      <w:pPr>
        <w:spacing w:before="0" w:line="422" w:lineRule="exact"/>
        <w:ind w:left="1502" w:right="1500" w:firstLine="0"/>
        <w:jc w:val="center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防护工程工程量表</w:t>
      </w:r>
    </w:p>
    <w:p>
      <w:pPr>
        <w:pStyle w:val="BodyText"/>
        <w:spacing w:before="9"/>
        <w:rPr>
          <w:rFonts w:ascii="Microsoft JhengHei"/>
          <w:b/>
          <w:sz w:val="3"/>
        </w:rPr>
      </w:pPr>
    </w:p>
    <w:tbl>
      <w:tblPr>
        <w:tblStyle w:val="TableNormal0"/>
        <w:tblW w:w="0" w:type="auto"/>
        <w:jc w:val="left"/>
        <w:tblInd w:w="3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0"/>
        <w:gridCol w:w="2140"/>
        <w:gridCol w:w="1520"/>
        <w:gridCol w:w="800"/>
        <w:gridCol w:w="1180"/>
        <w:gridCol w:w="1060"/>
        <w:gridCol w:w="1200"/>
      </w:tblGrid>
      <w:tr>
        <w:tblPrEx>
          <w:tblW w:w="0" w:type="auto"/>
          <w:jc w:val="left"/>
          <w:tblInd w:w="335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97" w:right="77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序号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701" w:right="68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3"/>
                <w:sz w:val="18"/>
              </w:rPr>
              <w:t>起止桩号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类型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210" w:right="19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侧别</w:t>
            </w:r>
          </w:p>
        </w:tc>
        <w:tc>
          <w:tcPr>
            <w:tcW w:w="1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 w:line="324" w:lineRule="auto"/>
              <w:ind w:left="113" w:right="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Times New Roman" w:eastAsia="Times New Roman"/>
                <w:spacing w:val="-2"/>
                <w:sz w:val="18"/>
              </w:rPr>
              <w:t>M7.5</w:t>
            </w:r>
            <w:r>
              <w:rPr>
                <w:rFonts w:ascii="Times New Roman" w:eastAsia="Times New Roman"/>
                <w:spacing w:val="-10"/>
                <w:sz w:val="18"/>
              </w:rPr>
              <w:t xml:space="preserve"> </w:t>
            </w:r>
            <w:r>
              <w:rPr>
                <w:rFonts w:ascii="宋体" w:eastAsia="宋体"/>
                <w:spacing w:val="-2"/>
                <w:sz w:val="18"/>
              </w:rPr>
              <w:t>浆砌片</w:t>
            </w:r>
            <w:r>
              <w:rPr>
                <w:rFonts w:ascii="宋体" w:eastAsia="宋体"/>
                <w:spacing w:val="-4"/>
                <w:sz w:val="18"/>
              </w:rPr>
              <w:t>石工程量</w:t>
            </w:r>
          </w:p>
          <w:p>
            <w:pPr>
              <w:pStyle w:val="TableParagraph"/>
              <w:spacing w:before="1"/>
              <w:ind w:left="111" w:right="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>（</w:t>
            </w:r>
            <w:r>
              <w:rPr>
                <w:rFonts w:ascii="Times New Roman" w:eastAsia="Times New Roman"/>
                <w:spacing w:val="-4"/>
                <w:sz w:val="18"/>
              </w:rPr>
              <w:t>m3</w:t>
            </w:r>
            <w:r>
              <w:rPr>
                <w:rFonts w:ascii="宋体" w:eastAsia="宋体"/>
                <w:spacing w:val="-4"/>
                <w:sz w:val="18"/>
              </w:rPr>
              <w:t>）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113" w:right="-72"/>
              <w:rPr>
                <w:rFonts w:ascii="宋体" w:eastAsia="宋体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C15</w:t>
            </w:r>
            <w:r>
              <w:rPr>
                <w:rFonts w:ascii="Times New Roman" w:eastAsia="Times New Roman"/>
                <w:spacing w:val="-23"/>
                <w:sz w:val="18"/>
              </w:rPr>
              <w:t xml:space="preserve"> </w:t>
            </w:r>
            <w:r>
              <w:rPr>
                <w:rFonts w:ascii="宋体" w:eastAsia="宋体"/>
                <w:spacing w:val="-90"/>
                <w:sz w:val="18"/>
              </w:rPr>
              <w:t>砼</w:t>
            </w:r>
            <w:r>
              <w:rPr>
                <w:rFonts w:ascii="宋体" w:eastAsia="宋体"/>
                <w:spacing w:val="-4"/>
                <w:sz w:val="18"/>
              </w:rPr>
              <w:t>（</w:t>
            </w:r>
            <w:r>
              <w:rPr>
                <w:rFonts w:ascii="Times New Roman" w:eastAsia="Times New Roman"/>
                <w:spacing w:val="-4"/>
                <w:sz w:val="18"/>
              </w:rPr>
              <w:t>m3</w:t>
            </w:r>
            <w:r>
              <w:rPr>
                <w:rFonts w:ascii="宋体" w:eastAsia="宋体"/>
                <w:spacing w:val="-4"/>
                <w:sz w:val="18"/>
              </w:rPr>
              <w:t>）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 w:line="324" w:lineRule="auto"/>
              <w:ind w:left="137" w:right="115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M10</w:t>
            </w:r>
            <w:r>
              <w:rPr>
                <w:rFonts w:ascii="Times New Roman" w:eastAsia="Times New Roman"/>
                <w:spacing w:val="-12"/>
                <w:sz w:val="18"/>
              </w:rPr>
              <w:t xml:space="preserve"> </w:t>
            </w:r>
            <w:r>
              <w:rPr>
                <w:rFonts w:ascii="宋体" w:eastAsia="宋体"/>
                <w:sz w:val="18"/>
              </w:rPr>
              <w:t>浆砌片</w:t>
            </w:r>
            <w:r>
              <w:rPr>
                <w:rFonts w:ascii="宋体" w:eastAsia="宋体"/>
                <w:spacing w:val="-4"/>
                <w:sz w:val="18"/>
              </w:rPr>
              <w:t>石工程量</w:t>
            </w:r>
          </w:p>
          <w:p>
            <w:pPr>
              <w:pStyle w:val="TableParagraph"/>
              <w:spacing w:before="1"/>
              <w:ind w:left="135" w:right="115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>（</w:t>
            </w:r>
            <w:r>
              <w:rPr>
                <w:rFonts w:ascii="Times New Roman" w:eastAsia="Times New Roman"/>
                <w:spacing w:val="-4"/>
                <w:sz w:val="18"/>
              </w:rPr>
              <w:t>m3</w:t>
            </w:r>
            <w:r>
              <w:rPr>
                <w:rFonts w:ascii="宋体" w:eastAsia="宋体"/>
                <w:spacing w:val="-4"/>
                <w:sz w:val="18"/>
              </w:rPr>
              <w:t>）</w:t>
            </w: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>护脚墙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3"/>
                <w:sz w:val="18"/>
              </w:rPr>
              <w:t>实体护坡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左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左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左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拱形骨架防护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700" w:right="68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合计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48"/>
        <w:ind w:left="34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一、工程概况</w:t>
      </w:r>
    </w:p>
    <w:p>
      <w:pPr>
        <w:pStyle w:val="BodyText"/>
        <w:spacing w:before="201" w:line="417" w:lineRule="auto"/>
        <w:ind w:left="340" w:right="478" w:firstLine="560"/>
      </w:pPr>
      <w:r>
        <w:rPr>
          <w:spacing w:val="-2"/>
        </w:rPr>
        <w:t>本合同段穿越大巴山～</w:t>
      </w:r>
      <w:r>
        <w:rPr>
          <w:spacing w:val="-12"/>
        </w:rPr>
        <w:t>米仓山南麓，华蓥以西的四川盆地东部地</w:t>
      </w:r>
      <w:r>
        <w:rPr>
          <w:spacing w:val="-4"/>
        </w:rPr>
        <w:t xml:space="preserve">区。属低山丘陵区，海拔高程 </w:t>
      </w:r>
      <w:r>
        <w:t>200m～600m</w:t>
      </w:r>
      <w:r>
        <w:rPr>
          <w:spacing w:val="-7"/>
        </w:rPr>
        <w:t xml:space="preserve">，相对高差一般在 </w:t>
      </w:r>
      <w:r>
        <w:rPr>
          <w:spacing w:val="-2"/>
        </w:rPr>
        <w:t>100m～</w:t>
      </w:r>
    </w:p>
    <w:p>
      <w:pPr>
        <w:spacing w:after="0" w:line="417" w:lineRule="auto"/>
        <w:sectPr>
          <w:footerReference w:type="default" r:id="rId6"/>
          <w:pgSz w:w="11910" w:h="16840"/>
          <w:pgMar w:top="1520" w:right="1320" w:bottom="1180" w:left="1460" w:header="0" w:footer="990"/>
          <w:pgNumType w:start="3"/>
          <w:cols w:space="708"/>
        </w:sectPr>
      </w:pPr>
    </w:p>
    <w:p>
      <w:pPr>
        <w:pStyle w:val="BodyText"/>
        <w:spacing w:before="37"/>
        <w:ind w:left="340"/>
      </w:pPr>
      <w:r>
        <w:t>400m</w:t>
      </w:r>
      <w:r>
        <w:rPr>
          <w:spacing w:val="-10"/>
        </w:rPr>
        <w:t xml:space="preserve"> 左右。属亚热带季风气候区，雨量充沛，暴雨强度大。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340" w:right="478" w:firstLine="560"/>
        <w:jc w:val="both"/>
      </w:pPr>
      <w:r>
        <w:rPr>
          <w:spacing w:val="-4"/>
        </w:rPr>
        <w:t>为防止水流、雨水、风力和不良水文地质的其他因素对路基形成</w:t>
      </w:r>
      <w:r>
        <w:rPr>
          <w:spacing w:val="-4"/>
        </w:rPr>
        <w:t>危害，保证路基坚固、稳定，改善环境景观，保护生态平衡和防止水</w:t>
      </w:r>
      <w:r>
        <w:rPr>
          <w:spacing w:val="-4"/>
        </w:rPr>
        <w:t>土流失，路基防护工程应与路基的填挖方工程紧密、合理衔接，开挖</w:t>
      </w:r>
      <w:r>
        <w:rPr>
          <w:spacing w:val="-4"/>
        </w:rPr>
        <w:t>一级防护一级，并及时进行养护。现随着路基填挖方工作的开展，防</w:t>
      </w:r>
      <w:r>
        <w:rPr>
          <w:spacing w:val="-10"/>
        </w:rPr>
        <w:t>护工程已有足够的工作面，所以我合同段根据设计图纸要求结合本合</w:t>
      </w:r>
      <w:r>
        <w:rPr>
          <w:spacing w:val="-4"/>
        </w:rPr>
        <w:t>同段实际情况对本段防护工程进行施工。根据设计图纸要求，我合同</w:t>
      </w:r>
      <w:r>
        <w:rPr>
          <w:spacing w:val="-2"/>
        </w:rPr>
        <w:t>段有以下几种防护形式</w:t>
      </w:r>
    </w:p>
    <w:p>
      <w:pPr>
        <w:pStyle w:val="BodyText"/>
        <w:spacing w:line="357" w:lineRule="exact"/>
        <w:ind w:left="900"/>
        <w:jc w:val="both"/>
      </w:pPr>
      <w:r>
        <w:t>7、</w:t>
      </w:r>
      <w:r>
        <w:rPr>
          <w:spacing w:val="89"/>
          <w:w w:val="150"/>
        </w:rPr>
        <w:t xml:space="preserve"> </w:t>
      </w:r>
      <w:r>
        <w:rPr>
          <w:spacing w:val="-12"/>
        </w:rPr>
        <w:t>植物生态防护：填方高度</w:t>
      </w:r>
      <w:r>
        <w:t>≤4.0m</w:t>
      </w:r>
      <w:r>
        <w:rPr>
          <w:spacing w:val="-16"/>
        </w:rPr>
        <w:t xml:space="preserve"> 或每级坡度均缓于 </w:t>
      </w:r>
      <w:r>
        <w:rPr>
          <w:spacing w:val="-2"/>
        </w:rPr>
        <w:t>1:1.75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620"/>
      </w:pPr>
      <w:r>
        <w:rPr>
          <w:spacing w:val="-1"/>
        </w:rPr>
        <w:t>时，边坡采用直接喷播植草防护和绿化。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620" w:right="477" w:hanging="720"/>
        <w:jc w:val="both"/>
      </w:pPr>
      <w:r>
        <w:t>8、 菱形骨架网格护坡防护：边坡＞4.0m</w:t>
      </w:r>
      <w:r>
        <w:rPr>
          <w:spacing w:val="-6"/>
        </w:rPr>
        <w:t xml:space="preserve"> 时采用菱形骨架网格</w:t>
      </w:r>
      <w:r>
        <w:rPr>
          <w:spacing w:val="-2"/>
        </w:rPr>
        <w:t>护坡防护，设置骨架泄水槽汇集和排泄坡面及路面雨水，</w:t>
      </w:r>
      <w:r>
        <w:rPr>
          <w:spacing w:val="-2"/>
        </w:rPr>
        <w:t>并在主次骨架之间空格内及平台上采用撒播草籽进行坡面</w:t>
      </w:r>
      <w:r>
        <w:rPr>
          <w:spacing w:val="-2"/>
        </w:rPr>
        <w:t>防护和绿化。</w:t>
      </w:r>
    </w:p>
    <w:p>
      <w:pPr>
        <w:pStyle w:val="BodyText"/>
        <w:spacing w:line="417" w:lineRule="auto"/>
        <w:ind w:left="1620" w:right="477" w:hanging="720"/>
        <w:jc w:val="both"/>
      </w:pPr>
      <w:r>
        <w:t>9、 拱形护坡防护：边坡高度＞4.0m，且为超高单向横坡平曲</w:t>
      </w:r>
      <w:r>
        <w:rPr>
          <w:spacing w:val="-2"/>
        </w:rPr>
        <w:t>线内侧边坡、凹形竖曲线底部两侧边坡以及桥头路堤两侧</w:t>
      </w:r>
      <w:r>
        <w:rPr>
          <w:spacing w:val="-2"/>
        </w:rPr>
        <w:t>边坡时采用拱形骨架护坡防护，设置骨架泄水槽汇集和排</w:t>
      </w:r>
      <w:r>
        <w:rPr>
          <w:spacing w:val="-2"/>
        </w:rPr>
        <w:t>泄坡面及路面雨水，并在主次骨架间空格内及平台上采用</w:t>
      </w:r>
      <w:r>
        <w:rPr>
          <w:spacing w:val="-2"/>
        </w:rPr>
        <w:t>撒播草籽进行坡面防护和绿化。</w:t>
      </w:r>
    </w:p>
    <w:p>
      <w:pPr>
        <w:pStyle w:val="BodyText"/>
        <w:spacing w:line="417" w:lineRule="auto"/>
        <w:ind w:left="1620" w:right="477" w:hanging="720"/>
        <w:jc w:val="both"/>
      </w:pPr>
      <w:r>
        <w:t>10、 实体护坡防护：经过堰塘、水库、河流地段的常年水流浸</w:t>
      </w:r>
      <w:r>
        <w:rPr>
          <w:spacing w:val="-16"/>
        </w:rPr>
        <w:t xml:space="preserve">蚀或冲刷的路段，一般于高出设计洪水水位 </w:t>
      </w:r>
      <w:r>
        <w:rPr>
          <w:spacing w:val="-4"/>
        </w:rPr>
        <w:t>0.5m</w:t>
      </w:r>
      <w:r>
        <w:rPr>
          <w:spacing w:val="-11"/>
        </w:rPr>
        <w:t xml:space="preserve"> 位置以下</w:t>
      </w:r>
      <w:r>
        <w:rPr>
          <w:spacing w:val="-1"/>
        </w:rPr>
        <w:t>采用实体护坡、护脚进行处理，护脚应埋置于清除淤泥后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320" w:bottom="1180" w:left="1460" w:header="0" w:footer="990"/>
          <w:pgNumType w:start="4"/>
          <w:cols w:space="708"/>
        </w:sectPr>
      </w:pPr>
    </w:p>
    <w:p>
      <w:pPr>
        <w:pStyle w:val="BodyText"/>
        <w:spacing w:before="37" w:line="417" w:lineRule="auto"/>
        <w:ind w:left="1620" w:right="477"/>
        <w:jc w:val="both"/>
      </w:pPr>
      <w:r>
        <w:rPr>
          <w:spacing w:val="-2"/>
        </w:rPr>
        <w:t>夯实的土基活基岩上。用于冲刷防护的实体护坡厚度不得</w:t>
      </w:r>
      <w:r>
        <w:rPr>
          <w:spacing w:val="-14"/>
        </w:rPr>
        <w:t xml:space="preserve">小于 </w:t>
      </w:r>
      <w:r>
        <w:t>0.35m。</w:t>
      </w:r>
    </w:p>
    <w:p>
      <w:pPr>
        <w:pStyle w:val="BodyText"/>
        <w:spacing w:line="417" w:lineRule="auto"/>
        <w:ind w:left="1620" w:right="477" w:hanging="720"/>
        <w:jc w:val="both"/>
      </w:pPr>
      <w:r>
        <w:t>11、 护肩及护脚防护：对于陡山坡上的半填半挖路基，当填土</w:t>
      </w:r>
      <w:r>
        <w:rPr>
          <w:spacing w:val="-2"/>
        </w:rPr>
        <w:t>高度较低时，但边坡伸出较远不易填筑时，采用护肩及护</w:t>
      </w:r>
      <w:r>
        <w:rPr>
          <w:spacing w:val="-2"/>
        </w:rPr>
        <w:t>脚收缩坡脚。</w:t>
      </w:r>
    </w:p>
    <w:p>
      <w:pPr>
        <w:pStyle w:val="BodyText"/>
        <w:spacing w:line="417" w:lineRule="auto"/>
        <w:ind w:left="1620" w:right="337" w:hanging="720"/>
      </w:pPr>
      <w:r>
        <w:t>12、 挡土墙防护：对于斜坡路段或与建筑物发生路段干扰的路</w:t>
      </w:r>
      <w:r>
        <w:rPr>
          <w:spacing w:val="-6"/>
        </w:rPr>
        <w:t>堤，为了增强路基稳定、收缩坡脚、避免拆迁或减少占地，</w:t>
      </w:r>
      <w:r>
        <w:rPr>
          <w:spacing w:val="-2"/>
        </w:rPr>
        <w:t>则视情况于路肩或于坡脚设置衡重式挡土墙进行防护。</w:t>
      </w:r>
    </w:p>
    <w:p>
      <w:pPr>
        <w:spacing w:before="0" w:line="422" w:lineRule="exact"/>
        <w:ind w:left="1502" w:right="1500" w:firstLine="0"/>
        <w:jc w:val="center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防护工程工程量表</w:t>
      </w:r>
    </w:p>
    <w:p>
      <w:pPr>
        <w:pStyle w:val="BodyText"/>
        <w:spacing w:before="10"/>
        <w:rPr>
          <w:rFonts w:ascii="Microsoft JhengHei"/>
          <w:b/>
          <w:sz w:val="3"/>
        </w:rPr>
      </w:pPr>
    </w:p>
    <w:tbl>
      <w:tblPr>
        <w:tblStyle w:val="TableNormal1"/>
        <w:tblW w:w="0" w:type="auto"/>
        <w:jc w:val="left"/>
        <w:tblInd w:w="3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0"/>
        <w:gridCol w:w="2140"/>
        <w:gridCol w:w="1520"/>
        <w:gridCol w:w="800"/>
        <w:gridCol w:w="1180"/>
        <w:gridCol w:w="1060"/>
        <w:gridCol w:w="1200"/>
      </w:tblGrid>
      <w:tr>
        <w:tblPrEx>
          <w:tblW w:w="0" w:type="auto"/>
          <w:jc w:val="left"/>
          <w:tblInd w:w="335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97" w:right="77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序号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701" w:right="68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3"/>
                <w:sz w:val="18"/>
              </w:rPr>
              <w:t>起止桩号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类型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210" w:right="19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侧别</w:t>
            </w:r>
          </w:p>
        </w:tc>
        <w:tc>
          <w:tcPr>
            <w:tcW w:w="1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 w:line="324" w:lineRule="auto"/>
              <w:ind w:left="113" w:right="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Times New Roman" w:eastAsia="Times New Roman"/>
                <w:spacing w:val="-2"/>
                <w:sz w:val="18"/>
              </w:rPr>
              <w:t>M7.5</w:t>
            </w:r>
            <w:r>
              <w:rPr>
                <w:rFonts w:ascii="Times New Roman" w:eastAsia="Times New Roman"/>
                <w:spacing w:val="-10"/>
                <w:sz w:val="18"/>
              </w:rPr>
              <w:t xml:space="preserve"> </w:t>
            </w:r>
            <w:r>
              <w:rPr>
                <w:rFonts w:ascii="宋体" w:eastAsia="宋体"/>
                <w:spacing w:val="-2"/>
                <w:sz w:val="18"/>
              </w:rPr>
              <w:t>浆砌片</w:t>
            </w:r>
            <w:r>
              <w:rPr>
                <w:rFonts w:ascii="宋体" w:eastAsia="宋体"/>
                <w:spacing w:val="-4"/>
                <w:sz w:val="18"/>
              </w:rPr>
              <w:t>石工程量</w:t>
            </w:r>
          </w:p>
          <w:p>
            <w:pPr>
              <w:pStyle w:val="TableParagraph"/>
              <w:spacing w:before="1"/>
              <w:ind w:left="111" w:right="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>（</w:t>
            </w:r>
            <w:r>
              <w:rPr>
                <w:rFonts w:ascii="Times New Roman" w:eastAsia="Times New Roman"/>
                <w:spacing w:val="-4"/>
                <w:sz w:val="18"/>
              </w:rPr>
              <w:t>m3</w:t>
            </w:r>
            <w:r>
              <w:rPr>
                <w:rFonts w:ascii="宋体" w:eastAsia="宋体"/>
                <w:spacing w:val="-4"/>
                <w:sz w:val="18"/>
              </w:rPr>
              <w:t>）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113" w:right="-72"/>
              <w:rPr>
                <w:rFonts w:ascii="宋体" w:eastAsia="宋体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C15</w:t>
            </w:r>
            <w:r>
              <w:rPr>
                <w:rFonts w:ascii="Times New Roman" w:eastAsia="Times New Roman"/>
                <w:spacing w:val="-23"/>
                <w:sz w:val="18"/>
              </w:rPr>
              <w:t xml:space="preserve"> </w:t>
            </w:r>
            <w:r>
              <w:rPr>
                <w:rFonts w:ascii="宋体" w:eastAsia="宋体"/>
                <w:spacing w:val="-90"/>
                <w:sz w:val="18"/>
              </w:rPr>
              <w:t>砼</w:t>
            </w:r>
            <w:r>
              <w:rPr>
                <w:rFonts w:ascii="宋体" w:eastAsia="宋体"/>
                <w:spacing w:val="-4"/>
                <w:sz w:val="18"/>
              </w:rPr>
              <w:t>（</w:t>
            </w:r>
            <w:r>
              <w:rPr>
                <w:rFonts w:ascii="Times New Roman" w:eastAsia="Times New Roman"/>
                <w:spacing w:val="-4"/>
                <w:sz w:val="18"/>
              </w:rPr>
              <w:t>m3</w:t>
            </w:r>
            <w:r>
              <w:rPr>
                <w:rFonts w:ascii="宋体" w:eastAsia="宋体"/>
                <w:spacing w:val="-4"/>
                <w:sz w:val="18"/>
              </w:rPr>
              <w:t>）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 w:line="324" w:lineRule="auto"/>
              <w:ind w:left="137" w:right="115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M10</w:t>
            </w:r>
            <w:r>
              <w:rPr>
                <w:rFonts w:ascii="Times New Roman" w:eastAsia="Times New Roman"/>
                <w:spacing w:val="-12"/>
                <w:sz w:val="18"/>
              </w:rPr>
              <w:t xml:space="preserve"> </w:t>
            </w:r>
            <w:r>
              <w:rPr>
                <w:rFonts w:ascii="宋体" w:eastAsia="宋体"/>
                <w:sz w:val="18"/>
              </w:rPr>
              <w:t>浆砌片</w:t>
            </w:r>
            <w:r>
              <w:rPr>
                <w:rFonts w:ascii="宋体" w:eastAsia="宋体"/>
                <w:spacing w:val="-4"/>
                <w:sz w:val="18"/>
              </w:rPr>
              <w:t>石工程量</w:t>
            </w:r>
          </w:p>
          <w:p>
            <w:pPr>
              <w:pStyle w:val="TableParagraph"/>
              <w:spacing w:before="1"/>
              <w:ind w:left="135" w:right="115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>（</w:t>
            </w:r>
            <w:r>
              <w:rPr>
                <w:rFonts w:ascii="Times New Roman" w:eastAsia="Times New Roman"/>
                <w:spacing w:val="-4"/>
                <w:sz w:val="18"/>
              </w:rPr>
              <w:t>m3</w:t>
            </w:r>
            <w:r>
              <w:rPr>
                <w:rFonts w:ascii="宋体" w:eastAsia="宋体"/>
                <w:spacing w:val="-4"/>
                <w:sz w:val="18"/>
              </w:rPr>
              <w:t>）</w:t>
            </w: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>护脚墙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3"/>
                <w:sz w:val="18"/>
              </w:rPr>
              <w:t>实体护坡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左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左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菱形骨架护坡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左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11" w:right="19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"/>
                <w:sz w:val="18"/>
              </w:rPr>
              <w:t>拱形骨架防护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0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z w:val="18"/>
              </w:rPr>
              <w:t>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58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700" w:right="681"/>
              <w:jc w:val="center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合计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9"/>
        <w:rPr>
          <w:rFonts w:ascii="Microsoft JhengHei"/>
          <w:b/>
          <w:sz w:val="36"/>
        </w:rPr>
      </w:pPr>
    </w:p>
    <w:p>
      <w:pPr>
        <w:spacing w:before="0"/>
        <w:ind w:left="34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二、工期安排</w:t>
      </w:r>
    </w:p>
    <w:p>
      <w:pPr>
        <w:pStyle w:val="BodyText"/>
        <w:tabs>
          <w:tab w:val="left" w:pos="3699"/>
          <w:tab w:val="left" w:pos="4259"/>
          <w:tab w:val="left" w:pos="4819"/>
          <w:tab w:val="left" w:pos="6219"/>
          <w:tab w:val="left" w:pos="6779"/>
          <w:tab w:val="left" w:pos="7339"/>
        </w:tabs>
        <w:spacing w:before="202" w:line="417" w:lineRule="auto"/>
        <w:ind w:left="340" w:right="478" w:firstLine="560"/>
      </w:pPr>
      <w:r>
        <w:rPr>
          <w:spacing w:val="-2"/>
        </w:rPr>
        <w:t>本</w:t>
      </w:r>
      <w:r>
        <w:rPr>
          <w:spacing w:val="-2"/>
        </w:rPr>
        <w:t>段</w:t>
      </w:r>
      <w:r>
        <w:rPr>
          <w:spacing w:val="-2"/>
        </w:rPr>
        <w:t>防</w:t>
      </w:r>
      <w:r>
        <w:rPr>
          <w:spacing w:val="-2"/>
        </w:rPr>
        <w:t>护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计</w:t>
      </w:r>
      <w:r>
        <w:rPr>
          <w:spacing w:val="-2"/>
        </w:rPr>
        <w:t>划</w:t>
      </w:r>
      <w:r>
        <w:rPr>
          <w:spacing w:val="-2"/>
        </w:rPr>
        <w:t>于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4"/>
        </w:rPr>
        <w:t>日</w:t>
      </w:r>
      <w:r>
        <w:rPr>
          <w:spacing w:val="-4"/>
        </w:rPr>
        <w:t>开</w:t>
      </w:r>
      <w:r>
        <w:rPr>
          <w:spacing w:val="-4"/>
        </w:rPr>
        <w:t>工</w:t>
      </w:r>
      <w:r>
        <w:rPr>
          <w:spacing w:val="-4"/>
        </w:rPr>
        <w:t>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4"/>
        </w:rPr>
        <w:t>日</w:t>
      </w:r>
      <w:r>
        <w:rPr>
          <w:spacing w:val="-4"/>
        </w:rPr>
        <w:t>完</w:t>
      </w:r>
      <w:r>
        <w:rPr>
          <w:spacing w:val="-4"/>
        </w:rPr>
        <w:t>工</w:t>
      </w:r>
      <w:r>
        <w:rPr>
          <w:spacing w:val="-95"/>
        </w:rPr>
        <w:t>。</w:t>
      </w:r>
      <w:r>
        <w:rPr>
          <w:spacing w:val="-4"/>
        </w:rPr>
        <w:t>防</w:t>
      </w:r>
      <w:r>
        <w:rPr>
          <w:spacing w:val="-2"/>
        </w:rPr>
        <w:t>护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施</w:t>
      </w:r>
      <w:r>
        <w:rPr>
          <w:spacing w:val="-2"/>
        </w:rPr>
        <w:t>工</w:t>
      </w:r>
      <w:r>
        <w:rPr>
          <w:spacing w:val="-2"/>
        </w:rPr>
        <w:t>队</w:t>
      </w:r>
      <w:r>
        <w:rPr>
          <w:spacing w:val="-2"/>
        </w:rPr>
        <w:t>伍</w:t>
      </w:r>
      <w:r>
        <w:rPr>
          <w:spacing w:val="-2"/>
        </w:rPr>
        <w:t>及</w:t>
      </w:r>
      <w:r>
        <w:rPr>
          <w:spacing w:val="-2"/>
        </w:rPr>
        <w:t>设</w:t>
      </w:r>
      <w:r>
        <w:rPr>
          <w:spacing w:val="-2"/>
        </w:rPr>
        <w:t>备</w:t>
      </w:r>
      <w:r>
        <w:rPr>
          <w:spacing w:val="-2"/>
        </w:rPr>
        <w:t>已</w:t>
      </w:r>
      <w:r>
        <w:rPr>
          <w:spacing w:val="-2"/>
        </w:rPr>
        <w:t>进</w:t>
      </w:r>
      <w:r>
        <w:rPr>
          <w:spacing w:val="-2"/>
        </w:rPr>
        <w:t>入</w:t>
      </w:r>
      <w:r>
        <w:rPr>
          <w:spacing w:val="-2"/>
        </w:rPr>
        <w:t>施</w:t>
      </w:r>
      <w:r>
        <w:rPr>
          <w:spacing w:val="-2"/>
        </w:rPr>
        <w:t>工</w:t>
      </w:r>
      <w:r>
        <w:rPr>
          <w:spacing w:val="-2"/>
        </w:rPr>
        <w:t>场</w:t>
      </w:r>
      <w:r>
        <w:rPr>
          <w:spacing w:val="-2"/>
        </w:rPr>
        <w:t>地</w:t>
      </w:r>
      <w:r>
        <w:rPr>
          <w:spacing w:val="-2"/>
        </w:rPr>
        <w:t>，</w:t>
      </w:r>
      <w:r>
        <w:rPr>
          <w:spacing w:val="-2"/>
        </w:rPr>
        <w:t>相</w:t>
      </w:r>
      <w:r>
        <w:rPr>
          <w:spacing w:val="-2"/>
        </w:rPr>
        <w:t>应</w:t>
      </w:r>
      <w:r>
        <w:rPr>
          <w:spacing w:val="-2"/>
        </w:rPr>
        <w:t>准</w:t>
      </w:r>
      <w:r>
        <w:rPr>
          <w:spacing w:val="-2"/>
        </w:rPr>
        <w:t>备</w:t>
      </w:r>
      <w:r>
        <w:rPr>
          <w:spacing w:val="-2"/>
        </w:rPr>
        <w:t>工</w:t>
      </w:r>
      <w:r>
        <w:rPr>
          <w:spacing w:val="-2"/>
        </w:rPr>
        <w:t>作</w:t>
      </w:r>
      <w:r>
        <w:rPr>
          <w:spacing w:val="-2"/>
        </w:rPr>
        <w:t>就</w:t>
      </w:r>
      <w:r>
        <w:rPr>
          <w:spacing w:val="-2"/>
        </w:rPr>
        <w:t>绪</w:t>
      </w:r>
      <w:r>
        <w:rPr>
          <w:spacing w:val="-2"/>
        </w:rPr>
        <w:t>。</w:t>
      </w:r>
    </w:p>
    <w:p>
      <w:pPr>
        <w:spacing w:before="0" w:line="422" w:lineRule="exact"/>
        <w:ind w:left="34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三、人员、设备组织</w:t>
      </w:r>
    </w:p>
    <w:p>
      <w:pPr>
        <w:pStyle w:val="BodyText"/>
        <w:spacing w:before="201"/>
        <w:ind w:left="340"/>
      </w:pPr>
      <w:r>
        <w:t>（一）</w:t>
      </w:r>
      <w:r>
        <w:rPr>
          <w:spacing w:val="-2"/>
        </w:rPr>
        <w:t>主要人员配置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900"/>
      </w:pPr>
      <w:r>
        <w:rPr>
          <w:spacing w:val="-10"/>
        </w:rPr>
        <w:t>为优质高效完成该段排水工程作业，我部根据总体计划分解计划、</w:t>
      </w:r>
    </w:p>
    <w:p>
      <w:pPr>
        <w:spacing w:after="0"/>
        <w:sectPr>
          <w:footerReference w:type="default" r:id="rId8"/>
          <w:pgSz w:w="11910" w:h="16840"/>
          <w:pgMar w:top="1520" w:right="1320" w:bottom="1180" w:left="1460" w:header="0" w:footer="990"/>
          <w:pgNumType w:start="5"/>
          <w:cols w:space="708"/>
        </w:sectPr>
      </w:pPr>
    </w:p>
    <w:p>
      <w:pPr>
        <w:pStyle w:val="BodyText"/>
        <w:spacing w:before="37" w:line="417" w:lineRule="auto"/>
        <w:ind w:left="340" w:right="478"/>
        <w:jc w:val="both"/>
      </w:pPr>
      <w:r>
        <w:rPr>
          <w:spacing w:val="-4"/>
        </w:rPr>
        <w:t>作业量，及施工难易程度，组织经验丰富的作业队伍及管理、技术人</w:t>
      </w:r>
      <w:r>
        <w:rPr>
          <w:spacing w:val="-4"/>
        </w:rPr>
        <w:t>员施工该段落，项目部从安全、质量、进度、环保等方面进行过程管</w:t>
      </w:r>
      <w:r>
        <w:rPr>
          <w:spacing w:val="-4"/>
        </w:rPr>
        <w:t>理与监督控制，实现项目标准化、精细化作业要求。主要人员配置如</w:t>
      </w:r>
      <w:r>
        <w:rPr>
          <w:spacing w:val="-6"/>
        </w:rPr>
        <w:t>下：</w:t>
      </w:r>
    </w:p>
    <w:p>
      <w:pPr>
        <w:spacing w:before="0" w:line="487" w:lineRule="exact"/>
        <w:ind w:left="614" w:right="0" w:firstLine="0"/>
        <w:jc w:val="left"/>
        <w:rPr>
          <w:rFonts w:ascii="Microsoft JhengHei" w:eastAsia="Microsoft JhengHei"/>
          <w:b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24.45pt;height:199.8pt;margin-top:23.71pt;margin-left:135.43pt;mso-position-horizontal-relative:page;position:absolute;z-index:251658240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double" w:sz="4" w:space="0" w:color="000000"/>
                      <w:left w:val="double" w:sz="4" w:space="0" w:color="000000"/>
                      <w:bottom w:val="double" w:sz="4" w:space="0" w:color="000000"/>
                      <w:right w:val="double" w:sz="4" w:space="0" w:color="000000"/>
                      <w:insideH w:val="double" w:sz="4" w:space="0" w:color="000000"/>
                      <w:insideV w:val="doub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18"/>
                    <w:gridCol w:w="2326"/>
                    <w:gridCol w:w="2735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double" w:sz="4" w:space="0" w:color="000000"/>
                        <w:left w:val="double" w:sz="4" w:space="0" w:color="000000"/>
                        <w:bottom w:val="double" w:sz="4" w:space="0" w:color="000000"/>
                        <w:right w:val="double" w:sz="4" w:space="0" w:color="000000"/>
                        <w:insideH w:val="double" w:sz="4" w:space="0" w:color="000000"/>
                        <w:insideV w:val="doub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7"/>
                      <w:jc w:val="left"/>
                    </w:trPr>
                    <w:tc>
                      <w:tcPr>
                        <w:tcW w:w="1418" w:type="dxa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 w:line="336" w:lineRule="exact"/>
                          <w:ind w:left="407" w:right="39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序号</w:t>
                        </w:r>
                      </w:p>
                    </w:tc>
                    <w:tc>
                      <w:tcPr>
                        <w:tcW w:w="2326" w:type="dxa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val="left" w:pos="709"/>
                          </w:tabs>
                          <w:spacing w:before="11" w:line="336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职</w:t>
                        </w:r>
                        <w:r>
                          <w:rPr>
                            <w:sz w:val="28"/>
                          </w:rPr>
                          <w:tab/>
                        </w:r>
                        <w:r>
                          <w:rPr>
                            <w:spacing w:val="-10"/>
                            <w:sz w:val="28"/>
                          </w:rPr>
                          <w:t>务</w:t>
                        </w:r>
                      </w:p>
                    </w:tc>
                    <w:tc>
                      <w:tcPr>
                        <w:tcW w:w="2735" w:type="dxa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 w:line="336" w:lineRule="exact"/>
                          <w:ind w:left="1065" w:right="105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人数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2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3"/>
                            <w:sz w:val="28"/>
                          </w:rPr>
                          <w:t>项目经理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2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3"/>
                            <w:sz w:val="28"/>
                          </w:rPr>
                          <w:t>总工程师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1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常务项目经理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1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常务总工程师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1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高级工程师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1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6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道路工程师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2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7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试验工程师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2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质检工程师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2"/>
                      <w:jc w:val="left"/>
                    </w:trPr>
                    <w:tc>
                      <w:tcPr>
                        <w:tcW w:w="1418" w:type="dxa"/>
                        <w:tcBorders>
                          <w:top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9</w:t>
                        </w:r>
                      </w:p>
                    </w:tc>
                    <w:tc>
                      <w:tcPr>
                        <w:tcW w:w="2326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现场技术员</w:t>
                        </w:r>
                      </w:p>
                    </w:tc>
                    <w:tc>
                      <w:tcPr>
                        <w:tcW w:w="2735" w:type="dxa"/>
                        <w:tcBorders>
                          <w:top w:val="single" w:sz="6" w:space="0" w:color="000000"/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Microsoft JhengHei" w:eastAsia="Microsoft JhengHei"/>
          <w:b/>
          <w:spacing w:val="-4"/>
          <w:sz w:val="28"/>
        </w:rPr>
        <w:t>1</w:t>
      </w:r>
      <w:r>
        <w:rPr>
          <w:rFonts w:ascii="Microsoft JhengHei" w:eastAsia="Microsoft JhengHei"/>
          <w:b/>
          <w:spacing w:val="-5"/>
          <w:sz w:val="28"/>
        </w:rPr>
        <w:t>、项目部管理人员</w:t>
      </w: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spacing w:before="12"/>
        <w:rPr>
          <w:rFonts w:ascii="Microsoft JhengHei"/>
          <w:b/>
          <w:sz w:val="15"/>
        </w:rPr>
      </w:pPr>
    </w:p>
    <w:p>
      <w:pPr>
        <w:spacing w:before="1"/>
        <w:ind w:left="340" w:right="0" w:firstLine="0"/>
        <w:jc w:val="left"/>
        <w:rPr>
          <w:rFonts w:ascii="Microsoft JhengHei" w:eastAsia="Microsoft JhengHei"/>
          <w:b/>
          <w:sz w:val="28"/>
        </w:rPr>
      </w:pPr>
      <w:r>
        <w:pict>
          <v:shape id="_x0000_s1026" type="#_x0000_t202" style="width:327.6pt;height:100.65pt;margin-top:22.77pt;margin-left:133.85pt;mso-position-horizontal-relative:page;position:absolute;z-index:251659264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double" w:sz="4" w:space="0" w:color="000000"/>
                      <w:left w:val="double" w:sz="4" w:space="0" w:color="000000"/>
                      <w:bottom w:val="double" w:sz="4" w:space="0" w:color="000000"/>
                      <w:right w:val="double" w:sz="4" w:space="0" w:color="000000"/>
                      <w:insideH w:val="double" w:sz="4" w:space="0" w:color="000000"/>
                      <w:insideV w:val="doub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58"/>
                    <w:gridCol w:w="2340"/>
                    <w:gridCol w:w="274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double" w:sz="4" w:space="0" w:color="000000"/>
                        <w:left w:val="double" w:sz="4" w:space="0" w:color="000000"/>
                        <w:bottom w:val="double" w:sz="4" w:space="0" w:color="000000"/>
                        <w:right w:val="double" w:sz="4" w:space="0" w:color="000000"/>
                        <w:insideH w:val="double" w:sz="4" w:space="0" w:color="000000"/>
                        <w:insideV w:val="doub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7"/>
                      <w:jc w:val="left"/>
                    </w:trPr>
                    <w:tc>
                      <w:tcPr>
                        <w:tcW w:w="1458" w:type="dxa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 w:line="335" w:lineRule="exact"/>
                          <w:ind w:left="427" w:right="41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序号</w:t>
                        </w:r>
                      </w:p>
                    </w:tc>
                    <w:tc>
                      <w:tcPr>
                        <w:tcW w:w="2340" w:type="dxa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 w:line="335" w:lineRule="exact"/>
                          <w:ind w:left="733" w:right="72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工种</w:t>
                        </w:r>
                      </w:p>
                    </w:tc>
                    <w:tc>
                      <w:tcPr>
                        <w:tcW w:w="2744" w:type="dxa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 w:line="335" w:lineRule="exact"/>
                          <w:ind w:left="1070" w:right="106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人数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2"/>
                      <w:jc w:val="left"/>
                    </w:trPr>
                    <w:tc>
                      <w:tcPr>
                        <w:tcW w:w="145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733" w:right="72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队长</w:t>
                        </w:r>
                      </w:p>
                    </w:tc>
                    <w:tc>
                      <w:tcPr>
                        <w:tcW w:w="274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2"/>
                      <w:jc w:val="left"/>
                    </w:trPr>
                    <w:tc>
                      <w:tcPr>
                        <w:tcW w:w="145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733" w:right="72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技术员</w:t>
                        </w:r>
                      </w:p>
                    </w:tc>
                    <w:tc>
                      <w:tcPr>
                        <w:tcW w:w="274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1"/>
                      <w:jc w:val="left"/>
                    </w:trPr>
                    <w:tc>
                      <w:tcPr>
                        <w:tcW w:w="1458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733" w:right="72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安全员</w:t>
                        </w:r>
                      </w:p>
                    </w:tc>
                    <w:tc>
                      <w:tcPr>
                        <w:tcW w:w="274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1"/>
                      <w:jc w:val="left"/>
                    </w:trPr>
                    <w:tc>
                      <w:tcPr>
                        <w:tcW w:w="1458" w:type="dxa"/>
                        <w:tcBorders>
                          <w:top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9" w:line="343" w:lineRule="exact"/>
                          <w:ind w:left="733" w:right="72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普工</w:t>
                        </w:r>
                      </w:p>
                    </w:tc>
                    <w:tc>
                      <w:tcPr>
                        <w:tcW w:w="2744" w:type="dxa"/>
                        <w:tcBorders>
                          <w:top w:val="single" w:sz="6" w:space="0" w:color="000000"/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Microsoft JhengHei" w:eastAsia="Microsoft JhengHei"/>
          <w:b/>
          <w:spacing w:val="-4"/>
          <w:sz w:val="28"/>
        </w:rPr>
        <w:t>2</w:t>
      </w:r>
      <w:r>
        <w:rPr>
          <w:rFonts w:ascii="Microsoft JhengHei" w:eastAsia="Microsoft JhengHei"/>
          <w:b/>
          <w:spacing w:val="-5"/>
          <w:sz w:val="28"/>
        </w:rPr>
        <w:t>、施工队伍：</w:t>
      </w: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  <w:sz w:val="24"/>
        </w:rPr>
      </w:pPr>
    </w:p>
    <w:p>
      <w:pPr>
        <w:spacing w:before="1"/>
        <w:ind w:left="34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4"/>
          <w:sz w:val="28"/>
        </w:rPr>
        <w:t>3</w:t>
      </w:r>
      <w:r>
        <w:rPr>
          <w:rFonts w:ascii="Microsoft JhengHei" w:eastAsia="Microsoft JhengHei"/>
          <w:b/>
          <w:spacing w:val="-5"/>
          <w:sz w:val="28"/>
        </w:rPr>
        <w:t>、主要机具配置：</w:t>
      </w:r>
    </w:p>
    <w:p>
      <w:pPr>
        <w:pStyle w:val="BodyText"/>
        <w:spacing w:before="3"/>
        <w:rPr>
          <w:rFonts w:ascii="Microsoft JhengHei"/>
          <w:b/>
          <w:sz w:val="4"/>
        </w:rPr>
      </w:pPr>
    </w:p>
    <w:tbl>
      <w:tblPr>
        <w:tblStyle w:val="TableNormal2"/>
        <w:tblW w:w="0" w:type="auto"/>
        <w:jc w:val="left"/>
        <w:tblInd w:w="12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1637"/>
        <w:gridCol w:w="2754"/>
        <w:gridCol w:w="704"/>
        <w:gridCol w:w="540"/>
      </w:tblGrid>
      <w:tr>
        <w:tblPrEx>
          <w:tblW w:w="0" w:type="auto"/>
          <w:jc w:val="left"/>
          <w:tblInd w:w="1255" w:type="dxa"/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7"/>
          <w:jc w:val="left"/>
        </w:trPr>
        <w:tc>
          <w:tcPr>
            <w:tcW w:w="88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 w:line="336" w:lineRule="exact"/>
              <w:ind w:left="141" w:right="13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序号</w:t>
            </w:r>
          </w:p>
        </w:tc>
        <w:tc>
          <w:tcPr>
            <w:tcW w:w="16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 w:line="336" w:lineRule="exact"/>
              <w:ind w:left="101" w:right="91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设备名称</w:t>
            </w:r>
          </w:p>
        </w:tc>
        <w:tc>
          <w:tcPr>
            <w:tcW w:w="27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 w:line="339" w:lineRule="exact"/>
              <w:ind w:left="419" w:right="40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型号、功率</w:t>
            </w:r>
          </w:p>
        </w:tc>
        <w:tc>
          <w:tcPr>
            <w:tcW w:w="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 w:line="339" w:lineRule="exact"/>
              <w:ind w:left="209"/>
              <w:rPr>
                <w:sz w:val="28"/>
              </w:rPr>
            </w:pPr>
            <w:r>
              <w:rPr>
                <w:sz w:val="28"/>
              </w:rPr>
              <w:t>单</w:t>
            </w:r>
          </w:p>
        </w:tc>
        <w:tc>
          <w:tcPr>
            <w:tcW w:w="54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" w:line="339" w:lineRule="exact"/>
              <w:ind w:left="120"/>
              <w:rPr>
                <w:sz w:val="28"/>
              </w:rPr>
            </w:pPr>
            <w:r>
              <w:rPr>
                <w:sz w:val="28"/>
              </w:rPr>
              <w:t>数</w:t>
            </w:r>
          </w:p>
        </w:tc>
      </w:tr>
      <w:tr>
        <w:tblPrEx>
          <w:tblW w:w="0" w:type="auto"/>
          <w:jc w:val="left"/>
          <w:tblInd w:w="12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2"/>
          <w:jc w:val="left"/>
        </w:trPr>
        <w:tc>
          <w:tcPr>
            <w:tcW w:w="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 w:line="354" w:lineRule="exact"/>
              <w:ind w:left="101" w:right="9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强制式搅拌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419" w:right="40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1.0m3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209"/>
              <w:rPr>
                <w:sz w:val="28"/>
              </w:rPr>
            </w:pPr>
            <w:r>
              <w:rPr>
                <w:sz w:val="28"/>
              </w:rPr>
              <w:t>台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9"/>
          <w:jc w:val="left"/>
        </w:trPr>
        <w:tc>
          <w:tcPr>
            <w:tcW w:w="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101" w:right="9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手风钻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5" w:line="325" w:lineRule="exact"/>
              <w:ind w:left="419" w:right="409"/>
              <w:jc w:val="center"/>
              <w:rPr>
                <w:sz w:val="28"/>
              </w:rPr>
            </w:pPr>
            <w:r>
              <w:rPr>
                <w:sz w:val="28"/>
              </w:rPr>
              <w:t>YT-</w:t>
            </w:r>
            <w:r>
              <w:rPr>
                <w:spacing w:val="-5"/>
                <w:sz w:val="28"/>
              </w:rPr>
              <w:t>28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5" w:line="325" w:lineRule="exact"/>
              <w:ind w:left="209"/>
              <w:rPr>
                <w:sz w:val="28"/>
              </w:rPr>
            </w:pPr>
            <w:r>
              <w:rPr>
                <w:sz w:val="28"/>
              </w:rPr>
              <w:t>台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line="332" w:lineRule="exact"/>
              <w:ind w:left="101" w:right="9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潜孔钻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209"/>
              <w:rPr>
                <w:sz w:val="28"/>
              </w:rPr>
            </w:pPr>
            <w:r>
              <w:rPr>
                <w:sz w:val="28"/>
              </w:rPr>
              <w:t>台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101" w:right="9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卷扬机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418" w:right="4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1T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209"/>
              <w:rPr>
                <w:sz w:val="28"/>
              </w:rPr>
            </w:pPr>
            <w:r>
              <w:rPr>
                <w:sz w:val="28"/>
              </w:rPr>
              <w:t>台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88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101" w:right="9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水平仪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419" w:right="409"/>
              <w:jc w:val="center"/>
              <w:rPr>
                <w:sz w:val="28"/>
              </w:rPr>
            </w:pPr>
            <w:r>
              <w:rPr>
                <w:sz w:val="28"/>
              </w:rPr>
              <w:t>DSZ</w:t>
            </w:r>
            <w:r>
              <w:rPr>
                <w:spacing w:val="-15"/>
                <w:sz w:val="28"/>
              </w:rPr>
              <w:t xml:space="preserve"> 型自动安平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 w:line="343" w:lineRule="exact"/>
              <w:ind w:left="209"/>
              <w:rPr>
                <w:sz w:val="28"/>
              </w:rPr>
            </w:pPr>
            <w:r>
              <w:rPr>
                <w:sz w:val="28"/>
              </w:rPr>
              <w:t>台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pacing w:before="36"/>
        <w:ind w:left="34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四、施工工艺</w:t>
      </w:r>
    </w:p>
    <w:p>
      <w:pPr>
        <w:pStyle w:val="BodyText"/>
        <w:spacing w:before="202"/>
        <w:ind w:left="340"/>
      </w:pPr>
      <w:r>
        <w:t>（一）</w:t>
      </w:r>
      <w:r>
        <w:rPr>
          <w:spacing w:val="-3"/>
        </w:rPr>
        <w:t>施工准备</w:t>
      </w:r>
    </w:p>
    <w:p>
      <w:pPr>
        <w:spacing w:after="0"/>
        <w:sectPr>
          <w:footerReference w:type="default" r:id="rId9"/>
          <w:pgSz w:w="11910" w:h="16840"/>
          <w:pgMar w:top="1520" w:right="1320" w:bottom="1180" w:left="1460" w:header="0" w:footer="990"/>
          <w:pgNumType w:start="6"/>
          <w:cols w:space="708"/>
        </w:sectPr>
      </w:pPr>
    </w:p>
    <w:p>
      <w:pPr>
        <w:pStyle w:val="BodyText"/>
        <w:spacing w:before="37" w:line="417" w:lineRule="auto"/>
        <w:ind w:left="340" w:right="478" w:firstLine="560"/>
      </w:pPr>
      <w:r>
        <w:rPr>
          <w:spacing w:val="-2"/>
        </w:rPr>
        <w:t>1、施工场地准备：清除施工范围内杂物，整理临时材料、机具</w:t>
      </w:r>
      <w:r>
        <w:rPr>
          <w:spacing w:val="-2"/>
        </w:rPr>
        <w:t>堆放场地。</w:t>
      </w:r>
    </w:p>
    <w:p>
      <w:pPr>
        <w:pStyle w:val="BodyText"/>
        <w:spacing w:line="417" w:lineRule="auto"/>
        <w:ind w:left="340" w:right="478" w:firstLine="560"/>
      </w:pPr>
      <w:r>
        <w:rPr>
          <w:spacing w:val="-2"/>
        </w:rPr>
        <w:t>2、安全防护、文明施工准备：做好基底开挖施工区域的围护措</w:t>
      </w:r>
      <w:r>
        <w:rPr>
          <w:spacing w:val="-2"/>
        </w:rPr>
        <w:t>施，布置安全警示标志及标牌。</w:t>
      </w:r>
    </w:p>
    <w:p>
      <w:pPr>
        <w:pStyle w:val="BodyText"/>
        <w:spacing w:line="417" w:lineRule="auto"/>
        <w:ind w:left="340" w:right="478" w:firstLine="560"/>
      </w:pPr>
      <w:r>
        <w:rPr>
          <w:spacing w:val="-2"/>
        </w:rPr>
        <w:t>3、人员、机具设备及材料准备：组织人员、机械器具及材料等</w:t>
      </w:r>
      <w:r>
        <w:rPr>
          <w:spacing w:val="-4"/>
        </w:rPr>
        <w:t>进场。</w:t>
      </w:r>
    </w:p>
    <w:p>
      <w:pPr>
        <w:pStyle w:val="BodyText"/>
        <w:spacing w:line="417" w:lineRule="auto"/>
        <w:ind w:left="340" w:right="338" w:firstLine="560"/>
      </w:pPr>
      <w:r>
        <w:rPr>
          <w:spacing w:val="-4"/>
        </w:rPr>
        <w:t>4、技术准备：完成砂浆配合比报批，编制实施性施工技术方案，</w:t>
      </w:r>
      <w:r>
        <w:rPr>
          <w:spacing w:val="-2"/>
        </w:rPr>
        <w:t>完善报批手续，组织开展安全、技术交底会。</w:t>
      </w:r>
    </w:p>
    <w:p>
      <w:pPr>
        <w:pStyle w:val="BodyText"/>
        <w:spacing w:line="358" w:lineRule="exact"/>
        <w:ind w:left="340"/>
      </w:pPr>
      <w:r>
        <w:t>（二）</w:t>
      </w:r>
      <w:r>
        <w:rPr>
          <w:spacing w:val="-2"/>
        </w:rPr>
        <w:t>施工工艺流程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900"/>
      </w:pPr>
      <w:r>
        <w:t>1</w:t>
      </w:r>
      <w:r>
        <w:rPr>
          <w:spacing w:val="-2"/>
        </w:rPr>
        <w:t>、工艺流程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340" w:right="477" w:firstLine="560"/>
      </w:pPr>
      <w:r>
        <w:rPr>
          <w:spacing w:val="-4"/>
        </w:rPr>
        <w:t>测量放线→清理作业面→基底开挖→报验→防护施工→收尾→养</w:t>
      </w:r>
      <w:r>
        <w:rPr>
          <w:spacing w:val="-2"/>
        </w:rPr>
        <w:t>护→交工验收。</w:t>
      </w:r>
    </w:p>
    <w:p>
      <w:pPr>
        <w:pStyle w:val="BodyText"/>
        <w:spacing w:line="358" w:lineRule="exact"/>
        <w:ind w:left="900"/>
      </w:pPr>
      <w:r>
        <w:t>2</w:t>
      </w:r>
      <w:r>
        <w:rPr>
          <w:spacing w:val="-2"/>
        </w:rPr>
        <w:t>、施工工艺流程图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340"/>
      </w:pPr>
      <w:r>
        <w:t>（三）</w:t>
      </w:r>
      <w:r>
        <w:rPr>
          <w:spacing w:val="-3"/>
        </w:rPr>
        <w:t>施工方法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900"/>
      </w:pPr>
      <w:r>
        <w:t>1</w:t>
      </w:r>
      <w:r>
        <w:rPr>
          <w:spacing w:val="-2"/>
        </w:rPr>
        <w:t>、施工放样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340" w:right="478" w:firstLine="560"/>
      </w:pPr>
      <w:r>
        <w:rPr>
          <w:spacing w:val="-4"/>
        </w:rPr>
        <w:t>测量工程师根据设计图纸，结合实际地形和防护需要，进行测量</w:t>
      </w:r>
      <w:r>
        <w:rPr>
          <w:spacing w:val="-5"/>
        </w:rPr>
        <w:t>放样，标定基坑开挖线，并对线型进行适当调整，以保证其线型的顺</w:t>
      </w:r>
    </w:p>
    <w:p>
      <w:pPr>
        <w:pStyle w:val="BodyText"/>
        <w:spacing w:line="358" w:lineRule="exact"/>
        <w:ind w:left="900"/>
      </w:pPr>
      <w:r>
        <w:rPr>
          <w:spacing w:val="-2"/>
        </w:rPr>
        <w:t>畅、规则。</w:t>
      </w:r>
    </w:p>
    <w:p>
      <w:pPr>
        <w:spacing w:after="0" w:line="358" w:lineRule="exact"/>
        <w:sectPr>
          <w:footerReference w:type="default" r:id="rId10"/>
          <w:pgSz w:w="11910" w:h="16840"/>
          <w:pgMar w:top="1520" w:right="1320" w:bottom="1180" w:left="1460" w:header="0" w:footer="990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tbl>
      <w:tblPr>
        <w:tblStyle w:val="TableNormal3"/>
        <w:tblW w:w="0" w:type="auto"/>
        <w:jc w:val="left"/>
        <w:tblInd w:w="70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0"/>
        <w:gridCol w:w="970"/>
      </w:tblGrid>
      <w:tr>
        <w:tblPrEx>
          <w:tblW w:w="0" w:type="auto"/>
          <w:jc w:val="left"/>
          <w:tblInd w:w="7044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1980" w:type="dxa"/>
            <w:gridSpan w:val="2"/>
            <w:shd w:val="clear" w:color="auto" w:fill="CC99FF"/>
          </w:tcPr>
          <w:p>
            <w:pPr>
              <w:pStyle w:val="TableParagraph"/>
              <w:spacing w:before="95"/>
              <w:ind w:left="465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原材料检测</w:t>
            </w:r>
          </w:p>
        </w:tc>
      </w:tr>
      <w:tr>
        <w:tblPrEx>
          <w:tblW w:w="0" w:type="auto"/>
          <w:jc w:val="left"/>
          <w:tblInd w:w="70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5"/>
          <w:jc w:val="left"/>
        </w:trPr>
        <w:tc>
          <w:tcPr>
            <w:tcW w:w="101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70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1980" w:type="dxa"/>
            <w:gridSpan w:val="2"/>
            <w:shd w:val="clear" w:color="auto" w:fill="CC99FF"/>
          </w:tcPr>
          <w:p>
            <w:pPr>
              <w:pStyle w:val="TableParagraph"/>
              <w:spacing w:before="95"/>
              <w:ind w:left="255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砂浆配合比试验</w:t>
            </w:r>
          </w:p>
        </w:tc>
      </w:tr>
    </w:tbl>
    <w:p>
      <w:pPr>
        <w:pStyle w:val="BodyText"/>
        <w:ind w:left="8047"/>
        <w:rPr>
          <w:sz w:val="20"/>
        </w:rPr>
      </w:pPr>
      <w:r>
        <w:rPr>
          <w:sz w:val="20"/>
        </w:rPr>
        <w:pict>
          <v:group id="_x0000_i1027" style="width:0.75pt;height:17.05pt;mso-position-horizontal-relative:char;mso-position-vertical-relative:line" coordorigin="0,0" coordsize="15,341">
            <v:line id="_x0000_s1028" style="position:absolute" from="8,0" to="8,341" stroked="t" strokecolor="black" strokeweight="0.75pt">
              <v:stroke dashstyle="solid"/>
            </v:line>
            <w10:wrap type="none"/>
          </v:group>
        </w:pict>
      </w:r>
    </w:p>
    <w:p>
      <w:pPr>
        <w:spacing w:before="42" w:line="264" w:lineRule="exact"/>
        <w:ind w:left="7108" w:right="0" w:firstLine="0"/>
        <w:jc w:val="left"/>
        <w:rPr>
          <w:rFonts w:ascii="宋体" w:eastAsia="宋体"/>
          <w:sz w:val="21"/>
        </w:rPr>
      </w:pPr>
      <w:r>
        <w:pict>
          <v:group id="_x0000_s1029" style="width:369pt;height:356.25pt;margin-top:-124.93pt;margin-left:106.72pt;mso-position-horizontal-relative:page;position:absolute;z-index:-251656192" coordorigin="2134,-2499" coordsize="7380,7125">
            <v:rect id="_x0000_s1030" style="width:1980;height:414;left:5058;position:absolute;top:3429" filled="t" fillcolor="#c9f" stroked="f">
              <v:fill type="solid"/>
            </v:rect>
            <v:rect id="_x0000_s1031" style="width:1980;height:414;left:5058;position:absolute;top:3429" filled="f" stroked="t" strokecolor="black" strokeweight="0.75pt">
              <v:stroke dashstyle="solid"/>
            </v:rect>
            <v:shape id="_x0000_s1032" style="width:120;height:120;left:5961;position:absolute;top:3309" coordorigin="5961,3310" coordsize="120,120" path="m6021,3430l5961,3310,6081,3310,6021,3430xe" filled="t" fillcolor="black" stroked="f">
              <v:fill type="solid"/>
              <v:path arrowok="t"/>
            </v:shape>
            <v:line id="_x0000_s1033" style="position:absolute" from="6021,3089" to="6021,3407" stroked="t" strokecolor="black" strokeweight="0.75pt">
              <v:stroke dashstyle="solid"/>
            </v:line>
            <v:shape id="_x0000_s1034" style="width:120;height:120;left:5961;position:absolute;top:4084" coordorigin="5961,4085" coordsize="120,120" path="m6021,4205l5961,4085,6081,4085,6021,4205xe" filled="t" fillcolor="black" stroked="f">
              <v:fill type="solid"/>
              <v:path arrowok="t"/>
            </v:shape>
            <v:line id="_x0000_s1035" style="position:absolute" from="6021,3864" to="6021,4182" stroked="t" strokecolor="black" strokeweight="0.75pt">
              <v:stroke dashstyle="solid"/>
            </v:line>
            <v:shape id="_x0000_s1036" style="width:120;height:120;left:4116;position:absolute;top:3586" coordorigin="4116,3587" coordsize="120,120" path="m4236,3707l4116,3647,4236,3587,4236,3707xe" filled="t" fillcolor="black" stroked="f">
              <v:fill type="solid"/>
              <v:path arrowok="t"/>
            </v:shape>
            <v:line id="_x0000_s1037" style="position:absolute" from="5040,3647" to="4139,3647" stroked="t" strokecolor="black" strokeweight="0.75pt">
              <v:stroke dashstyle="solid"/>
            </v:line>
            <v:shape id="_x0000_s1038" type="#_x0000_t202" style="width:2930;height:1116;left:4116;position:absolute;top:3088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20"/>
                      </w:rPr>
                    </w:pPr>
                  </w:p>
                  <w:p>
                    <w:pPr>
                      <w:spacing w:before="7" w:line="240" w:lineRule="auto"/>
                      <w:rPr>
                        <w:sz w:val="14"/>
                      </w:rPr>
                    </w:pPr>
                  </w:p>
                  <w:p>
                    <w:pPr>
                      <w:spacing w:before="1"/>
                      <w:ind w:left="1302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砂浆强度试验</w:t>
                    </w:r>
                  </w:p>
                </w:txbxContent>
              </v:textbox>
            </v:shape>
            <v:shape id="_x0000_s1039" type="#_x0000_t202" style="width:1980;height:414;left:5058;position:absolute;top:4204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562" w:right="0" w:firstLine="0"/>
                      <w:jc w:val="left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3"/>
                        <w:sz w:val="21"/>
                      </w:rPr>
                      <w:t>交工验收</w:t>
                    </w:r>
                  </w:p>
                </w:txbxContent>
              </v:textbox>
            </v:shape>
            <v:shape id="_x0000_s1040" style="width:120;height:120;left:5961;position:absolute;top:2565" coordorigin="5961,2566" coordsize="120,120" path="m6021,2686l5961,2566,6081,2566,6021,2686xe" filled="t" fillcolor="black" stroked="f">
              <v:fill type="solid"/>
              <v:path arrowok="t"/>
            </v:shape>
            <v:line id="_x0000_s1041" style="position:absolute" from="6021,2345" to="6021,2663" stroked="t" strokecolor="black" strokeweight="0.75pt">
              <v:stroke dashstyle="solid"/>
            </v:line>
            <v:shape id="_x0000_s1042" type="#_x0000_t202" style="width:1980;height:414;left:5058;position:absolute;top:2685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757" w:right="757" w:firstLine="0"/>
                      <w:jc w:val="center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5"/>
                        <w:sz w:val="21"/>
                      </w:rPr>
                      <w:t>养护</w:t>
                    </w:r>
                  </w:p>
                </w:txbxContent>
              </v:textbox>
            </v:shape>
            <v:line id="_x0000_s1043" style="position:absolute" from="3129,3833" to="3129,4019" stroked="t" strokecolor="black" strokeweight="0.75pt">
              <v:stroke dashstyle="solid"/>
            </v:line>
            <v:shape id="_x0000_s1044" type="#_x0000_t202" style="width:1980;height:414;left:2142;position:absolute;top:3429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247" w:right="0" w:firstLine="0"/>
                      <w:jc w:val="left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2"/>
                        <w:sz w:val="21"/>
                      </w:rPr>
                      <w:t>报监理复核签证</w:t>
                    </w:r>
                  </w:p>
                </w:txbxContent>
              </v:textbox>
            </v:shape>
            <v:shape id="_x0000_s1045" style="width:120;height:120;left:4920;position:absolute;top:4330" coordorigin="4920,4331" coordsize="120,120" path="m4920,4451l4920,4331,5040,4391,4920,4451xe" filled="t" fillcolor="black" stroked="f">
              <v:fill type="solid"/>
              <v:path arrowok="t"/>
            </v:shape>
            <v:line id="_x0000_s1046" style="position:absolute" from="5017,4391" to="3129,4391" stroked="t" strokecolor="black" strokeweight="0.75pt">
              <v:stroke dashstyle="solid"/>
            </v:line>
            <v:line id="_x0000_s1047" style="position:absolute" from="3129,4205" to="3129,4391" stroked="t" strokecolor="black" strokeweight="0.75pt">
              <v:stroke dashstyle="solid"/>
            </v:line>
            <v:shape id="_x0000_s1048" style="width:120;height:120;left:5961;position:absolute;top:1852" coordorigin="5961,1853" coordsize="120,120" path="m6021,1973l5961,1853,6081,1853,6021,1973xe" filled="t" fillcolor="black" stroked="f">
              <v:fill type="solid"/>
              <v:path arrowok="t"/>
            </v:shape>
            <v:line id="_x0000_s1049" style="position:absolute" from="6021,1632" to="6021,1950" stroked="t" strokecolor="black" strokeweight="0.75pt">
              <v:stroke dashstyle="solid"/>
            </v:line>
            <v:shape id="_x0000_s1050" type="#_x0000_t202" style="width:1980;height:414;left:5058;position:absolute;top:1941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757" w:right="757" w:firstLine="0"/>
                      <w:jc w:val="center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5"/>
                        <w:sz w:val="21"/>
                      </w:rPr>
                      <w:t>收尾</w:t>
                    </w:r>
                  </w:p>
                </w:txbxContent>
              </v:textbox>
            </v:shape>
            <v:shape id="_x0000_s1051" style="width:120;height:120;left:5961;position:absolute;top:1108" coordorigin="5961,1109" coordsize="120,120" path="m6021,1229l5961,1109,6081,1109,6021,1229xe" filled="t" fillcolor="black" stroked="f">
              <v:fill type="solid"/>
              <v:path arrowok="t"/>
            </v:shape>
            <v:line id="_x0000_s1052" style="position:absolute" from="6021,888" to="6021,1206" stroked="t" strokecolor="black" strokeweight="0.75pt">
              <v:stroke dashstyle="solid"/>
            </v:line>
            <v:shape id="_x0000_s1053" type="#_x0000_t202" style="width:1980;height:414;left:5058;position:absolute;top:1228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562" w:right="0" w:firstLine="0"/>
                      <w:jc w:val="left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3"/>
                        <w:sz w:val="21"/>
                      </w:rPr>
                      <w:t>砂浆抹面</w:t>
                    </w:r>
                  </w:p>
                </w:txbxContent>
              </v:textbox>
            </v:shape>
            <v:shape id="_x0000_s1054" type="#_x0000_t202" style="width:1980;height:414;left:5058;position:absolute;top:484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562" w:right="0" w:firstLine="0"/>
                      <w:jc w:val="left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3"/>
                        <w:sz w:val="21"/>
                      </w:rPr>
                      <w:t>防护施工</w:t>
                    </w:r>
                  </w:p>
                </w:txbxContent>
              </v:textbox>
            </v:shape>
            <v:shape id="_x0000_s1055" style="width:120;height:120;left:4935;position:absolute;top:641" coordorigin="4935,642" coordsize="120,120" path="m4935,762l4935,642,5055,702,4935,762xe" filled="t" fillcolor="black" stroked="f">
              <v:fill type="solid"/>
              <v:path arrowok="t"/>
            </v:shape>
            <v:line id="_x0000_s1056" style="position:absolute" from="5032,702" to="3144,702" stroked="t" strokecolor="black" strokeweight="0.75pt">
              <v:stroke dashstyle="solid"/>
            </v:line>
            <v:line id="_x0000_s1057" style="position:absolute" from="3144,516" to="3144,702" stroked="t" strokecolor="black" strokeweight="0.75pt">
              <v:stroke dashstyle="solid"/>
            </v:line>
            <v:line id="_x0000_s1058" style="position:absolute" from="9507,361" to="9507,702" stroked="t" strokecolor="black" strokeweight="0.75pt">
              <v:stroke dashstyle="solid"/>
            </v:line>
            <v:shape id="_x0000_s1059" style="width:120;height:120;left:7029;position:absolute;top:641" coordorigin="7029,642" coordsize="120,120" path="m7149,762l7029,702,7149,642,7149,762xe" filled="t" fillcolor="black" stroked="f">
              <v:fill type="solid"/>
              <v:path arrowok="t"/>
            </v:shape>
            <v:line id="_x0000_s1060" style="position:absolute" from="7052,702" to="9507,702" stroked="t" strokecolor="black" strokeweight="0.75pt">
              <v:stroke dashstyle="solid"/>
            </v:line>
            <v:rect id="_x0000_s1061" style="width:1980;height:414;left:5058;position:absolute;top:-260" filled="t" fillcolor="#c9f" stroked="f">
              <v:fill type="solid"/>
            </v:rect>
            <v:rect id="_x0000_s1062" style="width:1980;height:414;left:5058;position:absolute;top:-260" filled="f" stroked="t" strokecolor="black" strokeweight="0.75pt">
              <v:stroke dashstyle="solid"/>
            </v:rect>
            <v:shape id="_x0000_s1063" style="width:120;height:120;left:5961;position:absolute;top:-380" coordorigin="5961,-379" coordsize="120,120" path="m6021,-259l5961,-379,6081,-379,6021,-259xe" filled="t" fillcolor="black" stroked="f">
              <v:fill type="solid"/>
              <v:path arrowok="t"/>
            </v:shape>
            <v:rect id="_x0000_s1064" style="width:1980;height:414;left:5058;position:absolute;top:-1004" filled="t" fillcolor="#c9f" stroked="f">
              <v:fill type="solid"/>
            </v:rect>
            <v:rect id="_x0000_s1065" style="width:1980;height:414;left:5058;position:absolute;top:-1004" filled="f" stroked="t" strokecolor="black" strokeweight="0.75pt">
              <v:stroke dashstyle="solid"/>
            </v:rect>
            <v:shape id="_x0000_s1066" style="width:120;height:120;left:5961;position:absolute;top:-1124" coordorigin="5961,-1123" coordsize="120,120" path="m6021,-1003l5961,-1123,6081,-1123,6021,-1003xe" filled="t" fillcolor="black" stroked="f">
              <v:fill type="solid"/>
              <v:path arrowok="t"/>
            </v:shape>
            <v:line id="_x0000_s1067" style="position:absolute" from="6021,-1344" to="6021,-1026" stroked="t" strokecolor="black" strokeweight="0.75pt">
              <v:stroke dashstyle="solid"/>
            </v:line>
            <v:line id="_x0000_s1068" style="position:absolute" from="6021,-600" to="6021,-282" stroked="t" strokecolor="black" strokeweight="0.75pt">
              <v:stroke dashstyle="solid"/>
            </v:line>
            <v:shape id="_x0000_s1069" style="width:120;height:120;left:5961;position:absolute;top:364" coordorigin="5961,365" coordsize="120,120" path="m6021,485l5961,365,6081,365,6021,485xe" filled="t" fillcolor="black" stroked="f">
              <v:fill type="solid"/>
              <v:path arrowok="t"/>
            </v:shape>
            <v:line id="_x0000_s1070" style="position:absolute" from="6021,144" to="6021,462" stroked="t" strokecolor="black" strokeweight="0.75pt">
              <v:stroke dashstyle="solid"/>
            </v:line>
            <v:shape id="_x0000_s1071" style="width:120;height:120;left:4131;position:absolute;top:-103" coordorigin="4131,-102" coordsize="120,120" path="m4251,18l4131,-42,4251,-102,4251,18xe" filled="t" fillcolor="black" stroked="f">
              <v:fill type="solid"/>
              <v:path arrowok="t"/>
            </v:shape>
            <v:line id="_x0000_s1072" style="position:absolute" from="5055,-42" to="4154,-42" stroked="t" strokecolor="black" strokeweight="0.75pt">
              <v:stroke dashstyle="solid"/>
            </v:line>
            <v:shape id="_x0000_s1073" type="#_x0000_t202" style="width:1490;height:210;left:5313;position:absolute;top:-871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报监理复核签证</w:t>
                    </w:r>
                  </w:p>
                </w:txbxContent>
              </v:textbox>
            </v:shape>
            <v:shape id="_x0000_s1074" type="#_x0000_t202" style="width:860;height:210;left:5628;position:absolute;top:-127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基底开挖</w:t>
                    </w:r>
                  </w:p>
                </w:txbxContent>
              </v:textbox>
            </v:shape>
            <v:shape id="_x0000_s1075" style="width:120;height:120;left:5961;position:absolute;top:-1857" coordorigin="5961,-1856" coordsize="120,120" path="m6021,-1736l5961,-1856,6081,-1856,6021,-1736xe" filled="t" fillcolor="black" stroked="f">
              <v:fill type="solid"/>
              <v:path arrowok="t"/>
            </v:shape>
            <v:line id="_x0000_s1076" style="position:absolute" from="6021,-2077" to="6021,-1759" stroked="t" strokecolor="black" strokeweight="0.75pt">
              <v:stroke dashstyle="solid"/>
            </v:line>
            <v:shape id="_x0000_s1077" type="#_x0000_t202" style="width:1980;height:414;left:5049;position:absolute;top:-1748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571" w:right="0" w:firstLine="0"/>
                      <w:jc w:val="left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3"/>
                        <w:sz w:val="21"/>
                      </w:rPr>
                      <w:t>测量放样</w:t>
                    </w:r>
                  </w:p>
                </w:txbxContent>
              </v:textbox>
            </v:shape>
            <v:shape id="_x0000_s1078" type="#_x0000_t202" style="width:1980;height:414;left:5049;position:absolute;top:-2492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343" w:right="0" w:firstLine="0"/>
                      <w:jc w:val="left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2"/>
                        <w:sz w:val="21"/>
                      </w:rPr>
                      <w:t>施工场地清理</w:t>
                    </w:r>
                  </w:p>
                </w:txbxContent>
              </v:textbox>
            </v:shape>
            <v:line id="_x0000_s1079" style="position:absolute" from="3144,144" to="3144,330" stroked="t" strokecolor="black" strokeweight="0.75pt">
              <v:stroke dashstyle="solid"/>
            </v:line>
            <v:shape id="_x0000_s1080" type="#_x0000_t202" style="width:1980;height:414;left:2157;position:absolute;top:-260" filled="t" fillcolor="#c9f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247" w:right="0" w:firstLine="0"/>
                      <w:jc w:val="left"/>
                      <w:rPr>
                        <w:rFonts w:ascii="宋体" w:eastAsia="宋体"/>
                        <w:color w:val="000000"/>
                        <w:sz w:val="21"/>
                      </w:rPr>
                    </w:pPr>
                    <w:r>
                      <w:rPr>
                        <w:rFonts w:ascii="宋体" w:eastAsia="宋体"/>
                        <w:color w:val="000000"/>
                        <w:spacing w:val="-2"/>
                        <w:sz w:val="21"/>
                      </w:rPr>
                      <w:t>报监理检查签证</w:t>
                    </w:r>
                  </w:p>
                </w:txbxContent>
              </v:textbox>
            </v:shape>
          </v:group>
        </w:pict>
      </w:r>
      <w:r>
        <w:pict>
          <v:shape id="_x0000_s1081" style="width:6pt;height:6pt;margin-top:-45.3pt;margin-left:472.35pt;mso-position-horizontal-relative:page;position:absolute;z-index:-251655168" coordorigin="9447,-906" coordsize="120,120" path="m9507,-786l9447,-906,9567,-906,9507,-786xe" filled="t" fillcolor="black" stroked="f">
            <v:fill type="solid"/>
            <v:path arrowok="t"/>
          </v:shape>
        </w:pict>
      </w:r>
      <w:r>
        <w:rPr>
          <w:rFonts w:ascii="宋体" w:eastAsia="宋体"/>
          <w:spacing w:val="-2"/>
          <w:sz w:val="21"/>
        </w:rPr>
        <w:t>砂浆配合比审批合格</w:t>
      </w:r>
    </w:p>
    <w:p>
      <w:pPr>
        <w:spacing w:before="0" w:line="264" w:lineRule="exact"/>
        <w:ind w:left="1471" w:right="0" w:firstLine="0"/>
        <w:jc w:val="left"/>
        <w:rPr>
          <w:rFonts w:ascii="宋体" w:eastAsia="宋体"/>
          <w:sz w:val="21"/>
        </w:rPr>
      </w:pPr>
      <w:r>
        <w:rPr>
          <w:rFonts w:ascii="宋体" w:eastAsia="宋体"/>
          <w:spacing w:val="-5"/>
          <w:sz w:val="21"/>
        </w:rPr>
        <w:t>合格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6"/>
        <w:rPr>
          <w:rFonts w:ascii="宋体"/>
          <w:sz w:val="21"/>
        </w:rPr>
      </w:pPr>
    </w:p>
    <w:p>
      <w:pPr>
        <w:spacing w:before="70"/>
        <w:ind w:left="1456" w:right="0" w:firstLine="0"/>
        <w:jc w:val="left"/>
        <w:rPr>
          <w:rFonts w:ascii="宋体" w:eastAsia="宋体"/>
          <w:sz w:val="21"/>
        </w:rPr>
      </w:pPr>
      <w:r>
        <w:rPr>
          <w:rFonts w:ascii="宋体" w:eastAsia="宋体"/>
          <w:spacing w:val="-5"/>
          <w:sz w:val="21"/>
        </w:rPr>
        <w:t>合格</w:t>
      </w:r>
    </w:p>
    <w:p>
      <w:pPr>
        <w:pStyle w:val="BodyText"/>
        <w:spacing w:before="1"/>
        <w:rPr>
          <w:rFonts w:ascii="宋体"/>
          <w:sz w:val="17"/>
        </w:rPr>
      </w:pPr>
    </w:p>
    <w:p>
      <w:pPr>
        <w:pStyle w:val="BodyText"/>
        <w:spacing w:before="61"/>
        <w:ind w:left="900"/>
      </w:pPr>
      <w:r>
        <w:t>2</w:t>
      </w:r>
      <w:r>
        <w:rPr>
          <w:spacing w:val="-2"/>
        </w:rPr>
        <w:t>、清理作业面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340" w:right="478" w:firstLine="560"/>
      </w:pPr>
      <w:r>
        <w:rPr>
          <w:spacing w:val="-12"/>
        </w:rPr>
        <w:t>在开挖基底之前，应沿防护段落走向清理作业面范围的杂物及浮</w:t>
      </w:r>
      <w:r>
        <w:rPr>
          <w:spacing w:val="-2"/>
        </w:rPr>
        <w:t>石，避免采用风镐施工及浮石滑落。</w:t>
      </w:r>
    </w:p>
    <w:p>
      <w:pPr>
        <w:pStyle w:val="BodyText"/>
        <w:spacing w:line="358" w:lineRule="exact"/>
        <w:ind w:left="900"/>
      </w:pPr>
      <w:r>
        <w:t>3</w:t>
      </w:r>
      <w:r>
        <w:rPr>
          <w:spacing w:val="-2"/>
        </w:rPr>
        <w:t>、基底开挖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340" w:right="478" w:firstLine="560"/>
        <w:jc w:val="both"/>
      </w:pPr>
      <w:r>
        <w:rPr>
          <w:spacing w:val="-2"/>
        </w:rPr>
        <w:t>根据现场施工测量放线位置采用小型机具配合人工开挖基底,当</w:t>
      </w:r>
      <w:r>
        <w:rPr>
          <w:spacing w:val="-4"/>
        </w:rPr>
        <w:t>基底位于石方段时，开挖石方基底，控制好平面开挖尺寸及深度，避</w:t>
      </w:r>
      <w:r>
        <w:rPr>
          <w:spacing w:val="-2"/>
        </w:rPr>
        <w:t>免基底超挖及欠挖。</w:t>
      </w:r>
    </w:p>
    <w:p>
      <w:pPr>
        <w:pStyle w:val="BodyText"/>
        <w:spacing w:line="358" w:lineRule="exact"/>
        <w:ind w:left="900"/>
        <w:jc w:val="both"/>
      </w:pPr>
      <w:r>
        <w:rPr>
          <w:spacing w:val="-1"/>
        </w:rPr>
        <w:t>⑴ 基底的开挖采用小型机具分段由上而下进行。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900"/>
      </w:pPr>
      <w:r>
        <w:rPr>
          <w:spacing w:val="-1"/>
        </w:rPr>
        <w:t>⑵ 基底开挖的石方沿边坡弃下，弃渣时派专人警戒。</w:t>
      </w:r>
    </w:p>
    <w:p>
      <w:pPr>
        <w:spacing w:after="0"/>
        <w:sectPr>
          <w:footerReference w:type="default" r:id="rId11"/>
          <w:pgSz w:w="11910" w:h="16840"/>
          <w:pgMar w:top="1920" w:right="1320" w:bottom="1180" w:left="1460" w:header="0" w:footer="990"/>
          <w:pgNumType w:start="8"/>
          <w:cols w:space="708"/>
        </w:sectPr>
      </w:pPr>
    </w:p>
    <w:p>
      <w:pPr>
        <w:pStyle w:val="BodyText"/>
        <w:spacing w:before="37" w:line="417" w:lineRule="auto"/>
        <w:ind w:left="340" w:right="478" w:firstLine="560"/>
      </w:pPr>
      <w:r>
        <w:rPr>
          <w:spacing w:val="-9"/>
        </w:rPr>
        <w:t xml:space="preserve">⑶ 当采用风镐开挖基底时，每侧的工作边不应小于 </w:t>
      </w:r>
      <w:r>
        <w:t>10cm，严格</w:t>
      </w:r>
      <w:r>
        <w:rPr>
          <w:spacing w:val="-2"/>
        </w:rPr>
        <w:t>控制高程，以防止破坏基底。</w:t>
      </w:r>
    </w:p>
    <w:p>
      <w:pPr>
        <w:pStyle w:val="BodyText"/>
        <w:spacing w:line="358" w:lineRule="exact"/>
        <w:ind w:left="900"/>
        <w:jc w:val="both"/>
      </w:pPr>
      <w:r>
        <w:rPr>
          <w:spacing w:val="-1"/>
        </w:rPr>
        <w:t>⑷ 经监理检查工序后方可进行下步工序施工。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900"/>
      </w:pPr>
      <w:r>
        <w:t>4</w:t>
      </w:r>
      <w:r>
        <w:rPr>
          <w:spacing w:val="-2"/>
        </w:rPr>
        <w:t>、施工操作要求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900"/>
      </w:pPr>
      <w:r>
        <w:rPr>
          <w:spacing w:val="-1"/>
        </w:rPr>
        <w:t>⑴ 砌体施工(菱形骨架、拱形骨架、实体护坡、护脚墙等)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340" w:right="478" w:firstLine="560"/>
      </w:pPr>
      <w:r>
        <w:t>a</w:t>
      </w:r>
      <w:r>
        <w:rPr>
          <w:spacing w:val="-10"/>
        </w:rPr>
        <w:t xml:space="preserve"> 浆砌片石必须使用经自检和监理抽检合格的片石。片石要求外</w:t>
      </w:r>
      <w:r>
        <w:rPr>
          <w:spacing w:val="-5"/>
        </w:rPr>
        <w:t xml:space="preserve">观各向尺寸不小于 </w:t>
      </w:r>
      <w:r>
        <w:t>15cm，且最少有一个平整面的石块。</w:t>
      </w:r>
    </w:p>
    <w:p>
      <w:pPr>
        <w:pStyle w:val="BodyText"/>
        <w:spacing w:line="417" w:lineRule="auto"/>
        <w:ind w:left="340" w:right="338" w:firstLine="560"/>
      </w:pPr>
      <w:r>
        <w:t>b 座浆挤浆砌筑：所有石块应座于新拌和砂浆上。砌第一层石块</w:t>
      </w:r>
      <w:r>
        <w:rPr>
          <w:spacing w:val="-2"/>
        </w:rPr>
        <w:t>时，基底要坐浆。石块大面向外，选择比较方正的石块，砌在各伸缩</w:t>
      </w:r>
      <w:r>
        <w:rPr>
          <w:spacing w:val="-19"/>
        </w:rPr>
        <w:t>缝处或砌体上沿，以保证防护工程线形。根据石块自然形状交错放置，</w:t>
      </w:r>
      <w:r>
        <w:rPr>
          <w:spacing w:val="-2"/>
        </w:rPr>
        <w:t>尽量使石块间缝隙最小，然后再将砂浆填在空隙中，再根据各缝隙形</w:t>
      </w:r>
      <w:r>
        <w:rPr>
          <w:spacing w:val="-2"/>
        </w:rPr>
        <w:t>状和大小选择合适的小石块放入，用小锤轻击，使石块全部挤入缝隙</w:t>
      </w:r>
      <w:r>
        <w:rPr>
          <w:spacing w:val="-2"/>
        </w:rPr>
        <w:t>中。禁止先放小石块后灌浆的方法。</w:t>
      </w:r>
    </w:p>
    <w:p>
      <w:pPr>
        <w:pStyle w:val="BodyText"/>
        <w:spacing w:line="417" w:lineRule="auto"/>
        <w:ind w:left="340" w:right="478" w:firstLine="560"/>
        <w:jc w:val="both"/>
      </w:pPr>
      <w:r>
        <w:rPr>
          <w:spacing w:val="-4"/>
        </w:rPr>
        <w:t>c</w:t>
      </w:r>
      <w:r>
        <w:rPr>
          <w:spacing w:val="-8"/>
        </w:rPr>
        <w:t xml:space="preserve"> 砂浆拌和：严格按配合比计量，拌和现场必备台秤，砂子每车</w:t>
      </w:r>
      <w:r>
        <w:rPr>
          <w:spacing w:val="-4"/>
        </w:rPr>
        <w:t>均应过秤，且必须用机械拌和，搅拌要均匀，砂浆从拌和到使用完毕</w:t>
      </w:r>
      <w:r>
        <w:rPr>
          <w:spacing w:val="-11"/>
        </w:rPr>
        <w:t xml:space="preserve">不能超过 </w:t>
      </w:r>
      <w:r>
        <w:rPr>
          <w:spacing w:val="-6"/>
        </w:rPr>
        <w:t>2</w:t>
      </w:r>
      <w:r>
        <w:rPr>
          <w:spacing w:val="-11"/>
        </w:rPr>
        <w:t xml:space="preserve"> 个小时。砂浆必须放在料桶或铁板上，不允许直接倒在地</w:t>
      </w:r>
      <w:r>
        <w:rPr>
          <w:spacing w:val="-6"/>
        </w:rPr>
        <w:t>上。</w:t>
      </w:r>
    </w:p>
    <w:p>
      <w:pPr>
        <w:pStyle w:val="BodyText"/>
        <w:spacing w:line="417" w:lineRule="auto"/>
        <w:ind w:left="340" w:right="478" w:firstLine="560"/>
        <w:jc w:val="both"/>
      </w:pPr>
      <w:r>
        <w:rPr>
          <w:spacing w:val="-4"/>
        </w:rPr>
        <w:t>d</w:t>
      </w:r>
      <w:r>
        <w:rPr>
          <w:spacing w:val="-8"/>
        </w:rPr>
        <w:t xml:space="preserve"> 片石在砌筑前，应浇水使片石湿润，在每班砌筑前，也应使下</w:t>
      </w:r>
      <w:r>
        <w:rPr>
          <w:spacing w:val="-2"/>
        </w:rPr>
        <w:t>层砌体浇水湿润。</w:t>
      </w:r>
    </w:p>
    <w:p>
      <w:pPr>
        <w:pStyle w:val="BodyText"/>
        <w:spacing w:line="417" w:lineRule="auto"/>
        <w:ind w:left="340" w:right="478" w:firstLine="560"/>
        <w:jc w:val="both"/>
      </w:pPr>
      <w:r>
        <w:rPr>
          <w:spacing w:val="-4"/>
        </w:rPr>
        <w:t>e</w:t>
      </w:r>
      <w:r>
        <w:rPr>
          <w:spacing w:val="-8"/>
        </w:rPr>
        <w:t xml:space="preserve"> 不能在已砌好的砌体上改石料，或从高处往砌体上扔石块、砂</w:t>
      </w:r>
      <w:r>
        <w:rPr>
          <w:spacing w:val="-2"/>
        </w:rPr>
        <w:t>浆等，以免扰动下层砌体。</w:t>
      </w:r>
    </w:p>
    <w:p>
      <w:pPr>
        <w:pStyle w:val="BodyText"/>
        <w:spacing w:line="358" w:lineRule="exact"/>
        <w:ind w:left="900"/>
        <w:jc w:val="both"/>
      </w:pPr>
      <w:r>
        <w:rPr>
          <w:spacing w:val="-4"/>
        </w:rPr>
        <w:t>h</w:t>
      </w:r>
      <w:r>
        <w:rPr>
          <w:spacing w:val="-5"/>
        </w:rPr>
        <w:t xml:space="preserve"> 砌体砌筑时，应按砌体的内轮廓尺寸进行砌筑，每砌筑段最少</w:t>
      </w:r>
    </w:p>
    <w:p>
      <w:pPr>
        <w:spacing w:after="0" w:line="358" w:lineRule="exact"/>
        <w:jc w:val="both"/>
        <w:sectPr>
          <w:footerReference w:type="default" r:id="rId12"/>
          <w:pgSz w:w="11910" w:h="16840"/>
          <w:pgMar w:top="1520" w:right="1320" w:bottom="1180" w:left="1460" w:header="0" w:footer="990"/>
          <w:pgNumType w:start="9"/>
          <w:cols w:space="708"/>
        </w:sectPr>
      </w:pPr>
    </w:p>
    <w:p>
      <w:pPr>
        <w:pStyle w:val="BodyText"/>
        <w:spacing w:before="37"/>
        <w:ind w:left="340"/>
      </w:pPr>
      <w:r>
        <w:rPr>
          <w:spacing w:val="-1"/>
        </w:rPr>
        <w:t>加工两个检查尺(断面架)，并挂线施工，随时校验线形、质量。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900"/>
      </w:pPr>
      <w:r>
        <w:t>i</w:t>
      </w:r>
      <w:r>
        <w:rPr>
          <w:spacing w:val="-21"/>
        </w:rPr>
        <w:t xml:space="preserve"> 勾缝：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340" w:right="478" w:firstLine="560"/>
        <w:jc w:val="both"/>
      </w:pPr>
      <w:r>
        <w:rPr>
          <w:spacing w:val="-5"/>
        </w:rPr>
        <w:t xml:space="preserve">砌体勾缝采用凸缝，缝宽 </w:t>
      </w:r>
      <w:r>
        <w:rPr>
          <w:spacing w:val="-4"/>
        </w:rPr>
        <w:t>2.5cm。勾缝前事先要剔缝，将灰缝剔</w:t>
      </w:r>
      <w:r>
        <w:t>深 20～30mm，墙面用水喷洒湿润，不整齐处应修整。勾缝砂浆宜用 1:1～1:1.5</w:t>
      </w:r>
      <w:r>
        <w:rPr>
          <w:spacing w:val="-4"/>
        </w:rPr>
        <w:t xml:space="preserve"> 水泥砂浆</w:t>
      </w:r>
      <w:r>
        <w:t>（细砂</w:t>
      </w:r>
      <w:r>
        <w:rPr>
          <w:spacing w:val="-140"/>
        </w:rPr>
        <w:t>）</w:t>
      </w:r>
      <w:r>
        <w:rPr>
          <w:spacing w:val="-3"/>
        </w:rPr>
        <w:t xml:space="preserve">，标号不低于 </w:t>
      </w:r>
      <w:r>
        <w:t>10</w:t>
      </w:r>
      <w:r>
        <w:rPr>
          <w:spacing w:val="-6"/>
        </w:rPr>
        <w:t xml:space="preserve"> 号。</w:t>
      </w:r>
    </w:p>
    <w:p>
      <w:pPr>
        <w:pStyle w:val="BodyText"/>
        <w:spacing w:line="358" w:lineRule="exact"/>
        <w:ind w:left="900"/>
        <w:jc w:val="both"/>
      </w:pPr>
      <w:r>
        <w:t>j</w:t>
      </w:r>
      <w:r>
        <w:rPr>
          <w:spacing w:val="-2"/>
        </w:rPr>
        <w:t xml:space="preserve"> 砌体养护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340" w:right="338" w:firstLine="560"/>
      </w:pPr>
      <w:r>
        <w:rPr>
          <w:spacing w:val="-2"/>
        </w:rPr>
        <w:t xml:space="preserve">砌体应在 </w:t>
      </w:r>
      <w:r>
        <w:t>7</w:t>
      </w:r>
      <w:r>
        <w:rPr>
          <w:spacing w:val="-7"/>
        </w:rPr>
        <w:t xml:space="preserve"> 天</w:t>
      </w:r>
      <w:r>
        <w:t>（普通水泥）14</w:t>
      </w:r>
      <w:r>
        <w:rPr>
          <w:spacing w:val="-7"/>
        </w:rPr>
        <w:t xml:space="preserve"> 天</w:t>
      </w:r>
      <w:r>
        <w:t>（矿渣水泥）内加强养护，可</w:t>
      </w:r>
      <w:r>
        <w:rPr>
          <w:spacing w:val="-17"/>
        </w:rPr>
        <w:t xml:space="preserve">用湿草帘子覆盖，天气热时，每天专人浇水 </w:t>
      </w:r>
      <w:r>
        <w:t>2-3</w:t>
      </w:r>
      <w:r>
        <w:rPr>
          <w:spacing w:val="-18"/>
        </w:rPr>
        <w:t xml:space="preserve"> 遍，保证草帘子潮湿。</w:t>
      </w:r>
    </w:p>
    <w:p>
      <w:pPr>
        <w:pStyle w:val="BodyText"/>
        <w:spacing w:line="358" w:lineRule="exact"/>
        <w:ind w:left="900"/>
      </w:pPr>
      <w:r>
        <w:t>⑵现浇混凝土施工（挡土墙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340" w:right="478" w:firstLine="560"/>
        <w:jc w:val="both"/>
      </w:pPr>
      <w:r>
        <w:rPr>
          <w:spacing w:val="-9"/>
        </w:rPr>
        <w:t>施工前对施工区域内杂物进行清理，保证“三通”。按照图纸要</w:t>
      </w:r>
      <w:r>
        <w:rPr>
          <w:spacing w:val="-4"/>
        </w:rPr>
        <w:t>求进行施工放样，确定基坑开挖深度，开挖至设计标高后应报实验人</w:t>
      </w:r>
      <w:r>
        <w:rPr>
          <w:spacing w:val="-8"/>
        </w:rPr>
        <w:t>员和监理工程师对基坑承载力进行检测，检测合格后方可进行下道工</w:t>
      </w:r>
      <w:r>
        <w:rPr>
          <w:spacing w:val="-6"/>
        </w:rPr>
        <w:t>序，K205+264~K205+312</w:t>
      </w:r>
      <w:r>
        <w:rPr>
          <w:spacing w:val="-9"/>
        </w:rPr>
        <w:t xml:space="preserve"> 段地基容许承载力为 </w:t>
      </w:r>
      <w:r>
        <w:rPr>
          <w:spacing w:val="-6"/>
        </w:rPr>
        <w:t>400KPa。如不合格应及</w:t>
      </w:r>
      <w:r>
        <w:rPr>
          <w:spacing w:val="-4"/>
        </w:rPr>
        <w:t>时报上级领导和设计方，及时确定处理方案，处理验收合格后方可进</w:t>
      </w:r>
      <w:r>
        <w:rPr>
          <w:spacing w:val="-2"/>
        </w:rPr>
        <w:t>行下道工序。</w:t>
      </w:r>
    </w:p>
    <w:p>
      <w:pPr>
        <w:pStyle w:val="BodyText"/>
        <w:spacing w:line="417" w:lineRule="auto"/>
        <w:ind w:left="340" w:right="478" w:firstLine="560"/>
        <w:jc w:val="both"/>
      </w:pPr>
      <w:r>
        <w:rPr>
          <w:spacing w:val="-4"/>
        </w:rPr>
        <w:t>基坑验收合格后模板安装应按照放样点进行安装，拼装、加固后</w:t>
      </w:r>
      <w:r>
        <w:rPr>
          <w:spacing w:val="-4"/>
        </w:rPr>
        <w:t>经检测模板内部尺寸是否合格，合格后报监理工程师验收，验收合格</w:t>
      </w:r>
      <w:r>
        <w:rPr>
          <w:spacing w:val="-2"/>
        </w:rPr>
        <w:t>后方能进行混凝土浇筑。</w:t>
      </w:r>
    </w:p>
    <w:p>
      <w:pPr>
        <w:pStyle w:val="BodyText"/>
        <w:spacing w:line="417" w:lineRule="auto"/>
        <w:ind w:left="340" w:right="478" w:firstLine="560"/>
        <w:jc w:val="both"/>
      </w:pPr>
      <w:r>
        <w:rPr>
          <w:spacing w:val="-7"/>
        </w:rPr>
        <w:t>混凝土浇筑现场安排专人检查模板及时掌握信息，对模板进行加</w:t>
      </w:r>
      <w:r>
        <w:rPr>
          <w:spacing w:val="-4"/>
        </w:rPr>
        <w:t>固处理，防止爆模、漏浆。混凝土浇筑时采用分层分段浇筑，一次浇</w:t>
      </w:r>
      <w:r>
        <w:rPr>
          <w:spacing w:val="-4"/>
        </w:rPr>
        <w:t>筑每段高度不大于 1.5m,并及时振捣，振动棒振捣快插慢拔，插入角</w:t>
      </w:r>
      <w:r>
        <w:rPr>
          <w:spacing w:val="7"/>
        </w:rPr>
        <w:t xml:space="preserve">度控制在 </w:t>
      </w:r>
      <w:r>
        <w:t>45</w:t>
      </w:r>
      <w:r>
        <w:rPr>
          <w:spacing w:val="-1"/>
        </w:rPr>
        <w:t>°左右，从前至后、从下至上逐层逐段振捣，确保振捣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https://d.book118.com/096023155130010055</w:t>
        </w:r>
      </w:hyperlink>
    </w:p>
    <w:p>
      <w:pPr>
        <w:spacing w:after="0" w:line="417" w:lineRule="auto"/>
        <w:jc w:val="both"/>
      </w:pPr>
    </w:p>
    <w:sectPr>
      <w:footerReference w:type="default" r:id="rId14"/>
      <w:pgSz w:w="11910" w:h="16840"/>
      <w:pgMar w:top="1520" w:right="1320" w:bottom="1180" w:left="1460" w:header="0" w:footer="99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pt;height:12pt;margin-top:781.38pt;margin-left:290.1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8pt;margin-left:290.1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8pt;margin-left:290.1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8pt;margin-left:290.1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8pt;margin-left:290.1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8pt;margin-left:290.1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8pt;margin-left:290.1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8pt;margin-left:290.1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8pt;margin-left:290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8pt;margin-left:290.1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086" w:lineRule="exact"/>
      <w:ind w:left="878"/>
    </w:pPr>
    <w:rPr>
      <w:rFonts w:ascii="Microsoft JhengHei" w:eastAsia="Microsoft JhengHei" w:hAnsi="Microsoft JhengHei" w:cs="Microsoft JhengHei"/>
      <w:b/>
      <w:bCs/>
      <w:sz w:val="72"/>
      <w:szCs w:val="72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hyperlink" Target="https://d.book118.com/096023155130010055" TargetMode="External" /><Relationship Id="rId14" Type="http://schemas.openxmlformats.org/officeDocument/2006/relationships/footer" Target="footer10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2024-03-04T12:22:32Z</dcterms:created>
  <dcterms:modified xsi:type="dcterms:W3CDTF">2024-03-04T12:22:32Z</dcterms:modified>
</cp:coreProperties>
</file>