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41"/>
      </w:pPr>
    </w:p>
    <w:p>
      <w:pPr>
        <w:spacing w:before="40"/>
      </w:pPr>
    </w:p>
    <w:p>
      <w:pPr>
        <w:spacing w:before="40"/>
      </w:pPr>
    </w:p>
    <w:p>
      <w:pPr>
        <w:sectPr>
          <w:footerReference w:type="default" r:id="rId4"/>
          <w:pgSz w:w="11907" w:h="16839"/>
          <w:pgMar w:top="1431" w:right="1345" w:bottom="1420" w:left="1314" w:header="0" w:footer="1233" w:gutter="0"/>
          <w:cols w:num="1" w:space="708" w:equalWidth="0">
            <w:col w:w="9247" w:space="0"/>
          </w:cols>
        </w:sectPr>
      </w:pPr>
    </w:p>
    <w:p>
      <w:pPr>
        <w:spacing w:before="144" w:line="220" w:lineRule="auto"/>
        <w:ind w:left="1486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2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企业智库</w:t>
      </w:r>
    </w:p>
    <w:p>
      <w:pPr>
        <w:spacing w:line="453" w:lineRule="auto"/>
        <w:rPr>
          <w:rFonts w:ascii="Arial"/>
          <w:sz w:val="21"/>
        </w:rPr>
      </w:pPr>
    </w:p>
    <w:p>
      <w:pPr>
        <w:spacing w:line="727" w:lineRule="exact"/>
        <w:ind w:firstLine="274"/>
      </w:pPr>
      <w:r>
        <w:rPr>
          <w:position w:val="-14"/>
        </w:rPr>
        <w:drawing>
          <wp:inline distT="0" distB="0" distL="0" distR="0">
            <wp:extent cx="2118359" cy="46164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18359" cy="461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02" w:line="165" w:lineRule="auto"/>
        <w:ind w:left="950"/>
        <w:rPr>
          <w:rFonts w:ascii="STFangsong" w:eastAsia="STFangsong" w:hAnsi="STFangsong" w:cs="STFangsong"/>
          <w:sz w:val="28"/>
          <w:szCs w:val="28"/>
        </w:rPr>
      </w:pPr>
      <w:r>
        <w:rPr>
          <w:rFonts w:ascii="STFangsong" w:eastAsia="STFangsong" w:hAnsi="STFangsong" w:cs="STFangsong"/>
          <w:spacing w:val="-6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2023</w:t>
      </w:r>
      <w:r>
        <w:rPr>
          <w:rFonts w:ascii="STFangsong" w:eastAsia="STFangsong" w:hAnsi="STFangsong" w:cs="STFangsong"/>
          <w:spacing w:val="-6"/>
          <w:sz w:val="28"/>
          <w:szCs w:val="28"/>
        </w:rPr>
        <w:t xml:space="preserve"> </w:t>
      </w:r>
      <w:r>
        <w:rPr>
          <w:rFonts w:ascii="STFangsong" w:eastAsia="STFangsong" w:hAnsi="STFangsong" w:cs="STFangsong"/>
          <w:spacing w:val="-6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STFangsong" w:eastAsia="STFangsong" w:hAnsi="STFangsong" w:cs="STFangsong"/>
          <w:spacing w:val="19"/>
          <w:sz w:val="28"/>
          <w:szCs w:val="28"/>
        </w:rPr>
        <w:t xml:space="preserve"> </w:t>
      </w:r>
      <w:r>
        <w:rPr>
          <w:rFonts w:ascii="STFangsong" w:eastAsia="STFangsong" w:hAnsi="STFangsong" w:cs="STFangsong"/>
          <w:spacing w:val="-6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12</w:t>
      </w:r>
      <w:r>
        <w:rPr>
          <w:rFonts w:ascii="STFangsong" w:eastAsia="STFangsong" w:hAnsi="STFangsong" w:cs="STFangsong"/>
          <w:spacing w:val="25"/>
          <w:w w:val="101"/>
          <w:sz w:val="28"/>
          <w:szCs w:val="28"/>
        </w:rPr>
        <w:t xml:space="preserve"> </w:t>
      </w:r>
      <w:r>
        <w:rPr>
          <w:rFonts w:ascii="STFangsong" w:eastAsia="STFangsong" w:hAnsi="STFangsong" w:cs="STFangsong"/>
          <w:spacing w:val="-6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月</w:t>
      </w:r>
      <w:r>
        <w:rPr>
          <w:rFonts w:ascii="STFangsong" w:eastAsia="STFangsong" w:hAnsi="STFangsong" w:cs="STFangsong"/>
          <w:spacing w:val="1"/>
          <w:sz w:val="28"/>
          <w:szCs w:val="28"/>
        </w:rPr>
        <w:t xml:space="preserve"> </w:t>
      </w:r>
      <w:r>
        <w:rPr>
          <w:rFonts w:ascii="STFangsong" w:eastAsia="STFangsong" w:hAnsi="STFangsong" w:cs="STFangsong"/>
          <w:spacing w:val="-6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28</w:t>
      </w:r>
      <w:r>
        <w:rPr>
          <w:rFonts w:ascii="STFangsong" w:eastAsia="STFangsong" w:hAnsi="STFangsong" w:cs="STFangsong"/>
          <w:sz w:val="28"/>
          <w:szCs w:val="28"/>
        </w:rPr>
        <w:t xml:space="preserve">  </w:t>
      </w:r>
      <w:r>
        <w:rPr>
          <w:rFonts w:ascii="STFangsong" w:eastAsia="STFangsong" w:hAnsi="STFangsong" w:cs="STFangsong"/>
          <w:spacing w:val="-6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日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43" w:lineRule="auto"/>
        <w:rPr>
          <w:rFonts w:ascii="Arial"/>
          <w:sz w:val="21"/>
        </w:rPr>
      </w:pPr>
    </w:p>
    <w:p>
      <w:pPr>
        <w:spacing w:line="344" w:lineRule="auto"/>
        <w:rPr>
          <w:rFonts w:ascii="Arial"/>
          <w:sz w:val="21"/>
        </w:rPr>
      </w:pPr>
    </w:p>
    <w:p>
      <w:pPr>
        <w:spacing w:before="234" w:line="219" w:lineRule="auto"/>
        <w:outlineLvl w:val="0"/>
        <w:rPr>
          <w:rFonts w:ascii="SimHei" w:eastAsia="SimHei" w:hAnsi="SimHei" w:cs="SimHei"/>
          <w:sz w:val="72"/>
          <w:szCs w:val="72"/>
        </w:rPr>
      </w:pPr>
      <w:r>
        <w:rPr>
          <w:rFonts w:ascii="SimHei" w:eastAsia="SimHei" w:hAnsi="SimHei" w:cs="SimHei"/>
          <w:color w:val="FF6633"/>
          <w:spacing w:val="-4"/>
          <w:sz w:val="72"/>
          <w:szCs w:val="72"/>
          <w14:textOutline w14:w="13063">
            <w14:solidFill>
              <w14:srgbClr w14:val="FF6633"/>
            </w14:solidFill>
            <w14:prstDash w14:val="solid"/>
            <w14:miter w14:lim="10"/>
          </w14:textOutline>
        </w:rPr>
        <w:t>调查研究报告</w:t>
      </w:r>
    </w:p>
    <w:p>
      <w:pPr>
        <w:spacing w:before="225" w:line="186" w:lineRule="auto"/>
        <w:ind w:left="121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6"/>
          <w:sz w:val="28"/>
          <w:szCs w:val="28"/>
        </w:rPr>
        <w:t>第</w:t>
      </w:r>
      <w:r>
        <w:rPr>
          <w:rFonts w:ascii="SimHei" w:eastAsia="SimHei" w:hAnsi="SimHei" w:cs="SimHei"/>
          <w:spacing w:val="-48"/>
          <w:sz w:val="28"/>
          <w:szCs w:val="28"/>
        </w:rPr>
        <w:t xml:space="preserve"> </w:t>
      </w:r>
      <w:r>
        <w:rPr>
          <w:rFonts w:ascii="STFangsong" w:eastAsia="STFangsong" w:hAnsi="STFangsong" w:cs="STFangsong"/>
          <w:spacing w:val="-6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15</w:t>
      </w:r>
      <w:r>
        <w:rPr>
          <w:rFonts w:ascii="STFangsong" w:eastAsia="STFangsong" w:hAnsi="STFangsong" w:cs="STFangsong"/>
          <w:spacing w:val="-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6"/>
          <w:sz w:val="28"/>
          <w:szCs w:val="28"/>
        </w:rPr>
        <w:t>号（总第</w:t>
      </w:r>
      <w:r>
        <w:rPr>
          <w:rFonts w:ascii="SimHei" w:eastAsia="SimHei" w:hAnsi="SimHei" w:cs="SimHei"/>
          <w:spacing w:val="-58"/>
          <w:sz w:val="28"/>
          <w:szCs w:val="28"/>
        </w:rPr>
        <w:t xml:space="preserve"> </w:t>
      </w:r>
      <w:r>
        <w:rPr>
          <w:rFonts w:ascii="STFangsong" w:eastAsia="STFangsong" w:hAnsi="STFangsong" w:cs="STFangsong"/>
          <w:spacing w:val="-6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146</w:t>
      </w:r>
      <w:r>
        <w:rPr>
          <w:rFonts w:ascii="STFangsong" w:eastAsia="STFangsong" w:hAnsi="STFangsong" w:cs="STFangsong"/>
          <w:spacing w:val="-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6"/>
          <w:sz w:val="28"/>
          <w:szCs w:val="28"/>
        </w:rPr>
        <w:t>号）</w:t>
      </w:r>
    </w:p>
    <w:p>
      <w:pPr>
        <w:spacing w:line="186" w:lineRule="auto"/>
        <w:rPr>
          <w:rFonts w:ascii="SimHei" w:eastAsia="SimHei" w:hAnsi="SimHei" w:cs="SimHei"/>
          <w:sz w:val="28"/>
          <w:szCs w:val="28"/>
        </w:rPr>
        <w:sectPr>
          <w:footerReference w:type="default" r:id="rId6"/>
          <w:type w:val="continuous"/>
          <w:pgSz w:w="11907" w:h="16839"/>
          <w:pgMar w:top="1431" w:right="1345" w:bottom="1420" w:left="1314" w:header="0" w:footer="1233" w:gutter="0"/>
          <w:pgNumType w:start="2"/>
          <w:cols w:num="2" w:space="708" w:equalWidth="0">
            <w:col w:w="4470" w:space="100"/>
            <w:col w:w="4677" w:space="0"/>
          </w:cols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117" w:lineRule="exact"/>
      </w:pPr>
      <w:r>
        <w:rPr>
          <w:position w:val="-2"/>
        </w:rPr>
        <w:drawing>
          <wp:inline distT="0" distB="0" distL="0" distR="0">
            <wp:extent cx="5871399" cy="7433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71399" cy="74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30" w:lineRule="auto"/>
        <w:rPr>
          <w:rFonts w:ascii="Arial"/>
          <w:sz w:val="21"/>
        </w:rPr>
      </w:pPr>
    </w:p>
    <w:p>
      <w:pPr>
        <w:spacing w:before="130" w:line="220" w:lineRule="auto"/>
        <w:ind w:left="46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"/>
          <w:sz w:val="40"/>
          <w:szCs w:val="40"/>
          <w14:textOutline w14:w="7271">
            <w14:solidFill>
              <w14:srgbClr w14:val="000000"/>
            </w14:solidFill>
            <w14:prstDash w14:val="solid"/>
            <w14:miter w14:lim="10"/>
          </w14:textOutline>
        </w:rPr>
        <w:t>“长尾增厚”——平台经济与市场结构的新变化</w:t>
      </w:r>
    </w:p>
    <w:p>
      <w:pPr>
        <w:spacing w:line="420" w:lineRule="auto"/>
        <w:rPr>
          <w:rFonts w:ascii="Arial"/>
          <w:sz w:val="21"/>
        </w:rPr>
      </w:pPr>
    </w:p>
    <w:p>
      <w:pPr>
        <w:pStyle w:val="BodyText"/>
        <w:spacing w:before="101" w:line="346" w:lineRule="auto"/>
        <w:ind w:left="295" w:right="38" w:firstLine="653"/>
        <w:jc w:val="both"/>
        <w:sectPr>
          <w:footerReference w:type="default" r:id="rId8"/>
          <w:type w:val="continuous"/>
          <w:pgSz w:w="11907" w:h="16839"/>
          <w:pgMar w:top="1431" w:right="1345" w:bottom="1420" w:left="1314" w:header="0" w:footer="1233" w:gutter="0"/>
          <w:pgNumType w:start="3"/>
          <w:cols w:num="1" w:space="708" w:equalWidth="0">
            <w:col w:w="9247" w:space="0"/>
          </w:cols>
        </w:sectPr>
      </w:pPr>
      <w:r>
        <w:rPr>
          <w:rFonts w:ascii="SimHei" w:eastAsia="SimHei" w:hAnsi="SimHei" w:cs="SimHei"/>
          <w:spacing w:val="-1"/>
        </w:rPr>
        <w:t>内容提要：</w:t>
      </w:r>
      <w:r>
        <w:rPr>
          <w:rFonts w:ascii="SimHei" w:eastAsia="SimHei" w:hAnsi="SimHei" w:cs="SimHei"/>
          <w:spacing w:val="-24"/>
        </w:rPr>
        <w:t xml:space="preserve"> </w:t>
      </w:r>
      <w:r>
        <w:rPr>
          <w:spacing w:val="-1"/>
        </w:rPr>
        <w:t>平台经济具有长尾效应已经成为学术界和产业界</w:t>
      </w:r>
      <w:r>
        <w:t xml:space="preserve"> </w:t>
      </w:r>
      <w:r>
        <w:rPr>
          <w:spacing w:val="-5"/>
        </w:rPr>
        <w:t>的共识，</w:t>
      </w:r>
      <w:r>
        <w:rPr>
          <w:spacing w:val="-5"/>
        </w:rPr>
        <w:t xml:space="preserve"> </w:t>
      </w:r>
      <w:r>
        <w:rPr>
          <w:spacing w:val="-5"/>
        </w:rPr>
        <w:t>但是以往研究集中于对这一现象的静态阐释，</w:t>
      </w:r>
      <w:r>
        <w:rPr>
          <w:spacing w:val="-26"/>
        </w:rPr>
        <w:t xml:space="preserve"> </w:t>
      </w:r>
      <w:r>
        <w:rPr>
          <w:spacing w:val="-5"/>
        </w:rPr>
        <w:t>本文以在</w:t>
      </w:r>
      <w:r>
        <w:t xml:space="preserve"> </w:t>
      </w:r>
      <w:r>
        <w:t>线外卖市场的分析为例，</w:t>
      </w:r>
      <w:r>
        <w:rPr>
          <w:spacing w:val="-17"/>
        </w:rPr>
        <w:t xml:space="preserve"> </w:t>
      </w:r>
      <w:r>
        <w:t>说明当前平台上的产业结构呈现出“长</w:t>
      </w:r>
      <w:r>
        <w:t xml:space="preserve"> </w:t>
      </w:r>
      <w:r>
        <w:rPr>
          <w:spacing w:val="5"/>
        </w:rPr>
        <w:t>尾增厚”的动态变化趋势。这种趋势的形成是因为受到了</w:t>
      </w:r>
      <w:r>
        <w:rPr>
          <w:spacing w:val="4"/>
        </w:rPr>
        <w:t>数字技</w:t>
      </w:r>
      <w:r>
        <w:t xml:space="preserve"> </w:t>
      </w:r>
      <w:r>
        <w:rPr>
          <w:spacing w:val="-1"/>
        </w:rPr>
        <w:t>术和平台经济模式在总量和结构两方面的影响，</w:t>
      </w:r>
      <w:r>
        <w:rPr>
          <w:spacing w:val="-1"/>
        </w:rPr>
        <w:t xml:space="preserve"> </w:t>
      </w:r>
      <w:r>
        <w:rPr>
          <w:spacing w:val="-1"/>
        </w:rPr>
        <w:t>即数字化、线上</w:t>
      </w:r>
      <w:r>
        <w:rPr>
          <w:spacing w:val="11"/>
        </w:rPr>
        <w:t xml:space="preserve"> </w:t>
      </w:r>
      <w:r>
        <w:rPr>
          <w:spacing w:val="2"/>
        </w:rPr>
        <w:t>化发展降低了商户的生产和销售成本，</w:t>
      </w:r>
      <w:r>
        <w:rPr>
          <w:spacing w:val="-73"/>
        </w:rPr>
        <w:t xml:space="preserve"> </w:t>
      </w:r>
      <w:r>
        <w:rPr>
          <w:spacing w:val="2"/>
        </w:rPr>
        <w:t>带来了供给规模和消</w:t>
      </w:r>
      <w:r>
        <w:rPr>
          <w:spacing w:val="1"/>
        </w:rPr>
        <w:t>费需</w:t>
      </w:r>
      <w:r>
        <w:t xml:space="preserve"> </w:t>
      </w:r>
      <w:r>
        <w:rPr>
          <w:spacing w:val="5"/>
        </w:rPr>
        <w:t>求的整体性增长，而在线评价、榜单推荐系统等“过滤器</w:t>
      </w:r>
      <w:r>
        <w:rPr>
          <w:spacing w:val="4"/>
        </w:rPr>
        <w:t>”机制</w:t>
      </w:r>
      <w:r>
        <w:t xml:space="preserve"> </w:t>
      </w:r>
      <w:r>
        <w:rPr>
          <w:spacing w:val="-3"/>
        </w:rPr>
        <w:t>则简化了交易过程，提高了搜寻效率，助推市场重心向尾部转移，</w:t>
      </w:r>
      <w:r>
        <w:rPr>
          <w:spacing w:val="4"/>
        </w:rPr>
        <w:t xml:space="preserve"> </w:t>
      </w:r>
      <w:r>
        <w:rPr>
          <w:spacing w:val="5"/>
        </w:rPr>
        <w:t>从而产生市场的结构性变化。这种趋势本质上代表了外</w:t>
      </w:r>
      <w:r>
        <w:rPr>
          <w:spacing w:val="4"/>
        </w:rPr>
        <w:t>卖市场的</w:t>
      </w:r>
      <w:r>
        <w:t xml:space="preserve"> </w:t>
      </w:r>
      <w:r>
        <w:rPr>
          <w:spacing w:val="5"/>
        </w:rPr>
        <w:t>产业结构正变得更加均衡化，也体现出平台经济模式具</w:t>
      </w:r>
      <w:r>
        <w:rPr>
          <w:spacing w:val="4"/>
        </w:rPr>
        <w:t>有促使餐</w:t>
      </w:r>
      <w:r>
        <w:t xml:space="preserve"> </w:t>
      </w:r>
      <w:r>
        <w:rPr>
          <w:spacing w:val="2"/>
        </w:rPr>
        <w:t>饮行业更加充分竞争的作用。因此，</w:t>
      </w:r>
      <w:r>
        <w:rPr>
          <w:spacing w:val="-68"/>
        </w:rPr>
        <w:t xml:space="preserve"> </w:t>
      </w:r>
      <w:r>
        <w:rPr>
          <w:spacing w:val="2"/>
        </w:rPr>
        <w:t>建议更加重视</w:t>
      </w:r>
      <w:r>
        <w:rPr>
          <w:spacing w:val="1"/>
        </w:rPr>
        <w:t>长尾效应和尾</w:t>
      </w:r>
      <w:r>
        <w:t xml:space="preserve"> </w:t>
      </w:r>
      <w:r>
        <w:rPr>
          <w:spacing w:val="8"/>
        </w:rPr>
        <w:t>部市场，并通过更好发挥平台的数字化、线上化转型助推效能，</w:t>
      </w:r>
    </w:p>
    <w:p>
      <w:pPr>
        <w:pStyle w:val="BodyText"/>
        <w:spacing w:line="222" w:lineRule="auto"/>
        <w:ind w:left="295"/>
      </w:pPr>
      <w:r>
        <w:rPr>
          <w:spacing w:val="7"/>
        </w:rPr>
        <w:t>促进餐饮外卖行业的高质量发展。</w:t>
      </w:r>
    </w:p>
    <w:p>
      <w:pPr>
        <w:pStyle w:val="BodyText"/>
        <w:spacing w:before="208" w:line="190" w:lineRule="auto"/>
        <w:ind w:left="940"/>
      </w:pPr>
      <w:r>
        <w:rPr>
          <w:rFonts w:ascii="SimHei" w:eastAsia="SimHei" w:hAnsi="SimHei" w:cs="SimHei"/>
          <w:spacing w:val="5"/>
        </w:rPr>
        <w:t>关键词：</w:t>
      </w:r>
      <w:r>
        <w:rPr>
          <w:rFonts w:ascii="SimHei" w:eastAsia="SimHei" w:hAnsi="SimHei" w:cs="SimHei"/>
          <w:spacing w:val="5"/>
        </w:rPr>
        <w:t xml:space="preserve"> </w:t>
      </w:r>
      <w:r>
        <w:rPr>
          <w:color w:val="2D2D2D"/>
          <w:spacing w:val="5"/>
        </w:rPr>
        <w:t>长尾效应</w:t>
      </w:r>
      <w:r>
        <w:rPr>
          <w:color w:val="2D2D2D"/>
          <w:spacing w:val="47"/>
        </w:rPr>
        <w:t xml:space="preserve">  </w:t>
      </w:r>
      <w:r>
        <w:rPr>
          <w:color w:val="2D2D2D"/>
          <w:spacing w:val="5"/>
        </w:rPr>
        <w:t>外卖市场</w:t>
      </w:r>
      <w:r>
        <w:rPr>
          <w:color w:val="2D2D2D"/>
          <w:spacing w:val="40"/>
        </w:rPr>
        <w:t xml:space="preserve">  </w:t>
      </w:r>
      <w:r>
        <w:rPr>
          <w:color w:val="2D2D2D"/>
          <w:spacing w:val="5"/>
        </w:rPr>
        <w:t>平台经济</w:t>
      </w:r>
      <w:r>
        <w:rPr>
          <w:color w:val="2D2D2D"/>
          <w:spacing w:val="42"/>
        </w:rPr>
        <w:t xml:space="preserve">  </w:t>
      </w:r>
      <w:r>
        <w:rPr>
          <w:color w:val="2D2D2D"/>
          <w:spacing w:val="5"/>
        </w:rPr>
        <w:t>过滤器</w:t>
      </w:r>
    </w:p>
    <w:p>
      <w:pPr>
        <w:spacing w:line="190" w:lineRule="auto"/>
        <w:sectPr>
          <w:footerReference w:type="default" r:id="rId9"/>
          <w:type w:val="nextPage"/>
          <w:pgSz w:w="11907" w:h="16839"/>
          <w:pgMar w:top="1431" w:right="1345" w:bottom="1420" w:left="1314" w:header="0" w:footer="1233" w:gutter="0"/>
          <w:pgNumType w:start="4"/>
          <w:cols w:num="1" w:space="708" w:equalWidth="0">
            <w:col w:w="9247" w:space="0"/>
          </w:cols>
          <w:titlePg w:val="0"/>
        </w:sectPr>
      </w:pP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101" w:line="346" w:lineRule="auto"/>
        <w:ind w:firstLine="663"/>
      </w:pPr>
      <w:r>
        <w:rPr>
          <w:spacing w:val="-11"/>
        </w:rPr>
        <w:t>2004</w:t>
      </w:r>
      <w:r>
        <w:rPr>
          <w:spacing w:val="-48"/>
        </w:rPr>
        <w:t xml:space="preserve"> </w:t>
      </w:r>
      <w:r>
        <w:rPr>
          <w:spacing w:val="-11"/>
        </w:rPr>
        <w:t>年</w:t>
      </w:r>
      <w:r>
        <w:rPr>
          <w:spacing w:val="-41"/>
        </w:rPr>
        <w:t xml:space="preserve"> </w:t>
      </w:r>
      <w:r>
        <w:rPr>
          <w:spacing w:val="-11"/>
        </w:rPr>
        <w:t>10</w:t>
      </w:r>
      <w:r>
        <w:rPr>
          <w:spacing w:val="-37"/>
        </w:rPr>
        <w:t xml:space="preserve"> </w:t>
      </w:r>
      <w:r>
        <w:rPr>
          <w:spacing w:val="-11"/>
        </w:rPr>
        <w:t>月，美国《连线》杂志主编</w:t>
      </w:r>
      <w:r>
        <w:rPr>
          <w:spacing w:val="-12"/>
        </w:rPr>
        <w:t>克里斯·安德森（Chris</w:t>
      </w:r>
      <w:r>
        <w:t xml:space="preserve"> </w:t>
      </w:r>
      <w:r>
        <w:t>Anderson</w:t>
      </w:r>
      <w:r>
        <w:rPr>
          <w:spacing w:val="7"/>
        </w:rPr>
        <w:t>）发表著作《长尾理论》，首次提出并系统阐</w:t>
      </w:r>
      <w:r>
        <w:rPr>
          <w:spacing w:val="6"/>
        </w:rPr>
        <w:t>释了长尾</w:t>
      </w:r>
      <w:r>
        <w:t xml:space="preserve"> </w:t>
      </w:r>
      <w:r>
        <w:t>效应的概念。作者认为，</w:t>
      </w:r>
      <w:r>
        <w:t xml:space="preserve"> </w:t>
      </w:r>
      <w:r>
        <w:t>长尾效应指的是我们的文化和经济重心</w:t>
      </w:r>
      <w:r>
        <w:rPr>
          <w:spacing w:val="10"/>
        </w:rPr>
        <w:t xml:space="preserve"> </w:t>
      </w:r>
      <w:r>
        <w:t>正在加速转移，</w:t>
      </w:r>
      <w:r>
        <w:t xml:space="preserve"> </w:t>
      </w:r>
      <w:r>
        <w:t>即从需求曲线头部的少数大热门（主流产品和市</w:t>
      </w:r>
      <w:r>
        <w:rPr>
          <w:spacing w:val="10"/>
        </w:rPr>
        <w:t xml:space="preserve"> </w:t>
      </w:r>
      <w:r>
        <w:rPr>
          <w:spacing w:val="9"/>
        </w:rPr>
        <w:t>场）转向需求曲线尾部的大量利基产品和市场。这一理论强调，</w:t>
      </w:r>
      <w:r>
        <w:rPr>
          <w:spacing w:val="6"/>
        </w:rPr>
        <w:t xml:space="preserve"> </w:t>
      </w:r>
      <w:r>
        <w:rPr>
          <w:spacing w:val="2"/>
        </w:rPr>
        <w:t>在一个没有货架空间限制或其他供应瓶颈的时代，</w:t>
      </w:r>
      <w:r>
        <w:rPr>
          <w:spacing w:val="-46"/>
        </w:rPr>
        <w:t xml:space="preserve"> </w:t>
      </w:r>
      <w:r>
        <w:rPr>
          <w:spacing w:val="2"/>
        </w:rPr>
        <w:t>面向特定小群</w:t>
      </w:r>
      <w:r>
        <w:t xml:space="preserve"> </w:t>
      </w:r>
      <w:r>
        <w:rPr>
          <w:spacing w:val="8"/>
        </w:rPr>
        <w:t>体的产品和服务可以和主流热点具有同样的经济吸引力</w:t>
      </w:r>
      <w:r>
        <w:rPr>
          <w:spacing w:val="8"/>
          <w:position w:val="15"/>
          <w:sz w:val="16"/>
          <w:szCs w:val="16"/>
        </w:rPr>
        <w:t>[1]</w:t>
      </w:r>
      <w:r>
        <w:rPr>
          <w:spacing w:val="8"/>
        </w:rPr>
        <w:t>。长尾</w:t>
      </w:r>
      <w:r>
        <w:t xml:space="preserve"> </w:t>
      </w:r>
      <w:r>
        <w:rPr>
          <w:spacing w:val="-4"/>
        </w:rPr>
        <w:t>理论一经提出，</w:t>
      </w:r>
      <w:r>
        <w:rPr>
          <w:spacing w:val="-28"/>
        </w:rPr>
        <w:t xml:space="preserve"> </w:t>
      </w:r>
      <w:r>
        <w:rPr>
          <w:spacing w:val="-4"/>
        </w:rPr>
        <w:t>就得到了学术界和产业界的广泛关注，</w:t>
      </w:r>
      <w:r>
        <w:rPr>
          <w:spacing w:val="-4"/>
        </w:rPr>
        <w:t xml:space="preserve"> </w:t>
      </w:r>
      <w:r>
        <w:rPr>
          <w:spacing w:val="-4"/>
        </w:rPr>
        <w:t>不仅许多</w:t>
      </w:r>
      <w:r>
        <w:t xml:space="preserve"> </w:t>
      </w:r>
      <w:r>
        <w:rPr>
          <w:spacing w:val="3"/>
        </w:rPr>
        <w:t>企业依托长尾市场的强大吸引力，</w:t>
      </w:r>
      <w:r>
        <w:rPr>
          <w:spacing w:val="-65"/>
        </w:rPr>
        <w:t xml:space="preserve"> </w:t>
      </w:r>
      <w:r>
        <w:rPr>
          <w:spacing w:val="3"/>
        </w:rPr>
        <w:t>运用商业模式</w:t>
      </w:r>
      <w:r>
        <w:rPr>
          <w:spacing w:val="2"/>
        </w:rPr>
        <w:t>的创新实现了巨</w:t>
      </w:r>
      <w:r>
        <w:t xml:space="preserve"> </w:t>
      </w:r>
      <w:r>
        <w:rPr>
          <w:spacing w:val="-2"/>
        </w:rPr>
        <w:t>大成功，</w:t>
      </w:r>
      <w:r>
        <w:rPr>
          <w:spacing w:val="68"/>
        </w:rPr>
        <w:t xml:space="preserve"> </w:t>
      </w:r>
      <w:r>
        <w:rPr>
          <w:spacing w:val="-2"/>
        </w:rPr>
        <w:t>长尾效应的形成机制、实际影响、发展趋势等也成为学</w:t>
      </w:r>
      <w:r>
        <w:t xml:space="preserve"> </w:t>
      </w:r>
      <w:r>
        <w:rPr>
          <w:spacing w:val="1"/>
        </w:rPr>
        <w:t>术界研究的热点内容。本文运用产业组织相关理论，</w:t>
      </w:r>
      <w:r>
        <w:rPr>
          <w:spacing w:val="-18"/>
        </w:rPr>
        <w:t xml:space="preserve"> </w:t>
      </w:r>
      <w:r>
        <w:rPr>
          <w:spacing w:val="1"/>
        </w:rPr>
        <w:t>以餐饮外卖</w:t>
      </w:r>
      <w:r>
        <w:t xml:space="preserve"> </w:t>
      </w:r>
      <w:r>
        <w:rPr>
          <w:spacing w:val="2"/>
        </w:rPr>
        <w:t>市场的产业组织结构为研究对象，</w:t>
      </w:r>
      <w:r>
        <w:rPr>
          <w:spacing w:val="-46"/>
        </w:rPr>
        <w:t xml:space="preserve"> </w:t>
      </w:r>
      <w:r>
        <w:rPr>
          <w:spacing w:val="2"/>
        </w:rPr>
        <w:t>不仅从静态视角分析了平台经</w:t>
      </w:r>
      <w:r>
        <w:t xml:space="preserve"> </w:t>
      </w:r>
      <w:r>
        <w:t>济中真实存在的长尾结构，</w:t>
      </w:r>
      <w:r>
        <w:t xml:space="preserve"> </w:t>
      </w:r>
      <w:r>
        <w:t>也创造性地从动态视角分析了外卖市</w:t>
      </w:r>
      <w:r>
        <w:rPr>
          <w:spacing w:val="10"/>
        </w:rPr>
        <w:t xml:space="preserve"> </w:t>
      </w:r>
      <w:r>
        <w:rPr>
          <w:spacing w:val="6"/>
        </w:rPr>
        <w:t>场中“长尾增厚”这一发展趋势。文章结合平台经济的本</w:t>
      </w:r>
      <w:r>
        <w:rPr>
          <w:spacing w:val="5"/>
        </w:rPr>
        <w:t>质特征</w:t>
      </w:r>
      <w:r>
        <w:t xml:space="preserve"> </w:t>
      </w:r>
      <w:r>
        <w:rPr>
          <w:spacing w:val="6"/>
        </w:rPr>
        <w:t>和餐饮外卖行业的特殊属性，从多个维度刻画这一市场</w:t>
      </w:r>
      <w:r>
        <w:rPr>
          <w:spacing w:val="5"/>
        </w:rPr>
        <w:t>中出现的</w:t>
      </w:r>
      <w:r>
        <w:t xml:space="preserve"> </w:t>
      </w:r>
      <w:r>
        <w:rPr>
          <w:spacing w:val="2"/>
        </w:rPr>
        <w:t>“长尾增厚”现象，</w:t>
      </w:r>
      <w:r>
        <w:rPr>
          <w:spacing w:val="-46"/>
        </w:rPr>
        <w:t xml:space="preserve"> </w:t>
      </w:r>
      <w:r>
        <w:rPr>
          <w:spacing w:val="2"/>
        </w:rPr>
        <w:t>并尝试对这一现象的发生机制以及平台在其</w:t>
      </w:r>
    </w:p>
    <w:p>
      <w:pPr>
        <w:pStyle w:val="BodyText"/>
        <w:spacing w:line="221" w:lineRule="auto"/>
        <w:ind w:left="70"/>
      </w:pPr>
      <w:r>
        <w:rPr>
          <w:spacing w:val="-1"/>
        </w:rPr>
        <w:t>中起到的作用进行分析。</w:t>
      </w:r>
    </w:p>
    <w:p>
      <w:pPr>
        <w:spacing w:before="209" w:line="224" w:lineRule="auto"/>
        <w:ind w:left="666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8"/>
          <w:sz w:val="31"/>
          <w:szCs w:val="31"/>
        </w:rPr>
        <w:t>一、平台上出现的“长尾增厚”变化趋势</w:t>
      </w:r>
    </w:p>
    <w:p>
      <w:pPr>
        <w:spacing w:before="204" w:line="221" w:lineRule="auto"/>
        <w:ind w:left="686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spacing w:val="7"/>
          <w:sz w:val="31"/>
          <w:szCs w:val="31"/>
        </w:rPr>
        <w:t>（一）长尾效应是平台经济模式的主要结构特征</w:t>
      </w:r>
    </w:p>
    <w:p>
      <w:pPr>
        <w:pStyle w:val="BodyText"/>
        <w:spacing w:before="209" w:line="346" w:lineRule="auto"/>
        <w:ind w:left="28" w:right="93" w:firstLine="641"/>
      </w:pPr>
      <w:r>
        <w:t>得益于在线交易市场对传统物理货架空间限制的打破，</w:t>
      </w:r>
      <w:r>
        <w:rPr>
          <w:spacing w:val="-41"/>
        </w:rPr>
        <w:t xml:space="preserve"> </w:t>
      </w:r>
      <w:r>
        <w:t>以及</w:t>
      </w:r>
      <w:r>
        <w:t xml:space="preserve"> </w:t>
      </w:r>
      <w:r>
        <w:t>平台模式天然具有的规模经济、范围经济效应，</w:t>
      </w:r>
      <w:r>
        <w:rPr>
          <w:spacing w:val="-19"/>
        </w:rPr>
        <w:t xml:space="preserve"> </w:t>
      </w:r>
      <w:r>
        <w:t>长尾效应是广泛</w:t>
      </w:r>
    </w:p>
    <w:p>
      <w:pPr>
        <w:pStyle w:val="BodyText"/>
        <w:spacing w:before="1" w:line="220" w:lineRule="auto"/>
        <w:ind w:left="34"/>
      </w:pPr>
      <w:r>
        <w:rPr>
          <w:spacing w:val="4"/>
        </w:rPr>
        <w:t>存在于平台经济中的一个典型特征。长尾效应强调的是小众化市</w:t>
      </w:r>
    </w:p>
    <w:p>
      <w:pPr>
        <w:spacing w:line="220" w:lineRule="auto"/>
        <w:sectPr>
          <w:footerReference w:type="default" r:id="rId10"/>
          <w:pgSz w:w="11907" w:h="16839"/>
          <w:pgMar w:top="1431" w:right="1385" w:bottom="1422" w:left="1581" w:header="0" w:footer="1233" w:gutter="0"/>
          <w:pgNumType w:start="5"/>
          <w:cols w:space="708"/>
        </w:sectPr>
      </w:pP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01" w:line="346" w:lineRule="auto"/>
        <w:ind w:left="1" w:hanging="1"/>
        <w:jc w:val="both"/>
      </w:pPr>
      <w:r>
        <w:rPr>
          <w:spacing w:val="-4"/>
        </w:rPr>
        <w:t>场的发展潜力，</w:t>
      </w:r>
      <w:r>
        <w:rPr>
          <w:spacing w:val="-4"/>
        </w:rPr>
        <w:t xml:space="preserve"> </w:t>
      </w:r>
      <w:r>
        <w:rPr>
          <w:spacing w:val="-4"/>
        </w:rPr>
        <w:t>对本文所研究的餐饮外卖市场而言，</w:t>
      </w:r>
      <w:r>
        <w:rPr>
          <w:spacing w:val="-60"/>
        </w:rPr>
        <w:t xml:space="preserve"> </w:t>
      </w:r>
      <w:r>
        <w:rPr>
          <w:spacing w:val="-4"/>
        </w:rPr>
        <w:t>这一方面代</w:t>
      </w:r>
      <w:r>
        <w:t xml:space="preserve"> </w:t>
      </w:r>
      <w:r>
        <w:rPr>
          <w:spacing w:val="5"/>
        </w:rPr>
        <w:t>表着大量小众化、个性化的餐饮消费需求能够在</w:t>
      </w:r>
      <w:r>
        <w:rPr>
          <w:spacing w:val="4"/>
        </w:rPr>
        <w:t>外卖市场中被识</w:t>
      </w:r>
      <w:r>
        <w:t xml:space="preserve"> </w:t>
      </w:r>
      <w:r>
        <w:rPr>
          <w:spacing w:val="1"/>
        </w:rPr>
        <w:t>别、被满足；</w:t>
      </w:r>
      <w:r>
        <w:rPr>
          <w:spacing w:val="-50"/>
        </w:rPr>
        <w:t xml:space="preserve"> </w:t>
      </w:r>
      <w:r>
        <w:rPr>
          <w:spacing w:val="1"/>
        </w:rPr>
        <w:t>另一方面也代表着广大中小型餐饮商户在外卖市场</w:t>
      </w:r>
      <w:r>
        <w:t xml:space="preserve"> </w:t>
      </w:r>
      <w:r>
        <w:rPr>
          <w:spacing w:val="-1"/>
        </w:rPr>
        <w:t>中占据了可观的交易份额，</w:t>
      </w:r>
      <w:r>
        <w:rPr>
          <w:spacing w:val="-1"/>
        </w:rPr>
        <w:t xml:space="preserve"> </w:t>
      </w:r>
      <w:r>
        <w:rPr>
          <w:spacing w:val="-1"/>
        </w:rPr>
        <w:t>越来越多的细分市场成为了可以与大</w:t>
      </w:r>
      <w:r>
        <w:rPr>
          <w:spacing w:val="7"/>
        </w:rPr>
        <w:t xml:space="preserve"> </w:t>
      </w:r>
      <w:r>
        <w:rPr>
          <w:spacing w:val="5"/>
        </w:rPr>
        <w:t>热门商户相抗衡的、不可忽视的市场力量。这种</w:t>
      </w:r>
      <w:r>
        <w:rPr>
          <w:spacing w:val="4"/>
        </w:rPr>
        <w:t>特征可以从美团</w:t>
      </w:r>
      <w:r>
        <w:t xml:space="preserve"> </w:t>
      </w:r>
      <w:r>
        <w:rPr>
          <w:spacing w:val="5"/>
        </w:rPr>
        <w:t>的外卖市场数据得到进一步验证，我们根据</w:t>
      </w:r>
      <w:r>
        <w:rPr>
          <w:spacing w:val="5"/>
        </w:rPr>
        <w:t xml:space="preserve"> </w:t>
      </w:r>
      <w:r>
        <w:rPr>
          <w:spacing w:val="5"/>
        </w:rPr>
        <w:t>2022</w:t>
      </w:r>
      <w:r>
        <w:rPr>
          <w:spacing w:val="-15"/>
        </w:rPr>
        <w:t xml:space="preserve"> </w:t>
      </w:r>
      <w:r>
        <w:rPr>
          <w:spacing w:val="5"/>
        </w:rPr>
        <w:t>年某城市餐饮</w:t>
      </w:r>
      <w:r>
        <w:t xml:space="preserve"> </w:t>
      </w:r>
      <w:r>
        <w:rPr>
          <w:spacing w:val="8"/>
        </w:rPr>
        <w:t>商户全年的外卖订单量进行排序，发现了明显的“拖尾”特征，</w:t>
      </w:r>
      <w:r>
        <w:rPr>
          <w:spacing w:val="3"/>
        </w:rPr>
        <w:t xml:space="preserve"> </w:t>
      </w:r>
      <w:r>
        <w:rPr>
          <w:spacing w:val="2"/>
        </w:rPr>
        <w:t>即虽然部分头部商户的订单量明显较高，</w:t>
      </w:r>
      <w:r>
        <w:rPr>
          <w:spacing w:val="-69"/>
        </w:rPr>
        <w:t xml:space="preserve"> </w:t>
      </w:r>
      <w:r>
        <w:rPr>
          <w:spacing w:val="2"/>
        </w:rPr>
        <w:t>但</w:t>
      </w:r>
      <w:r>
        <w:rPr>
          <w:spacing w:val="1"/>
        </w:rPr>
        <w:t>是市场中仍有大量的</w:t>
      </w:r>
      <w:r>
        <w:t xml:space="preserve"> </w:t>
      </w:r>
      <w:r>
        <w:rPr>
          <w:spacing w:val="1"/>
        </w:rPr>
        <w:t>交易集聚在腰部和尾部，</w:t>
      </w:r>
      <w:r>
        <w:rPr>
          <w:spacing w:val="-50"/>
        </w:rPr>
        <w:t xml:space="preserve"> </w:t>
      </w:r>
      <w:r>
        <w:rPr>
          <w:spacing w:val="1"/>
        </w:rPr>
        <w:t>外卖市场的交易量拖出一条长长的尾巴</w:t>
      </w:r>
    </w:p>
    <w:p>
      <w:pPr>
        <w:pStyle w:val="BodyText"/>
        <w:spacing w:line="224" w:lineRule="auto"/>
        <w:ind w:left="3"/>
      </w:pPr>
      <w:r>
        <w:rPr>
          <w:spacing w:val="-24"/>
        </w:rPr>
        <w:t>（见图</w:t>
      </w:r>
      <w:r>
        <w:rPr>
          <w:spacing w:val="-24"/>
        </w:rPr>
        <w:t xml:space="preserve"> </w:t>
      </w:r>
      <w:r>
        <w:rPr>
          <w:spacing w:val="-24"/>
        </w:rPr>
        <w:t>1）。</w:t>
      </w:r>
    </w:p>
    <w:p>
      <w:pPr>
        <w:spacing w:before="155" w:line="3968" w:lineRule="exact"/>
        <w:ind w:firstLine="423"/>
      </w:pPr>
      <w:r>
        <w:rPr>
          <w:position w:val="-79"/>
        </w:rPr>
        <w:drawing>
          <wp:inline distT="0" distB="0" distL="0" distR="0">
            <wp:extent cx="5039359" cy="251968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39359" cy="251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9" w:line="219" w:lineRule="auto"/>
        <w:ind w:left="264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4"/>
          <w:sz w:val="28"/>
          <w:szCs w:val="28"/>
        </w:rPr>
        <w:t>图</w:t>
      </w:r>
      <w:r>
        <w:rPr>
          <w:rFonts w:ascii="SimHei" w:eastAsia="SimHei" w:hAnsi="SimHei" w:cs="SimHei"/>
          <w:spacing w:val="-40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4"/>
          <w:sz w:val="28"/>
          <w:szCs w:val="28"/>
        </w:rPr>
        <w:t>1</w:t>
      </w:r>
      <w:r>
        <w:rPr>
          <w:rFonts w:ascii="SimHei" w:eastAsia="SimHei" w:hAnsi="SimHei" w:cs="SimHei"/>
          <w:spacing w:val="-4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4"/>
          <w:sz w:val="28"/>
          <w:szCs w:val="28"/>
        </w:rPr>
        <w:t>外卖市场中的长尾效应</w:t>
      </w:r>
    </w:p>
    <w:p>
      <w:pPr>
        <w:spacing w:before="165" w:line="221" w:lineRule="auto"/>
        <w:ind w:left="367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3"/>
          <w:sz w:val="21"/>
          <w:szCs w:val="21"/>
        </w:rPr>
        <w:t>数据来源：</w:t>
      </w:r>
      <w:r>
        <w:rPr>
          <w:rFonts w:ascii="SimSun" w:eastAsia="SimSun" w:hAnsi="SimSun" w:cs="SimSun"/>
          <w:spacing w:val="-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美团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2" w:line="223" w:lineRule="auto"/>
        <w:ind w:left="656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spacing w:val="7"/>
          <w:sz w:val="31"/>
          <w:szCs w:val="31"/>
        </w:rPr>
        <w:t>（二）外卖市场结构具有明显的“长尾增厚”趋势</w:t>
      </w:r>
    </w:p>
    <w:p>
      <w:pPr>
        <w:pStyle w:val="BodyText"/>
        <w:spacing w:before="207" w:line="221" w:lineRule="auto"/>
        <w:ind w:left="646"/>
      </w:pPr>
      <w:r>
        <w:rPr>
          <w:spacing w:val="2"/>
        </w:rPr>
        <w:t>如上文所述，拥有“长尾</w:t>
      </w:r>
      <w:r>
        <w:rPr>
          <w:spacing w:val="-98"/>
        </w:rPr>
        <w:t xml:space="preserve"> </w:t>
      </w:r>
      <w:r>
        <w:rPr>
          <w:spacing w:val="2"/>
        </w:rPr>
        <w:t>”是平台经济中主要的市场结构性</w:t>
      </w:r>
    </w:p>
    <w:p>
      <w:pPr>
        <w:spacing w:line="221" w:lineRule="auto"/>
        <w:sectPr>
          <w:footerReference w:type="default" r:id="rId12"/>
          <w:pgSz w:w="11907" w:h="16839"/>
          <w:pgMar w:top="1431" w:right="1385" w:bottom="1422" w:left="1611" w:header="0" w:footer="1233" w:gutter="0"/>
          <w:pgNumType w:start="6"/>
          <w:cols w:space="708"/>
        </w:sectPr>
      </w:pPr>
    </w:p>
    <w:p>
      <w:pPr>
        <w:spacing w:line="304" w:lineRule="auto"/>
        <w:rPr>
          <w:rFonts w:ascii="Arial"/>
          <w:sz w:val="21"/>
        </w:rPr>
      </w:pPr>
      <w:r>
        <w:pict>
          <v:shape id="_x0000_s1025" style="width:144.05pt;height:0.5pt;margin-top:695.14pt;margin-left:79.46pt;mso-position-horizontal-relative:page;mso-position-vertical-relative:page;position:absolute;z-index:251658240" coordorigin="0,0" coordsize="2881,10" o:allowincell="f" path="m,9l2880,9l2880,l,l,9xe" filled="t" fillcolor="black" stroked="f"/>
        </w:pic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00" w:line="346" w:lineRule="auto"/>
        <w:ind w:left="27" w:right="4" w:hanging="7"/>
        <w:jc w:val="both"/>
      </w:pPr>
      <w:r>
        <w:rPr>
          <w:spacing w:val="-5"/>
        </w:rPr>
        <w:t>特征，</w:t>
      </w:r>
      <w:r>
        <w:rPr>
          <w:spacing w:val="-28"/>
        </w:rPr>
        <w:t xml:space="preserve"> </w:t>
      </w:r>
      <w:r>
        <w:rPr>
          <w:spacing w:val="-5"/>
        </w:rPr>
        <w:t>但这仅是一种静态结构，</w:t>
      </w:r>
      <w:r>
        <w:rPr>
          <w:spacing w:val="-5"/>
        </w:rPr>
        <w:t xml:space="preserve"> </w:t>
      </w:r>
      <w:r>
        <w:rPr>
          <w:spacing w:val="-5"/>
        </w:rPr>
        <w:t>本文更关心的是这种结构性特征</w:t>
      </w:r>
      <w:r>
        <w:t xml:space="preserve"> </w:t>
      </w:r>
      <w:r>
        <w:rPr>
          <w:spacing w:val="1"/>
        </w:rPr>
        <w:t>会随着时间趋势如何变化。依托美团平台上的数据研究发现，</w:t>
      </w:r>
      <w:r>
        <w:rPr>
          <w:spacing w:val="-52"/>
        </w:rPr>
        <w:t xml:space="preserve"> </w:t>
      </w:r>
      <w:r>
        <w:rPr>
          <w:spacing w:val="1"/>
        </w:rPr>
        <w:t>近</w:t>
      </w:r>
      <w:r>
        <w:t xml:space="preserve"> </w:t>
      </w:r>
      <w:r>
        <w:rPr>
          <w:spacing w:val="-7"/>
        </w:rPr>
        <w:t>几年在线上外卖市场中，</w:t>
      </w:r>
      <w:r>
        <w:rPr>
          <w:spacing w:val="-7"/>
        </w:rPr>
        <w:t xml:space="preserve"> </w:t>
      </w:r>
      <w:r>
        <w:rPr>
          <w:spacing w:val="-7"/>
        </w:rPr>
        <w:t>出现了“长尾增</w:t>
      </w:r>
      <w:r>
        <w:rPr>
          <w:spacing w:val="-8"/>
        </w:rPr>
        <w:t>厚</w:t>
      </w:r>
      <w:r>
        <w:rPr>
          <w:spacing w:val="-112"/>
        </w:rPr>
        <w:t xml:space="preserve"> </w:t>
      </w:r>
      <w:r>
        <w:rPr>
          <w:spacing w:val="-8"/>
        </w:rPr>
        <w:t>”的趋势，</w:t>
      </w:r>
      <w:r>
        <w:rPr>
          <w:spacing w:val="-8"/>
        </w:rPr>
        <w:t xml:space="preserve"> </w:t>
      </w:r>
      <w:r>
        <w:rPr>
          <w:spacing w:val="-8"/>
        </w:rPr>
        <w:t>多维度的</w:t>
      </w:r>
    </w:p>
    <w:p>
      <w:pPr>
        <w:pStyle w:val="BodyText"/>
        <w:spacing w:before="1" w:line="220" w:lineRule="auto"/>
        <w:ind w:left="20"/>
      </w:pPr>
      <w:r>
        <w:rPr>
          <w:spacing w:val="3"/>
        </w:rPr>
        <w:t>数据都证明了这一趋势的存在：</w:t>
      </w:r>
    </w:p>
    <w:p>
      <w:pPr>
        <w:pStyle w:val="BodyText"/>
        <w:spacing w:before="211" w:line="346" w:lineRule="auto"/>
        <w:ind w:left="21" w:firstLine="653"/>
        <w:jc w:val="both"/>
      </w:pPr>
      <w:r>
        <w:rPr>
          <w:spacing w:val="-2"/>
        </w:rPr>
        <w:t>首先，</w:t>
      </w:r>
      <w:r>
        <w:rPr>
          <w:spacing w:val="-39"/>
        </w:rPr>
        <w:t xml:space="preserve"> </w:t>
      </w:r>
      <w:r>
        <w:rPr>
          <w:spacing w:val="-2"/>
        </w:rPr>
        <w:t>外卖市场具有明显的“二八效应</w:t>
      </w:r>
      <w:r>
        <w:rPr>
          <w:spacing w:val="-112"/>
        </w:rPr>
        <w:t xml:space="preserve"> </w:t>
      </w:r>
      <w:r>
        <w:rPr>
          <w:spacing w:val="-2"/>
        </w:rPr>
        <w:t>”，本文按照</w:t>
      </w:r>
      <w:r>
        <w:rPr>
          <w:spacing w:val="-3"/>
        </w:rPr>
        <w:t>不同外</w:t>
      </w:r>
      <w:r>
        <w:t xml:space="preserve"> </w:t>
      </w:r>
      <w:r>
        <w:rPr>
          <w:spacing w:val="2"/>
        </w:rPr>
        <w:t>卖商户一年内的总订单数量进行排序，</w:t>
      </w:r>
      <w:r>
        <w:rPr>
          <w:spacing w:val="-73"/>
        </w:rPr>
        <w:t xml:space="preserve"> </w:t>
      </w:r>
      <w:r>
        <w:rPr>
          <w:spacing w:val="2"/>
        </w:rPr>
        <w:t>依次划分出外卖的头部热</w:t>
      </w:r>
      <w:r>
        <w:t xml:space="preserve"> </w:t>
      </w:r>
      <w:r>
        <w:rPr>
          <w:spacing w:val="7"/>
        </w:rPr>
        <w:t>门市场（在全部商户中排名前</w:t>
      </w:r>
      <w:r>
        <w:rPr>
          <w:spacing w:val="-60"/>
        </w:rPr>
        <w:t xml:space="preserve"> </w:t>
      </w:r>
      <w:r>
        <w:rPr>
          <w:spacing w:val="7"/>
        </w:rPr>
        <w:t>20%）和尾部小众市场（在</w:t>
      </w:r>
      <w:r>
        <w:rPr>
          <w:spacing w:val="6"/>
        </w:rPr>
        <w:t>全部商</w:t>
      </w:r>
      <w:r>
        <w:t xml:space="preserve"> </w:t>
      </w:r>
      <w:r>
        <w:rPr>
          <w:spacing w:val="3"/>
        </w:rPr>
        <w:t>户中排名后</w:t>
      </w:r>
      <w:r>
        <w:rPr>
          <w:spacing w:val="-60"/>
        </w:rPr>
        <w:t xml:space="preserve"> </w:t>
      </w:r>
      <w:r>
        <w:rPr>
          <w:spacing w:val="3"/>
        </w:rPr>
        <w:t>80%</w:t>
      </w:r>
      <w:r>
        <w:rPr>
          <w:spacing w:val="-84"/>
          <w:w w:val="96"/>
        </w:rPr>
        <w:t>），</w:t>
      </w:r>
      <w:r>
        <w:rPr>
          <w:spacing w:val="3"/>
        </w:rPr>
        <w:t>我们选取了具有一定代表性意义的北京、上海</w:t>
      </w:r>
      <w:r>
        <w:t xml:space="preserve"> </w:t>
      </w:r>
      <w:r>
        <w:rPr>
          <w:spacing w:val="13"/>
        </w:rPr>
        <w:t>两个一线城市和成都、西安两个新一线城市</w:t>
      </w:r>
      <w:r>
        <w:rPr>
          <w:spacing w:val="12"/>
          <w:position w:val="15"/>
          <w:sz w:val="16"/>
          <w:szCs w:val="16"/>
        </w:rPr>
        <w:t>①</w:t>
      </w:r>
      <w:r>
        <w:rPr>
          <w:spacing w:val="-34"/>
          <w:position w:val="15"/>
          <w:sz w:val="16"/>
          <w:szCs w:val="16"/>
        </w:rPr>
        <w:t xml:space="preserve"> </w:t>
      </w:r>
      <w:r>
        <w:rPr>
          <w:spacing w:val="12"/>
        </w:rPr>
        <w:t>,发现这种</w:t>
      </w:r>
      <w:r>
        <w:rPr>
          <w:spacing w:val="-108"/>
        </w:rPr>
        <w:t xml:space="preserve"> </w:t>
      </w:r>
      <w:r>
        <w:rPr>
          <w:spacing w:val="12"/>
        </w:rPr>
        <w:t>“尾部</w:t>
      </w:r>
      <w:r>
        <w:t xml:space="preserve"> </w:t>
      </w:r>
      <w:r>
        <w:rPr>
          <w:spacing w:val="15"/>
        </w:rPr>
        <w:t>小众市场份额占比上升</w:t>
      </w:r>
      <w:r>
        <w:rPr>
          <w:spacing w:val="-105"/>
        </w:rPr>
        <w:t xml:space="preserve"> </w:t>
      </w:r>
      <w:r>
        <w:rPr>
          <w:spacing w:val="15"/>
        </w:rPr>
        <w:t>”的趋势在不同城市间</w:t>
      </w:r>
      <w:r>
        <w:rPr>
          <w:spacing w:val="14"/>
        </w:rPr>
        <w:t>具有普遍性和一</w:t>
      </w:r>
      <w:r>
        <w:t xml:space="preserve"> </w:t>
      </w:r>
      <w:r>
        <w:rPr>
          <w:spacing w:val="-7"/>
        </w:rPr>
        <w:t>致性（见图</w:t>
      </w:r>
      <w:r>
        <w:rPr>
          <w:spacing w:val="-46"/>
        </w:rPr>
        <w:t xml:space="preserve"> </w:t>
      </w:r>
      <w:r>
        <w:rPr>
          <w:spacing w:val="-7"/>
        </w:rPr>
        <w:t>2）。如北京、上海两地尾部市场的份额占比，从</w:t>
      </w:r>
      <w:r>
        <w:rPr>
          <w:spacing w:val="-60"/>
        </w:rPr>
        <w:t xml:space="preserve"> </w:t>
      </w:r>
      <w:r>
        <w:rPr>
          <w:spacing w:val="-7"/>
        </w:rPr>
        <w:t>2017</w:t>
      </w:r>
      <w:r>
        <w:t xml:space="preserve"> </w:t>
      </w:r>
      <w:r>
        <w:rPr>
          <w:spacing w:val="-3"/>
        </w:rPr>
        <w:t>年的</w:t>
      </w:r>
      <w:r>
        <w:rPr>
          <w:spacing w:val="-41"/>
        </w:rPr>
        <w:t xml:space="preserve"> </w:t>
      </w:r>
      <w:r>
        <w:rPr>
          <w:spacing w:val="-3"/>
        </w:rPr>
        <w:t>17.8%左右上升到</w:t>
      </w:r>
      <w:r>
        <w:rPr>
          <w:spacing w:val="-61"/>
        </w:rPr>
        <w:t xml:space="preserve"> </w:t>
      </w:r>
      <w:r>
        <w:rPr>
          <w:spacing w:val="-3"/>
        </w:rPr>
        <w:t>2022</w:t>
      </w:r>
      <w:r>
        <w:rPr>
          <w:spacing w:val="-47"/>
        </w:rPr>
        <w:t xml:space="preserve"> </w:t>
      </w:r>
      <w:r>
        <w:rPr>
          <w:spacing w:val="-3"/>
        </w:rPr>
        <w:t>年的</w:t>
      </w:r>
      <w:r>
        <w:rPr>
          <w:spacing w:val="-60"/>
        </w:rPr>
        <w:t xml:space="preserve"> </w:t>
      </w:r>
      <w:r>
        <w:rPr>
          <w:spacing w:val="-3"/>
        </w:rPr>
        <w:t>25.5%左右</w:t>
      </w:r>
      <w:r>
        <w:rPr>
          <w:spacing w:val="-4"/>
        </w:rPr>
        <w:t>；</w:t>
      </w:r>
      <w:r>
        <w:rPr>
          <w:spacing w:val="-4"/>
        </w:rPr>
        <w:t xml:space="preserve"> </w:t>
      </w:r>
      <w:r>
        <w:rPr>
          <w:spacing w:val="-4"/>
        </w:rPr>
        <w:t>成都、西安两地尾</w:t>
      </w:r>
      <w:r>
        <w:t xml:space="preserve"> </w:t>
      </w:r>
      <w:r>
        <w:rPr>
          <w:spacing w:val="-1"/>
        </w:rPr>
        <w:t>部市场的份额占比，</w:t>
      </w:r>
      <w:r>
        <w:rPr>
          <w:spacing w:val="-64"/>
        </w:rPr>
        <w:t xml:space="preserve"> </w:t>
      </w:r>
      <w:r>
        <w:rPr>
          <w:spacing w:val="-1"/>
        </w:rPr>
        <w:t>分别从</w:t>
      </w:r>
      <w:r>
        <w:rPr>
          <w:spacing w:val="-61"/>
        </w:rPr>
        <w:t xml:space="preserve"> </w:t>
      </w:r>
      <w:r>
        <w:rPr>
          <w:spacing w:val="-1"/>
        </w:rPr>
        <w:t>2017</w:t>
      </w:r>
      <w:r>
        <w:rPr>
          <w:spacing w:val="-46"/>
        </w:rPr>
        <w:t xml:space="preserve"> </w:t>
      </w:r>
      <w:r>
        <w:rPr>
          <w:spacing w:val="-1"/>
        </w:rPr>
        <w:t>年的</w:t>
      </w:r>
      <w:r>
        <w:rPr>
          <w:spacing w:val="-41"/>
        </w:rPr>
        <w:t xml:space="preserve"> </w:t>
      </w:r>
      <w:r>
        <w:rPr>
          <w:spacing w:val="-1"/>
        </w:rPr>
        <w:t>13.7</w:t>
      </w:r>
      <w:r>
        <w:rPr>
          <w:spacing w:val="-2"/>
        </w:rPr>
        <w:t>%、14.9%上升到</w:t>
      </w:r>
      <w:r>
        <w:rPr>
          <w:spacing w:val="-61"/>
        </w:rPr>
        <w:t xml:space="preserve"> </w:t>
      </w:r>
      <w:r>
        <w:rPr>
          <w:spacing w:val="-2"/>
        </w:rPr>
        <w:t>2022</w:t>
      </w:r>
    </w:p>
    <w:p>
      <w:pPr>
        <w:pStyle w:val="BodyText"/>
        <w:spacing w:line="223" w:lineRule="auto"/>
        <w:ind w:left="27"/>
      </w:pPr>
      <w:r>
        <w:rPr>
          <w:spacing w:val="1"/>
        </w:rPr>
        <w:t>年的</w:t>
      </w:r>
      <w:r>
        <w:rPr>
          <w:spacing w:val="-37"/>
        </w:rPr>
        <w:t xml:space="preserve"> </w:t>
      </w:r>
      <w:r>
        <w:rPr>
          <w:spacing w:val="1"/>
        </w:rPr>
        <w:t>18.6%、19.3%。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  <w:sectPr>
          <w:footerReference w:type="default" r:id="rId13"/>
          <w:pgSz w:w="11907" w:h="16839"/>
          <w:pgMar w:top="1431" w:right="1471" w:bottom="1420" w:left="1589" w:header="0" w:footer="1233" w:gutter="0"/>
          <w:pgNumType w:start="7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69"/>
        <w:ind w:left="7" w:right="14" w:hanging="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0"/>
          <w:sz w:val="11"/>
          <w:szCs w:val="11"/>
        </w:rPr>
        <w:t xml:space="preserve">①  </w:t>
      </w:r>
      <w:r>
        <w:rPr>
          <w:rFonts w:ascii="SimSun" w:eastAsia="SimSun" w:hAnsi="SimSun" w:cs="SimSun"/>
          <w:spacing w:val="-2"/>
          <w:sz w:val="21"/>
          <w:szCs w:val="21"/>
        </w:rPr>
        <w:t>基于位置信息的外卖行业具有典型的区域属性，受到一定的配送范围限制，</w:t>
      </w:r>
      <w:r>
        <w:rPr>
          <w:rFonts w:ascii="SimSun" w:eastAsia="SimSun" w:hAnsi="SimSun" w:cs="SimSun"/>
          <w:spacing w:val="-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而由于近年来“全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城送”等服务的拓展，使得外卖市场范围进一步扩大，但在实践中一般不会超出</w:t>
      </w:r>
      <w:r>
        <w:rPr>
          <w:rFonts w:ascii="SimSun" w:eastAsia="SimSun" w:hAnsi="SimSun" w:cs="SimSun"/>
          <w:spacing w:val="-2"/>
          <w:sz w:val="21"/>
          <w:szCs w:val="21"/>
        </w:rPr>
        <w:t>一个市的范围，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因此本文以市一级行政区作为外卖的区域性市场。</w:t>
      </w:r>
    </w:p>
    <w:p>
      <w:pPr>
        <w:rPr>
          <w:rFonts w:ascii="SimSun" w:eastAsia="SimSun" w:hAnsi="SimSun" w:cs="SimSun"/>
          <w:sz w:val="21"/>
          <w:szCs w:val="21"/>
        </w:rPr>
        <w:sectPr>
          <w:footerReference w:type="default" r:id="rId14"/>
          <w:type w:val="nextPage"/>
          <w:pgSz w:w="11907" w:h="16839"/>
          <w:pgMar w:top="1431" w:right="1471" w:bottom="1420" w:left="1589" w:header="0" w:footer="1233" w:gutter="0"/>
          <w:pgNumType w:start="8"/>
          <w:cols w:space="708"/>
          <w:titlePg w:val="0"/>
        </w:sectPr>
      </w:pPr>
    </w:p>
    <w:p>
      <w:pPr>
        <w:spacing w:line="331" w:lineRule="auto"/>
        <w:rPr>
          <w:rFonts w:ascii="Arial"/>
          <w:sz w:val="21"/>
        </w:rPr>
      </w:pPr>
      <w:r>
        <w:pict>
          <v:shape id="_x0000_s1026" style="width:144.05pt;height:0.5pt;margin-top:708.82pt;margin-left:79.46pt;mso-position-horizontal-relative:page;mso-position-vertical-relative:page;position:absolute;z-index:251659264" coordorigin="0,0" coordsize="2881,10" o:allowincell="f" path="m,9l2880,9l2880,l,l,9xe" filled="t" fillcolor="black" stroked="f"/>
        </w:pict>
      </w:r>
    </w:p>
    <w:p>
      <w:pPr>
        <w:spacing w:line="331" w:lineRule="auto"/>
        <w:rPr>
          <w:rFonts w:ascii="Arial"/>
          <w:sz w:val="21"/>
        </w:rPr>
      </w:pPr>
    </w:p>
    <w:p>
      <w:pPr>
        <w:spacing w:line="3965" w:lineRule="exact"/>
        <w:ind w:firstLine="445"/>
      </w:pPr>
      <w:r>
        <w:rPr>
          <w:position w:val="-79"/>
        </w:rPr>
        <w:drawing>
          <wp:inline distT="0" distB="0" distL="0" distR="0">
            <wp:extent cx="5041900" cy="251777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251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8" w:line="219" w:lineRule="auto"/>
        <w:ind w:left="112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图</w:t>
      </w:r>
      <w:r>
        <w:rPr>
          <w:rFonts w:ascii="SimHei" w:eastAsia="SimHei" w:hAnsi="SimHei" w:cs="SimHei"/>
          <w:spacing w:val="-45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2</w:t>
      </w:r>
      <w:r>
        <w:rPr>
          <w:rFonts w:ascii="SimHei" w:eastAsia="SimHei" w:hAnsi="SimHei" w:cs="SimHei"/>
          <w:spacing w:val="-2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2"/>
          <w:sz w:val="28"/>
          <w:szCs w:val="28"/>
        </w:rPr>
        <w:t>主要城市的外卖尾部小众市场份额占比变化情况</w:t>
      </w:r>
    </w:p>
    <w:p>
      <w:pPr>
        <w:spacing w:before="167" w:line="220" w:lineRule="auto"/>
        <w:ind w:left="338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数据来源：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美团研究院</w:t>
      </w:r>
    </w:p>
    <w:p>
      <w:pPr>
        <w:spacing w:line="424" w:lineRule="auto"/>
        <w:rPr>
          <w:rFonts w:ascii="Arial"/>
          <w:sz w:val="21"/>
        </w:rPr>
      </w:pPr>
    </w:p>
    <w:p>
      <w:pPr>
        <w:pStyle w:val="BodyText"/>
        <w:spacing w:before="101" w:line="346" w:lineRule="auto"/>
        <w:ind w:left="20" w:firstLine="644"/>
        <w:jc w:val="both"/>
      </w:pPr>
      <w:r>
        <w:rPr>
          <w:spacing w:val="4"/>
        </w:rPr>
        <w:t>其次，洛伦兹曲线和基尼系数可以衡量一组数据或分布中的</w:t>
      </w:r>
      <w:r>
        <w:rPr>
          <w:spacing w:val="9"/>
        </w:rPr>
        <w:t xml:space="preserve"> </w:t>
      </w:r>
      <w:r>
        <w:rPr>
          <w:spacing w:val="-2"/>
        </w:rPr>
        <w:t>不平等程度，</w:t>
      </w:r>
      <w:r>
        <w:rPr>
          <w:spacing w:val="-50"/>
        </w:rPr>
        <w:t xml:space="preserve"> </w:t>
      </w:r>
      <w:r>
        <w:rPr>
          <w:spacing w:val="-2"/>
        </w:rPr>
        <w:t>通常用于比较和分析一个国家的居民财富差距，</w:t>
      </w:r>
      <w:r>
        <w:rPr>
          <w:spacing w:val="-67"/>
        </w:rPr>
        <w:t xml:space="preserve"> </w:t>
      </w:r>
      <w:r>
        <w:rPr>
          <w:spacing w:val="-2"/>
        </w:rPr>
        <w:t>但</w:t>
      </w:r>
      <w:r>
        <w:t xml:space="preserve"> </w:t>
      </w:r>
      <w:r>
        <w:rPr>
          <w:spacing w:val="16"/>
        </w:rPr>
        <w:t>我们也可以利用其原理来刻画一个市场中不同企业所占市场份</w:t>
      </w:r>
      <w:r>
        <w:rPr>
          <w:spacing w:val="9"/>
        </w:rPr>
        <w:t xml:space="preserve"> </w:t>
      </w:r>
      <w:r>
        <w:rPr>
          <w:spacing w:val="-8"/>
        </w:rPr>
        <w:t>额的均衡化程度。图</w:t>
      </w:r>
      <w:r>
        <w:rPr>
          <w:spacing w:val="-43"/>
        </w:rPr>
        <w:t xml:space="preserve"> </w:t>
      </w:r>
      <w:r>
        <w:rPr>
          <w:spacing w:val="-8"/>
        </w:rPr>
        <w:t>3</w:t>
      </w:r>
      <w:r>
        <w:rPr>
          <w:spacing w:val="-44"/>
        </w:rPr>
        <w:t xml:space="preserve"> </w:t>
      </w:r>
      <w:r>
        <w:rPr>
          <w:spacing w:val="-8"/>
        </w:rPr>
        <w:t>显示，</w:t>
      </w:r>
      <w:r>
        <w:rPr>
          <w:spacing w:val="-8"/>
        </w:rPr>
        <w:t xml:space="preserve"> </w:t>
      </w:r>
      <w:r>
        <w:rPr>
          <w:spacing w:val="-8"/>
        </w:rPr>
        <w:t>以北京市为代表，</w:t>
      </w:r>
      <w:r>
        <w:rPr>
          <w:spacing w:val="-8"/>
        </w:rPr>
        <w:t xml:space="preserve"> </w:t>
      </w:r>
      <w:r>
        <w:rPr>
          <w:spacing w:val="-8"/>
        </w:rPr>
        <w:t>外卖市场整体的</w:t>
      </w:r>
      <w:r>
        <w:t xml:space="preserve"> </w:t>
      </w:r>
      <w:r>
        <w:rPr>
          <w:spacing w:val="6"/>
        </w:rPr>
        <w:t>不均衡程度正在逐年下降</w:t>
      </w:r>
      <w:r>
        <w:rPr>
          <w:spacing w:val="6"/>
          <w:position w:val="15"/>
          <w:sz w:val="16"/>
          <w:szCs w:val="16"/>
        </w:rPr>
        <w:t>①</w:t>
      </w:r>
      <w:r>
        <w:rPr>
          <w:spacing w:val="-34"/>
          <w:position w:val="15"/>
          <w:sz w:val="16"/>
          <w:szCs w:val="16"/>
        </w:rPr>
        <w:t xml:space="preserve"> </w:t>
      </w:r>
      <w:r>
        <w:rPr>
          <w:spacing w:val="6"/>
        </w:rPr>
        <w:t>,从</w:t>
      </w:r>
      <w:r>
        <w:rPr>
          <w:spacing w:val="-34"/>
        </w:rPr>
        <w:t xml:space="preserve"> </w:t>
      </w:r>
      <w:r>
        <w:rPr>
          <w:spacing w:val="6"/>
        </w:rPr>
        <w:t>2018</w:t>
      </w:r>
      <w:r>
        <w:rPr>
          <w:spacing w:val="-38"/>
        </w:rPr>
        <w:t xml:space="preserve"> </w:t>
      </w:r>
      <w:r>
        <w:rPr>
          <w:spacing w:val="6"/>
        </w:rPr>
        <w:t>年的</w:t>
      </w:r>
      <w:r>
        <w:rPr>
          <w:spacing w:val="-55"/>
        </w:rPr>
        <w:t xml:space="preserve"> </w:t>
      </w:r>
      <w:r>
        <w:rPr>
          <w:spacing w:val="6"/>
        </w:rPr>
        <w:t>0.752</w:t>
      </w:r>
      <w:r>
        <w:rPr>
          <w:spacing w:val="-40"/>
        </w:rPr>
        <w:t xml:space="preserve"> </w:t>
      </w:r>
      <w:r>
        <w:rPr>
          <w:spacing w:val="6"/>
        </w:rPr>
        <w:t>下降到</w:t>
      </w:r>
      <w:r>
        <w:rPr>
          <w:spacing w:val="-53"/>
        </w:rPr>
        <w:t xml:space="preserve"> </w:t>
      </w:r>
      <w:r>
        <w:rPr>
          <w:spacing w:val="6"/>
        </w:rPr>
        <w:t>2022</w:t>
      </w:r>
      <w:r>
        <w:rPr>
          <w:spacing w:val="-40"/>
        </w:rPr>
        <w:t xml:space="preserve"> </w:t>
      </w:r>
      <w:r>
        <w:rPr>
          <w:spacing w:val="6"/>
        </w:rPr>
        <w:t>年</w:t>
      </w:r>
    </w:p>
    <w:p>
      <w:pPr>
        <w:pStyle w:val="BodyText"/>
        <w:spacing w:before="1" w:line="227" w:lineRule="auto"/>
        <w:ind w:left="39"/>
      </w:pPr>
      <w:r>
        <w:rPr>
          <w:spacing w:val="-3"/>
        </w:rPr>
        <w:t>的</w:t>
      </w:r>
      <w:r>
        <w:rPr>
          <w:spacing w:val="-59"/>
        </w:rPr>
        <w:t xml:space="preserve"> </w:t>
      </w:r>
      <w:r>
        <w:rPr>
          <w:spacing w:val="-3"/>
        </w:rPr>
        <w:t>0.710。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https://d.book118.com/096030154023010043</w:t>
        </w:r>
      </w:hyperlink>
    </w:p>
    <w:p>
      <w:pPr>
        <w:spacing w:line="244" w:lineRule="auto"/>
        <w:rPr>
          <w:rFonts w:ascii="Arial"/>
          <w:sz w:val="21"/>
        </w:rPr>
      </w:pPr>
    </w:p>
    <w:sectPr>
      <w:footerReference w:type="default" r:id="rId17"/>
      <w:pgSz w:w="11907" w:h="16839"/>
      <w:pgMar w:top="1431" w:right="1471" w:bottom="1420" w:left="1589" w:header="0" w:footer="1233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662"/>
      <w:rPr>
        <w:rFonts w:ascii="DengXian" w:eastAsia="DengXian" w:hAnsi="DengXian" w:cs="DengXian"/>
        <w:sz w:val="18"/>
        <w:szCs w:val="18"/>
      </w:rPr>
    </w:pPr>
    <w:r>
      <w:rPr>
        <w:rFonts w:ascii="DengXian" w:eastAsia="DengXian" w:hAnsi="DengXian" w:cs="DengXi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662"/>
      <w:rPr>
        <w:rFonts w:ascii="DengXian" w:eastAsia="DengXian" w:hAnsi="DengXian" w:cs="DengXian"/>
        <w:sz w:val="18"/>
        <w:szCs w:val="18"/>
      </w:rPr>
    </w:pPr>
    <w:r>
      <w:rPr>
        <w:rFonts w:ascii="DengXian" w:eastAsia="DengXian" w:hAnsi="DengXian" w:cs="DengXia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662"/>
      <w:rPr>
        <w:rFonts w:ascii="DengXian" w:eastAsia="DengXian" w:hAnsi="DengXian" w:cs="DengXian"/>
        <w:sz w:val="18"/>
        <w:szCs w:val="18"/>
      </w:rPr>
    </w:pPr>
    <w:r>
      <w:rPr>
        <w:rFonts w:ascii="DengXian" w:eastAsia="DengXian" w:hAnsi="DengXian" w:cs="DengXia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662"/>
      <w:rPr>
        <w:rFonts w:ascii="DengXian" w:eastAsia="DengXian" w:hAnsi="DengXian" w:cs="DengXian"/>
        <w:sz w:val="18"/>
        <w:szCs w:val="18"/>
      </w:rPr>
    </w:pPr>
    <w:r>
      <w:rPr>
        <w:rFonts w:ascii="DengXian" w:eastAsia="DengXian" w:hAnsi="DengXian" w:cs="DengXian"/>
        <w:sz w:val="18"/>
        <w:szCs w:val="18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4390"/>
      <w:rPr>
        <w:rFonts w:ascii="DengXian" w:eastAsia="DengXian" w:hAnsi="DengXian" w:cs="DengXian"/>
        <w:sz w:val="18"/>
        <w:szCs w:val="18"/>
      </w:rPr>
    </w:pPr>
    <w:r>
      <w:rPr>
        <w:rFonts w:ascii="DengXian" w:eastAsia="DengXian" w:hAnsi="DengXian" w:cs="DengXia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4358"/>
      <w:rPr>
        <w:rFonts w:ascii="DengXian" w:eastAsia="DengXian" w:hAnsi="DengXian" w:cs="DengXian"/>
        <w:sz w:val="18"/>
        <w:szCs w:val="18"/>
      </w:rPr>
    </w:pPr>
    <w:r>
      <w:rPr>
        <w:rFonts w:ascii="DengXian" w:eastAsia="DengXian" w:hAnsi="DengXian" w:cs="DengXia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377"/>
      <w:rPr>
        <w:rFonts w:ascii="DengXian" w:eastAsia="DengXian" w:hAnsi="DengXian" w:cs="DengXian"/>
        <w:sz w:val="18"/>
        <w:szCs w:val="18"/>
      </w:rPr>
    </w:pPr>
    <w:r>
      <w:rPr>
        <w:rFonts w:ascii="DengXian" w:eastAsia="DengXian" w:hAnsi="DengXian" w:cs="DengXian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377"/>
      <w:rPr>
        <w:rFonts w:ascii="DengXian" w:eastAsia="DengXian" w:hAnsi="DengXian" w:cs="DengXian"/>
        <w:sz w:val="18"/>
        <w:szCs w:val="18"/>
      </w:rPr>
    </w:pPr>
    <w:r>
      <w:rPr>
        <w:rFonts w:ascii="DengXian" w:eastAsia="DengXian" w:hAnsi="DengXian" w:cs="DengXia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383"/>
      <w:rPr>
        <w:rFonts w:ascii="DengXian" w:eastAsia="DengXian" w:hAnsi="DengXian" w:cs="DengXian"/>
        <w:sz w:val="18"/>
        <w:szCs w:val="18"/>
      </w:rPr>
    </w:pPr>
    <w:r>
      <w:rPr>
        <w:rFonts w:ascii="DengXian" w:eastAsia="DengXian" w:hAnsi="DengXian" w:cs="DengXian"/>
        <w:sz w:val="18"/>
        <w:szCs w:val="18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31"/>
      <w:szCs w:val="3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DengXian" w:eastAsia="DengXian" w:hAnsi="DengXian" w:cs="DengXian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image" Target="media/image3.jpeg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image" Target="media/image4.jpeg" /><Relationship Id="rId16" Type="http://schemas.openxmlformats.org/officeDocument/2006/relationships/hyperlink" Target="https://d.book118.com/096030154023010043" TargetMode="External" /><Relationship Id="rId17" Type="http://schemas.openxmlformats.org/officeDocument/2006/relationships/footer" Target="footer9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image" Target="media/image1.png" /><Relationship Id="rId6" Type="http://schemas.openxmlformats.org/officeDocument/2006/relationships/footer" Target="footer2.xml" /><Relationship Id="rId7" Type="http://schemas.openxmlformats.org/officeDocument/2006/relationships/image" Target="media/image2.png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lizzy gu</dc:creator>
  <cp:revision>0</cp:revision>
  <dcterms:created xsi:type="dcterms:W3CDTF">2024-02-01T20:46:19Z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2024-02-01T20:50:08Z</vt:filetime>
  </property>
  <property fmtid="{D5CDD505-2E9C-101B-9397-08002B2CF9AE}" pid="3" name="CRO">
    <vt:lpwstr>wqlLaW5nc29mdCBQREYgdG8gV1BTIDkw</vt:lpwstr>
  </property>
</Properties>
</file>