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microsoft.com/office/2011/relationships/webextensiontaskpanes" Target="word/webextensions/taskpanes.xml" /><Relationship Id="rId3" Type="http://schemas.openxmlformats.org/officeDocument/2006/relationships/extended-properties" Target="docProps/app.xml" /><Relationship Id="rId4"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2716F" w:rsidP="0042716F" w14:paraId="522419F3" w14:textId="4CB9D6C7">
      <w:pPr>
        <w:spacing w:before="936" w:beforeLines="300" w:after="624" w:afterLines="200" w:line="360" w:lineRule="auto"/>
        <w:jc w:val="center"/>
        <w:rPr>
          <w:rFonts w:ascii="STZhongsong" w:eastAsia="STZhongsong" w:hAnsi="STZhongsong"/>
          <w:b/>
          <w:bCs/>
          <w:color w:val="000000"/>
          <w:sz w:val="44"/>
          <w:szCs w:val="44"/>
        </w:rPr>
      </w:pPr>
      <w:r w:rsidRPr="0042716F">
        <w:rPr>
          <w:rFonts w:ascii="STZhongsong" w:eastAsia="STZhongsong" w:hAnsi="STZhongsong" w:hint="eastAsia"/>
          <w:b/>
          <w:bCs/>
          <w:color w:val="000000"/>
          <w:sz w:val="44"/>
          <w:szCs w:val="44"/>
        </w:rPr>
        <w:t>基于卡尔曼滤波的国债期货动态统计套利</w:t>
      </w:r>
    </w:p>
    <w:p w:rsidR="0042716F" w:rsidRPr="00466A96" w:rsidP="0042716F" w14:paraId="1323CB5D" w14:textId="2FB51CF1">
      <w:pPr>
        <w:spacing w:before="936" w:beforeLines="300" w:after="624" w:afterLines="200" w:line="360" w:lineRule="auto"/>
        <w:jc w:val="center"/>
        <w:rPr>
          <w:rFonts w:ascii="STZhongsong" w:eastAsia="STZhongsong" w:hAnsi="STZhongsong"/>
          <w:b/>
          <w:bCs/>
          <w:color w:val="000000"/>
          <w:sz w:val="44"/>
          <w:szCs w:val="44"/>
        </w:rPr>
      </w:pPr>
      <w:r w:rsidRPr="00092695">
        <w:rPr>
          <w:rFonts w:ascii="STZhongsong" w:eastAsia="STZhongsong" w:hAnsi="STZhongsong"/>
          <w:b/>
          <w:bCs/>
          <w:color w:val="000000"/>
          <w:sz w:val="44"/>
          <w:szCs w:val="44"/>
        </w:rPr>
        <w:t>摘要</w:t>
      </w:r>
    </w:p>
    <w:p w:rsidR="0042716F" w:rsidP="0042716F" w14:paraId="5F3D68B4" w14:textId="77777777">
      <w:pPr>
        <w:spacing w:line="360" w:lineRule="auto"/>
        <w:ind w:left="420" w:firstLine="420"/>
        <w:rPr>
          <w:b/>
          <w:bCs/>
          <w:color w:val="000000"/>
          <w:sz w:val="24"/>
          <w:szCs w:val="24"/>
        </w:rPr>
      </w:pPr>
      <w:r>
        <w:rPr>
          <w:rFonts w:hint="eastAsia"/>
          <w:b/>
          <w:bCs/>
          <w:color w:val="000000"/>
          <w:sz w:val="24"/>
          <w:szCs w:val="24"/>
        </w:rPr>
        <w:t>统计套利是一种与市场整体表现无关的风险中性策略，这一策略将套利建立在统计分析的基础上。具有</w:t>
      </w:r>
      <w:r w:rsidRPr="00D51E81">
        <w:rPr>
          <w:b/>
          <w:bCs/>
          <w:color w:val="000000"/>
          <w:sz w:val="24"/>
          <w:szCs w:val="24"/>
        </w:rPr>
        <w:t>协整的股票对具有近似的长期趋势，价差应较为稳定。如果出现了较大的偏离，这时可以进行统计套利。投资者按照对冲比率买入被低估的股票同时卖出被高估的股票，获得风险较小的收益。</w:t>
      </w:r>
      <w:r w:rsidRPr="00E749D1">
        <w:rPr>
          <w:rFonts w:hint="eastAsia"/>
          <w:b/>
          <w:bCs/>
          <w:color w:val="000000" w:themeColor="text1"/>
          <w:sz w:val="24"/>
          <w:szCs w:val="24"/>
        </w:rPr>
        <w:t>本文首先对我国的国债期货市场进行了历史回顾和作用描述，说明了本研究的可行性和重要意义。然后对国内外国债期货市场套利交易的目前研究状况进行了简要叙述，接着介绍了国内外相关的统计套利、协整、卡尔曼滤波的理论模型。</w:t>
      </w:r>
      <w:r w:rsidRPr="004A6D23">
        <w:rPr>
          <w:rFonts w:hint="eastAsia"/>
          <w:b/>
          <w:bCs/>
          <w:color w:val="000000" w:themeColor="text1"/>
          <w:sz w:val="24"/>
          <w:szCs w:val="24"/>
        </w:rPr>
        <w:t>实证分析</w:t>
      </w:r>
      <w:r w:rsidRPr="004A6D23">
        <w:rPr>
          <w:b/>
          <w:bCs/>
          <w:color w:val="000000" w:themeColor="text1"/>
          <w:sz w:val="24"/>
          <w:szCs w:val="24"/>
        </w:rPr>
        <w:t>基于日频的</w:t>
      </w:r>
      <w:r w:rsidRPr="004A6D23">
        <w:rPr>
          <w:b/>
          <w:bCs/>
          <w:color w:val="000000" w:themeColor="text1"/>
          <w:sz w:val="24"/>
          <w:szCs w:val="24"/>
        </w:rPr>
        <w:t>10</w:t>
      </w:r>
      <w:r w:rsidRPr="004A6D23">
        <w:rPr>
          <w:b/>
          <w:bCs/>
          <w:color w:val="000000" w:themeColor="text1"/>
          <w:sz w:val="24"/>
          <w:szCs w:val="24"/>
        </w:rPr>
        <w:t>年期国债期货与国债现货的交易数据，</w:t>
      </w:r>
      <w:r>
        <w:rPr>
          <w:rFonts w:hint="eastAsia"/>
          <w:b/>
          <w:bCs/>
          <w:color w:val="000000"/>
          <w:sz w:val="24"/>
          <w:szCs w:val="24"/>
        </w:rPr>
        <w:t>在通过协整关系检验后，</w:t>
      </w:r>
      <w:r w:rsidRPr="00D51E81">
        <w:rPr>
          <w:b/>
          <w:bCs/>
          <w:color w:val="000000"/>
          <w:sz w:val="24"/>
          <w:szCs w:val="24"/>
        </w:rPr>
        <w:t>分别建立了</w:t>
      </w:r>
      <w:r>
        <w:rPr>
          <w:rFonts w:hint="eastAsia"/>
          <w:b/>
          <w:bCs/>
          <w:color w:val="000000"/>
          <w:sz w:val="24"/>
          <w:szCs w:val="24"/>
        </w:rPr>
        <w:t>一种</w:t>
      </w:r>
      <w:r w:rsidRPr="00D51E81">
        <w:rPr>
          <w:b/>
          <w:bCs/>
          <w:color w:val="000000"/>
          <w:sz w:val="24"/>
          <w:szCs w:val="24"/>
        </w:rPr>
        <w:t>静态</w:t>
      </w:r>
      <w:r>
        <w:rPr>
          <w:rFonts w:hint="eastAsia"/>
          <w:b/>
          <w:bCs/>
          <w:color w:val="000000"/>
          <w:sz w:val="24"/>
          <w:szCs w:val="24"/>
        </w:rPr>
        <w:t>统计套利</w:t>
      </w:r>
      <w:r w:rsidRPr="00D51E81">
        <w:rPr>
          <w:b/>
          <w:bCs/>
          <w:color w:val="000000"/>
          <w:sz w:val="24"/>
          <w:szCs w:val="24"/>
        </w:rPr>
        <w:t>策略和</w:t>
      </w:r>
      <w:r>
        <w:rPr>
          <w:rFonts w:hint="eastAsia"/>
          <w:b/>
          <w:bCs/>
          <w:color w:val="000000"/>
          <w:sz w:val="24"/>
          <w:szCs w:val="24"/>
        </w:rPr>
        <w:t>一种</w:t>
      </w:r>
      <w:r w:rsidRPr="00D51E81">
        <w:rPr>
          <w:b/>
          <w:bCs/>
          <w:color w:val="000000"/>
          <w:sz w:val="24"/>
          <w:szCs w:val="24"/>
        </w:rPr>
        <w:t>动态</w:t>
      </w:r>
      <w:r>
        <w:rPr>
          <w:rFonts w:hint="eastAsia"/>
          <w:b/>
          <w:bCs/>
          <w:color w:val="000000"/>
          <w:sz w:val="24"/>
          <w:szCs w:val="24"/>
        </w:rPr>
        <w:t>统计套利</w:t>
      </w:r>
      <w:r w:rsidRPr="00D51E81">
        <w:rPr>
          <w:b/>
          <w:bCs/>
          <w:color w:val="000000"/>
          <w:sz w:val="24"/>
          <w:szCs w:val="24"/>
        </w:rPr>
        <w:t>策略</w:t>
      </w:r>
      <w:r>
        <w:rPr>
          <w:rFonts w:hint="eastAsia"/>
          <w:b/>
          <w:bCs/>
          <w:color w:val="000000"/>
          <w:sz w:val="24"/>
          <w:szCs w:val="24"/>
        </w:rPr>
        <w:t>：其中静态模型选择了</w:t>
      </w:r>
      <w:r>
        <w:rPr>
          <w:rFonts w:hint="eastAsia"/>
          <w:b/>
          <w:bCs/>
          <w:color w:val="000000"/>
          <w:sz w:val="24"/>
          <w:szCs w:val="24"/>
        </w:rPr>
        <w:t>OLS</w:t>
      </w:r>
      <w:r>
        <w:rPr>
          <w:rFonts w:hint="eastAsia"/>
          <w:b/>
          <w:bCs/>
          <w:color w:val="000000"/>
          <w:sz w:val="24"/>
          <w:szCs w:val="24"/>
        </w:rPr>
        <w:t>模型，动态模型则选择了卡尔曼滤波。结果</w:t>
      </w:r>
      <w:r w:rsidRPr="00D51E81">
        <w:rPr>
          <w:b/>
          <w:bCs/>
          <w:color w:val="000000"/>
          <w:sz w:val="24"/>
          <w:szCs w:val="24"/>
        </w:rPr>
        <w:t>验证了</w:t>
      </w:r>
      <w:r>
        <w:rPr>
          <w:rFonts w:hint="eastAsia"/>
          <w:b/>
          <w:bCs/>
          <w:color w:val="000000"/>
          <w:sz w:val="24"/>
          <w:szCs w:val="24"/>
        </w:rPr>
        <w:t>在本文选择的金融资产对中，</w:t>
      </w:r>
      <w:r w:rsidRPr="00D51E81">
        <w:rPr>
          <w:b/>
          <w:bCs/>
          <w:color w:val="000000"/>
          <w:sz w:val="24"/>
          <w:szCs w:val="24"/>
        </w:rPr>
        <w:t>利用卡尔曼滤波</w:t>
      </w:r>
      <w:r>
        <w:rPr>
          <w:rFonts w:hint="eastAsia"/>
          <w:b/>
          <w:bCs/>
          <w:color w:val="000000"/>
          <w:sz w:val="24"/>
          <w:szCs w:val="24"/>
        </w:rPr>
        <w:t>的时变系数</w:t>
      </w:r>
      <w:r w:rsidRPr="00D51E81">
        <w:rPr>
          <w:b/>
          <w:bCs/>
          <w:color w:val="000000"/>
          <w:sz w:val="24"/>
          <w:szCs w:val="24"/>
        </w:rPr>
        <w:t>，</w:t>
      </w:r>
      <w:r>
        <w:rPr>
          <w:rFonts w:hint="eastAsia"/>
          <w:b/>
          <w:bCs/>
          <w:color w:val="000000"/>
          <w:sz w:val="24"/>
          <w:szCs w:val="24"/>
        </w:rPr>
        <w:t>可以得到拥有更好表现的统计套利。</w:t>
      </w:r>
    </w:p>
    <w:p w:rsidR="0042716F" w:rsidRPr="009D357D" w:rsidP="0042716F" w14:paraId="51E6AAE4" w14:textId="77777777">
      <w:pPr>
        <w:spacing w:line="360" w:lineRule="auto"/>
        <w:ind w:firstLine="420"/>
        <w:rPr>
          <w:b/>
          <w:bCs/>
          <w:color w:val="000000"/>
          <w:sz w:val="24"/>
          <w:szCs w:val="24"/>
        </w:rPr>
      </w:pPr>
      <w:r w:rsidRPr="00D51E81">
        <w:rPr>
          <w:rFonts w:hint="eastAsia"/>
          <w:b/>
          <w:bCs/>
          <w:color w:val="000000"/>
          <w:sz w:val="24"/>
          <w:szCs w:val="24"/>
        </w:rPr>
        <w:t>关键词：</w:t>
      </w:r>
      <w:r w:rsidRPr="00D51E81">
        <w:rPr>
          <w:b/>
          <w:bCs/>
          <w:color w:val="000000"/>
          <w:sz w:val="24"/>
          <w:szCs w:val="24"/>
        </w:rPr>
        <w:t>10</w:t>
      </w:r>
      <w:r w:rsidRPr="00D51E81">
        <w:rPr>
          <w:b/>
          <w:bCs/>
          <w:color w:val="000000"/>
          <w:sz w:val="24"/>
          <w:szCs w:val="24"/>
        </w:rPr>
        <w:t>年期国债期货</w:t>
      </w:r>
      <w:r>
        <w:rPr>
          <w:rFonts w:hint="eastAsia"/>
          <w:b/>
          <w:bCs/>
          <w:color w:val="000000"/>
          <w:sz w:val="24"/>
          <w:szCs w:val="24"/>
        </w:rPr>
        <w:t>;</w:t>
      </w:r>
      <w:r>
        <w:rPr>
          <w:b/>
          <w:bCs/>
          <w:color w:val="000000"/>
          <w:sz w:val="24"/>
          <w:szCs w:val="24"/>
        </w:rPr>
        <w:t xml:space="preserve"> </w:t>
      </w:r>
      <w:r w:rsidRPr="00D51E81">
        <w:rPr>
          <w:b/>
          <w:bCs/>
          <w:color w:val="000000"/>
          <w:sz w:val="24"/>
          <w:szCs w:val="24"/>
        </w:rPr>
        <w:t>统计套利</w:t>
      </w:r>
      <w:r>
        <w:rPr>
          <w:rFonts w:hint="eastAsia"/>
          <w:b/>
          <w:bCs/>
          <w:color w:val="000000"/>
          <w:sz w:val="24"/>
          <w:szCs w:val="24"/>
        </w:rPr>
        <w:t>;</w:t>
      </w:r>
      <w:r>
        <w:rPr>
          <w:b/>
          <w:bCs/>
          <w:color w:val="000000"/>
          <w:sz w:val="24"/>
          <w:szCs w:val="24"/>
        </w:rPr>
        <w:t xml:space="preserve"> </w:t>
      </w:r>
      <w:r w:rsidRPr="00D51E81">
        <w:rPr>
          <w:b/>
          <w:bCs/>
          <w:color w:val="000000"/>
          <w:sz w:val="24"/>
          <w:szCs w:val="24"/>
        </w:rPr>
        <w:t>卡尔曼滤波</w:t>
      </w:r>
    </w:p>
    <w:p w:rsidR="0042716F" w:rsidP="0042716F" w14:paraId="1936BD14" w14:textId="77777777">
      <w:pPr>
        <w:rPr>
          <w:rFonts w:ascii="Times" w:eastAsia="PMingLiU" w:hAnsi="Times"/>
          <w:sz w:val="24"/>
          <w:szCs w:val="20"/>
          <w:lang w:eastAsia="zh-TW"/>
        </w:rPr>
      </w:pPr>
    </w:p>
    <w:p w:rsidR="0042716F" w:rsidP="0042716F" w14:paraId="64007058" w14:textId="77777777">
      <w:pPr>
        <w:rPr>
          <w:rFonts w:ascii="Times" w:eastAsia="PMingLiU" w:hAnsi="Times"/>
          <w:sz w:val="24"/>
          <w:szCs w:val="20"/>
          <w:lang w:eastAsia="zh-TW"/>
        </w:rPr>
      </w:pPr>
    </w:p>
    <w:p w:rsidR="0042716F" w:rsidP="0042716F" w14:paraId="7FE2D621" w14:textId="77777777">
      <w:pPr>
        <w:rPr>
          <w:rFonts w:ascii="Times" w:eastAsia="PMingLiU" w:hAnsi="Times"/>
          <w:sz w:val="24"/>
          <w:szCs w:val="20"/>
          <w:lang w:eastAsia="zh-TW"/>
        </w:rPr>
      </w:pPr>
    </w:p>
    <w:p w:rsidR="0042716F" w:rsidP="0042716F" w14:paraId="3C3D9AFD" w14:textId="77777777">
      <w:pPr>
        <w:rPr>
          <w:rFonts w:ascii="Times" w:eastAsia="PMingLiU" w:hAnsi="Times"/>
          <w:sz w:val="24"/>
          <w:szCs w:val="20"/>
          <w:lang w:eastAsia="zh-TW"/>
        </w:rPr>
      </w:pPr>
    </w:p>
    <w:p w:rsidR="0042716F" w:rsidP="0042716F" w14:paraId="226F9E13" w14:textId="77777777">
      <w:pPr>
        <w:rPr>
          <w:rFonts w:ascii="Times" w:eastAsia="PMingLiU" w:hAnsi="Times"/>
          <w:sz w:val="24"/>
          <w:szCs w:val="20"/>
          <w:lang w:eastAsia="zh-TW"/>
        </w:rPr>
      </w:pPr>
    </w:p>
    <w:p w:rsidR="0042716F" w:rsidP="0042716F" w14:paraId="2F10014A" w14:textId="77777777">
      <w:pPr>
        <w:rPr>
          <w:rFonts w:ascii="Times" w:eastAsia="PMingLiU" w:hAnsi="Times"/>
          <w:sz w:val="24"/>
          <w:szCs w:val="20"/>
          <w:lang w:eastAsia="zh-TW"/>
        </w:rPr>
      </w:pPr>
    </w:p>
    <w:p w:rsidR="0042716F" w:rsidP="0042716F" w14:paraId="140E4B2D" w14:textId="77777777">
      <w:pPr>
        <w:rPr>
          <w:rFonts w:ascii="Times" w:eastAsia="PMingLiU" w:hAnsi="Times"/>
          <w:sz w:val="24"/>
          <w:szCs w:val="20"/>
          <w:lang w:eastAsia="zh-TW"/>
        </w:rPr>
      </w:pPr>
    </w:p>
    <w:p w:rsidR="0042716F" w:rsidP="0042716F" w14:paraId="0366C848" w14:textId="77777777">
      <w:pPr>
        <w:rPr>
          <w:rFonts w:ascii="Times" w:eastAsia="PMingLiU" w:hAnsi="Times"/>
          <w:sz w:val="24"/>
          <w:szCs w:val="20"/>
          <w:lang w:eastAsia="zh-TW"/>
        </w:rPr>
      </w:pPr>
    </w:p>
    <w:p w:rsidR="0042716F" w:rsidP="0042716F" w14:paraId="191E17D9" w14:textId="77777777">
      <w:pPr>
        <w:rPr>
          <w:rFonts w:ascii="Times" w:eastAsia="PMingLiU" w:hAnsi="Times"/>
          <w:sz w:val="24"/>
          <w:szCs w:val="20"/>
          <w:lang w:eastAsia="zh-TW"/>
        </w:rPr>
      </w:pPr>
    </w:p>
    <w:p w:rsidR="0042716F" w:rsidP="0042716F" w14:paraId="3285A152" w14:textId="77777777">
      <w:pPr>
        <w:rPr>
          <w:rFonts w:ascii="Times" w:eastAsia="PMingLiU" w:hAnsi="Times"/>
          <w:sz w:val="24"/>
          <w:szCs w:val="20"/>
          <w:lang w:eastAsia="zh-TW"/>
        </w:rPr>
      </w:pPr>
    </w:p>
    <w:p w:rsidR="0042716F" w:rsidP="0042716F" w14:paraId="69F05731" w14:textId="77777777">
      <w:pPr>
        <w:rPr>
          <w:rFonts w:ascii="Times" w:eastAsia="PMingLiU" w:hAnsi="Times" w:hint="eastAsia"/>
          <w:sz w:val="24"/>
          <w:szCs w:val="20"/>
          <w:lang w:eastAsia="zh-TW"/>
        </w:rPr>
      </w:pPr>
      <w:bookmarkStart w:id="0" w:name="_GoBack"/>
      <w:bookmarkEnd w:id="0"/>
    </w:p>
    <w:p w:rsidR="0042716F" w:rsidRPr="00092695" w:rsidP="0042716F" w14:paraId="444DD75B" w14:textId="77777777">
      <w:pPr>
        <w:widowControl/>
        <w:jc w:val="center"/>
        <w:rPr>
          <w:rFonts w:ascii="Times New Roman" w:eastAsia="STZhongsong" w:hAnsi="Times New Roman"/>
          <w:b/>
          <w:bCs/>
          <w:sz w:val="44"/>
          <w:szCs w:val="44"/>
        </w:rPr>
        <w:sectPr w:rsidSect="00466A96">
          <w:footerReference w:type="default" r:id="rId5"/>
          <w:pgSz w:w="11906" w:h="16838"/>
          <w:pgMar w:top="1701" w:right="1701" w:bottom="1701" w:left="1701" w:header="851" w:footer="992" w:gutter="0"/>
          <w:cols w:space="425"/>
          <w:docGrid w:type="linesAndChars" w:linePitch="312"/>
        </w:sectPr>
      </w:pPr>
      <w:r w:rsidRPr="00092695">
        <w:rPr>
          <w:rFonts w:ascii="Times New Roman" w:eastAsia="STZhongsong" w:hAnsi="Times New Roman"/>
          <w:b/>
          <w:bCs/>
          <w:sz w:val="44"/>
          <w:szCs w:val="44"/>
        </w:rPr>
        <w:t>A</w:t>
      </w:r>
      <w:r w:rsidRPr="00092695">
        <w:rPr>
          <w:rFonts w:ascii="Times New Roman" w:eastAsia="STZhongsong" w:hAnsi="Times New Roman" w:hint="eastAsia"/>
          <w:b/>
          <w:bCs/>
          <w:sz w:val="44"/>
          <w:szCs w:val="44"/>
        </w:rPr>
        <w:t>bstract</w:t>
      </w:r>
    </w:p>
    <w:p w:rsidR="0042716F" w:rsidRPr="00E749D1" w:rsidP="0042716F" w14:paraId="794B8EC1" w14:textId="77777777">
      <w:pPr>
        <w:widowControl/>
        <w:ind w:left="420" w:firstLine="420"/>
        <w:jc w:val="left"/>
        <w:rPr>
          <w:rFonts w:ascii="Times" w:eastAsia="PMingLiU" w:hAnsi="Times"/>
          <w:sz w:val="24"/>
          <w:szCs w:val="20"/>
          <w:lang w:eastAsia="zh-TW"/>
        </w:rPr>
      </w:pPr>
      <w:r w:rsidRPr="00E749D1">
        <w:rPr>
          <w:rFonts w:ascii="Times New Roman" w:eastAsia="黑体" w:hAnsi="Times New Roman"/>
          <w:b/>
          <w:bCs/>
          <w:sz w:val="24"/>
          <w:szCs w:val="20"/>
        </w:rPr>
        <w:t>Statistical arbitrage is a risk neutral strategy which has nothing to do with the overall performance of the market. This strategy bases arbitrage on statistical analysis. The stock pairs with cointegration have similar long-term trend, and the price difference should be relatively stable. If there is a large deviation, then statistical arbitrage can be carried out. Investors buy the undervalued stocks according to the hedging ratio and sell the overvalued stocks at the same time, so as to obtain the less risky income. Firstly, this paper reviews the history and describes the function of the Treasury bond futures market in China, which shows the feasibility and significance of this study. Then it briefly describes the current research situation of arbitrage trading in domestic and foreign bond futures market, and then introduces the relevant theoretical models of statistical arbitrage, cointegration and Kalman filter at home and abroad. Empirical analysis is based on the daily trading data of 10-year Treasury bond futures and treasury bond spot. After the co integration test, a static statistical arbitrage strategy and a dynamic statistical arbitrage strategy are established respectively: the static model chooses OLS model, and the dynamic model chooses Kalman filter. The results show that in the financial asset pairs selected in this paper, the statistical arbitrage with better performance can be obtained by using the time-varying coefficient of Kalman filter.</w:t>
      </w:r>
    </w:p>
    <w:p w:rsidR="0042716F" w:rsidRPr="001B5D0C" w:rsidP="0042716F" w14:paraId="62B07401" w14:textId="77777777">
      <w:pPr>
        <w:widowControl/>
        <w:ind w:firstLine="480" w:firstLineChars="200"/>
        <w:jc w:val="left"/>
        <w:rPr>
          <w:rFonts w:ascii="Times New Roman" w:eastAsia="黑体" w:hAnsi="Times New Roman"/>
          <w:b/>
          <w:bCs/>
          <w:sz w:val="24"/>
          <w:szCs w:val="20"/>
        </w:rPr>
      </w:pPr>
      <w:r>
        <w:rPr>
          <w:rFonts w:ascii="Times New Roman" w:eastAsia="黑体" w:hAnsi="Times New Roman"/>
          <w:b/>
          <w:bCs/>
          <w:sz w:val="24"/>
          <w:szCs w:val="20"/>
        </w:rPr>
        <w:t>K</w:t>
      </w:r>
      <w:r>
        <w:rPr>
          <w:rFonts w:ascii="Times New Roman" w:eastAsia="黑体" w:hAnsi="Times New Roman" w:hint="eastAsia"/>
          <w:b/>
          <w:bCs/>
          <w:sz w:val="24"/>
          <w:szCs w:val="20"/>
        </w:rPr>
        <w:t>ey</w:t>
      </w:r>
      <w:r>
        <w:rPr>
          <w:rFonts w:ascii="Times New Roman" w:eastAsia="黑体" w:hAnsi="Times New Roman"/>
          <w:b/>
          <w:bCs/>
          <w:sz w:val="24"/>
          <w:szCs w:val="20"/>
        </w:rPr>
        <w:t xml:space="preserve"> </w:t>
      </w:r>
      <w:r>
        <w:rPr>
          <w:rFonts w:ascii="Times New Roman" w:eastAsia="黑体" w:hAnsi="Times New Roman" w:hint="eastAsia"/>
          <w:b/>
          <w:bCs/>
          <w:sz w:val="24"/>
          <w:szCs w:val="20"/>
        </w:rPr>
        <w:t>words</w:t>
      </w:r>
      <w:r>
        <w:rPr>
          <w:rFonts w:ascii="Times New Roman" w:eastAsia="黑体" w:hAnsi="Times New Roman" w:hint="eastAsia"/>
          <w:b/>
          <w:bCs/>
          <w:sz w:val="24"/>
          <w:szCs w:val="20"/>
        </w:rPr>
        <w:t>：</w:t>
      </w:r>
      <w:r w:rsidRPr="001B5D0C">
        <w:rPr>
          <w:rFonts w:ascii="Times New Roman" w:eastAsia="黑体" w:hAnsi="Times New Roman"/>
          <w:b/>
          <w:bCs/>
          <w:sz w:val="24"/>
          <w:szCs w:val="20"/>
        </w:rPr>
        <w:t>10-year Treasury bond futures; statistical arbitrage; Kalman filter</w:t>
      </w:r>
    </w:p>
    <w:p w:rsidR="0042716F" w:rsidP="0042716F" w14:paraId="265F27CD" w14:textId="77777777">
      <w:pPr>
        <w:rPr>
          <w:rFonts w:ascii="Times" w:eastAsia="PMingLiU" w:hAnsi="Times"/>
          <w:sz w:val="24"/>
          <w:szCs w:val="20"/>
          <w:lang w:eastAsia="zh-TW"/>
        </w:rPr>
      </w:pPr>
    </w:p>
    <w:p w:rsidR="0042716F" w:rsidP="0042716F" w14:paraId="2B86AA5B" w14:textId="77777777">
      <w:pPr>
        <w:rPr>
          <w:rFonts w:ascii="Times" w:eastAsia="PMingLiU" w:hAnsi="Times"/>
          <w:sz w:val="24"/>
          <w:szCs w:val="20"/>
          <w:lang w:eastAsia="zh-TW"/>
        </w:rPr>
      </w:pPr>
    </w:p>
    <w:p w:rsidR="0042716F" w:rsidP="0042716F" w14:paraId="68423874" w14:textId="77777777">
      <w:pPr>
        <w:rPr>
          <w:rFonts w:ascii="Times" w:eastAsia="PMingLiU" w:hAnsi="Times"/>
          <w:sz w:val="24"/>
          <w:szCs w:val="20"/>
          <w:lang w:eastAsia="zh-TW"/>
        </w:rPr>
      </w:pPr>
    </w:p>
    <w:p w:rsidR="0042716F" w:rsidP="0042716F" w14:paraId="4F7C9A59" w14:textId="77777777">
      <w:pPr>
        <w:rPr>
          <w:rFonts w:ascii="Times" w:eastAsia="PMingLiU" w:hAnsi="Times"/>
          <w:sz w:val="24"/>
          <w:szCs w:val="20"/>
          <w:lang w:eastAsia="zh-TW"/>
        </w:rPr>
      </w:pPr>
    </w:p>
    <w:p w:rsidR="0042716F" w:rsidP="0042716F" w14:paraId="7A3A2ADC" w14:textId="77777777">
      <w:pPr>
        <w:rPr>
          <w:rFonts w:ascii="Times" w:eastAsia="PMingLiU" w:hAnsi="Times"/>
          <w:sz w:val="24"/>
          <w:szCs w:val="20"/>
          <w:lang w:eastAsia="zh-TW"/>
        </w:rPr>
      </w:pPr>
    </w:p>
    <w:p w:rsidR="0042716F" w:rsidP="0042716F" w14:paraId="248B34A8" w14:textId="77777777">
      <w:pPr>
        <w:rPr>
          <w:rFonts w:ascii="Times" w:eastAsia="PMingLiU" w:hAnsi="Times"/>
          <w:sz w:val="24"/>
          <w:szCs w:val="20"/>
          <w:lang w:eastAsia="zh-TW"/>
        </w:rPr>
      </w:pPr>
    </w:p>
    <w:p w:rsidR="0042716F" w:rsidP="0042716F" w14:paraId="0B6FD8E4" w14:textId="77777777">
      <w:pPr>
        <w:rPr>
          <w:rFonts w:ascii="Times" w:eastAsia="PMingLiU" w:hAnsi="Times"/>
          <w:sz w:val="24"/>
          <w:szCs w:val="20"/>
          <w:lang w:eastAsia="zh-TW"/>
        </w:rPr>
      </w:pPr>
    </w:p>
    <w:p w:rsidR="0042716F" w:rsidP="0042716F" w14:paraId="5CE05DB8" w14:textId="77777777">
      <w:pPr>
        <w:rPr>
          <w:rFonts w:ascii="Times" w:eastAsia="PMingLiU" w:hAnsi="Times"/>
          <w:sz w:val="24"/>
          <w:szCs w:val="20"/>
          <w:lang w:eastAsia="zh-TW"/>
        </w:rPr>
      </w:pPr>
    </w:p>
    <w:p w:rsidR="0042716F" w:rsidP="0042716F" w14:paraId="26785335" w14:textId="77777777">
      <w:pPr>
        <w:rPr>
          <w:rFonts w:ascii="Times" w:eastAsia="PMingLiU" w:hAnsi="Times"/>
          <w:sz w:val="24"/>
          <w:szCs w:val="20"/>
          <w:lang w:eastAsia="zh-TW"/>
        </w:rPr>
      </w:pPr>
    </w:p>
    <w:p w:rsidR="0042716F" w:rsidP="0042716F" w14:paraId="711CD94A" w14:textId="77777777">
      <w:pPr>
        <w:rPr>
          <w:rFonts w:ascii="Times" w:eastAsia="PMingLiU" w:hAnsi="Times"/>
          <w:sz w:val="24"/>
          <w:szCs w:val="20"/>
          <w:lang w:eastAsia="zh-TW"/>
        </w:rPr>
      </w:pPr>
    </w:p>
    <w:p w:rsidR="0042716F" w:rsidP="0042716F" w14:paraId="7AC8DF32" w14:textId="77777777">
      <w:pPr>
        <w:rPr>
          <w:rFonts w:ascii="Times" w:eastAsia="PMingLiU" w:hAnsi="Times"/>
          <w:sz w:val="24"/>
          <w:szCs w:val="20"/>
          <w:lang w:eastAsia="zh-TW"/>
        </w:rPr>
      </w:pPr>
    </w:p>
    <w:p w:rsidR="0042716F" w:rsidP="0042716F" w14:paraId="07276FFD" w14:textId="77777777">
      <w:pPr>
        <w:rPr>
          <w:rFonts w:ascii="Times" w:eastAsia="PMingLiU" w:hAnsi="Times"/>
          <w:sz w:val="24"/>
          <w:szCs w:val="20"/>
          <w:lang w:eastAsia="zh-TW"/>
        </w:rPr>
      </w:pPr>
    </w:p>
    <w:p w:rsidR="0042716F" w:rsidP="0042716F" w14:paraId="0EFFE2E7" w14:textId="77777777">
      <w:pPr>
        <w:rPr>
          <w:rFonts w:ascii="Times" w:eastAsia="PMingLiU" w:hAnsi="Times"/>
          <w:sz w:val="24"/>
          <w:szCs w:val="20"/>
          <w:lang w:eastAsia="zh-TW"/>
        </w:rPr>
      </w:pPr>
    </w:p>
    <w:p w:rsidR="0042716F" w:rsidP="0042716F" w14:paraId="09B06EEB" w14:textId="77777777">
      <w:pPr>
        <w:rPr>
          <w:rFonts w:ascii="Times" w:eastAsia="PMingLiU" w:hAnsi="Times"/>
          <w:sz w:val="24"/>
          <w:szCs w:val="20"/>
          <w:lang w:eastAsia="zh-TW"/>
        </w:rPr>
      </w:pPr>
    </w:p>
    <w:p w:rsidR="0042716F" w:rsidP="0042716F" w14:paraId="4FB190FB" w14:textId="77777777">
      <w:pPr>
        <w:rPr>
          <w:rFonts w:ascii="黑体" w:eastAsia="黑体" w:hAnsi="黑体" w:cs="黑体"/>
          <w:kern w:val="0"/>
          <w:sz w:val="24"/>
          <w:szCs w:val="20"/>
        </w:rPr>
      </w:pPr>
      <w:r>
        <w:rPr>
          <w:rFonts w:ascii="黑体" w:eastAsia="黑体" w:hAnsi="黑体" w:cs="黑体"/>
          <w:kern w:val="0"/>
          <w:sz w:val="24"/>
          <w:szCs w:val="20"/>
        </w:rPr>
        <w:br/>
      </w:r>
      <w:r>
        <w:rPr>
          <w:rFonts w:ascii="黑体" w:eastAsia="黑体" w:hAnsi="黑体" w:cs="黑体"/>
          <w:kern w:val="0"/>
          <w:sz w:val="24"/>
          <w:szCs w:val="2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https://d.book118.com/096033121000010040</w:t>
        </w:r>
      </w:hyperlink>
    </w:p>
    <w:p w:rsidR="0042716F" w:rsidP="0042716F">
      <w:pPr>
        <w:rPr>
          <w:rFonts w:ascii="黑体" w:eastAsia="黑体" w:hAnsi="黑体" w:cs="黑体"/>
          <w:kern w:val="0"/>
          <w:sz w:val="24"/>
          <w:szCs w:val="20"/>
        </w:rPr>
      </w:pPr>
    </w:p>
    <w:sectPr w:rsidSect="00466A96">
      <w:footerReference w:type="default" r:id="rId7"/>
      <w:type w:val="nextPage"/>
      <w:pgSz w:w="11906" w:h="16838"/>
      <w:pgMar w:top="1701" w:right="1701" w:bottom="1701" w:left="1701" w:header="851" w:footer="992" w:gutter="0"/>
      <w:pgNumType w:start="2"/>
      <w:cols w:space="425"/>
      <w:titlePg w:val="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STZhongsong">
    <w:altName w:val="华文中宋"/>
    <w:charset w:val="86"/>
    <w:family w:val="auto"/>
    <w:pitch w:val="variable"/>
    <w:sig w:usb0="00000287" w:usb1="080F0000" w:usb2="00000010" w:usb3="00000000" w:csb0="0004009F" w:csb1="00000000"/>
  </w:font>
  <w:font w:name="Times">
    <w:altName w:val="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3683093"/>
      <w:docPartObj>
        <w:docPartGallery w:val="Page Numbers (Bottom of Page)"/>
        <w:docPartUnique/>
      </w:docPartObj>
    </w:sdtPr>
    <w:sdtContent>
      <w:p w:rsidR="0042716F" w:rsidP="00466A96" w14:paraId="7244ECD4" w14:textId="77777777">
        <w:pPr>
          <w:pStyle w:val="Footer"/>
          <w:jc w:val="center"/>
        </w:pPr>
        <w:r>
          <w:t>1</w:t>
        </w:r>
      </w:p>
    </w:sdtContent>
  </w:sdt>
  <w:p w:rsidR="0042716F" w14:paraId="593E6E7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20082844"/>
      <w:docPartObj>
        <w:docPartGallery w:val="Page Numbers (Bottom of Page)"/>
        <w:docPartUnique/>
      </w:docPartObj>
    </w:sdtPr>
    <w:sdtContent>
      <w:p w:rsidR="0042716F" w:rsidP="00466A96" w14:textId="77777777">
        <w:pPr>
          <w:pStyle w:val="Footer"/>
          <w:jc w:val="center"/>
        </w:pPr>
        <w:r>
          <w:t>1</w:t>
        </w:r>
      </w:p>
    </w:sdtContent>
  </w:sdt>
  <w:p w:rsidR="0042716F" w14:textId="7777777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6153D5"/>
    <w:multiLevelType w:val="hybridMultilevel"/>
    <w:tmpl w:val="C9FEC80A"/>
    <w:lvl w:ilvl="0">
      <w:start w:val="1"/>
      <w:numFmt w:val="bullet"/>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1">
    <w:nsid w:val="471713FA"/>
    <w:multiLevelType w:val="hybridMultilevel"/>
    <w:tmpl w:val="E4C4D68E"/>
    <w:lvl w:ilvl="0">
      <w:start w:val="1"/>
      <w:numFmt w:val="decimal"/>
      <w:lvlText w:val="%1."/>
      <w:lvlJc w:val="left"/>
      <w:pPr>
        <w:ind w:left="792" w:hanging="360"/>
      </w:pPr>
      <w:rPr>
        <w:rFonts w:hint="default"/>
      </w:rPr>
    </w:lvl>
    <w:lvl w:ilvl="1" w:tentative="1">
      <w:start w:val="1"/>
      <w:numFmt w:val="lowerLetter"/>
      <w:lvlText w:val="%2)"/>
      <w:lvlJc w:val="left"/>
      <w:pPr>
        <w:ind w:left="1272" w:hanging="420"/>
      </w:pPr>
    </w:lvl>
    <w:lvl w:ilvl="2" w:tentative="1">
      <w:start w:val="1"/>
      <w:numFmt w:val="lowerRoman"/>
      <w:lvlText w:val="%3."/>
      <w:lvlJc w:val="right"/>
      <w:pPr>
        <w:ind w:left="1692" w:hanging="420"/>
      </w:pPr>
    </w:lvl>
    <w:lvl w:ilvl="3" w:tentative="1">
      <w:start w:val="1"/>
      <w:numFmt w:val="decimal"/>
      <w:lvlText w:val="%4."/>
      <w:lvlJc w:val="left"/>
      <w:pPr>
        <w:ind w:left="2112" w:hanging="420"/>
      </w:pPr>
    </w:lvl>
    <w:lvl w:ilvl="4" w:tentative="1">
      <w:start w:val="1"/>
      <w:numFmt w:val="lowerLetter"/>
      <w:lvlText w:val="%5)"/>
      <w:lvlJc w:val="left"/>
      <w:pPr>
        <w:ind w:left="2532" w:hanging="420"/>
      </w:pPr>
    </w:lvl>
    <w:lvl w:ilvl="5" w:tentative="1">
      <w:start w:val="1"/>
      <w:numFmt w:val="lowerRoman"/>
      <w:lvlText w:val="%6."/>
      <w:lvlJc w:val="right"/>
      <w:pPr>
        <w:ind w:left="2952" w:hanging="420"/>
      </w:pPr>
    </w:lvl>
    <w:lvl w:ilvl="6" w:tentative="1">
      <w:start w:val="1"/>
      <w:numFmt w:val="decimal"/>
      <w:lvlText w:val="%7."/>
      <w:lvlJc w:val="left"/>
      <w:pPr>
        <w:ind w:left="3372" w:hanging="420"/>
      </w:pPr>
    </w:lvl>
    <w:lvl w:ilvl="7" w:tentative="1">
      <w:start w:val="1"/>
      <w:numFmt w:val="lowerLetter"/>
      <w:lvlText w:val="%8)"/>
      <w:lvlJc w:val="left"/>
      <w:pPr>
        <w:ind w:left="3792" w:hanging="420"/>
      </w:pPr>
    </w:lvl>
    <w:lvl w:ilvl="8" w:tentative="1">
      <w:start w:val="1"/>
      <w:numFmt w:val="lowerRoman"/>
      <w:lvlText w:val="%9."/>
      <w:lvlJc w:val="right"/>
      <w:pPr>
        <w:ind w:left="4212" w:hanging="420"/>
      </w:pPr>
    </w:lvl>
  </w:abstractNum>
  <w:abstractNum w:abstractNumId="2">
    <w:nsid w:val="7EFC51A0"/>
    <w:multiLevelType w:val="hybridMultilevel"/>
    <w:tmpl w:val="914EF96C"/>
    <w:lvl w:ilvl="0">
      <w:start w:val="1"/>
      <w:numFmt w:val="decimal"/>
      <w:lvlText w:val="%1."/>
      <w:lvlJc w:val="left"/>
      <w:pPr>
        <w:ind w:left="780" w:hanging="360"/>
      </w:pPr>
      <w:rPr>
        <w:rFonts w:ascii="Calibri" w:hAnsi="Calibri" w:cs="Times New Roman" w:hint="default"/>
        <w:sz w:val="21"/>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7FC"/>
    <w:rsid w:val="00005D3D"/>
    <w:rsid w:val="00092695"/>
    <w:rsid w:val="000A5842"/>
    <w:rsid w:val="000E65EB"/>
    <w:rsid w:val="000E7243"/>
    <w:rsid w:val="0010556D"/>
    <w:rsid w:val="00116A32"/>
    <w:rsid w:val="00124135"/>
    <w:rsid w:val="00160460"/>
    <w:rsid w:val="0016797A"/>
    <w:rsid w:val="00176BB0"/>
    <w:rsid w:val="001B5D0C"/>
    <w:rsid w:val="0024533F"/>
    <w:rsid w:val="00263136"/>
    <w:rsid w:val="00263FA0"/>
    <w:rsid w:val="00281373"/>
    <w:rsid w:val="00282D0F"/>
    <w:rsid w:val="002C60E4"/>
    <w:rsid w:val="002D2866"/>
    <w:rsid w:val="002F1F5B"/>
    <w:rsid w:val="00366642"/>
    <w:rsid w:val="0039190C"/>
    <w:rsid w:val="003926A3"/>
    <w:rsid w:val="003D0FCA"/>
    <w:rsid w:val="003E03CD"/>
    <w:rsid w:val="0042716F"/>
    <w:rsid w:val="00466A96"/>
    <w:rsid w:val="00480C8C"/>
    <w:rsid w:val="004A6D23"/>
    <w:rsid w:val="004C37A8"/>
    <w:rsid w:val="004D2599"/>
    <w:rsid w:val="004D5565"/>
    <w:rsid w:val="0052157B"/>
    <w:rsid w:val="00527C08"/>
    <w:rsid w:val="00564ED7"/>
    <w:rsid w:val="005A7F55"/>
    <w:rsid w:val="00602513"/>
    <w:rsid w:val="0061115F"/>
    <w:rsid w:val="00612B48"/>
    <w:rsid w:val="0062338F"/>
    <w:rsid w:val="00681C75"/>
    <w:rsid w:val="006B06DF"/>
    <w:rsid w:val="006B42E3"/>
    <w:rsid w:val="006B62C2"/>
    <w:rsid w:val="006F27A0"/>
    <w:rsid w:val="00705841"/>
    <w:rsid w:val="00740D00"/>
    <w:rsid w:val="00766C2E"/>
    <w:rsid w:val="0077187C"/>
    <w:rsid w:val="007A11C6"/>
    <w:rsid w:val="007C626D"/>
    <w:rsid w:val="007D263E"/>
    <w:rsid w:val="00842CA2"/>
    <w:rsid w:val="00843519"/>
    <w:rsid w:val="00846220"/>
    <w:rsid w:val="008D285F"/>
    <w:rsid w:val="009A44F6"/>
    <w:rsid w:val="009B3319"/>
    <w:rsid w:val="009B5B15"/>
    <w:rsid w:val="009C2B63"/>
    <w:rsid w:val="009C47FC"/>
    <w:rsid w:val="009D357D"/>
    <w:rsid w:val="009E0C30"/>
    <w:rsid w:val="009F2E16"/>
    <w:rsid w:val="00A0404C"/>
    <w:rsid w:val="00A10754"/>
    <w:rsid w:val="00A45C29"/>
    <w:rsid w:val="00A5711B"/>
    <w:rsid w:val="00A82B34"/>
    <w:rsid w:val="00A82B4F"/>
    <w:rsid w:val="00AA711B"/>
    <w:rsid w:val="00AD306C"/>
    <w:rsid w:val="00AE7219"/>
    <w:rsid w:val="00AF11E6"/>
    <w:rsid w:val="00B35042"/>
    <w:rsid w:val="00B35A15"/>
    <w:rsid w:val="00C270BA"/>
    <w:rsid w:val="00C4475F"/>
    <w:rsid w:val="00C56F89"/>
    <w:rsid w:val="00CA69E5"/>
    <w:rsid w:val="00CD08DB"/>
    <w:rsid w:val="00CD10EE"/>
    <w:rsid w:val="00D51E81"/>
    <w:rsid w:val="00D91928"/>
    <w:rsid w:val="00DF5F09"/>
    <w:rsid w:val="00E707FE"/>
    <w:rsid w:val="00E749D1"/>
    <w:rsid w:val="00E7643E"/>
    <w:rsid w:val="00E956D1"/>
    <w:rsid w:val="00EB562F"/>
    <w:rsid w:val="00EE1B68"/>
    <w:rsid w:val="00F85D0D"/>
    <w:rsid w:val="00FA45C9"/>
    <w:rsid w:val="00FA65BB"/>
    <w:rsid w:val="00FC0140"/>
    <w:rsid w:val="00FF66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912BE69"/>
  <w15:chartTrackingRefBased/>
  <w15:docId w15:val="{261EEF7C-46A8-4D9B-963D-94D96BBD7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D306C"/>
    <w:pPr>
      <w:widowControl w:val="0"/>
      <w:jc w:val="both"/>
    </w:pPr>
    <w:rPr>
      <w:rFonts w:ascii="Calibri" w:eastAsia="宋体" w:hAnsi="Calibri" w:cs="Times New Roman"/>
    </w:rPr>
  </w:style>
  <w:style w:type="paragraph" w:styleId="Heading1">
    <w:name w:val="heading 1"/>
    <w:basedOn w:val="Normal"/>
    <w:next w:val="Normal"/>
    <w:link w:val="1"/>
    <w:uiPriority w:val="9"/>
    <w:qFormat/>
    <w:rsid w:val="00527C0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51E8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A5711B"/>
    <w:pPr>
      <w:keepNext/>
      <w:keepLines/>
      <w:spacing w:before="260" w:after="260" w:line="416" w:lineRule="auto"/>
      <w:outlineLvl w:val="2"/>
    </w:pPr>
    <w:rPr>
      <w:b/>
      <w:bCs/>
      <w:sz w:val="32"/>
      <w:szCs w:val="32"/>
    </w:rPr>
  </w:style>
  <w:style w:type="paragraph" w:styleId="Heading4">
    <w:name w:val="heading 4"/>
    <w:basedOn w:val="Normal"/>
    <w:next w:val="Normal"/>
    <w:link w:val="4"/>
    <w:uiPriority w:val="9"/>
    <w:unhideWhenUsed/>
    <w:qFormat/>
    <w:rsid w:val="0077187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
    <w:uiPriority w:val="99"/>
    <w:semiHidden/>
    <w:unhideWhenUsed/>
    <w:rsid w:val="005215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
    <w:name w:val="HTML 预设格式 字符"/>
    <w:basedOn w:val="DefaultParagraphFont"/>
    <w:link w:val="HTMLPreformatted"/>
    <w:uiPriority w:val="99"/>
    <w:semiHidden/>
    <w:rsid w:val="0052157B"/>
    <w:rPr>
      <w:rFonts w:ascii="宋体" w:eastAsia="宋体" w:hAnsi="宋体" w:cs="宋体"/>
      <w:kern w:val="0"/>
      <w:sz w:val="24"/>
      <w:szCs w:val="24"/>
    </w:rPr>
  </w:style>
  <w:style w:type="paragraph" w:styleId="Caption">
    <w:name w:val="caption"/>
    <w:basedOn w:val="Normal"/>
    <w:next w:val="Normal"/>
    <w:uiPriority w:val="35"/>
    <w:unhideWhenUsed/>
    <w:qFormat/>
    <w:rsid w:val="0052157B"/>
    <w:rPr>
      <w:rFonts w:eastAsia="黑体" w:asciiTheme="majorHAnsi" w:hAnsiTheme="majorHAnsi" w:cstheme="majorBidi"/>
      <w:sz w:val="20"/>
      <w:szCs w:val="20"/>
    </w:rPr>
  </w:style>
  <w:style w:type="character" w:customStyle="1" w:styleId="1">
    <w:name w:val="标题 1 字符"/>
    <w:basedOn w:val="DefaultParagraphFont"/>
    <w:link w:val="Heading1"/>
    <w:uiPriority w:val="9"/>
    <w:rsid w:val="00527C08"/>
    <w:rPr>
      <w:rFonts w:ascii="Calibri" w:eastAsia="宋体" w:hAnsi="Calibri" w:cs="Times New Roman"/>
      <w:b/>
      <w:bCs/>
      <w:kern w:val="44"/>
      <w:sz w:val="44"/>
      <w:szCs w:val="44"/>
    </w:rPr>
  </w:style>
  <w:style w:type="paragraph" w:styleId="TOCHeading">
    <w:name w:val="TOC Heading"/>
    <w:basedOn w:val="Heading1"/>
    <w:next w:val="Normal"/>
    <w:uiPriority w:val="39"/>
    <w:unhideWhenUsed/>
    <w:qFormat/>
    <w:rsid w:val="00527C08"/>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Header">
    <w:name w:val="header"/>
    <w:basedOn w:val="Normal"/>
    <w:link w:val="a"/>
    <w:uiPriority w:val="99"/>
    <w:unhideWhenUsed/>
    <w:rsid w:val="00527C0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27C08"/>
    <w:rPr>
      <w:rFonts w:ascii="Calibri" w:eastAsia="宋体" w:hAnsi="Calibri" w:cs="Times New Roman"/>
      <w:sz w:val="18"/>
      <w:szCs w:val="18"/>
    </w:rPr>
  </w:style>
  <w:style w:type="paragraph" w:styleId="Footer">
    <w:name w:val="footer"/>
    <w:basedOn w:val="Normal"/>
    <w:link w:val="a0"/>
    <w:uiPriority w:val="99"/>
    <w:unhideWhenUsed/>
    <w:rsid w:val="00527C0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27C08"/>
    <w:rPr>
      <w:rFonts w:ascii="Calibri" w:eastAsia="宋体" w:hAnsi="Calibri" w:cs="Times New Roman"/>
      <w:sz w:val="18"/>
      <w:szCs w:val="18"/>
    </w:rPr>
  </w:style>
  <w:style w:type="paragraph" w:styleId="TOC1">
    <w:name w:val="toc 1"/>
    <w:basedOn w:val="Normal"/>
    <w:next w:val="Normal"/>
    <w:autoRedefine/>
    <w:uiPriority w:val="39"/>
    <w:unhideWhenUsed/>
    <w:rsid w:val="00527C08"/>
  </w:style>
  <w:style w:type="character" w:styleId="Hyperlink">
    <w:name w:val="Hyperlink"/>
    <w:basedOn w:val="DefaultParagraphFont"/>
    <w:uiPriority w:val="99"/>
    <w:unhideWhenUsed/>
    <w:rsid w:val="00527C08"/>
    <w:rPr>
      <w:color w:val="0563C1" w:themeColor="hyperlink"/>
      <w:u w:val="single"/>
    </w:rPr>
  </w:style>
  <w:style w:type="character" w:customStyle="1" w:styleId="2">
    <w:name w:val="标题 2 字符"/>
    <w:basedOn w:val="DefaultParagraphFont"/>
    <w:link w:val="Heading2"/>
    <w:uiPriority w:val="9"/>
    <w:rsid w:val="00D51E8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A5711B"/>
    <w:rPr>
      <w:rFonts w:ascii="Calibri" w:eastAsia="宋体" w:hAnsi="Calibri" w:cs="Times New Roman"/>
      <w:b/>
      <w:bCs/>
      <w:sz w:val="32"/>
      <w:szCs w:val="32"/>
    </w:rPr>
  </w:style>
  <w:style w:type="character" w:customStyle="1" w:styleId="4">
    <w:name w:val="标题 4 字符"/>
    <w:basedOn w:val="DefaultParagraphFont"/>
    <w:link w:val="Heading4"/>
    <w:uiPriority w:val="9"/>
    <w:rsid w:val="0077187C"/>
    <w:rPr>
      <w:rFonts w:asciiTheme="majorHAnsi" w:eastAsiaTheme="majorEastAsia" w:hAnsiTheme="majorHAnsi" w:cstheme="majorBidi"/>
      <w:b/>
      <w:bCs/>
      <w:sz w:val="28"/>
      <w:szCs w:val="28"/>
    </w:rPr>
  </w:style>
  <w:style w:type="paragraph" w:styleId="ListParagraph">
    <w:name w:val="List Paragraph"/>
    <w:basedOn w:val="Normal"/>
    <w:uiPriority w:val="34"/>
    <w:qFormat/>
    <w:rsid w:val="0077187C"/>
    <w:pPr>
      <w:ind w:firstLine="420" w:firstLineChars="200"/>
    </w:pPr>
  </w:style>
  <w:style w:type="paragraph" w:styleId="TOC2">
    <w:name w:val="toc 2"/>
    <w:basedOn w:val="Normal"/>
    <w:next w:val="Normal"/>
    <w:autoRedefine/>
    <w:uiPriority w:val="39"/>
    <w:unhideWhenUsed/>
    <w:rsid w:val="009B3319"/>
    <w:pPr>
      <w:tabs>
        <w:tab w:val="right" w:leader="dot" w:pos="8296"/>
      </w:tabs>
      <w:ind w:left="420" w:leftChars="200"/>
    </w:pPr>
    <w:rPr>
      <w:rFonts w:ascii="宋体" w:hAnsi="宋体" w:cs="黑体"/>
      <w:b/>
      <w:bCs/>
      <w:noProof/>
      <w:sz w:val="24"/>
      <w:szCs w:val="24"/>
    </w:rPr>
  </w:style>
  <w:style w:type="paragraph" w:styleId="TOC3">
    <w:name w:val="toc 3"/>
    <w:basedOn w:val="Normal"/>
    <w:next w:val="Normal"/>
    <w:autoRedefine/>
    <w:uiPriority w:val="39"/>
    <w:unhideWhenUsed/>
    <w:rsid w:val="009F2E16"/>
    <w:pPr>
      <w:ind w:left="840" w:leftChars="400"/>
    </w:pPr>
  </w:style>
  <w:style w:type="table" w:styleId="TableGrid">
    <w:name w:val="Table Grid"/>
    <w:basedOn w:val="TableNormal"/>
    <w:uiPriority w:val="39"/>
    <w:rsid w:val="00CD08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6Colorful">
    <w:name w:val="List Table 6 Colorful"/>
    <w:aliases w:val="表1：对数价格的单位根检验"/>
    <w:basedOn w:val="TableNormal"/>
    <w:uiPriority w:val="51"/>
    <w:rsid w:val="00CD08DB"/>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CD08DB"/>
    <w:rPr>
      <w:sz w:val="21"/>
      <w:szCs w:val="21"/>
    </w:rPr>
  </w:style>
  <w:style w:type="paragraph" w:styleId="CommentText">
    <w:name w:val="annotation text"/>
    <w:basedOn w:val="Normal"/>
    <w:link w:val="a1"/>
    <w:uiPriority w:val="99"/>
    <w:semiHidden/>
    <w:unhideWhenUsed/>
    <w:rsid w:val="00CD08DB"/>
    <w:pPr>
      <w:jc w:val="left"/>
    </w:pPr>
  </w:style>
  <w:style w:type="character" w:customStyle="1" w:styleId="a1">
    <w:name w:val="批注文字 字符"/>
    <w:basedOn w:val="DefaultParagraphFont"/>
    <w:link w:val="CommentText"/>
    <w:uiPriority w:val="99"/>
    <w:semiHidden/>
    <w:rsid w:val="00CD08DB"/>
    <w:rPr>
      <w:rFonts w:ascii="Calibri" w:eastAsia="宋体" w:hAnsi="Calibri" w:cs="Times New Roman"/>
    </w:rPr>
  </w:style>
  <w:style w:type="paragraph" w:styleId="CommentSubject">
    <w:name w:val="annotation subject"/>
    <w:basedOn w:val="CommentText"/>
    <w:next w:val="CommentText"/>
    <w:link w:val="a2"/>
    <w:uiPriority w:val="99"/>
    <w:semiHidden/>
    <w:unhideWhenUsed/>
    <w:rsid w:val="00CD08DB"/>
    <w:rPr>
      <w:b/>
      <w:bCs/>
    </w:rPr>
  </w:style>
  <w:style w:type="character" w:customStyle="1" w:styleId="a2">
    <w:name w:val="批注主题 字符"/>
    <w:basedOn w:val="a1"/>
    <w:link w:val="CommentSubject"/>
    <w:uiPriority w:val="99"/>
    <w:semiHidden/>
    <w:rsid w:val="00CD08DB"/>
    <w:rPr>
      <w:rFonts w:ascii="Calibri" w:eastAsia="宋体" w:hAnsi="Calibri" w:cs="Times New Roman"/>
      <w:b/>
      <w:bCs/>
    </w:rPr>
  </w:style>
  <w:style w:type="paragraph" w:styleId="BalloonText">
    <w:name w:val="Balloon Text"/>
    <w:basedOn w:val="Normal"/>
    <w:link w:val="a3"/>
    <w:uiPriority w:val="99"/>
    <w:semiHidden/>
    <w:unhideWhenUsed/>
    <w:rsid w:val="00CD08DB"/>
    <w:rPr>
      <w:sz w:val="18"/>
      <w:szCs w:val="18"/>
    </w:rPr>
  </w:style>
  <w:style w:type="character" w:customStyle="1" w:styleId="a3">
    <w:name w:val="批注框文本 字符"/>
    <w:basedOn w:val="DefaultParagraphFont"/>
    <w:link w:val="BalloonText"/>
    <w:uiPriority w:val="99"/>
    <w:semiHidden/>
    <w:rsid w:val="00CD08DB"/>
    <w:rPr>
      <w:rFonts w:ascii="Calibri" w:eastAsia="宋体" w:hAnsi="Calibri" w:cs="Times New Roman"/>
      <w:sz w:val="18"/>
      <w:szCs w:val="18"/>
    </w:rPr>
  </w:style>
  <w:style w:type="character" w:styleId="UnresolvedMention">
    <w:name w:val="Unresolved Mention"/>
    <w:basedOn w:val="DefaultParagraphFont"/>
    <w:uiPriority w:val="99"/>
    <w:semiHidden/>
    <w:unhideWhenUsed/>
    <w:rsid w:val="007A11C6"/>
    <w:rPr>
      <w:color w:val="605E5C"/>
      <w:shd w:val="clear" w:color="auto" w:fill="E1DFDD"/>
    </w:rPr>
  </w:style>
  <w:style w:type="paragraph" w:styleId="NormalWeb">
    <w:name w:val="Normal (Web)"/>
    <w:basedOn w:val="Normal"/>
    <w:uiPriority w:val="99"/>
    <w:semiHidden/>
    <w:unhideWhenUsed/>
    <w:rsid w:val="0042716F"/>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096033121000010040"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Relationships xmlns="http://schemas.openxmlformats.org/package/2006/relationships"><Relationship Id="rId1" Type="http://schemas.microsoft.com/office/2011/relationships/webextension" Target="webextension1.xml" /></Relationships>
</file>

<file path=word/webextensions/taskpanes.xml><?xml version="1.0" encoding="utf-8"?>
<wetp:taskpanes xmlns:wetp="http://schemas.microsoft.com/office/webextensions/taskpanes/2010/11">
  <wetp:taskpane dockstate="right" visibility="0" width="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BD9B5CC-CAF9-487B-9AAF-C014B2D2DD40}">
  <we:reference id="wa104381909" version="1.0.0.2" store="zh-CN" storeType="omex"/>
  <we:alternateReferences>
    <we:reference id="wa104381909" version="1.0.0.2" store="WA104381909" storeType="omex"/>
  </we:alternateReferences>
  <we:properties/>
  <we:bindings/>
  <we:snapshot xmlns:r="http://schemas.openxmlformats.org/officeDocument/2006/relationships"/>
</we:webextension>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04E269-D7F1-4AF8-AF62-BC5CD6181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2243</Words>
  <Characters>12791</Characters>
  <Application>Microsoft Office Word</Application>
  <DocSecurity>0</DocSecurity>
  <Lines>106</Lines>
  <Paragraphs>30</Paragraphs>
  <ScaleCrop>false</ScaleCrop>
  <Company/>
  <LinksUpToDate>false</LinksUpToDate>
  <CharactersWithSpaces>15004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 He</dc:creator>
  <cp:lastModifiedBy>Q He</cp:lastModifiedBy>
  <cp:revision>5</cp:revision>
  <dcterms:created xsi:type="dcterms:W3CDTF">2020-03-28T16:37:00Z</dcterms:created>
  <dcterms:modified xsi:type="dcterms:W3CDTF">2020-04-01T13:57:00Z</dcterms:modified>
</cp:coreProperties>
</file>