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滋补类药品行业相关公司筹备报告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_Toc26388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_Toc28792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_Toc15570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_Toc13389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(七)、滋补类药品项目建设必要性分析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(一)、滋补类药品项目选址原则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_Toc12536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(五)、滋补类药品项目选址综合评价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(一)、滋补类药品项目进度安排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6" w:history="1">
        <w:r>
          <w:rPr>
            <w:rFonts w:ascii="仿宋" w:eastAsia="仿宋" w:hAnsi="仿宋" w:cs="仿宋" w:hint="eastAsia"/>
            <w:lang w:eastAsia="zh-CN"/>
          </w:rPr>
          <w:t>(二)、滋补类药品项目实施保障措施</w:t>
        </w:r>
        <w:r>
          <w:tab/>
        </w:r>
        <w:r>
          <w:fldChar w:fldCharType="begin"/>
        </w:r>
        <w:r>
          <w:instrText xml:space="preserve"> PAGEREF _Toc31676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_Toc24355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_Toc23455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_Toc18370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_Toc29231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(一)、滋补类药品项目背景分析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(二)、滋补类药品项目建设必要性分析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_Toc15363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(一)、社会责任滋补类药品项目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_Toc21866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4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8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https://d.book118.com/096105204021010041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滋补类药品行业相关公司筹备报告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滋补类药品行业相关公司筹备报告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滋补类药品行业相关公司筹备报告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滋补类药品行业相关公司筹备报告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滋补类药品行业相关公司筹备报告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6105204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2024-01-01T15:38:00Z</dcterms:created>
  <dcterms:modified xsi:type="dcterms:W3CDTF">2024-01-01T15:38:29Z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F864D0CB6E8C4B71ABAC3AF971F8237E_11</vt:lpwstr>
  </property>
  <property fmtid="{D5CDD505-2E9C-101B-9397-08002B2CF9AE}" pid="3" name="KSOProductBuildVer">
    <vt:lpwstr>2052-12.1.0.16120</vt:lpwstr>
  </property>
</Properties>
</file>