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lang w:eastAsia="zh-CN"/>
        </w:rPr>
      </w:pPr>
      <w:bookmarkStart w:id="0" w:name="_GoBack"/>
      <w:bookmarkEnd w:id="0"/>
      <w:r>
        <w:rPr>
          <w:rFonts w:ascii="宋体" w:eastAsia="宋体" w:hAnsi="宋体" w:cs="宋体" w:hint="eastAsia"/>
          <w:outline w:val="0"/>
          <w:shadow w:val="0"/>
          <w:emboss w:val="0"/>
          <w:imprint w:val="0"/>
          <w:vanish w:val="0"/>
          <w:w w:val="100"/>
          <w:sz w:val="28"/>
          <w:szCs w:val="28"/>
          <w:u w:val="none"/>
          <w:lang w:eastAsia="zh-CN"/>
        </w:rPr>
        <w:t>银行柜员考试：建行柜员合规考试考试题四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1、单选 用人单位应当在劳动合同期满前（）向员工发出《劳动合同到期提示函》。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C.15天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D.20天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E.30天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2、多选 “借贷通”POS</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机的消费顺序包括（）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A.优先使用存款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B.优先使用贷款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C.只使用存款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D.只使用贷款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3、多选 客户可以从下列哪些整存整取储蓄存款的种类中选择储种？（）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A.六个月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B.三年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C.五年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D.六年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4、单选 工作中接外线电话时，应说（）.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A.“您好，中国建设银行”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B.“您好，xxx部门”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C.“您好，我是xxx”</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D.“您好，建行”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E.“您好，中国建设银行xxx行”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5、单选 以特定优质客户准入，下列哪种情况（）我行员工不可以办理我行汽车分期、安居分期业务.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A.在我行工作时间≥3年的劳务派遣员工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B.月代发工资≥3000元的劳务派遣员工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C.我行无违规记录、非试用期内的正式员工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D.试用期内的我行正式员工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6、多选 根据不相容岗位管理要求，业务参数检核、维护过程中，下列岗位不相容的有（）。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pgSz w:w="11906" w:h="16838"/>
          <w:pgMar w:top="1440" w:right="1080" w:bottom="1440" w:left="1080" w:header="851" w:footer="992" w:gutter="0"/>
          <w:cols w:num="1" w:space="425"/>
          <w:docGrid w:type="lines" w:linePitch="312" w:charSpace="0"/>
        </w:sectPr>
      </w:pPr>
      <w:r>
        <w:rPr>
          <w:rFonts w:ascii="宋体" w:eastAsia="宋体" w:hAnsi="宋体" w:cs="宋体" w:hint="eastAsia"/>
          <w:outline w:val="0"/>
          <w:shadow w:val="0"/>
          <w:emboss w:val="0"/>
          <w:imprint w:val="0"/>
          <w:vanish w:val="0"/>
          <w:w w:val="100"/>
          <w:sz w:val="28"/>
          <w:szCs w:val="28"/>
          <w:u w:val="none"/>
        </w:rPr>
        <w:t>A.检核岗与复核岗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B.维护岗与检核岗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C.维护岗与维护复核岗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D.检核岗和审批岗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E.审批岗和维护岗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7、单选 “金库出入证”由总行统一设计，各行自行制作，由使用人妥善保管，工作变动时“金库出入证”（）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A.使用人自行销毁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B.立即收回注销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C.10日内收回</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D.30日内收回</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8、多选 以下理财卡说法中，（）是正确的。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A.客户理财卡内美元账户无存款情况下，客户在美国通过VISA/MasterCard网络用卡，需支付购汇手续费。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B.客户理财卡内欧元账户有足额存款情况下，客户在欧元区国家通过VISA/MasterCard网络用卡，仍需支付欧元兑美元购汇手续费。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C.龙卡通境内、境外（含港澳地区）通过中国银联网络进行的交易，其人民币活期账户为基本账户，以人民币结算。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D.VISA、MasterCard龙卡通通过国际组织的专用网络进行的境外交易，其美元活期账户为基本账户，以美元结算。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9、单选 华山路合规文化管理体系被河南省分行评为“流程创新特等奖”，（）专门发文在全省银行业全面推广。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A.省银行业协会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B.河南省银监局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C.省人民银行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D.省金融办</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E.审计署河南办事处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10、多选 目前，我行特惠商户为龙卡信用卡持卡人提供（）等多种形式的特惠服务。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A.全单折扣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B.部分折扣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C.积分抵扣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D.服务赠送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E.实物赠送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2"/>
          <w:cols w:num="1" w:space="425"/>
          <w:titlePg w:val="0"/>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11、多选 按照稽核、监测问题性质的严重程度，将违规类问题与潜在损失事件或事故进一步划分为（）。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A.规范性问题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B.一般违规问题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C.重大违规问题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D.疑似案件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12、多选 集中维护自助设备根据工作需要，主要设置（）等工作岗位。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A.解款及维护岗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B.现金调拨岗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C.配款及整点岗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D.管库岗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E.综合调度岗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13、单选 我行造价咨询条线现有（）三十多人。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A.注册会计师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B.注册监理工程师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C.注册造价工程师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D.注册建造工程师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14、多选 稽核、监测作业中采集的生产数据资料、文档资料应（）。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A.严格执行有关保密规定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B.不得随意泄露</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C.确保我行客户信息安全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D.可以随意传播</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15、多选 离行式自助设备集中维护业务范围包括（）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A.对自助设备的钞箱状态、交易情况、运行状态进行监控。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B.对自助设备清机加钞及简单故障处理；更换自助设备的客户凭条、流水纸带、打印色带。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C.根据监控及客户反映的吞卡情况，处理自助设备吞卡、返卡。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D.处理自助设备业务差错（包括跨行交易）的错账，以及错账引起的投诉。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E.自助设备定期巡检。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16、单选 对贸易融资业务一般来说首先应审核的内容是（）。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A.申请人资信情况</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B.贸易背景真实性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3"/>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C.业务担保人的担保实力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D.是否有保证金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E.以上都不是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17、多选 在私募财务顾问业务中，我行提供的服务主要包括（）等。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A.项目尽职调查与审核</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B.私募投融资方案设计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C.私募投融资客户搜寻对接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D.项目投融资方案设计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18、单选 授信额度内中长期信贷业务审批权是指，在已审批通过的客户授信额度内，对（）（不含）以上单笔（或单个项目）信贷业务信用风险敞口的审批权。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A.1年期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B.2年期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C.半年期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D.3年期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E.5年期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19、多选 单位对账应遵循的原则包括（）。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A.本币存款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B.外币存款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C.本币贷款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D.外币贷款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20、多选 下述哪些业务可跨二级分行办理？（）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A.密码挂失及重置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B.书面挂失</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C.理财卡到期换卡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D.初始密码修改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21、多选 衍生产品交易对手风险包括（）。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A.信用风险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B.操作风险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C.结算风险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D.组合风险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E.结算前风险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4"/>
          <w:cols w:num="1" w:space="425"/>
          <w:titlePg w:val="0"/>
          <w:docGrid w:type="lines" w:linePitch="312" w:charSpace="0"/>
        </w:sectPr>
      </w:pP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22、单选 额度授信方案要素中，授信条件一般由额度授信的前提条件和（）组成。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A.担保条件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B.补充条件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C.持续条件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D.处置条件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23、多选 以下关于集中维护自助设备岗位设置表述正确的是（）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A.现金调拨岗与解款及维护岗、配款及整点岗不兼容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B.现金调拨岗与解款及维护岗、配款及整点岗兼容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C.配款及整点岗与解款及维护岗不兼容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D.配款及整点岗与解款及维护岗兼容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24、单选 冠军足球卡“梦想今日成真”权益需要持卡人当年单笔有效刷卡消费达（）元才可参与。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A.188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B.288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C.388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D.588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E.888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25、单选 整点人员发现假币，按相关规定进行收缴，并视同（）处理。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A.短款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B.长款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C.结账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D.不处理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26、单选 建设银行开展跨境人民币结算业务代理行网络遍布（）。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A.全国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B.亚洲地区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C.亚洲、美洲和欧洲</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D.全球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27、单选 员工在工作生活中，（）.</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A.不分人员情况，多方结交朋友。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B.为了业务和个人发展，朋友越多越好。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C.谨慎交友，不与可能影响廉洁从业的人员接触和交往。</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5"/>
          <w:cols w:num="1" w:space="425"/>
          <w:titlePg w:val="0"/>
          <w:docGrid w:type="lines" w:linePitch="312" w:charSpace="0"/>
        </w:sectPr>
      </w:pP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28、单选 稽核与柜面监测业务管理办法规定：对于需要从制度、流程、系统等方面整改的问题，由各级（）采取相应的业务管理措施进行整改。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A.业务主管部门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B.营运管理部门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C.信息技术部门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D.风险管理部门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29、多选 停止使用的（）由一级分行组织销毁，其他重要空白凭证由二级分（支）行组织销毁，并报一级分行备案。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A.银行汇票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B.商业汇票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C.特种存单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D.银行卡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30、多选 一般申请人申请龙卡贷记卡个人卡主卡时需提供以下资料（）。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A.申请表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B.户口簿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C.本人有效身份证件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D.财力、居住证明文件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E.结婚证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31、单选 营运稽核系统重大违规问题及案件须在发布问题后的（）个工作日内反馈。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D.4</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32、单选 项目评估是指建设银行对借款人申请使用贷款的（）项目，从项目建设的必要性与合规性、技术的先进合理性、项目财务效益、项目发展趋势、贷款潜在风险、银行风险回报等方面进行全面系统的分析论证，为合理运用信贷资源和贷款决策提供方案、建议的工作过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A.固定资产贷款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B.流动资金贷款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C.固定资产和流动资金贷款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33、单选 以下关于我国开放式基金赎回的说法中，不正确的是（）。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A.采取份额赎回的方式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6"/>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B.采取未知价法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C.赎回申请的办理开放日为证券交易所交易日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D.必须以金额赎回方式进行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34、单选 工程造价咨询业务是指运用（）的专业技能，为工程计价和工程造价管理提供的有偿服务。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A.财会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C.法律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D.造价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35、多选 历史RAROC是根据客户历史实际利润贡献和资本占用等数据计算出来的，主要应用于（）。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A.风险定价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B.绩效考核</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C.客户评级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D.管理评价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E.授信方案设计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36、多选 对公账户睡眠转正常业务中，需要报核算中心进行处理的，前台网点应进行业务处理的步骤包括（）。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A.填制调账申请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B.在CCBS系统中进行睡眠转正常申请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C.按照CCBS系统生成的申请单进行审批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D.根据审批单进行睡眠转正常处理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E.向核算中心反馈处理结果</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37、单选 在通过风险识别确定风险性质的基础上，对影响目标实现的潜在事项出现的可能性和影响程度进行评估和计量的过程是风险管理流程中的（）。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A.风险监测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B.风险报告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C.风险评估与计量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D.风险识别</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E.风险控制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38、单选 直驻B2B商户入驻资质条件中，我行存量什么客户可直接入驻（）.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A.信贷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B.储蓄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7"/>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C.对公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D.电子银行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39、多选 营业机构受理账户开立、变更、撤销等业务，对客户提交账户资料的（）进行审核。</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A.真实性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B.一致性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C.完整性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D.合规性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E.有效性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40、单选 整点间实行（）管理，进入整点区，所有工作人员一律着无袋工作服，佩戴证件。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A.开放式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B.封闭式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C.军事化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D.标准化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41、单选 为客户提供境内外股票公开发行、上市和再融资等资本市场业务提供财务顾问服务的是（）.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A.IPO及再融资财务顾问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B.借壳上市财务顾问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C.增持财务顾问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D.定向增发财务顾问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42、多选 网点负责人遇有媒体采访，要（）。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A.向上报告和请示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B.做好事前准备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C.事中记录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D.自行处理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E.事后备案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43、单选 对于没有配发公章的内设部门，确因对外工作需要加盖公章时，应以（）公章代替。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A.业务用公章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B.合同专用章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C.本级行行章或办公室公章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D.签字或个人名章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8"/>
          <w:cols w:num="1" w:space="425"/>
          <w:titlePg w:val="0"/>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44、单选 个人消费贷款普通贷款对于特定优质客户群体，最高贷款金额为（）.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A.100万元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B.150万元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C.200万元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D.300万元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45、多选 单位通知存款按支取日挂牌利率和实际存期计息，利随本清。如遇以下情况，按活期利率计息（）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A.实际存期不足通知期限的，按支取日活期存款利率计息，其中一天通知存款的通知期限为一天，七天通知存款的通知期限为七天；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B.未提前通知而支取的，支取部分按活期存款利率计息，计息期间为通知存款的起存日至支取日；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C.已办理通知手续而提前支取或逾期支取的，支取部分按活期存款利率计息，计息期间为通知存款的起存日至支取日；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D.自动转存单位通知存款在转存期内提前支取时，自最近一次转存日起，支取部分按活期存款利率计息。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46、多选 有追索权保理业务的特点是（）。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A.卖方企业向银行转让应收账款，取得货币资金后可增加现金流，加速资金周转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B.银行分担企业的应收账款管理和催收工作</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C.卖方企业不承担因赊销带来的收账风险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D.如银行到期未收到买方付款，则由卖方按约定无条件回购该应收账款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47、多选 客户咨询、办理业务，员工应当（）。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A.诚恳热情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B.尊重客户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C.文明礼貌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D.积极主动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48、多选 《中国建设银行股份有限公司员工合规手册》依循的法律法规包括但不限于以下内容法律法规是什么？（）。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A.《中国人民银行法》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B.《商业银行法》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C.《银行业监督管理法》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D.《证券法》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9"/>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E.《商业银行合规风险管理指引》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49、多选 企业客户签约我行电话银行需要提供哪些资料？（）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A.组织机构代码证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B.营业执照副本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C.预留印鉴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D.经办人员有效身份证件（原件及复印件）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50、多选 我行贵金属双向交易的时间为周一早上（）至周六凌晨（）。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A.7：00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B.8：00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C.4：00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51、多选 存在未结清汽车贷款的客户原则上不予办理购车分期，符合以下情形之一的除外（）。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A.汽车贷款已正常还款一年及以上，且无逾期记录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B.汽车贷款已正常还款半年及以上，且无逾期记录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C.已偿还车贷金额的60%及以上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D.已偿还车贷金额的80%及以上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52、单选 与收单银行签订协议，受理银行卡交易，由收单银行为其提供资金清算服务并收取一定结算手续费的商户是（）。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A.特惠商户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B.银联卡商户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C.特约商户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D.分期商户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53、单选 以下哪个不是合规性审查的内容（）。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A.申报流程时效性审查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B.申报事项政策制度遵循性审查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C.申报材料要件齐全性审查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D.申报材料内容完备性审查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54、多选 对公授信业务风险监测系统（CRMS系统）风险提示事项形式包括（）。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A.风险报警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B.风险提示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0"/>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C.客户预警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D.核查处置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E.组合风险预警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55、单选 直驻B2B商户入驻资质条件中，我行存量评级客户，且系统评级在什么级别（）.</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A.BBB级（含）以上的（小企业a-级）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B.BB级（含）以上的（小企业a-级）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C.AAA级（含）以上的（小企业a-级）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D.AA级（含）以上的（小企业a-级）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56、单选 个人黄金质押贷款期限最长为（）年.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57、单选 申请安居分期业务专用额度不超过（）万元.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A.20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C.40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58、多选 对公授信业务风险监测系统（CRMS系统）中风险提示事项的处置流程包括（）。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A.风险报警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B.通知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C.核查处置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D.风险提示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E.确认解除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C,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59、多选 对公信贷客户的受理人员收到客户申请材料后，应对材料的（）进行初步审查。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A.完整性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B.合法性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C.规范性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D.真实性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E.有效性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11"/>
          <w:cols w:num="1" w:space="425"/>
          <w:titlePg w:val="0"/>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60、多选 我行能够办理常年财务顾问业务的客户包括（）。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A.具有独立法人资格的企业单位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B.具有独立法人资格的事业单位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C.政府部门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D.经独立法人授权的分支机构、部门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61、单选 对于申请机构和审定机构为同一机构，或审定机构和维护机构为同一机构的参数变更申请，可由（）直接报送参数维护机构。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A.申请机构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B.审定机构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C.维护机构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D.审核机构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E.审定或维护机构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62、单选 我行为持卡人提供一定期限内的对账单免费补寄服务，持卡人申请补寄最近（）个月内的对账单免费。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B.6</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C.9</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E.18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63、多选 自助设备下箱体钥匙、密码须（）。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A.单人分管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B.双人分管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C.单人封包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D.双人封包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64、多选 查询权限的执法机关、单位包括（）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A.法院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B.检察院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C.公安机关</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D.军队保卫部门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65、单选 以下不属于前台受理审核事项的是（）。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A.凭证是否真实、票面是否整洁，有无复印、涂改、挖补、剪裁、暗记等变造痕迹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2"/>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B.凭证票面要素及附件是否完整、无遗漏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C.凭证背书是否正确、连续，背书粘单是否规范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D.支付密码校验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66、单选 电话银行结算费是多少？（）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A.异地按交易金额的1%，最低2元，最高25元收费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B.同城按0.1%收取，允许减免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C.异地按交易金额的0.25%，最低2元，最高25元收费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D.异地按交易金额的0.5%，最低2元，最高25元收费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67、多选 固定资产贷款支用的原则是（）。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A.可随意支用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B.按合同约定用途和计划用款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C.与项目建设资金同比例支用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D.可转为资本金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68、单选 系统内代理签发行确认打印跨机构签发的汇票时，代理签发行柜员选择“交易打印”中的（）功能，打印银行汇票。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A.单证打印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B.交换打印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C.出票重打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D.跨机构出票打印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69、多选 以下哪种证明（）属于申请贷记卡的有效收入证明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A.最近连续三个月的公积金缴纳凭据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B.最近连续三个月的个人所得税交缴凭据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C.最近连续三个月的工资单或银行代发工资对账单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D.最近连续三个月的物业管理费缴费清单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E.房产证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70、单选 柜面业务集中处理时，COS_T系统的预警处理人员为（）。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A.普通柜员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B.主管人员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C.综合柜员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71、单选 预计负债分为（）、诉讼仲裁类预计负债和其他类预计负债.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A.表外信用风险类预计负债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B.应收款项预计负债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3"/>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C.表内预计负债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D.案件预计负债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E.银行承兑汇票预计负债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72、单选 E动终端操作员密码过期在ECTIP后台重置后，初始密码是多少（） .</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A.666666</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B.888888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C.操作员身份证号去掉最后一位向前取6位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D.以上都不对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73、单选 账户余额在（）万元以上的对公账户存款种类调整，需要上报核算中心处理。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C.50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E.100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74、单选 E动终端是在原有（）基础上，为完善风险防范手段研发的，利用无线通讯技术，为客户办理移动签约业务的专用设备.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A.善融商务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B.个人网银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C.企业网银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D.移动POS签约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75、单选 现行的证券系统异常调账业务处理中，在二级分行层面负责审批的业务部门是（）。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A.财会部门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B.个人金融部门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C.营运管理部门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D.房金部门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E.公司业务部门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76、单选 养颐四方福利计划的计划发起人是（）。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A.企、事业单位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B.建设银行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C.投资管理机构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4"/>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D.资金托管机构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77、多选 单位委托贷款业务中的借款人可以是（）。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A.企业单位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B.事业单位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C.个体工商户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D.自然人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78、单选 理财产品销售完毕，客户协议（银行联）和（），由我行留存，随当日传票上缴。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A.产品说明书（原件）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B.产品说明书（复印件）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C.风险揭示书（原件）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D.风险揭示书（复印件）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79、单选 公司类信贷资产的风险分类中，低风险信贷业务直接分类为（）。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A.正常一级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B.正常二级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C.正常三级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D.正常四级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E.关注一级</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80、单选 建设银行河南省分行是（）年经国家建设部批准的甲级造价咨询单位。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A.1997</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B.1998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C.1999</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D.2000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81、单选 办理对公信贷业务时，按照与客户谈判的条款及授信方案，客户经理按我行要求填写合同文本的时间是（）。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A.信贷调查前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B.信贷申报后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C.信贷业务审批后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D.贷款发放后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82、单选 对公结售汇是指我行接受对公客户委托，为其办理（）同外币之间转换的业务。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5"/>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A.外币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B.人民币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83、单选 个人住房贷款期限在（）的，遇法定利率调整，于下年1月1日开始，按相应利率档次执行新的利率。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A.1年以上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B.1年以内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C.2年以上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D.2年以内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84、多选 下列属于民本通达品牌的是（）。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A.教育</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B.医疗</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C.社保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D.环保</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85、多选 预计负债是指与或有事项相关的义务在同时满足以下条件时所确认的一项负债（）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A.该义务是企业承担的现时义务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B.该义务是企业承担的未来义务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C.该义务的金额能够可靠地计量</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D.履行该义务很可能导致经济利益流出企业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86、单选 各行查询人行征信系统个人信用报告时应当取得（）书面授权。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A.申请人及配偶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B.贷记卡持卡人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C.被查询人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D.担保人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87、单选 经办机构在受理客户的对公信贷业务申请后，即进入评价与申报阶段，下列不属于该阶段内容的是（）。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A.调查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B.评价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C.申报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D.审批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88、单选 “善融贷”业务的申请人需满足的条件包括前12个月对公结算账户借贷方累计结算笔数在（）笔（含）以上。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A.50</w:t>
      </w:r>
      <w:r>
        <w:rPr>
          <w:rFonts w:ascii="宋体" w:eastAsia="宋体" w:hAnsi="宋体" w:cs="宋体"/>
          <w:outline w:val="0"/>
          <w:shadow w:val="0"/>
          <w:emboss w:val="0"/>
          <w:imprint w:val="0"/>
          <w:vanish w:val="0"/>
          <w:w w:val="100"/>
          <w:sz w:val="28"/>
          <w:szCs w:val="28"/>
          <w:u w:val="none"/>
        </w:rPr>
        <w:br/>
      </w:r>
      <w:r>
        <w:rPr>
          <w:rFonts w:ascii="宋体" w:eastAsia="宋体" w:hAnsi="宋体" w:cs="宋体"/>
          <w:outline w:val="0"/>
          <w:shadow w:val="0"/>
          <w:emboss w:val="0"/>
          <w:imprint w:val="0"/>
          <w:vanish w:val="0"/>
          <w:w w:val="100"/>
          <w:sz w:val="28"/>
          <w:szCs w:val="28"/>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https://d.book118.com/096224211233010050</w:t>
        </w:r>
      </w:hyperlink>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p>
    <w:sectPr>
      <w:type w:val="nextPage"/>
      <w:pgSz w:w="11906" w:h="16838"/>
      <w:pgMar w:top="1440" w:right="1080" w:bottom="1440" w:left="1080" w:header="851" w:footer="992" w:gutter="0"/>
      <w:pgNumType w:start="1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106D"/>
    <w:rsid w:val="002B1D86"/>
    <w:rsid w:val="009B106D"/>
    <w:rsid w:val="0CCD246C"/>
    <w:rsid w:val="221079D0"/>
    <w:rsid w:val="40FF1453"/>
  </w:rsids>
  <w:docVars>
    <w:docVar w:name="commondata" w:val="eyJoZGlkIjoiMzIxODdiYzkyZWJiMzc1YmY5NThiYjgyMjcxMWRjMm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uiPriority="0" w:unhideWhenUsed="0" w:qFormat="1"/>
    <w:lsdException w:name="footer" w:semiHidden="0" w:uiPriority="0" w:unhideWhenUsed="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iPriority="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semiHidden="0" w:uiPriority="0" w:unhideWhenUsed="0" w:qFormat="1"/>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
    <w:qFormat/>
    <w:pPr>
      <w:widowControl/>
      <w:spacing w:beforeAutospacing="1" w:afterAutospacing="1"/>
      <w:jc w:val="left"/>
      <w:outlineLvl w:val="0"/>
    </w:pPr>
    <w:rPr>
      <w:rFonts w:ascii="宋体" w:eastAsia="宋体" w:hAnsi="宋体" w:cs="Times New Roman" w:hint="eastAsia"/>
      <w:b/>
      <w:bCs/>
      <w:kern w:val="44"/>
      <w:sz w:val="48"/>
      <w:szCs w:val="48"/>
    </w:rPr>
  </w:style>
  <w:style w:type="paragraph" w:styleId="Heading2">
    <w:name w:val="heading 2"/>
    <w:basedOn w:val="Normal"/>
    <w:next w:val="Normal"/>
    <w:link w:val="2"/>
    <w:autoRedefine/>
    <w:semiHidden/>
    <w:unhideWhenUsed/>
    <w:qFormat/>
    <w:pPr>
      <w:widowControl/>
      <w:spacing w:beforeAutospacing="1" w:afterAutospacing="1"/>
      <w:jc w:val="left"/>
      <w:outlineLvl w:val="1"/>
    </w:pPr>
    <w:rPr>
      <w:rFonts w:ascii="宋体" w:eastAsia="宋体" w:hAnsi="宋体" w:cs="Times New Roman" w:hint="eastAsia"/>
      <w:b/>
      <w:bCs/>
      <w:kern w:val="0"/>
      <w:sz w:val="36"/>
      <w:szCs w:val="36"/>
    </w:rPr>
  </w:style>
  <w:style w:type="paragraph" w:styleId="Heading3">
    <w:name w:val="heading 3"/>
    <w:basedOn w:val="Normal"/>
    <w:next w:val="Normal"/>
    <w:link w:val="3"/>
    <w:autoRedefine/>
    <w:semiHidden/>
    <w:unhideWhenUsed/>
    <w:qFormat/>
    <w:pPr>
      <w:widowControl/>
      <w:spacing w:beforeAutospacing="1" w:afterAutospacing="1"/>
      <w:jc w:val="left"/>
      <w:outlineLvl w:val="2"/>
    </w:pPr>
    <w:rPr>
      <w:rFonts w:ascii="宋体" w:eastAsia="宋体" w:hAnsi="宋体" w:cs="Times New Roman" w:hint="eastAsia"/>
      <w:b/>
      <w:bCs/>
      <w:kern w:val="0"/>
      <w:sz w:val="27"/>
      <w:szCs w:val="27"/>
    </w:rPr>
  </w:style>
  <w:style w:type="paragraph" w:styleId="Heading4">
    <w:name w:val="heading 4"/>
    <w:basedOn w:val="Normal"/>
    <w:next w:val="Normal"/>
    <w:link w:val="4"/>
    <w:autoRedefine/>
    <w:semiHidden/>
    <w:unhideWhenUsed/>
    <w:qFormat/>
    <w:pPr>
      <w:widowControl/>
      <w:spacing w:beforeAutospacing="1" w:afterAutospacing="1"/>
      <w:jc w:val="left"/>
      <w:outlineLvl w:val="3"/>
    </w:pPr>
    <w:rPr>
      <w:rFonts w:ascii="宋体" w:eastAsia="宋体" w:hAnsi="宋体" w:cs="Times New Roman" w:hint="eastAsia"/>
      <w:b/>
      <w:bCs/>
      <w:kern w:val="0"/>
      <w:sz w:val="24"/>
      <w:szCs w:val="24"/>
    </w:rPr>
  </w:style>
  <w:style w:type="paragraph" w:styleId="Heading5">
    <w:name w:val="heading 5"/>
    <w:basedOn w:val="Normal"/>
    <w:next w:val="Normal"/>
    <w:link w:val="5"/>
    <w:semiHidden/>
    <w:unhideWhenUsed/>
    <w:qFormat/>
    <w:pPr>
      <w:widowControl/>
      <w:spacing w:beforeAutospacing="1" w:afterAutospacing="1"/>
      <w:jc w:val="left"/>
      <w:outlineLvl w:val="4"/>
    </w:pPr>
    <w:rPr>
      <w:rFonts w:ascii="宋体" w:eastAsia="宋体" w:hAnsi="宋体" w:cs="Times New Roman" w:hint="eastAsia"/>
      <w:b/>
      <w:bCs/>
      <w:kern w:val="0"/>
      <w:sz w:val="20"/>
      <w:szCs w:val="20"/>
    </w:rPr>
  </w:style>
  <w:style w:type="paragraph" w:styleId="Heading6">
    <w:name w:val="heading 6"/>
    <w:basedOn w:val="Normal"/>
    <w:next w:val="Normal"/>
    <w:link w:val="6"/>
    <w:semiHidden/>
    <w:unhideWhenUsed/>
    <w:qFormat/>
    <w:pPr>
      <w:widowControl/>
      <w:spacing w:beforeAutospacing="1" w:afterAutospacing="1"/>
      <w:jc w:val="left"/>
      <w:outlineLvl w:val="5"/>
    </w:pPr>
    <w:rPr>
      <w:rFonts w:ascii="宋体" w:eastAsia="宋体" w:hAnsi="宋体" w:cs="Times New Roman" w:hint="eastAsia"/>
      <w:b/>
      <w:bCs/>
      <w:kern w:val="0"/>
      <w:sz w:val="15"/>
      <w:szCs w:val="15"/>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link w:val="a0"/>
    <w:autoRedefine/>
    <w:qFormat/>
    <w:pPr>
      <w:widowControl/>
      <w:tabs>
        <w:tab w:val="center" w:pos="4153"/>
        <w:tab w:val="right" w:pos="8306"/>
      </w:tabs>
      <w:snapToGrid w:val="0"/>
      <w:jc w:val="left"/>
    </w:pPr>
    <w:rPr>
      <w:rFonts w:asciiTheme="minorEastAsia" w:hAnsiTheme="minorEastAsia" w:cs="Times New Roman"/>
      <w:kern w:val="0"/>
      <w:sz w:val="18"/>
      <w:szCs w:val="18"/>
    </w:rPr>
  </w:style>
  <w:style w:type="paragraph" w:styleId="Header">
    <w:name w:val="header"/>
    <w:basedOn w:val="Normal"/>
    <w:link w:val="a"/>
    <w:autoRedefine/>
    <w:qFormat/>
    <w:pPr>
      <w:widowControl/>
      <w:tabs>
        <w:tab w:val="center" w:pos="4153"/>
        <w:tab w:val="right" w:pos="8306"/>
      </w:tabs>
      <w:snapToGrid w:val="0"/>
      <w:jc w:val="center"/>
    </w:pPr>
    <w:rPr>
      <w:rFonts w:asciiTheme="minorEastAsia" w:hAnsiTheme="minorEastAsia" w:cs="Times New Roman"/>
      <w:kern w:val="0"/>
      <w:sz w:val="18"/>
      <w:szCs w:val="18"/>
    </w:rPr>
  </w:style>
  <w:style w:type="paragraph" w:styleId="HTMLPreformatted">
    <w:name w:val="HTML Preformatted"/>
    <w:basedOn w:val="Normal"/>
    <w:link w:val="HTML"/>
    <w:autoRedefine/>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szCs w:val="24"/>
    </w:rPr>
  </w:style>
  <w:style w:type="paragraph" w:styleId="NormalWeb">
    <w:name w:val="Normal (Web)"/>
    <w:basedOn w:val="Normal"/>
    <w:autoRedefine/>
    <w:qFormat/>
    <w:pPr>
      <w:widowControl/>
      <w:spacing w:beforeAutospacing="1" w:afterAutospacing="1"/>
      <w:jc w:val="left"/>
    </w:pPr>
    <w:rPr>
      <w:rFonts w:asciiTheme="minorEastAsia" w:hAnsiTheme="minorEastAsia" w:cs="Times New Roman"/>
      <w:kern w:val="0"/>
      <w:sz w:val="24"/>
      <w:szCs w:val="24"/>
    </w:rPr>
  </w:style>
  <w:style w:type="character" w:styleId="Hyperlink">
    <w:name w:val="Hyperlink"/>
    <w:basedOn w:val="DefaultParagraphFont"/>
    <w:autoRedefine/>
    <w:qFormat/>
    <w:rPr>
      <w:color w:val="0000FF"/>
      <w:u w:val="single"/>
    </w:rPr>
  </w:style>
  <w:style w:type="character" w:customStyle="1" w:styleId="1">
    <w:name w:val="标题 1 字符"/>
    <w:basedOn w:val="DefaultParagraphFont"/>
    <w:link w:val="Heading1"/>
    <w:autoRedefine/>
    <w:qFormat/>
    <w:rPr>
      <w:rFonts w:ascii="宋体" w:eastAsia="宋体" w:hAnsi="宋体" w:cs="Times New Roman"/>
      <w:b/>
      <w:bCs/>
      <w:kern w:val="44"/>
      <w:sz w:val="48"/>
      <w:szCs w:val="48"/>
    </w:rPr>
  </w:style>
  <w:style w:type="character" w:customStyle="1" w:styleId="2">
    <w:name w:val="标题 2 字符"/>
    <w:basedOn w:val="DefaultParagraphFont"/>
    <w:link w:val="Heading2"/>
    <w:autoRedefine/>
    <w:semiHidden/>
    <w:qFormat/>
    <w:rPr>
      <w:rFonts w:ascii="宋体" w:eastAsia="宋体" w:hAnsi="宋体" w:cs="Times New Roman"/>
      <w:b/>
      <w:bCs/>
      <w:kern w:val="0"/>
      <w:sz w:val="36"/>
      <w:szCs w:val="36"/>
    </w:rPr>
  </w:style>
  <w:style w:type="character" w:customStyle="1" w:styleId="3">
    <w:name w:val="标题 3 字符"/>
    <w:basedOn w:val="DefaultParagraphFont"/>
    <w:link w:val="Heading3"/>
    <w:autoRedefine/>
    <w:semiHidden/>
    <w:qFormat/>
    <w:rPr>
      <w:rFonts w:ascii="宋体" w:eastAsia="宋体" w:hAnsi="宋体" w:cs="Times New Roman"/>
      <w:b/>
      <w:bCs/>
      <w:kern w:val="0"/>
      <w:sz w:val="27"/>
      <w:szCs w:val="27"/>
    </w:rPr>
  </w:style>
  <w:style w:type="character" w:customStyle="1" w:styleId="4">
    <w:name w:val="标题 4 字符"/>
    <w:basedOn w:val="DefaultParagraphFont"/>
    <w:link w:val="Heading4"/>
    <w:autoRedefine/>
    <w:semiHidden/>
    <w:qFormat/>
    <w:rPr>
      <w:rFonts w:ascii="宋体" w:eastAsia="宋体" w:hAnsi="宋体" w:cs="Times New Roman"/>
      <w:b/>
      <w:bCs/>
      <w:kern w:val="0"/>
      <w:sz w:val="24"/>
      <w:szCs w:val="24"/>
    </w:rPr>
  </w:style>
  <w:style w:type="character" w:customStyle="1" w:styleId="5">
    <w:name w:val="标题 5 字符"/>
    <w:basedOn w:val="DefaultParagraphFont"/>
    <w:link w:val="Heading5"/>
    <w:autoRedefine/>
    <w:semiHidden/>
    <w:qFormat/>
    <w:rPr>
      <w:rFonts w:ascii="宋体" w:eastAsia="宋体" w:hAnsi="宋体" w:cs="Times New Roman"/>
      <w:b/>
      <w:bCs/>
      <w:kern w:val="0"/>
      <w:sz w:val="20"/>
      <w:szCs w:val="20"/>
    </w:rPr>
  </w:style>
  <w:style w:type="character" w:customStyle="1" w:styleId="6">
    <w:name w:val="标题 6 字符"/>
    <w:basedOn w:val="DefaultParagraphFont"/>
    <w:link w:val="Heading6"/>
    <w:autoRedefine/>
    <w:semiHidden/>
    <w:qFormat/>
    <w:rPr>
      <w:rFonts w:ascii="宋体" w:eastAsia="宋体" w:hAnsi="宋体" w:cs="Times New Roman"/>
      <w:b/>
      <w:bCs/>
      <w:kern w:val="0"/>
      <w:sz w:val="15"/>
      <w:szCs w:val="15"/>
    </w:rPr>
  </w:style>
  <w:style w:type="character" w:customStyle="1" w:styleId="HTML">
    <w:name w:val="HTML 预设格式 字符"/>
    <w:basedOn w:val="DefaultParagraphFont"/>
    <w:link w:val="HTMLPreformatted"/>
    <w:autoRedefine/>
    <w:qFormat/>
    <w:rPr>
      <w:rFonts w:ascii="宋体" w:eastAsia="宋体" w:hAnsi="宋体" w:cs="Times New Roman"/>
      <w:kern w:val="0"/>
      <w:sz w:val="24"/>
      <w:szCs w:val="24"/>
    </w:rPr>
  </w:style>
  <w:style w:type="character" w:customStyle="1" w:styleId="a">
    <w:name w:val="页眉 字符"/>
    <w:basedOn w:val="DefaultParagraphFont"/>
    <w:link w:val="Header"/>
    <w:autoRedefine/>
    <w:qFormat/>
    <w:rPr>
      <w:rFonts w:asciiTheme="minorEastAsia" w:hAnsiTheme="minorEastAsia" w:cs="Times New Roman"/>
      <w:kern w:val="0"/>
      <w:sz w:val="18"/>
      <w:szCs w:val="18"/>
    </w:rPr>
  </w:style>
  <w:style w:type="character" w:customStyle="1" w:styleId="a0">
    <w:name w:val="页脚 字符"/>
    <w:basedOn w:val="DefaultParagraphFont"/>
    <w:link w:val="Footer"/>
    <w:autoRedefine/>
    <w:qFormat/>
    <w:rPr>
      <w:rFonts w:asciiTheme="minorEastAsia" w:hAnsiTheme="minorEastAsia"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9622421123301005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2915</Words>
  <Characters>16621</Characters>
  <Application>Microsoft Office Word</Application>
  <DocSecurity>0</DocSecurity>
  <Lines>138</Lines>
  <Paragraphs>38</Paragraphs>
  <ScaleCrop>false</ScaleCrop>
  <Company/>
  <LinksUpToDate>false</LinksUpToDate>
  <CharactersWithSpaces>19498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江南博哥</cp:lastModifiedBy>
  <cp:revision>1</cp:revision>
  <dcterms:created xsi:type="dcterms:W3CDTF">2024-02-06T00:25:00Z</dcterms:created>
  <dcterms:modified xsi:type="dcterms:W3CDTF">2024-02-20T01:03:15Z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ACD5C6A27DE9498AA8AC14118CA8F8DB_13</vt:lpwstr>
  </property>
  <property fmtid="{D5CDD505-2E9C-101B-9397-08002B2CF9AE}" pid="3" name="KSOProductBuildVer">
    <vt:lpwstr>2052-12.1.0.16250</vt:lpwstr>
  </property>
</Properties>
</file>